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rutenett"/>
        <w:tblpPr w:vertAnchor="page" w:horzAnchor="page" w:tblpYSpec="top"/>
        <w:tblOverlap w:val="never"/>
        <w:tblW w:w="11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4D4" w:themeFill="background2"/>
        <w:tblLayout w:type="fixed"/>
        <w:tblCellMar>
          <w:left w:w="0" w:type="dxa"/>
          <w:right w:w="0" w:type="dxa"/>
        </w:tblCellMar>
        <w:tblLook w:val="00A0" w:firstRow="1" w:lastRow="0" w:firstColumn="1" w:lastColumn="0" w:noHBand="0" w:noVBand="0"/>
      </w:tblPr>
      <w:tblGrid>
        <w:gridCol w:w="11906"/>
      </w:tblGrid>
      <w:tr w:rsidR="00807269" w:rsidRPr="0055149C" w14:paraId="543F6091" w14:textId="77777777" w:rsidTr="00756C58">
        <w:trPr>
          <w:cantSplit/>
          <w:trHeight w:hRule="exact" w:val="7655"/>
        </w:trPr>
        <w:tc>
          <w:tcPr>
            <w:tcW w:w="11906" w:type="dxa"/>
            <w:tcBorders>
              <w:bottom w:val="single" w:sz="4" w:space="0" w:color="auto"/>
            </w:tcBorders>
            <w:shd w:val="clear" w:color="auto" w:fill="auto"/>
          </w:tcPr>
          <w:p w14:paraId="68BDCBC6" w14:textId="6335A761" w:rsidR="00807269" w:rsidRPr="0055149C" w:rsidRDefault="00091C9D" w:rsidP="0071298C">
            <w:pPr>
              <w:pStyle w:val="Ingenmellomrom"/>
            </w:pPr>
            <w:r>
              <w:rPr>
                <w:noProof/>
              </w:rPr>
              <mc:AlternateContent>
                <mc:Choice Requires="wpg">
                  <w:drawing>
                    <wp:anchor distT="0" distB="0" distL="114300" distR="114300" simplePos="0" relativeHeight="251658243" behindDoc="0" locked="0" layoutInCell="1" allowOverlap="1" wp14:anchorId="1C631DF7" wp14:editId="20225A5B">
                      <wp:simplePos x="0" y="0"/>
                      <wp:positionH relativeFrom="column">
                        <wp:posOffset>0</wp:posOffset>
                      </wp:positionH>
                      <wp:positionV relativeFrom="paragraph">
                        <wp:posOffset>0</wp:posOffset>
                      </wp:positionV>
                      <wp:extent cx="7653224" cy="4867275"/>
                      <wp:effectExtent l="0" t="0" r="24130" b="28575"/>
                      <wp:wrapNone/>
                      <wp:docPr id="1906002212" name="Gruppe 5"/>
                      <wp:cNvGraphicFramePr/>
                      <a:graphic xmlns:a="http://schemas.openxmlformats.org/drawingml/2006/main">
                        <a:graphicData uri="http://schemas.microsoft.com/office/word/2010/wordprocessingGroup">
                          <wpg:wgp>
                            <wpg:cNvGrpSpPr/>
                            <wpg:grpSpPr>
                              <a:xfrm>
                                <a:off x="0" y="0"/>
                                <a:ext cx="7653224" cy="4867275"/>
                                <a:chOff x="0" y="0"/>
                                <a:chExt cx="7653224" cy="4867275"/>
                              </a:xfrm>
                            </wpg:grpSpPr>
                            <wps:wsp>
                              <wps:cNvPr id="66220452" name="Rektangel 1508285920"/>
                              <wps:cNvSpPr/>
                              <wps:spPr>
                                <a:xfrm>
                                  <a:off x="0" y="0"/>
                                  <a:ext cx="7653224" cy="4867275"/>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A050D8" w14:textId="77777777" w:rsidR="00B02D7E" w:rsidRDefault="00B02D7E" w:rsidP="00AA6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3150885" name="Gruppe 4"/>
                              <wpg:cNvGrpSpPr/>
                              <wpg:grpSpPr>
                                <a:xfrm>
                                  <a:off x="342900" y="198120"/>
                                  <a:ext cx="6939280" cy="4275455"/>
                                  <a:chOff x="0" y="0"/>
                                  <a:chExt cx="6939280" cy="4275455"/>
                                </a:xfrm>
                              </wpg:grpSpPr>
                              <pic:pic xmlns:pic="http://schemas.openxmlformats.org/drawingml/2006/picture">
                                <pic:nvPicPr>
                                  <pic:cNvPr id="663646756" name="Bilde 49901005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86940" y="160020"/>
                                    <a:ext cx="3310255" cy="4115435"/>
                                  </a:xfrm>
                                  <a:prstGeom prst="rect">
                                    <a:avLst/>
                                  </a:prstGeom>
                                  <a:noFill/>
                                </pic:spPr>
                              </pic:pic>
                              <pic:pic xmlns:pic="http://schemas.openxmlformats.org/drawingml/2006/picture">
                                <pic:nvPicPr>
                                  <pic:cNvPr id="1059609320" name="Grafikk 396170401" descr="Bygning med heldekkende fy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859780" y="3002280"/>
                                    <a:ext cx="1079500" cy="1079500"/>
                                  </a:xfrm>
                                  <a:prstGeom prst="rect">
                                    <a:avLst/>
                                  </a:prstGeom>
                                </pic:spPr>
                              </pic:pic>
                              <pic:pic xmlns:pic="http://schemas.openxmlformats.org/drawingml/2006/picture">
                                <pic:nvPicPr>
                                  <pic:cNvPr id="1833530282" name="Grafikk 530246098" descr="Lyspære og tannhjul med heldekkende fy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859780" y="0"/>
                                    <a:ext cx="1079500" cy="1079500"/>
                                  </a:xfrm>
                                  <a:prstGeom prst="rect">
                                    <a:avLst/>
                                  </a:prstGeom>
                                </pic:spPr>
                              </pic:pic>
                              <pic:pic xmlns:pic="http://schemas.openxmlformats.org/drawingml/2006/picture">
                                <pic:nvPicPr>
                                  <pic:cNvPr id="1547785450" name="Grafikk 1745332151" descr="Bil med heldekkende fy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213360" y="60960"/>
                                    <a:ext cx="1079500" cy="1079500"/>
                                  </a:xfrm>
                                  <a:prstGeom prst="rect">
                                    <a:avLst/>
                                  </a:prstGeom>
                                </pic:spPr>
                              </pic:pic>
                              <pic:pic xmlns:pic="http://schemas.openxmlformats.org/drawingml/2006/picture">
                                <pic:nvPicPr>
                                  <pic:cNvPr id="468446681" name="Grafikk 25627703" descr="Sektordiagram med heldekkende fy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484120" y="1280160"/>
                                    <a:ext cx="1799590" cy="1799590"/>
                                  </a:xfrm>
                                  <a:prstGeom prst="rect">
                                    <a:avLst/>
                                  </a:prstGeom>
                                </pic:spPr>
                              </pic:pic>
                              <pic:pic xmlns:pic="http://schemas.openxmlformats.org/drawingml/2006/picture">
                                <pic:nvPicPr>
                                  <pic:cNvPr id="614221164" name="Grafikk 751757032" descr="Internett med heldekkende fyl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2834640"/>
                                    <a:ext cx="1439545" cy="1439545"/>
                                  </a:xfrm>
                                  <a:prstGeom prst="rect">
                                    <a:avLst/>
                                  </a:prstGeom>
                                </pic:spPr>
                              </pic:pic>
                            </wpg:grpSp>
                          </wpg:wgp>
                        </a:graphicData>
                      </a:graphic>
                    </wp:anchor>
                  </w:drawing>
                </mc:Choice>
                <mc:Fallback>
                  <w:pict>
                    <v:group w14:anchorId="1C631DF7" id="Gruppe 5" o:spid="_x0000_s1026" style="position:absolute;left:0;text-align:left;margin-left:0;margin-top:0;width:602.6pt;height:383.25pt;z-index:251658243" coordsize="76532,486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">
                      <v:rect id="Rektangel 1508285920" o:spid="_x0000_s1027" style="position:absolute;width:76532;height:48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" fillcolor="#d4e2f2 [661]" strokecolor="#03060d [484]" strokeweight="1pt">
                        <v:textbox>
                          <w:txbxContent>
                            <w:p w14:paraId="2FA050D8" w14:textId="77777777" w:rsidR="00B02D7E" w:rsidRDefault="00B02D7E" w:rsidP="00AA6F05">
                              <w:pPr>
                                <w:jc w:val="center"/>
                              </w:pPr>
                            </w:p>
                          </w:txbxContent>
                        </v:textbox>
                      </v:rect>
                      <v:group id="Gruppe 4" o:spid="_x0000_s1028" style="position:absolute;left:3429;top:1981;width:69392;height:42754" coordsize="69392,4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99010055" o:spid="_x0000_s1029" type="#_x0000_t75" style="position:absolute;left:21869;top:1600;width:33102;height:4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">
                          <v:imagedata r:id="rId22" o:title=""/>
                        </v:shape>
                        <v:shape id="Grafikk 396170401" o:spid="_x0000_s1030" type="#_x0000_t75" alt="Bygning med heldekkende fyll" style="position:absolute;left:58597;top:30022;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">
                          <v:imagedata r:id="rId23" o:title="Bygning med heldekkende fyll"/>
                        </v:shape>
                        <v:shape id="Grafikk 530246098" o:spid="_x0000_s1031" type="#_x0000_t75" alt="Lyspære og tannhjul med heldekkende fyll" style="position:absolute;left:58597;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">
                          <v:imagedata r:id="rId24" o:title="Lyspære og tannhjul med heldekkende fyll"/>
                        </v:shape>
                        <v:shape id="Grafikk 1745332151" o:spid="_x0000_s1032" type="#_x0000_t75" alt="Bil med heldekkende fyll" style="position:absolute;left:2133;top:60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">
                          <v:imagedata r:id="rId25" o:title="Bil med heldekkende fyll"/>
                        </v:shape>
                        <v:shape id="Grafikk 25627703" o:spid="_x0000_s1033" type="#_x0000_t75" alt="Sektordiagram med heldekkende fyll" style="position:absolute;left:24841;top:12801;width:17996;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">
                          <v:imagedata r:id="rId26" o:title="Sektordiagram med heldekkende fyll"/>
                        </v:shape>
                        <v:shape id="Grafikk 751757032" o:spid="_x0000_s1034" type="#_x0000_t75" alt="Internett med heldekkende fyll" style="position:absolute;top:28346;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">
                          <v:imagedata r:id="rId27" o:title="Internett med heldekkende fyll"/>
                        </v:shape>
                      </v:group>
                    </v:group>
                  </w:pict>
                </mc:Fallback>
              </mc:AlternateContent>
            </w:r>
          </w:p>
        </w:tc>
      </w:tr>
    </w:tbl>
    <w:tbl>
      <w:tblPr>
        <w:tblW w:w="11906" w:type="dxa"/>
        <w:tblInd w:w="-851" w:type="dxa"/>
        <w:tblLayout w:type="fixed"/>
        <w:tblCellMar>
          <w:left w:w="0" w:type="dxa"/>
          <w:right w:w="0" w:type="dxa"/>
        </w:tblCellMar>
        <w:tblLook w:val="04A0" w:firstRow="1" w:lastRow="0" w:firstColumn="1" w:lastColumn="0" w:noHBand="0" w:noVBand="1"/>
      </w:tblPr>
      <w:tblGrid>
        <w:gridCol w:w="851"/>
        <w:gridCol w:w="1701"/>
        <w:gridCol w:w="8504"/>
        <w:gridCol w:w="850"/>
      </w:tblGrid>
      <w:tr w:rsidR="00807269" w:rsidRPr="0055149C" w14:paraId="294D71FD" w14:textId="77777777" w:rsidTr="0071298C">
        <w:trPr>
          <w:cantSplit/>
          <w:trHeight w:hRule="exact" w:val="567"/>
        </w:trPr>
        <w:tc>
          <w:tcPr>
            <w:tcW w:w="11906" w:type="dxa"/>
            <w:gridSpan w:val="4"/>
            <w:shd w:val="clear" w:color="auto" w:fill="162F5C" w:themeFill="accent1"/>
            <w:hideMark/>
          </w:tcPr>
          <w:p w14:paraId="1E687B43" w14:textId="348D721D" w:rsidR="00807269" w:rsidRPr="0055149C" w:rsidRDefault="004353FD" w:rsidP="0071298C">
            <w:pPr>
              <w:pStyle w:val="DocInfo"/>
              <w:jc w:val="left"/>
            </w:pPr>
            <w:r w:rsidRPr="0055149C">
              <w:fldChar w:fldCharType="begin">
                <w:ffData>
                  <w:name w:val=""/>
                  <w:enabled/>
                  <w:calcOnExit w:val="0"/>
                  <w:textInput>
                    <w:default w:val="Rapport 2024/20"/>
                  </w:textInput>
                </w:ffData>
              </w:fldChar>
            </w:r>
            <w:r w:rsidRPr="0055149C">
              <w:instrText xml:space="preserve"> FORMTEXT </w:instrText>
            </w:r>
            <w:r w:rsidRPr="0055149C">
              <w:fldChar w:fldCharType="separate"/>
            </w:r>
            <w:r w:rsidRPr="0055149C">
              <w:rPr>
                <w:noProof/>
              </w:rPr>
              <w:t>Rapport 2024/20</w:t>
            </w:r>
            <w:r w:rsidRPr="0055149C">
              <w:fldChar w:fldCharType="end"/>
            </w:r>
            <w:r w:rsidR="00A612E2" w:rsidRPr="0055149C">
              <w:t xml:space="preserve"> </w:t>
            </w:r>
            <w:r w:rsidR="00807269" w:rsidRPr="0055149C">
              <w:rPr>
                <w:rFonts w:ascii="Arial" w:hAnsi="Arial"/>
              </w:rPr>
              <w:t>|</w:t>
            </w:r>
            <w:r w:rsidR="00A612E2" w:rsidRPr="0055149C">
              <w:t xml:space="preserve"> </w:t>
            </w:r>
            <w:r w:rsidR="00AA6F05" w:rsidRPr="0055149C">
              <w:fldChar w:fldCharType="begin">
                <w:ffData>
                  <w:name w:val=""/>
                  <w:enabled/>
                  <w:calcOnExit w:val="0"/>
                  <w:textInput>
                    <w:default w:val="For Kommunal- og distriktsdepartementet"/>
                  </w:textInput>
                </w:ffData>
              </w:fldChar>
            </w:r>
            <w:r w:rsidR="00AA6F05" w:rsidRPr="0055149C">
              <w:instrText xml:space="preserve"> FORMTEXT </w:instrText>
            </w:r>
            <w:r w:rsidR="00AA6F05" w:rsidRPr="0055149C">
              <w:fldChar w:fldCharType="separate"/>
            </w:r>
            <w:r w:rsidR="00AA6F05" w:rsidRPr="0055149C">
              <w:rPr>
                <w:noProof/>
              </w:rPr>
              <w:t>For Kommunal- og distriktsdepartementet</w:t>
            </w:r>
            <w:r w:rsidR="00AA6F05" w:rsidRPr="0055149C">
              <w:fldChar w:fldCharType="end"/>
            </w:r>
            <w:r w:rsidR="00A612E2" w:rsidRPr="0055149C">
              <w:t xml:space="preserve"> </w:t>
            </w:r>
            <w:r w:rsidR="005E583B" w:rsidRPr="0055149C">
              <w:fldChar w:fldCharType="begin">
                <w:ffData>
                  <w:name w:val=""/>
                  <w:enabled/>
                  <w:calcOnExit w:val="0"/>
                  <w:textInput/>
                </w:ffData>
              </w:fldChar>
            </w:r>
            <w:r w:rsidR="005E583B" w:rsidRPr="0055149C">
              <w:instrText xml:space="preserve"> FORMTEXT </w:instrText>
            </w:r>
            <w:r w:rsidR="005E583B" w:rsidRPr="0055149C">
              <w:fldChar w:fldCharType="separate"/>
            </w:r>
            <w:r w:rsidR="005E583B" w:rsidRPr="0055149C">
              <w:rPr>
                <w:noProof/>
              </w:rPr>
              <w:t> </w:t>
            </w:r>
            <w:r w:rsidR="005E583B" w:rsidRPr="0055149C">
              <w:fldChar w:fldCharType="end"/>
            </w:r>
          </w:p>
        </w:tc>
      </w:tr>
      <w:tr w:rsidR="00807269" w:rsidRPr="0055149C" w14:paraId="6ADED46D" w14:textId="77777777" w:rsidTr="0071298C">
        <w:trPr>
          <w:gridBefore w:val="1"/>
          <w:gridAfter w:val="1"/>
          <w:wBefore w:w="851" w:type="dxa"/>
          <w:wAfter w:w="850" w:type="dxa"/>
          <w:cantSplit/>
          <w:trHeight w:hRule="exact" w:val="850"/>
        </w:trPr>
        <w:tc>
          <w:tcPr>
            <w:tcW w:w="10205" w:type="dxa"/>
            <w:gridSpan w:val="2"/>
          </w:tcPr>
          <w:p w14:paraId="1B1AB6AD" w14:textId="77777777" w:rsidR="00807269" w:rsidRPr="0055149C" w:rsidRDefault="00807269" w:rsidP="0071298C">
            <w:pPr>
              <w:pStyle w:val="Spacer"/>
              <w:spacing w:before="1000"/>
            </w:pPr>
          </w:p>
        </w:tc>
      </w:tr>
      <w:tr w:rsidR="00807269" w:rsidRPr="0055149C" w14:paraId="009416EA" w14:textId="77777777" w:rsidTr="0071298C">
        <w:trPr>
          <w:gridBefore w:val="1"/>
          <w:gridAfter w:val="1"/>
          <w:wBefore w:w="851" w:type="dxa"/>
          <w:wAfter w:w="850" w:type="dxa"/>
          <w:cantSplit/>
          <w:trHeight w:hRule="exact" w:val="1701"/>
        </w:trPr>
        <w:tc>
          <w:tcPr>
            <w:tcW w:w="1701" w:type="dxa"/>
          </w:tcPr>
          <w:p w14:paraId="018841AD" w14:textId="77777777" w:rsidR="00807269" w:rsidRPr="0055149C" w:rsidRDefault="00807269" w:rsidP="0071298C">
            <w:pPr>
              <w:pStyle w:val="Ingenmellomrom"/>
              <w:jc w:val="left"/>
            </w:pPr>
            <w:r w:rsidRPr="0055149C">
              <w:rPr>
                <w:noProof/>
                <w:lang w:val="en-US" w:eastAsia="en-US"/>
              </w:rPr>
              <w:drawing>
                <wp:inline distT="0" distB="0" distL="0" distR="0" wp14:anchorId="6E222A0F" wp14:editId="2FB46E8C">
                  <wp:extent cx="853005" cy="1080000"/>
                  <wp:effectExtent l="0" t="0" r="4445" b="635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3005" cy="1080000"/>
                          </a:xfrm>
                          <a:prstGeom prst="rect">
                            <a:avLst/>
                          </a:prstGeom>
                        </pic:spPr>
                      </pic:pic>
                    </a:graphicData>
                  </a:graphic>
                </wp:inline>
              </w:drawing>
            </w:r>
          </w:p>
        </w:tc>
        <w:tc>
          <w:tcPr>
            <w:tcW w:w="8504" w:type="dxa"/>
            <w:vAlign w:val="center"/>
          </w:tcPr>
          <w:p w14:paraId="634C48DC" w14:textId="0CE704C2" w:rsidR="00807269" w:rsidRPr="0055149C" w:rsidRDefault="00807269" w:rsidP="0071298C">
            <w:pPr>
              <w:pStyle w:val="Ingenmellomrom"/>
            </w:pPr>
          </w:p>
        </w:tc>
      </w:tr>
      <w:tr w:rsidR="00807269" w:rsidRPr="0055149C" w14:paraId="439C51A9" w14:textId="77777777" w:rsidTr="0005380A">
        <w:trPr>
          <w:gridBefore w:val="1"/>
          <w:gridAfter w:val="1"/>
          <w:wBefore w:w="851" w:type="dxa"/>
          <w:wAfter w:w="850" w:type="dxa"/>
          <w:cantSplit/>
          <w:trHeight w:hRule="exact" w:val="1587"/>
        </w:trPr>
        <w:tc>
          <w:tcPr>
            <w:tcW w:w="10205" w:type="dxa"/>
            <w:gridSpan w:val="2"/>
            <w:vAlign w:val="bottom"/>
            <w:hideMark/>
          </w:tcPr>
          <w:p w14:paraId="4C3FB8AB" w14:textId="238C3140" w:rsidR="00807269" w:rsidRPr="0055149C" w:rsidRDefault="00DD2A46" w:rsidP="0005380A">
            <w:pPr>
              <w:pStyle w:val="DocTitle"/>
            </w:pPr>
            <w:r w:rsidRPr="0055149C">
              <w:fldChar w:fldCharType="begin">
                <w:ffData>
                  <w:name w:val=""/>
                  <w:enabled/>
                  <w:calcOnExit w:val="0"/>
                  <w:textInput>
                    <w:default w:val="Bruk av kapitalkostnader i utgiftsutjevningen i inntektssystemet for kommunal sektor"/>
                  </w:textInput>
                </w:ffData>
              </w:fldChar>
            </w:r>
            <w:r w:rsidRPr="0055149C">
              <w:instrText xml:space="preserve"> FORMTEXT </w:instrText>
            </w:r>
            <w:r w:rsidRPr="0055149C">
              <w:fldChar w:fldCharType="separate"/>
            </w:r>
            <w:r w:rsidRPr="0055149C">
              <w:rPr>
                <w:noProof/>
              </w:rPr>
              <w:t>Bruk av kapitalkostnader i utgiftsutjevningen i inntektssystemet for kommunal sektor</w:t>
            </w:r>
            <w:r w:rsidRPr="0055149C">
              <w:fldChar w:fldCharType="end"/>
            </w:r>
          </w:p>
        </w:tc>
      </w:tr>
      <w:tr w:rsidR="00807269" w:rsidRPr="0055149C" w14:paraId="113BA9AD" w14:textId="77777777" w:rsidTr="00F70BE8">
        <w:trPr>
          <w:gridBefore w:val="1"/>
          <w:gridAfter w:val="1"/>
          <w:wBefore w:w="851" w:type="dxa"/>
          <w:wAfter w:w="850" w:type="dxa"/>
          <w:cantSplit/>
          <w:trHeight w:hRule="exact" w:val="2665"/>
        </w:trPr>
        <w:tc>
          <w:tcPr>
            <w:tcW w:w="10205" w:type="dxa"/>
            <w:gridSpan w:val="2"/>
            <w:hideMark/>
          </w:tcPr>
          <w:p w14:paraId="5EF5A805" w14:textId="35CEBFB4" w:rsidR="00606B69" w:rsidRPr="0055149C" w:rsidRDefault="004F6BA7" w:rsidP="0071298C">
            <w:pPr>
              <w:pStyle w:val="DocSubTitle"/>
            </w:pPr>
            <w:r w:rsidRPr="0055149C">
              <w:fldChar w:fldCharType="begin">
                <w:ffData>
                  <w:name w:val=""/>
                  <w:enabled/>
                  <w:calcOnExit w:val="0"/>
                  <w:textInput>
                    <w:default w:val="Prinsipielle vurderinger og empiriske undersøkelser"/>
                  </w:textInput>
                </w:ffData>
              </w:fldChar>
            </w:r>
            <w:r w:rsidRPr="0055149C">
              <w:instrText xml:space="preserve"> FORMTEXT </w:instrText>
            </w:r>
            <w:r w:rsidRPr="0055149C">
              <w:fldChar w:fldCharType="separate"/>
            </w:r>
            <w:r w:rsidRPr="0055149C">
              <w:rPr>
                <w:noProof/>
              </w:rPr>
              <w:t>Prinsipielle vurderinger og empiriske undersøkelser</w:t>
            </w:r>
            <w:r w:rsidRPr="0055149C">
              <w:fldChar w:fldCharType="end"/>
            </w:r>
          </w:p>
        </w:tc>
      </w:tr>
      <w:tr w:rsidR="00807269" w:rsidRPr="0055149C" w14:paraId="5FC5C414" w14:textId="77777777" w:rsidTr="0071298C">
        <w:trPr>
          <w:gridBefore w:val="1"/>
          <w:gridAfter w:val="1"/>
          <w:wBefore w:w="851" w:type="dxa"/>
          <w:wAfter w:w="850" w:type="dxa"/>
          <w:cantSplit/>
          <w:trHeight w:hRule="exact" w:val="680"/>
        </w:trPr>
        <w:tc>
          <w:tcPr>
            <w:tcW w:w="10205" w:type="dxa"/>
            <w:gridSpan w:val="2"/>
            <w:vAlign w:val="bottom"/>
            <w:hideMark/>
          </w:tcPr>
          <w:p w14:paraId="38E90DDE" w14:textId="00C99B9F" w:rsidR="00807269" w:rsidRPr="0055149C" w:rsidRDefault="00564890" w:rsidP="0071298C">
            <w:pPr>
              <w:pStyle w:val="DocAuthor"/>
            </w:pPr>
            <w:r>
              <w:t>Rasmus Bøgh Holmen, Sarah Eidsmo, Knut Moum, Haakon Vennemo,</w:t>
            </w:r>
            <w:r>
              <w:br/>
              <w:t>Åsmund Sunde Valseth og Herman Ringdal</w:t>
            </w:r>
            <w:r w:rsidRPr="0055149C">
              <w:t xml:space="preserve"> </w:t>
            </w:r>
          </w:p>
        </w:tc>
      </w:tr>
    </w:tbl>
    <w:sdt>
      <w:sdtPr>
        <w:rPr>
          <w:sz w:val="8"/>
          <w:szCs w:val="8"/>
        </w:rPr>
        <w:alias w:val="Section Page (Cover Page)"/>
        <w:tag w:val="Section Page (Cover Page)"/>
        <w:id w:val="2122563925"/>
        <w:placeholder>
          <w:docPart w:val="85A4B8C488A246EBBE0AB332EA6284DE"/>
        </w:placeholder>
      </w:sdtPr>
      <w:sdtContent>
        <w:p w14:paraId="41002994" w14:textId="77777777" w:rsidR="009E36B4" w:rsidRPr="0055149C" w:rsidRDefault="009E36B4" w:rsidP="00807269">
          <w:pPr>
            <w:pStyle w:val="Ingenmellomrom"/>
            <w:rPr>
              <w:sz w:val="8"/>
              <w:szCs w:val="8"/>
            </w:rPr>
          </w:pPr>
        </w:p>
        <w:p w14:paraId="3E47E556" w14:textId="77777777" w:rsidR="009E36B4" w:rsidRPr="0055149C" w:rsidRDefault="00000000" w:rsidP="00807269">
          <w:pPr>
            <w:pStyle w:val="Ingenmellomrom"/>
            <w:sectPr w:rsidR="009E36B4" w:rsidRPr="0055149C" w:rsidSect="0006455C">
              <w:type w:val="oddPage"/>
              <w:pgSz w:w="11906" w:h="16838" w:code="9"/>
              <w:pgMar w:top="7655" w:right="851" w:bottom="567" w:left="851" w:header="567" w:footer="284" w:gutter="0"/>
              <w:cols w:space="708"/>
              <w:docGrid w:linePitch="360"/>
            </w:sectPr>
          </w:pPr>
        </w:p>
      </w:sdtContent>
    </w:sdt>
    <w:p w14:paraId="6735F486" w14:textId="77777777" w:rsidR="00A8286E" w:rsidRPr="0055149C" w:rsidRDefault="00A8286E" w:rsidP="00D734A3">
      <w:pPr>
        <w:pStyle w:val="Overskrift1"/>
        <w:numPr>
          <w:ilvl w:val="0"/>
          <w:numId w:val="0"/>
        </w:numPr>
      </w:pPr>
      <w:bookmarkStart w:id="0" w:name="_Ref176809514"/>
      <w:bookmarkStart w:id="1" w:name="_Toc182320998"/>
      <w:r w:rsidRPr="0055149C">
        <w:lastRenderedPageBreak/>
        <w:t>Dokumentdetaljer</w:t>
      </w:r>
      <w:bookmarkEnd w:id="0"/>
      <w:bookmarkEnd w:id="1"/>
    </w:p>
    <w:tbl>
      <w:tblPr>
        <w:tblStyle w:val="VATable"/>
        <w:tblW w:w="0" w:type="auto"/>
        <w:tblLook w:val="0680" w:firstRow="0" w:lastRow="0" w:firstColumn="1" w:lastColumn="0" w:noHBand="1" w:noVBand="1"/>
      </w:tblPr>
      <w:tblGrid>
        <w:gridCol w:w="2694"/>
        <w:gridCol w:w="7500"/>
      </w:tblGrid>
      <w:tr w:rsidR="00F15BFC" w:rsidRPr="0055149C" w14:paraId="4F2D3B73"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BF2A22E" w14:textId="77777777" w:rsidR="00F15BFC" w:rsidRPr="0055149C" w:rsidRDefault="00F15BFC" w:rsidP="00DC0CBA">
            <w:pPr>
              <w:pStyle w:val="TableTextLeft"/>
            </w:pPr>
            <w:r w:rsidRPr="0055149C">
              <w:t>Tittel</w:t>
            </w:r>
          </w:p>
        </w:tc>
        <w:tc>
          <w:tcPr>
            <w:tcW w:w="7500" w:type="dxa"/>
          </w:tcPr>
          <w:p w14:paraId="46448EF6" w14:textId="05FE3D72" w:rsidR="00F15BFC" w:rsidRPr="0055149C" w:rsidRDefault="00187FCD" w:rsidP="00DC0CBA">
            <w:pPr>
              <w:pStyle w:val="TableTextLeft"/>
              <w:cnfStyle w:val="000000000000" w:firstRow="0" w:lastRow="0" w:firstColumn="0" w:lastColumn="0" w:oddVBand="0" w:evenVBand="0" w:oddHBand="0" w:evenHBand="0" w:firstRowFirstColumn="0" w:firstRowLastColumn="0" w:lastRowFirstColumn="0" w:lastRowLastColumn="0"/>
            </w:pPr>
            <w:r w:rsidRPr="00187FCD">
              <w:t>Bruk av kapitalkostnader i utgiftsutjevningen i inntektssystemet for kommunal sektor</w:t>
            </w:r>
            <w:r>
              <w:t xml:space="preserve">: </w:t>
            </w:r>
            <w:r w:rsidRPr="00187FCD">
              <w:t>Prinsipielle vurderinger og empiriske undersøkelser</w:t>
            </w:r>
          </w:p>
        </w:tc>
      </w:tr>
      <w:tr w:rsidR="00F15BFC" w:rsidRPr="0055149C" w14:paraId="5769E594"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54E7A94" w14:textId="77777777" w:rsidR="00F15BFC" w:rsidRPr="0055149C" w:rsidRDefault="00F15BFC" w:rsidP="00DC0CBA">
            <w:pPr>
              <w:pStyle w:val="TableTextLeft"/>
            </w:pPr>
            <w:r w:rsidRPr="0055149C">
              <w:t xml:space="preserve">Rapportnummer </w:t>
            </w:r>
          </w:p>
        </w:tc>
        <w:tc>
          <w:tcPr>
            <w:tcW w:w="7500" w:type="dxa"/>
          </w:tcPr>
          <w:p w14:paraId="7EC14465" w14:textId="0921ADC0" w:rsidR="00F15BFC" w:rsidRPr="0055149C" w:rsidRDefault="00323461" w:rsidP="00DC0CBA">
            <w:pPr>
              <w:pStyle w:val="DocRepor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Rapport 2024/20"/>
                  </w:textInput>
                </w:ffData>
              </w:fldChar>
            </w:r>
            <w:r w:rsidRPr="0055149C">
              <w:instrText xml:space="preserve"> FORMTEXT </w:instrText>
            </w:r>
            <w:r w:rsidRPr="0055149C">
              <w:fldChar w:fldCharType="separate"/>
            </w:r>
            <w:r w:rsidRPr="0055149C">
              <w:rPr>
                <w:noProof/>
              </w:rPr>
              <w:t>Rapport 2024/20</w:t>
            </w:r>
            <w:r w:rsidRPr="0055149C">
              <w:fldChar w:fldCharType="end"/>
            </w:r>
          </w:p>
        </w:tc>
      </w:tr>
      <w:tr w:rsidR="00F15BFC" w:rsidRPr="0055149C" w14:paraId="0A9427B6"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4994798" w14:textId="77777777" w:rsidR="00F15BFC" w:rsidRPr="0055149C" w:rsidRDefault="00F15BFC" w:rsidP="00DC0CBA">
            <w:pPr>
              <w:pStyle w:val="TableTextLeft"/>
            </w:pPr>
            <w:r w:rsidRPr="0055149C">
              <w:t>Forfattere</w:t>
            </w:r>
          </w:p>
        </w:tc>
        <w:tc>
          <w:tcPr>
            <w:tcW w:w="7500" w:type="dxa"/>
          </w:tcPr>
          <w:p w14:paraId="575C4A1D" w14:textId="226C3184" w:rsidR="00F15BFC" w:rsidRPr="0055149C" w:rsidRDefault="00F15BFC" w:rsidP="00DC0CBA">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r>
            <w:r w:rsidRPr="0055149C">
              <w:instrText xml:space="preserve"> IF "</w:instrText>
            </w:r>
            <w:fldSimple w:instr=" STYLEREF  ~DocAuthor  ">
              <w:r w:rsidR="009B1DA8">
                <w:rPr>
                  <w:noProof/>
                </w:rPr>
                <w:instrText>Rasmus Bøgh Holmen, Sarah Eidsmo, Knut Moum, Haakon Vennemo,</w:instrText>
              </w:r>
              <w:r w:rsidR="009B1DA8">
                <w:rPr>
                  <w:noProof/>
                </w:rPr>
                <w:br/>
                <w:instrText>Åsmund Sunde Valseth og Herman Ringdal</w:instrText>
              </w:r>
            </w:fldSimple>
            <w:r w:rsidRPr="0055149C">
              <w:rPr>
                <w:noProof/>
              </w:rPr>
              <w:instrText>"</w:instrText>
            </w:r>
            <w:r w:rsidRPr="0055149C">
              <w:instrText xml:space="preserve"> = "Error*" "" "</w:instrText>
            </w:r>
            <w:fldSimple w:instr=" STYLEREF  ~DocAuthor  ">
              <w:r w:rsidR="009B1DA8">
                <w:rPr>
                  <w:noProof/>
                </w:rPr>
                <w:instrText>Rasmus Bøgh Holmen, Sarah Eidsmo, Knut Moum, Haakon Vennemo,</w:instrText>
              </w:r>
              <w:r w:rsidR="009B1DA8">
                <w:rPr>
                  <w:noProof/>
                </w:rPr>
                <w:br/>
                <w:instrText>Åsmund Sunde Valseth og Herman Ringdal</w:instrText>
              </w:r>
            </w:fldSimple>
            <w:r w:rsidRPr="0055149C">
              <w:instrText xml:space="preserve">" </w:instrText>
            </w:r>
            <w:r w:rsidRPr="0055149C">
              <w:fldChar w:fldCharType="separate"/>
            </w:r>
            <w:r w:rsidR="009B1DA8">
              <w:rPr>
                <w:noProof/>
              </w:rPr>
              <w:t>Rasmus Bøgh Holmen, Sarah Eidsmo, Knut Moum, Haakon Vennemo,</w:t>
            </w:r>
            <w:r w:rsidR="009B1DA8">
              <w:rPr>
                <w:noProof/>
              </w:rPr>
              <w:br/>
              <w:t>Åsmund Sunde Valseth og Herman Ringdal</w:t>
            </w:r>
            <w:r w:rsidRPr="0055149C">
              <w:fldChar w:fldCharType="end"/>
            </w:r>
          </w:p>
        </w:tc>
      </w:tr>
      <w:tr w:rsidR="00F15BFC" w:rsidRPr="0055149C" w14:paraId="590575DD"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70C4172E" w14:textId="77777777" w:rsidR="00F15BFC" w:rsidRPr="0055149C" w:rsidRDefault="00F15BFC" w:rsidP="00DC0CBA">
            <w:pPr>
              <w:pStyle w:val="TableTextLeft"/>
            </w:pPr>
            <w:r w:rsidRPr="0055149C">
              <w:t>ISBN</w:t>
            </w:r>
          </w:p>
        </w:tc>
        <w:tc>
          <w:tcPr>
            <w:tcW w:w="7500" w:type="dxa"/>
          </w:tcPr>
          <w:p w14:paraId="2DBA240B" w14:textId="76D2D40A" w:rsidR="00F15BFC" w:rsidRPr="0055149C" w:rsidRDefault="0091226D" w:rsidP="00DC0CBA">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978-82-8126-682-7"/>
                  </w:textInput>
                </w:ffData>
              </w:fldChar>
            </w:r>
            <w:r w:rsidRPr="0055149C">
              <w:instrText xml:space="preserve"> FORMTEXT </w:instrText>
            </w:r>
            <w:r w:rsidRPr="0055149C">
              <w:fldChar w:fldCharType="separate"/>
            </w:r>
            <w:r w:rsidRPr="0055149C">
              <w:rPr>
                <w:noProof/>
              </w:rPr>
              <w:t>978-82-8126-682-7</w:t>
            </w:r>
            <w:r w:rsidRPr="0055149C">
              <w:fldChar w:fldCharType="end"/>
            </w:r>
          </w:p>
        </w:tc>
      </w:tr>
      <w:tr w:rsidR="00560E34" w:rsidRPr="0055149C" w14:paraId="28ECFDAD"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41877E25" w14:textId="77777777" w:rsidR="00560E34" w:rsidRPr="0055149C" w:rsidRDefault="00560E34" w:rsidP="00560E34">
            <w:pPr>
              <w:pStyle w:val="TableTextLeft"/>
            </w:pPr>
            <w:r w:rsidRPr="0055149C">
              <w:t>Prosjektnummer</w:t>
            </w:r>
          </w:p>
        </w:tc>
        <w:tc>
          <w:tcPr>
            <w:tcW w:w="7500" w:type="dxa"/>
          </w:tcPr>
          <w:p w14:paraId="05FF29A3" w14:textId="0F4DA8F8" w:rsidR="00560E34" w:rsidRPr="0055149C" w:rsidRDefault="0091226D"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23-RBH-08"/>
                  </w:textInput>
                </w:ffData>
              </w:fldChar>
            </w:r>
            <w:r w:rsidRPr="0055149C">
              <w:instrText xml:space="preserve"> FORMTEXT </w:instrText>
            </w:r>
            <w:r w:rsidRPr="0055149C">
              <w:fldChar w:fldCharType="separate"/>
            </w:r>
            <w:r w:rsidRPr="0055149C">
              <w:rPr>
                <w:noProof/>
              </w:rPr>
              <w:t>23-RBH-08</w:t>
            </w:r>
            <w:r w:rsidRPr="0055149C">
              <w:fldChar w:fldCharType="end"/>
            </w:r>
          </w:p>
        </w:tc>
      </w:tr>
      <w:tr w:rsidR="00560E34" w:rsidRPr="0055149C" w14:paraId="6B3E1A5C"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26CC96D0" w14:textId="77777777" w:rsidR="00560E34" w:rsidRPr="0055149C" w:rsidRDefault="00560E34" w:rsidP="00560E34">
            <w:pPr>
              <w:pStyle w:val="TableTextLeft"/>
            </w:pPr>
            <w:r w:rsidRPr="0055149C">
              <w:t>Prosjektleder</w:t>
            </w:r>
          </w:p>
        </w:tc>
        <w:tc>
          <w:tcPr>
            <w:tcW w:w="7500" w:type="dxa"/>
          </w:tcPr>
          <w:p w14:paraId="11C26F8C" w14:textId="7F1FAC15" w:rsidR="00560E34" w:rsidRPr="0055149C" w:rsidRDefault="007053B2"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Rasmus Bøgh Holmen"/>
                  </w:textInput>
                </w:ffData>
              </w:fldChar>
            </w:r>
            <w:r w:rsidRPr="0055149C">
              <w:instrText xml:space="preserve"> FORMTEXT </w:instrText>
            </w:r>
            <w:r w:rsidRPr="0055149C">
              <w:fldChar w:fldCharType="separate"/>
            </w:r>
            <w:r w:rsidRPr="0055149C">
              <w:rPr>
                <w:noProof/>
              </w:rPr>
              <w:t>Rasmus Bøgh Holmen</w:t>
            </w:r>
            <w:r w:rsidRPr="0055149C">
              <w:fldChar w:fldCharType="end"/>
            </w:r>
          </w:p>
        </w:tc>
      </w:tr>
      <w:tr w:rsidR="00560E34" w:rsidRPr="0055149C" w14:paraId="4EE11601"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488626B8" w14:textId="77777777" w:rsidR="00560E34" w:rsidRPr="0055149C" w:rsidRDefault="00560E34" w:rsidP="00560E34">
            <w:pPr>
              <w:pStyle w:val="TableTextLeft"/>
            </w:pPr>
            <w:r w:rsidRPr="0055149C">
              <w:t>Kvalitetssikrer</w:t>
            </w:r>
          </w:p>
        </w:tc>
        <w:tc>
          <w:tcPr>
            <w:tcW w:w="7500" w:type="dxa"/>
          </w:tcPr>
          <w:p w14:paraId="5D883EE1" w14:textId="7661091A" w:rsidR="00560E34" w:rsidRPr="0055149C" w:rsidRDefault="00F3018E" w:rsidP="00560E34">
            <w:pPr>
              <w:pStyle w:val="TableText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Haakon Vennemo og Steinar Strøm"/>
                  </w:textInput>
                </w:ffData>
              </w:fldChar>
            </w:r>
            <w:r>
              <w:instrText xml:space="preserve"> FORMTEXT </w:instrText>
            </w:r>
            <w:r>
              <w:fldChar w:fldCharType="separate"/>
            </w:r>
            <w:r>
              <w:rPr>
                <w:noProof/>
              </w:rPr>
              <w:t>Haakon Vennemo og Steinar Strøm</w:t>
            </w:r>
            <w:r>
              <w:fldChar w:fldCharType="end"/>
            </w:r>
          </w:p>
        </w:tc>
      </w:tr>
      <w:tr w:rsidR="00560E34" w:rsidRPr="0055149C" w14:paraId="54B7BD3B"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2C15FD28" w14:textId="77777777" w:rsidR="00560E34" w:rsidRPr="0055149C" w:rsidRDefault="00560E34" w:rsidP="00560E34">
            <w:pPr>
              <w:pStyle w:val="TableTextLeft"/>
            </w:pPr>
            <w:r w:rsidRPr="0055149C">
              <w:t>Oppdragsgiver</w:t>
            </w:r>
          </w:p>
        </w:tc>
        <w:tc>
          <w:tcPr>
            <w:tcW w:w="7500" w:type="dxa"/>
          </w:tcPr>
          <w:p w14:paraId="629DA45F" w14:textId="5761DA82" w:rsidR="00560E34" w:rsidRPr="0055149C" w:rsidRDefault="00053D81"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Kommunal- og distriktsdepartementet"/>
                  </w:textInput>
                </w:ffData>
              </w:fldChar>
            </w:r>
            <w:r w:rsidRPr="0055149C">
              <w:instrText xml:space="preserve"> FORMTEXT </w:instrText>
            </w:r>
            <w:r w:rsidRPr="0055149C">
              <w:fldChar w:fldCharType="separate"/>
            </w:r>
            <w:r w:rsidRPr="0055149C">
              <w:rPr>
                <w:noProof/>
              </w:rPr>
              <w:t>Kommunal- og distriktsdepartementet</w:t>
            </w:r>
            <w:r w:rsidRPr="0055149C">
              <w:fldChar w:fldCharType="end"/>
            </w:r>
          </w:p>
        </w:tc>
      </w:tr>
      <w:tr w:rsidR="00560E34" w:rsidRPr="0055149C" w14:paraId="5A26D274"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27E36FC7" w14:textId="77777777" w:rsidR="00560E34" w:rsidRPr="0055149C" w:rsidRDefault="00560E34" w:rsidP="00560E34">
            <w:pPr>
              <w:pStyle w:val="TableTextLeft"/>
            </w:pPr>
            <w:r w:rsidRPr="0055149C">
              <w:t>Dato for ferdigstilling</w:t>
            </w:r>
          </w:p>
        </w:tc>
        <w:tc>
          <w:tcPr>
            <w:tcW w:w="7500" w:type="dxa"/>
          </w:tcPr>
          <w:p w14:paraId="5B43FBFC" w14:textId="72B03438" w:rsidR="00560E34" w:rsidRPr="0055149C" w:rsidRDefault="0036143D" w:rsidP="00560E34">
            <w:pPr>
              <w:pStyle w:val="TableText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12. november 2024"/>
                  </w:textInput>
                </w:ffData>
              </w:fldChar>
            </w:r>
            <w:r>
              <w:instrText xml:space="preserve"> FORMTEXT </w:instrText>
            </w:r>
            <w:r>
              <w:fldChar w:fldCharType="separate"/>
            </w:r>
            <w:r>
              <w:rPr>
                <w:noProof/>
              </w:rPr>
              <w:t>12. november 2024</w:t>
            </w:r>
            <w:r>
              <w:fldChar w:fldCharType="end"/>
            </w:r>
          </w:p>
        </w:tc>
      </w:tr>
      <w:tr w:rsidR="00560E34" w:rsidRPr="00A84BFA" w14:paraId="0D5AF1F6"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E64992A" w14:textId="77777777" w:rsidR="00560E34" w:rsidRPr="0055149C" w:rsidRDefault="00560E34" w:rsidP="00560E34">
            <w:pPr>
              <w:pStyle w:val="TableTextLeft"/>
            </w:pPr>
            <w:r w:rsidRPr="0055149C">
              <w:t>Kilde forsidefoto</w:t>
            </w:r>
          </w:p>
        </w:tc>
        <w:tc>
          <w:tcPr>
            <w:tcW w:w="7500" w:type="dxa"/>
          </w:tcPr>
          <w:p w14:paraId="14549EC0" w14:textId="469007E0" w:rsidR="00560E34" w:rsidRPr="00A84BFA" w:rsidRDefault="00DD580F" w:rsidP="00560E34">
            <w:pPr>
              <w:pStyle w:val="TableTextLeft"/>
              <w:cnfStyle w:val="000000000000" w:firstRow="0" w:lastRow="0" w:firstColumn="0" w:lastColumn="0" w:oddVBand="0" w:evenVBand="0" w:oddHBand="0" w:evenHBand="0" w:firstRowFirstColumn="0" w:firstRowLastColumn="0" w:lastRowFirstColumn="0" w:lastRowLastColumn="0"/>
              <w:rPr>
                <w:lang w:val="nn-NO"/>
              </w:rPr>
            </w:pPr>
            <w:r>
              <w:fldChar w:fldCharType="begin">
                <w:ffData>
                  <w:name w:val=""/>
                  <w:enabled/>
                  <w:calcOnExit w:val="0"/>
                  <w:textInput>
                    <w:default w:val="Vista Analyse basert på Microsoft"/>
                  </w:textInput>
                </w:ffData>
              </w:fldChar>
            </w:r>
            <w:r>
              <w:instrText xml:space="preserve"> FORMTEXT </w:instrText>
            </w:r>
            <w:r>
              <w:fldChar w:fldCharType="separate"/>
            </w:r>
            <w:r>
              <w:rPr>
                <w:noProof/>
              </w:rPr>
              <w:t>Vista Analyse basert på Microsoft</w:t>
            </w:r>
            <w:r>
              <w:fldChar w:fldCharType="end"/>
            </w:r>
          </w:p>
        </w:tc>
      </w:tr>
      <w:tr w:rsidR="00560E34" w:rsidRPr="0055149C" w14:paraId="04AD3A81"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75012568" w14:textId="77777777" w:rsidR="00560E34" w:rsidRPr="0055149C" w:rsidRDefault="00560E34" w:rsidP="00560E34">
            <w:pPr>
              <w:pStyle w:val="TableTextLeft"/>
            </w:pPr>
            <w:r w:rsidRPr="0055149C">
              <w:t>Tilgjengelighet</w:t>
            </w:r>
          </w:p>
        </w:tc>
        <w:tc>
          <w:tcPr>
            <w:tcW w:w="7500" w:type="dxa"/>
          </w:tcPr>
          <w:p w14:paraId="48050C14" w14:textId="4966F757" w:rsidR="00560E34" w:rsidRPr="0055149C" w:rsidRDefault="007053B2"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Offentlig"/>
                  </w:textInput>
                </w:ffData>
              </w:fldChar>
            </w:r>
            <w:r w:rsidRPr="0055149C">
              <w:instrText xml:space="preserve"> FORMTEXT </w:instrText>
            </w:r>
            <w:r w:rsidRPr="0055149C">
              <w:fldChar w:fldCharType="separate"/>
            </w:r>
            <w:r w:rsidRPr="0055149C">
              <w:rPr>
                <w:noProof/>
              </w:rPr>
              <w:t>Offentlig</w:t>
            </w:r>
            <w:r w:rsidRPr="0055149C">
              <w:fldChar w:fldCharType="end"/>
            </w:r>
          </w:p>
        </w:tc>
      </w:tr>
      <w:tr w:rsidR="00560E34" w:rsidRPr="0055149C" w14:paraId="35C3EBBA"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04AA152C" w14:textId="77777777" w:rsidR="00560E34" w:rsidRPr="0055149C" w:rsidRDefault="00560E34" w:rsidP="00560E34">
            <w:pPr>
              <w:pStyle w:val="TableTextLeft"/>
            </w:pPr>
            <w:r w:rsidRPr="0055149C">
              <w:t>Nøkkelord</w:t>
            </w:r>
          </w:p>
        </w:tc>
        <w:tc>
          <w:tcPr>
            <w:tcW w:w="7500" w:type="dxa"/>
          </w:tcPr>
          <w:p w14:paraId="0BFAF634" w14:textId="6C4967F8" w:rsidR="00560E34" w:rsidRPr="0055149C" w:rsidRDefault="00FB2AFB"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Bruttoinvesteringer, depresieringer, finansiell kapital, inntektssystemet for kommunal sektor, kommuneøkonomi, realkapital, rentekostnader og utgiftsutjevning"/>
                  </w:textInput>
                </w:ffData>
              </w:fldChar>
            </w:r>
            <w:r w:rsidRPr="0055149C">
              <w:instrText xml:space="preserve"> FORMTEXT </w:instrText>
            </w:r>
            <w:r w:rsidRPr="0055149C">
              <w:fldChar w:fldCharType="separate"/>
            </w:r>
            <w:r w:rsidRPr="0055149C">
              <w:rPr>
                <w:noProof/>
              </w:rPr>
              <w:t>Bruttoinvesteringer, depresieringer, finansiell kapital, inntektssystemet for kommunal sektor, kommuneøkonomi, realkapital, rentekostnader og utgiftsutjevning</w:t>
            </w:r>
            <w:r w:rsidRPr="0055149C">
              <w:fldChar w:fldCharType="end"/>
            </w:r>
          </w:p>
        </w:tc>
      </w:tr>
    </w:tbl>
    <w:p w14:paraId="34D2C444" w14:textId="77777777" w:rsidR="00A8286E" w:rsidRPr="0055149C" w:rsidRDefault="00A8286E" w:rsidP="00A8286E"/>
    <w:p w14:paraId="0139B01A" w14:textId="77777777" w:rsidR="00796A84" w:rsidRPr="0055149C" w:rsidRDefault="00796A84" w:rsidP="00A8286E">
      <w:pPr>
        <w:rPr>
          <w:lang w:eastAsia="nb-NO"/>
        </w:rPr>
      </w:pPr>
    </w:p>
    <w:p w14:paraId="1D257C09" w14:textId="77777777" w:rsidR="00A8286E" w:rsidRPr="0055149C" w:rsidRDefault="00A8286E" w:rsidP="00732BEC">
      <w:pPr>
        <w:pStyle w:val="ExecSumSubHead"/>
      </w:pPr>
      <w:r w:rsidRPr="0055149C">
        <w:t>Om Vista Analyse</w:t>
      </w:r>
    </w:p>
    <w:p w14:paraId="42142DA7" w14:textId="3CFFE10F" w:rsidR="00A8286E" w:rsidRPr="0055149C" w:rsidRDefault="00A8286E" w:rsidP="00A8286E">
      <w:pPr>
        <w:rPr>
          <w:lang w:eastAsia="en-US"/>
        </w:rPr>
      </w:pPr>
      <w:r w:rsidRPr="0055149C">
        <w:rPr>
          <w:lang w:eastAsia="en-US"/>
        </w:rPr>
        <w:t>Vista Analyse AS er et samfunnsfaglig analyseselskap med hovedvekt på økonomisk utredning, evaluering, rådgivning og forskning. Vi utfører oppdrag med høy faglig kvalitet, uavhengighet og integritet. Våre sentrale temaområder er klima, energi, samferdsel, næringsutvikling, byutvikling og velferd.</w:t>
      </w:r>
    </w:p>
    <w:p w14:paraId="1B28307B" w14:textId="77777777" w:rsidR="00A8286E" w:rsidRPr="0055149C" w:rsidRDefault="00A8286E" w:rsidP="00A8286E">
      <w:pPr>
        <w:rPr>
          <w:lang w:eastAsia="en-US"/>
        </w:rPr>
      </w:pPr>
      <w:r w:rsidRPr="0055149C">
        <w:rPr>
          <w:lang w:eastAsia="en-US"/>
        </w:rPr>
        <w:t>Våre medarbeidere har meget høy akademisk kompetanse og bred erfaring innenfor konsulentvirksomhet. Ved behov benytter vi et velutviklet nettverk med selskaper og ressurspersoner nasjonalt og internasjonalt. Selskapet er i sin helhet eiet av medarbeiderne.</w:t>
      </w:r>
    </w:p>
    <w:p w14:paraId="6FD8A184" w14:textId="46524DC1" w:rsidR="00A8286E" w:rsidRPr="0055149C" w:rsidRDefault="00A8286E" w:rsidP="00D734A3">
      <w:pPr>
        <w:pStyle w:val="Overskrift1"/>
        <w:numPr>
          <w:ilvl w:val="0"/>
          <w:numId w:val="0"/>
        </w:numPr>
      </w:pPr>
      <w:bookmarkStart w:id="2" w:name="_Toc182320999"/>
      <w:r w:rsidRPr="0055149C">
        <w:lastRenderedPageBreak/>
        <w:t>Forord</w:t>
      </w:r>
      <w:bookmarkEnd w:id="2"/>
    </w:p>
    <w:p w14:paraId="61C44611" w14:textId="746252B8" w:rsidR="007D1853" w:rsidRPr="0055149C" w:rsidRDefault="007D1853" w:rsidP="00AE4EED">
      <w:r w:rsidRPr="0055149C">
        <w:t xml:space="preserve">I denne rapporten utreder vi hvorvidt kapitalkostnader bør tas inn i utgiftsutjevningen i inntektssystemet for kommuner og fylkeskommuner. Det er bred enighet om at disse kostnadene i prinsippet bør inkluderes, men kvaliteten på </w:t>
      </w:r>
      <w:r w:rsidR="00D734A3" w:rsidRPr="0055149C">
        <w:t>datagrunnlaget</w:t>
      </w:r>
      <w:r w:rsidRPr="0055149C">
        <w:t xml:space="preserve"> har </w:t>
      </w:r>
      <w:r w:rsidR="00102FFC">
        <w:t xml:space="preserve">tidligere </w:t>
      </w:r>
      <w:r w:rsidRPr="0055149C">
        <w:t>blitt vurdert som for lav.</w:t>
      </w:r>
    </w:p>
    <w:p w14:paraId="5166236D" w14:textId="30D38D24" w:rsidR="00AE4EED" w:rsidRDefault="00157561" w:rsidP="00AE4EED">
      <w:r w:rsidRPr="0055149C">
        <w:t xml:space="preserve">Oppdraget er gjennomført </w:t>
      </w:r>
      <w:r w:rsidR="00CD5BC3" w:rsidRPr="0055149C">
        <w:t xml:space="preserve">av Vista Analyse </w:t>
      </w:r>
      <w:r w:rsidRPr="0055149C">
        <w:t xml:space="preserve">på oppdrag for Kommunal- og distriktsdepartementet. Rasmus Bøgh Holmen </w:t>
      </w:r>
      <w:r w:rsidR="00CD5BC3" w:rsidRPr="0055149C">
        <w:t>har vært prosjektleder</w:t>
      </w:r>
      <w:r w:rsidR="00EF7C84" w:rsidRPr="0055149C">
        <w:t xml:space="preserve">. Herman Ringdal, Knut Moum, Sarah Eidsmo og Åsmund </w:t>
      </w:r>
      <w:r w:rsidR="00EB0FF2" w:rsidRPr="0055149C">
        <w:t xml:space="preserve">Sunde </w:t>
      </w:r>
      <w:r w:rsidR="00EF7C84" w:rsidRPr="0055149C">
        <w:t>Valseth</w:t>
      </w:r>
      <w:r w:rsidR="00060C4F" w:rsidRPr="0055149C">
        <w:t xml:space="preserve"> har vært prosjektmeda</w:t>
      </w:r>
      <w:r w:rsidR="00E1665B" w:rsidRPr="0055149C">
        <w:t>r</w:t>
      </w:r>
      <w:r w:rsidR="00060C4F" w:rsidRPr="0055149C">
        <w:t>beidere.</w:t>
      </w:r>
      <w:r w:rsidR="00FC62A2" w:rsidRPr="0055149C">
        <w:t xml:space="preserve"> Haakon Vennemo har vært </w:t>
      </w:r>
      <w:r w:rsidR="00FA22F7" w:rsidRPr="0055149C">
        <w:t>både prosjektmedarbeider</w:t>
      </w:r>
      <w:r w:rsidR="00FC62A2" w:rsidRPr="0055149C">
        <w:t xml:space="preserve"> </w:t>
      </w:r>
      <w:r w:rsidR="0050051D" w:rsidRPr="0055149C">
        <w:t xml:space="preserve">og intern </w:t>
      </w:r>
      <w:r w:rsidR="00FC62A2" w:rsidRPr="0055149C">
        <w:t>kvalitetssikrer, mens</w:t>
      </w:r>
      <w:r w:rsidR="0090019F" w:rsidRPr="0055149C">
        <w:t xml:space="preserve"> Steinar Strøm har bidratt med </w:t>
      </w:r>
      <w:r w:rsidR="00FA22F7" w:rsidRPr="0055149C">
        <w:t xml:space="preserve">ekstern </w:t>
      </w:r>
      <w:r w:rsidR="0090019F" w:rsidRPr="0055149C">
        <w:t>kvalitetssikring.</w:t>
      </w:r>
      <w:r w:rsidR="00FC62A2" w:rsidRPr="0055149C">
        <w:t xml:space="preserve"> </w:t>
      </w:r>
      <w:r w:rsidR="00E85864">
        <w:t xml:space="preserve">Rapporten ble korrekturlest av </w:t>
      </w:r>
      <w:r w:rsidR="00E85864" w:rsidRPr="00E85864">
        <w:t>Anna Herzog</w:t>
      </w:r>
      <w:r w:rsidR="00E85864">
        <w:t xml:space="preserve">, som er selvstendig næringsdrivende og profesjonell korrekturleser. </w:t>
      </w:r>
      <w:r w:rsidR="00AE4EED" w:rsidRPr="0055149C">
        <w:t xml:space="preserve">Oppdraget er gjennomført i perioden november 2023 til </w:t>
      </w:r>
      <w:r w:rsidR="00FA22F7" w:rsidRPr="0055149C">
        <w:t>juni</w:t>
      </w:r>
      <w:r w:rsidR="00AE4EED" w:rsidRPr="0055149C">
        <w:t xml:space="preserve"> 2024.</w:t>
      </w:r>
    </w:p>
    <w:p w14:paraId="3B664EEE" w14:textId="4EE92BCE" w:rsidR="00060C4F" w:rsidRPr="0055149C" w:rsidRDefault="00AE4EED" w:rsidP="00157561">
      <w:r w:rsidRPr="0055149C">
        <w:t>Prosjektet</w:t>
      </w:r>
      <w:r w:rsidR="00060C4F" w:rsidRPr="0055149C">
        <w:t xml:space="preserve"> har blitt fulgt av en referanse</w:t>
      </w:r>
      <w:r w:rsidR="009B240C" w:rsidRPr="0055149C">
        <w:t>gruppe</w:t>
      </w:r>
      <w:r w:rsidR="00060C4F" w:rsidRPr="0055149C">
        <w:t xml:space="preserve"> bestående av </w:t>
      </w:r>
      <w:r w:rsidR="007770F3">
        <w:t>fem</w:t>
      </w:r>
      <w:r w:rsidR="00060C4F" w:rsidRPr="0055149C">
        <w:t xml:space="preserve"> </w:t>
      </w:r>
      <w:r w:rsidR="008A364B" w:rsidRPr="0055149C">
        <w:t>eksperter på kapitalestimering og kommuneøkonomi</w:t>
      </w:r>
      <w:r w:rsidR="0040466F" w:rsidRPr="0055149C">
        <w:t xml:space="preserve">. Disse </w:t>
      </w:r>
      <w:r w:rsidR="00970C12">
        <w:t>inkluder</w:t>
      </w:r>
      <w:r w:rsidR="0040466F" w:rsidRPr="0055149C">
        <w:t xml:space="preserve">er </w:t>
      </w:r>
      <w:r w:rsidR="0039053C" w:rsidRPr="0055149C">
        <w:t>Arvid Raknerud</w:t>
      </w:r>
      <w:r w:rsidR="00365124" w:rsidRPr="0055149C">
        <w:t xml:space="preserve"> ved Statistisk sentralbyrå</w:t>
      </w:r>
      <w:r w:rsidR="0039053C" w:rsidRPr="0055149C">
        <w:t xml:space="preserve">, </w:t>
      </w:r>
      <w:r w:rsidR="0040466F" w:rsidRPr="0055149C">
        <w:t>Dag Morten Dalen</w:t>
      </w:r>
      <w:r w:rsidR="00365124" w:rsidRPr="0055149C">
        <w:t xml:space="preserve"> ved Handelshøyskolen BI og Vista Analyse</w:t>
      </w:r>
      <w:r w:rsidR="0039053C" w:rsidRPr="0055149C">
        <w:t xml:space="preserve">, </w:t>
      </w:r>
      <w:r w:rsidR="00365124" w:rsidRPr="0055149C">
        <w:t>Martin Fjordholm ved KS</w:t>
      </w:r>
      <w:r w:rsidR="001518AA" w:rsidRPr="0055149C">
        <w:t>,</w:t>
      </w:r>
      <w:r w:rsidRPr="0055149C">
        <w:t xml:space="preserve"> </w:t>
      </w:r>
      <w:r w:rsidR="0040466F" w:rsidRPr="0055149C">
        <w:t>Rune Sørensen</w:t>
      </w:r>
      <w:r w:rsidR="00365124" w:rsidRPr="0055149C">
        <w:t xml:space="preserve"> ved Handelshøyskolen BI</w:t>
      </w:r>
      <w:r w:rsidR="009E5BD3" w:rsidRPr="0055149C">
        <w:t xml:space="preserve"> og </w:t>
      </w:r>
      <w:r w:rsidR="0039053C" w:rsidRPr="0055149C">
        <w:t>Sverre Kittelsen</w:t>
      </w:r>
      <w:r w:rsidR="00365124" w:rsidRPr="0055149C">
        <w:t xml:space="preserve"> ved Frischsenteret.</w:t>
      </w:r>
      <w:r w:rsidRPr="0055149C">
        <w:t xml:space="preserve"> </w:t>
      </w:r>
      <w:r w:rsidR="005A5CF5" w:rsidRPr="0055149C">
        <w:t xml:space="preserve">I tillegg har vi fått verdifulle råd </w:t>
      </w:r>
      <w:r w:rsidR="006D27C9" w:rsidRPr="0055149C">
        <w:t xml:space="preserve">om data fra </w:t>
      </w:r>
      <w:r w:rsidR="000077CB" w:rsidRPr="0055149C">
        <w:t xml:space="preserve">informanter ved </w:t>
      </w:r>
      <w:r w:rsidR="006D27C9" w:rsidRPr="0055149C">
        <w:t>Statistisk sentralbyrå</w:t>
      </w:r>
      <w:r w:rsidR="000077CB" w:rsidRPr="0055149C">
        <w:t xml:space="preserve">, </w:t>
      </w:r>
      <w:r w:rsidR="00317DCC" w:rsidRPr="0055149C">
        <w:t>herunder</w:t>
      </w:r>
      <w:r w:rsidR="006D27C9" w:rsidRPr="0055149C">
        <w:t xml:space="preserve"> </w:t>
      </w:r>
      <w:r w:rsidR="008B304A" w:rsidRPr="0055149C">
        <w:t>Anne Britt Thorud og Else Bredeli</w:t>
      </w:r>
      <w:r w:rsidR="006D27C9" w:rsidRPr="0055149C">
        <w:t xml:space="preserve"> om </w:t>
      </w:r>
      <w:r w:rsidR="008E7E43">
        <w:t>KOSTRA</w:t>
      </w:r>
      <w:r w:rsidR="006D27C9" w:rsidRPr="0055149C">
        <w:t xml:space="preserve">-data, og </w:t>
      </w:r>
      <w:r w:rsidR="000077CB" w:rsidRPr="0055149C">
        <w:t xml:space="preserve">Ingunn Sagelvmo </w:t>
      </w:r>
      <w:r w:rsidR="006D27C9" w:rsidRPr="0055149C">
        <w:t xml:space="preserve">om </w:t>
      </w:r>
      <w:r w:rsidR="005B31F3" w:rsidRPr="0055149C">
        <w:t>n</w:t>
      </w:r>
      <w:r w:rsidR="006D27C9" w:rsidRPr="0055149C">
        <w:t xml:space="preserve">asjonalregnskapsdata. </w:t>
      </w:r>
      <w:r w:rsidR="0070464B" w:rsidRPr="0055149C">
        <w:t xml:space="preserve">Dessuten </w:t>
      </w:r>
      <w:r w:rsidR="008F6314" w:rsidRPr="0055149C">
        <w:t>har</w:t>
      </w:r>
      <w:r w:rsidR="0070464B" w:rsidRPr="0055149C">
        <w:t xml:space="preserve"> kredittanalytiker Ole André Kjennerud i DNB Markets kommet med nyttige innspill </w:t>
      </w:r>
      <w:r w:rsidR="00FB3C15" w:rsidRPr="0055149C">
        <w:t xml:space="preserve">om rentekostnader. </w:t>
      </w:r>
      <w:r w:rsidR="006D27C9" w:rsidRPr="0055149C">
        <w:t>Vi takker samtlige for deres bidrag.</w:t>
      </w:r>
    </w:p>
    <w:p w14:paraId="1544FDA5" w14:textId="34729CB1" w:rsidR="00157561" w:rsidRPr="0055149C" w:rsidRDefault="003E0DF7" w:rsidP="00157561">
      <w:r w:rsidRPr="0055149C">
        <w:t>Sissel F</w:t>
      </w:r>
      <w:r w:rsidR="0088229F">
        <w:t>e</w:t>
      </w:r>
      <w:r w:rsidRPr="0055149C">
        <w:t xml:space="preserve">rstad </w:t>
      </w:r>
      <w:r w:rsidR="00AC529B" w:rsidRPr="0055149C">
        <w:t>h</w:t>
      </w:r>
      <w:r w:rsidRPr="0055149C">
        <w:t>ar vært oppdragsansvarlig hos Kommunal- og distriktsdepartementet</w:t>
      </w:r>
      <w:r w:rsidR="0074078A">
        <w:t xml:space="preserve"> og </w:t>
      </w:r>
      <w:r w:rsidR="00280EC4">
        <w:t>overvært</w:t>
      </w:r>
      <w:r w:rsidR="0074078A">
        <w:t xml:space="preserve"> prosjektets referansegruppemøter fra departementets side sammen med </w:t>
      </w:r>
      <w:r w:rsidR="0074078A" w:rsidRPr="0055149C">
        <w:t>Even Vaboen</w:t>
      </w:r>
      <w:r w:rsidRPr="0055149C">
        <w:t>.</w:t>
      </w:r>
      <w:r w:rsidR="009543C2" w:rsidRPr="0055149C">
        <w:t xml:space="preserve"> Andre involverte fra departementets side </w:t>
      </w:r>
      <w:r w:rsidR="00571F9E" w:rsidRPr="0055149C">
        <w:t>inkluderer</w:t>
      </w:r>
      <w:r w:rsidR="00C76555">
        <w:t xml:space="preserve"> </w:t>
      </w:r>
      <w:r w:rsidR="00C76555" w:rsidRPr="0055149C">
        <w:t>Grete Lilleschulstad</w:t>
      </w:r>
      <w:r w:rsidR="00C76555">
        <w:t xml:space="preserve">, </w:t>
      </w:r>
      <w:r w:rsidR="00C76555" w:rsidRPr="00C76555">
        <w:t>Karen Nystad Byrhagen</w:t>
      </w:r>
      <w:r w:rsidR="00C76555">
        <w:t xml:space="preserve"> og</w:t>
      </w:r>
      <w:r w:rsidR="00C76555" w:rsidRPr="00C76555">
        <w:t xml:space="preserve"> Lars Tore Rydland</w:t>
      </w:r>
      <w:r w:rsidR="00571F9E" w:rsidRPr="0055149C">
        <w:t>. Vi ønsker å takke departementet for et godt samarbeid gjennom prosjektperioden.</w:t>
      </w:r>
    </w:p>
    <w:p w14:paraId="5996064A" w14:textId="2E5F6919" w:rsidR="00A64BE1" w:rsidRPr="0055149C" w:rsidRDefault="004E6CE3" w:rsidP="00606B69">
      <w:pPr>
        <w:tabs>
          <w:tab w:val="left" w:pos="3469"/>
        </w:tabs>
      </w:pPr>
      <w:r>
        <w:t>12</w:t>
      </w:r>
      <w:r w:rsidR="00017967" w:rsidRPr="00A04B61">
        <w:t xml:space="preserve">. </w:t>
      </w:r>
      <w:r>
        <w:t>november</w:t>
      </w:r>
      <w:r w:rsidR="00017967" w:rsidRPr="00A04B61">
        <w:t xml:space="preserve"> 2024</w:t>
      </w:r>
    </w:p>
    <w:p w14:paraId="6EA86C92" w14:textId="77777777" w:rsidR="00157561" w:rsidRPr="00462D03" w:rsidRDefault="00157561" w:rsidP="00157561">
      <w:pPr>
        <w:pStyle w:val="BodyHeading"/>
        <w:rPr>
          <w:color w:val="3672B0" w:themeColor="accent2"/>
        </w:rPr>
      </w:pPr>
      <w:r w:rsidRPr="00462D03">
        <w:rPr>
          <w:color w:val="3672B0" w:themeColor="accent2"/>
        </w:rPr>
        <w:t xml:space="preserve">Rasmus Bøgh Holmen </w:t>
      </w:r>
    </w:p>
    <w:p w14:paraId="4E5A08B6" w14:textId="77777777" w:rsidR="00157561" w:rsidRPr="0055149C" w:rsidRDefault="00157561" w:rsidP="00157561">
      <w:r w:rsidRPr="0055149C">
        <w:t>Prosjektleder</w:t>
      </w:r>
    </w:p>
    <w:p w14:paraId="40465549" w14:textId="5EC8139C" w:rsidR="00A8286E" w:rsidRPr="0055149C" w:rsidRDefault="00157561" w:rsidP="00A8286E">
      <w:pPr>
        <w:pStyle w:val="Ingenmellomrom"/>
      </w:pPr>
      <w:r w:rsidRPr="0055149C">
        <w:t>Vista Analyse AS</w:t>
      </w:r>
    </w:p>
    <w:p w14:paraId="65429969" w14:textId="15839769" w:rsidR="00A8286E" w:rsidRPr="0055149C" w:rsidRDefault="00A8286E" w:rsidP="00D734A3">
      <w:pPr>
        <w:pStyle w:val="Overskrift1"/>
        <w:numPr>
          <w:ilvl w:val="0"/>
          <w:numId w:val="0"/>
        </w:numPr>
      </w:pPr>
      <w:bookmarkStart w:id="3" w:name="_Toc182321000"/>
      <w:r w:rsidRPr="0055149C">
        <w:lastRenderedPageBreak/>
        <w:t>Ordliste</w:t>
      </w:r>
      <w:bookmarkEnd w:id="3"/>
    </w:p>
    <w:tbl>
      <w:tblPr>
        <w:tblStyle w:val="VATable"/>
        <w:tblW w:w="0" w:type="auto"/>
        <w:tblLook w:val="0680" w:firstRow="0" w:lastRow="0" w:firstColumn="1" w:lastColumn="0" w:noHBand="1" w:noVBand="1"/>
      </w:tblPr>
      <w:tblGrid>
        <w:gridCol w:w="2268"/>
        <w:gridCol w:w="7926"/>
      </w:tblGrid>
      <w:tr w:rsidR="008512EC" w:rsidRPr="0055149C" w14:paraId="6EA8437A"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46E14A4" w14:textId="0EB06B26" w:rsidR="008512EC" w:rsidRPr="0055149C" w:rsidRDefault="008512EC" w:rsidP="00AA4CBA">
            <w:pPr>
              <w:pStyle w:val="TableTextLeft"/>
            </w:pPr>
            <w:r>
              <w:t>Avkastningskrav</w:t>
            </w:r>
          </w:p>
        </w:tc>
        <w:tc>
          <w:tcPr>
            <w:tcW w:w="7926" w:type="dxa"/>
            <w:vAlign w:val="center"/>
          </w:tcPr>
          <w:p w14:paraId="4E1AA13B" w14:textId="089C0BD5" w:rsidR="008512EC" w:rsidRPr="0055149C" w:rsidRDefault="00B81DD2" w:rsidP="00AA4CBA">
            <w:pPr>
              <w:pStyle w:val="TableTextLeft"/>
              <w:cnfStyle w:val="000000000000" w:firstRow="0" w:lastRow="0" w:firstColumn="0" w:lastColumn="0" w:oddVBand="0" w:evenVBand="0" w:oddHBand="0" w:evenHBand="0" w:firstRowFirstColumn="0" w:firstRowLastColumn="0" w:lastRowFirstColumn="0" w:lastRowLastColumn="0"/>
            </w:pPr>
            <w:r>
              <w:t>Andel av de investeringene</w:t>
            </w:r>
            <w:r w:rsidR="003D0FDE">
              <w:t xml:space="preserve"> etter kapitalslit</w:t>
            </w:r>
            <w:r>
              <w:t xml:space="preserve"> </w:t>
            </w:r>
            <w:r w:rsidR="003D0FDE">
              <w:t xml:space="preserve">som </w:t>
            </w:r>
            <w:r w:rsidRPr="00B81DD2">
              <w:t>kapitalistene</w:t>
            </w:r>
            <w:r>
              <w:t xml:space="preserve"> krever i avkastning</w:t>
            </w:r>
            <w:r w:rsidRPr="00B81DD2">
              <w:t>.</w:t>
            </w:r>
          </w:p>
        </w:tc>
      </w:tr>
      <w:tr w:rsidR="0090250A" w:rsidRPr="0055149C" w14:paraId="0F522EAD"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2A4C4C3" w14:textId="66430854" w:rsidR="0090250A" w:rsidRPr="0055149C" w:rsidRDefault="0090250A" w:rsidP="0090250A">
            <w:pPr>
              <w:pStyle w:val="TableTextLeft"/>
            </w:pPr>
            <w:r w:rsidRPr="0055149C">
              <w:t>Avskrivning</w:t>
            </w:r>
          </w:p>
        </w:tc>
        <w:tc>
          <w:tcPr>
            <w:tcW w:w="7926" w:type="dxa"/>
            <w:vAlign w:val="center"/>
          </w:tcPr>
          <w:p w14:paraId="661D5BA8" w14:textId="1CE8C007" w:rsidR="0090250A" w:rsidRPr="0055149C" w:rsidRDefault="0090250A" w:rsidP="0059302D">
            <w:pPr>
              <w:pStyle w:val="TableTextLeft"/>
              <w:cnfStyle w:val="000000000000" w:firstRow="0" w:lastRow="0" w:firstColumn="0" w:lastColumn="0" w:oddVBand="0" w:evenVBand="0" w:oddHBand="0" w:evenHBand="0" w:firstRowFirstColumn="0" w:firstRowLastColumn="0" w:lastRowFirstColumn="0" w:lastRowLastColumn="0"/>
            </w:pPr>
            <w:r>
              <w:t>R</w:t>
            </w:r>
            <w:r w:rsidRPr="00C8503E">
              <w:t xml:space="preserve">egnskapsmessig </w:t>
            </w:r>
            <w:r>
              <w:t>gradvis ned</w:t>
            </w:r>
            <w:r w:rsidRPr="00C8503E">
              <w:t xml:space="preserve">justering </w:t>
            </w:r>
            <w:r>
              <w:t>av</w:t>
            </w:r>
            <w:r w:rsidRPr="00C8503E">
              <w:t xml:space="preserve"> verdien </w:t>
            </w:r>
            <w:r>
              <w:t>av en</w:t>
            </w:r>
            <w:r w:rsidRPr="00C8503E">
              <w:t xml:space="preserve"> eiendel </w:t>
            </w:r>
            <w:r w:rsidR="0059302D">
              <w:t>som reflekterer dens levetid</w:t>
            </w:r>
          </w:p>
        </w:tc>
      </w:tr>
      <w:tr w:rsidR="0090250A" w:rsidRPr="0055149C" w14:paraId="4214322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38F44C3" w14:textId="50C9902D" w:rsidR="0090250A" w:rsidRPr="0055149C" w:rsidRDefault="0090250A" w:rsidP="0090250A">
            <w:pPr>
              <w:pStyle w:val="TableTextLeft"/>
            </w:pPr>
            <w:r>
              <w:t>Bruttoinvestering</w:t>
            </w:r>
            <w:r w:rsidR="008C34CC">
              <w:t>er</w:t>
            </w:r>
          </w:p>
        </w:tc>
        <w:tc>
          <w:tcPr>
            <w:tcW w:w="7926" w:type="dxa"/>
            <w:vAlign w:val="center"/>
          </w:tcPr>
          <w:p w14:paraId="6A4DB48B" w14:textId="423826C0" w:rsidR="0090250A" w:rsidRPr="0055149C" w:rsidRDefault="00E70A62" w:rsidP="007B0FDD">
            <w:pPr>
              <w:pStyle w:val="TableTextLeft"/>
              <w:cnfStyle w:val="000000000000" w:firstRow="0" w:lastRow="0" w:firstColumn="0" w:lastColumn="0" w:oddVBand="0" w:evenVBand="0" w:oddHBand="0" w:evenHBand="0" w:firstRowFirstColumn="0" w:firstRowLastColumn="0" w:lastRowFirstColumn="0" w:lastRowLastColumn="0"/>
            </w:pPr>
            <w:r>
              <w:t>D</w:t>
            </w:r>
            <w:r w:rsidR="007B0FDD">
              <w:t>en totale verdien av investeringer i fysiske eiendeler før kapitalslit</w:t>
            </w:r>
            <w:r>
              <w:t>et er trukket fra</w:t>
            </w:r>
          </w:p>
        </w:tc>
      </w:tr>
      <w:tr w:rsidR="0090250A" w:rsidRPr="0055149C" w14:paraId="662636E3"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7044908" w14:textId="7BDE40CB" w:rsidR="0090250A" w:rsidRPr="0055149C" w:rsidRDefault="0090250A" w:rsidP="0090250A">
            <w:pPr>
              <w:pStyle w:val="TableTextLeft"/>
            </w:pPr>
            <w:r w:rsidRPr="0055149C">
              <w:t>CAPM</w:t>
            </w:r>
          </w:p>
        </w:tc>
        <w:tc>
          <w:tcPr>
            <w:tcW w:w="7926" w:type="dxa"/>
            <w:vAlign w:val="center"/>
          </w:tcPr>
          <w:p w14:paraId="0A72835D" w14:textId="55AD013C" w:rsidR="0090250A" w:rsidRPr="0055149C" w:rsidRDefault="004E3914" w:rsidP="0090250A">
            <w:pPr>
              <w:pStyle w:val="TableTextLeft"/>
              <w:cnfStyle w:val="000000000000" w:firstRow="0" w:lastRow="0" w:firstColumn="0" w:lastColumn="0" w:oddVBand="0" w:evenVBand="0" w:oddHBand="0" w:evenHBand="0" w:firstRowFirstColumn="0" w:firstRowLastColumn="0" w:lastRowFirstColumn="0" w:lastRowLastColumn="0"/>
            </w:pPr>
            <w:r>
              <w:t>«</w:t>
            </w:r>
            <w:r w:rsidRPr="00192F00">
              <w:rPr>
                <w:i/>
                <w:iCs/>
                <w:color w:val="3672B0" w:themeColor="accent2"/>
              </w:rPr>
              <w:t>Capital Asset Pricing Model</w:t>
            </w:r>
            <w:r>
              <w:t xml:space="preserve">» </w:t>
            </w:r>
            <w:r w:rsidR="008529D3" w:rsidRPr="008529D3">
              <w:t xml:space="preserve">er en </w:t>
            </w:r>
            <w:r w:rsidR="006F6229">
              <w:t>likevekts</w:t>
            </w:r>
            <w:r w:rsidR="008529D3" w:rsidRPr="008529D3">
              <w:t xml:space="preserve">modell som beregner forventet avkastning på en investering basert på risiko, den risikofrie renten og den forventede </w:t>
            </w:r>
            <w:r w:rsidR="008529D3">
              <w:t>markeds</w:t>
            </w:r>
            <w:r w:rsidR="008529D3" w:rsidRPr="008529D3">
              <w:t>avkastningen.</w:t>
            </w:r>
          </w:p>
        </w:tc>
      </w:tr>
      <w:tr w:rsidR="0090250A" w:rsidRPr="0055149C" w14:paraId="1267C9C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3DF7E24" w14:textId="5A6FD894" w:rsidR="0090250A" w:rsidRPr="0055149C" w:rsidRDefault="0090250A" w:rsidP="0090250A">
            <w:pPr>
              <w:pStyle w:val="TableTextLeft"/>
            </w:pPr>
            <w:r>
              <w:t>Deflator</w:t>
            </w:r>
          </w:p>
        </w:tc>
        <w:tc>
          <w:tcPr>
            <w:tcW w:w="7926" w:type="dxa"/>
            <w:vAlign w:val="center"/>
          </w:tcPr>
          <w:p w14:paraId="0FF7042C" w14:textId="727798DC" w:rsidR="0090250A" w:rsidRPr="0055149C" w:rsidRDefault="00BB30B0" w:rsidP="0090250A">
            <w:pPr>
              <w:pStyle w:val="TableTextLeft"/>
              <w:cnfStyle w:val="000000000000" w:firstRow="0" w:lastRow="0" w:firstColumn="0" w:lastColumn="0" w:oddVBand="0" w:evenVBand="0" w:oddHBand="0" w:evenHBand="0" w:firstRowFirstColumn="0" w:firstRowLastColumn="0" w:lastRowFirstColumn="0" w:lastRowLastColumn="0"/>
            </w:pPr>
            <w:r>
              <w:t>Indeks som beskriver prisutviklingen til en gitt størrelse</w:t>
            </w:r>
          </w:p>
        </w:tc>
      </w:tr>
      <w:tr w:rsidR="0090250A" w:rsidRPr="0055149C" w14:paraId="473F9DC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31493D4" w14:textId="36BACF1C" w:rsidR="0090250A" w:rsidRPr="0055149C" w:rsidRDefault="0090250A" w:rsidP="0090250A">
            <w:pPr>
              <w:pStyle w:val="TableTextLeft"/>
            </w:pPr>
            <w:r w:rsidRPr="0055149C">
              <w:t>Depresieringsrate</w:t>
            </w:r>
          </w:p>
        </w:tc>
        <w:tc>
          <w:tcPr>
            <w:tcW w:w="7926" w:type="dxa"/>
            <w:vAlign w:val="center"/>
          </w:tcPr>
          <w:p w14:paraId="27782567" w14:textId="427DFBD6" w:rsidR="0090250A" w:rsidRPr="0055149C" w:rsidRDefault="00F67915" w:rsidP="0090250A">
            <w:pPr>
              <w:pStyle w:val="TableTextLeft"/>
              <w:cnfStyle w:val="000000000000" w:firstRow="0" w:lastRow="0" w:firstColumn="0" w:lastColumn="0" w:oddVBand="0" w:evenVBand="0" w:oddHBand="0" w:evenHBand="0" w:firstRowFirstColumn="0" w:firstRowLastColumn="0" w:lastRowFirstColumn="0" w:lastRowLastColumn="0"/>
            </w:pPr>
            <w:r>
              <w:t>Andelen</w:t>
            </w:r>
            <w:r w:rsidR="00F8444D">
              <w:t xml:space="preserve"> </w:t>
            </w:r>
            <w:r>
              <w:t>av</w:t>
            </w:r>
            <w:r w:rsidR="00F8444D">
              <w:t xml:space="preserve"> verdien eller volumet av en eie</w:t>
            </w:r>
            <w:r w:rsidR="00FF0EF1">
              <w:t>n</w:t>
            </w:r>
            <w:r w:rsidR="00F8444D">
              <w:t xml:space="preserve">del </w:t>
            </w:r>
            <w:r>
              <w:t>som forvitrer hver period</w:t>
            </w:r>
            <w:r w:rsidR="00970B15">
              <w:t>e for en gitt</w:t>
            </w:r>
            <w:r>
              <w:t xml:space="preserve"> levetid</w:t>
            </w:r>
          </w:p>
        </w:tc>
      </w:tr>
      <w:tr w:rsidR="00BE47A3" w:rsidRPr="0055149C" w14:paraId="74CAC22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4029AAE" w14:textId="68489E9B" w:rsidR="00BE47A3" w:rsidRPr="0055149C" w:rsidRDefault="006930A6" w:rsidP="00BE47A3">
            <w:pPr>
              <w:pStyle w:val="TableTextLeft"/>
            </w:pPr>
            <w:r>
              <w:t>DM</w:t>
            </w:r>
          </w:p>
        </w:tc>
        <w:tc>
          <w:tcPr>
            <w:tcW w:w="7926" w:type="dxa"/>
            <w:vAlign w:val="center"/>
          </w:tcPr>
          <w:p w14:paraId="32F4CF8A" w14:textId="18E73F7E"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w:t>
            </w:r>
            <w:r w:rsidRPr="00192F00">
              <w:rPr>
                <w:i/>
                <w:iCs/>
                <w:color w:val="3672B0" w:themeColor="accent2"/>
              </w:rPr>
              <w:t xml:space="preserve">Direkte </w:t>
            </w:r>
            <w:r w:rsidR="00FC7274" w:rsidRPr="00192F00">
              <w:rPr>
                <w:i/>
                <w:iCs/>
                <w:color w:val="3672B0" w:themeColor="accent2"/>
              </w:rPr>
              <w:t>M</w:t>
            </w:r>
            <w:r w:rsidRPr="00192F00">
              <w:rPr>
                <w:i/>
                <w:iCs/>
                <w:color w:val="3672B0" w:themeColor="accent2"/>
              </w:rPr>
              <w:t>etode</w:t>
            </w:r>
            <w:r>
              <w:t xml:space="preserve">» innebærer </w:t>
            </w:r>
            <w:r w:rsidR="002B111F">
              <w:t>avledning</w:t>
            </w:r>
            <w:r>
              <w:t xml:space="preserve"> av realkapitalbeholdninger </w:t>
            </w:r>
            <w:r w:rsidR="002B111F">
              <w:t>fra tilgjengelige verdianslag med eventuelle justeringer</w:t>
            </w:r>
          </w:p>
        </w:tc>
      </w:tr>
      <w:tr w:rsidR="00BE47A3" w:rsidRPr="0055149C" w14:paraId="27D5B30F"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603DE32" w14:textId="21E6B955" w:rsidR="00BE47A3" w:rsidRPr="0055149C" w:rsidRDefault="00BE47A3" w:rsidP="00BE47A3">
            <w:pPr>
              <w:pStyle w:val="TableTextLeft"/>
            </w:pPr>
            <w:r>
              <w:t>Enhetsbrukerprisen på kapital</w:t>
            </w:r>
          </w:p>
        </w:tc>
        <w:tc>
          <w:tcPr>
            <w:tcW w:w="7926" w:type="dxa"/>
            <w:vAlign w:val="center"/>
          </w:tcPr>
          <w:p w14:paraId="5D6FDF48" w14:textId="007D61E0" w:rsidR="00957302" w:rsidRPr="0055149C" w:rsidRDefault="0099259C" w:rsidP="00BE47A3">
            <w:pPr>
              <w:pStyle w:val="TableTextLeft"/>
              <w:cnfStyle w:val="000000000000" w:firstRow="0" w:lastRow="0" w:firstColumn="0" w:lastColumn="0" w:oddVBand="0" w:evenVBand="0" w:oddHBand="0" w:evenHBand="0" w:firstRowFirstColumn="0" w:firstRowLastColumn="0" w:lastRowFirstColumn="0" w:lastRowLastColumn="0"/>
            </w:pPr>
            <w:r>
              <w:t>K</w:t>
            </w:r>
            <w:r w:rsidR="00F10D45">
              <w:t>ostnadene forbundet med bruk av en enhet av kapital</w:t>
            </w:r>
            <w:r w:rsidR="005C5B84">
              <w:t xml:space="preserve"> o</w:t>
            </w:r>
            <w:r w:rsidR="00957302" w:rsidRPr="00957302">
              <w:t>ver en bestemt periode, inkludert k</w:t>
            </w:r>
            <w:r w:rsidR="005C5B84">
              <w:t>apital</w:t>
            </w:r>
            <w:r w:rsidR="00124262">
              <w:t>slit og rentekostnader</w:t>
            </w:r>
          </w:p>
        </w:tc>
      </w:tr>
      <w:tr w:rsidR="00BE47A3" w:rsidRPr="0055149C" w14:paraId="3B0E61EA"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E94F8CA" w14:textId="344F1486" w:rsidR="00BE47A3" w:rsidRPr="0055149C" w:rsidRDefault="00BE47A3" w:rsidP="00BE47A3">
            <w:pPr>
              <w:pStyle w:val="TableTextLeft"/>
            </w:pPr>
            <w:r w:rsidRPr="0055149C">
              <w:t>Finansiell kapital</w:t>
            </w:r>
          </w:p>
        </w:tc>
        <w:tc>
          <w:tcPr>
            <w:tcW w:w="7926" w:type="dxa"/>
            <w:vAlign w:val="center"/>
          </w:tcPr>
          <w:p w14:paraId="6419563E" w14:textId="335FDA52" w:rsidR="00BE47A3" w:rsidRPr="0055149C" w:rsidRDefault="00BF2830" w:rsidP="00BE47A3">
            <w:pPr>
              <w:pStyle w:val="TableTextLeft"/>
              <w:cnfStyle w:val="000000000000" w:firstRow="0" w:lastRow="0" w:firstColumn="0" w:lastColumn="0" w:oddVBand="0" w:evenVBand="0" w:oddHBand="0" w:evenHBand="0" w:firstRowFirstColumn="0" w:firstRowLastColumn="0" w:lastRowFirstColumn="0" w:lastRowLastColumn="0"/>
            </w:pPr>
            <w:r>
              <w:t>L</w:t>
            </w:r>
            <w:r w:rsidR="00724D42">
              <w:t>ikvide midler</w:t>
            </w:r>
            <w:r w:rsidR="00714B19">
              <w:t xml:space="preserve"> </w:t>
            </w:r>
            <w:r w:rsidR="008A48F5" w:rsidRPr="008A48F5">
              <w:t>og omsettelige verdipapire</w:t>
            </w:r>
            <w:r>
              <w:t xml:space="preserve">r som finansierer </w:t>
            </w:r>
            <w:r w:rsidRPr="00BF2830">
              <w:t>drift og investeringer</w:t>
            </w:r>
          </w:p>
        </w:tc>
      </w:tr>
      <w:tr w:rsidR="00BE47A3" w:rsidRPr="0055149C" w14:paraId="152AEE34"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31CF1C3C" w14:textId="5B8A4E7F" w:rsidR="00BE47A3" w:rsidRPr="0055149C" w:rsidRDefault="006930A6" w:rsidP="00BE47A3">
            <w:pPr>
              <w:pStyle w:val="TableTextLeft"/>
            </w:pPr>
            <w:r>
              <w:t>GAAP</w:t>
            </w:r>
          </w:p>
        </w:tc>
        <w:tc>
          <w:tcPr>
            <w:tcW w:w="7926" w:type="dxa"/>
            <w:vAlign w:val="center"/>
          </w:tcPr>
          <w:p w14:paraId="717AF58C" w14:textId="241FD022"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CF2BFB">
              <w:t>«</w:t>
            </w:r>
            <w:r w:rsidRPr="00192F00">
              <w:rPr>
                <w:i/>
                <w:iCs/>
                <w:color w:val="3672B0" w:themeColor="accent2"/>
              </w:rPr>
              <w:t>Generally Accepted Accounting Principles</w:t>
            </w:r>
            <w:r w:rsidRPr="00CF2BFB">
              <w:t>» omfatter internasjonale regnskapssystemer, som prioriterer presis regnskapsføring av resultatregnskapet.</w:t>
            </w:r>
          </w:p>
        </w:tc>
      </w:tr>
      <w:tr w:rsidR="00BE47A3" w:rsidRPr="0055149C" w14:paraId="5087862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B00FB90" w14:textId="11F36369" w:rsidR="00BE47A3" w:rsidRPr="0055149C" w:rsidRDefault="006930A6" w:rsidP="00BE47A3">
            <w:pPr>
              <w:pStyle w:val="TableTextLeft"/>
            </w:pPr>
            <w:r>
              <w:t>GKRS</w:t>
            </w:r>
          </w:p>
        </w:tc>
        <w:tc>
          <w:tcPr>
            <w:tcW w:w="7926" w:type="dxa"/>
            <w:vAlign w:val="center"/>
          </w:tcPr>
          <w:p w14:paraId="5FBF7F67" w14:textId="679C55DF"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CF2BFB">
              <w:t>«</w:t>
            </w:r>
            <w:r w:rsidRPr="00192F00">
              <w:rPr>
                <w:i/>
                <w:iCs/>
                <w:color w:val="3672B0" w:themeColor="accent2"/>
              </w:rPr>
              <w:t xml:space="preserve">God </w:t>
            </w:r>
            <w:r w:rsidR="0025772F">
              <w:rPr>
                <w:i/>
                <w:iCs/>
                <w:color w:val="3672B0" w:themeColor="accent2"/>
              </w:rPr>
              <w:t>k</w:t>
            </w:r>
            <w:r w:rsidRPr="00192F00">
              <w:rPr>
                <w:i/>
                <w:iCs/>
                <w:color w:val="3672B0" w:themeColor="accent2"/>
              </w:rPr>
              <w:t xml:space="preserve">ommunal </w:t>
            </w:r>
            <w:r w:rsidR="0025772F">
              <w:rPr>
                <w:i/>
                <w:iCs/>
                <w:color w:val="3672B0" w:themeColor="accent2"/>
              </w:rPr>
              <w:t>r</w:t>
            </w:r>
            <w:r w:rsidRPr="00192F00">
              <w:rPr>
                <w:i/>
                <w:iCs/>
                <w:color w:val="3672B0" w:themeColor="accent2"/>
              </w:rPr>
              <w:t>egnskapsskikk</w:t>
            </w:r>
            <w:r w:rsidRPr="00CF2BFB">
              <w:t>» er en norsk variant av GAAP-regnskapssystemet, som brukes i kommunal sektor.</w:t>
            </w:r>
          </w:p>
        </w:tc>
      </w:tr>
      <w:tr w:rsidR="00BE47A3" w:rsidRPr="0055149C" w14:paraId="7CF04F1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7A3384E6" w14:textId="1FC3507D" w:rsidR="00BE47A3" w:rsidRPr="0055149C" w:rsidRDefault="006930A6" w:rsidP="00BE47A3">
            <w:pPr>
              <w:pStyle w:val="TableTextLeft"/>
            </w:pPr>
            <w:r>
              <w:t>GRS</w:t>
            </w:r>
          </w:p>
        </w:tc>
        <w:tc>
          <w:tcPr>
            <w:tcW w:w="7926" w:type="dxa"/>
            <w:vAlign w:val="center"/>
          </w:tcPr>
          <w:p w14:paraId="257E64DE" w14:textId="2914DF2B"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4A7C44">
              <w:t>«</w:t>
            </w:r>
            <w:r w:rsidRPr="00192F00">
              <w:rPr>
                <w:i/>
                <w:iCs/>
                <w:color w:val="3672B0" w:themeColor="accent2"/>
              </w:rPr>
              <w:t xml:space="preserve">God </w:t>
            </w:r>
            <w:r w:rsidR="0025772F">
              <w:rPr>
                <w:i/>
                <w:iCs/>
                <w:color w:val="3672B0" w:themeColor="accent2"/>
              </w:rPr>
              <w:t>r</w:t>
            </w:r>
            <w:r w:rsidRPr="00192F00">
              <w:rPr>
                <w:i/>
                <w:iCs/>
                <w:color w:val="3672B0" w:themeColor="accent2"/>
              </w:rPr>
              <w:t>egnskapsskikk</w:t>
            </w:r>
            <w:r w:rsidRPr="004A7C44">
              <w:t xml:space="preserve">» </w:t>
            </w:r>
            <w:r>
              <w:t>betegner</w:t>
            </w:r>
            <w:r w:rsidRPr="004A7C44">
              <w:t xml:space="preserve"> </w:t>
            </w:r>
            <w:r w:rsidR="00523150">
              <w:t>den norske versjonen av</w:t>
            </w:r>
            <w:r w:rsidRPr="004A7C44">
              <w:t xml:space="preserve"> GAAP-regnskapssystemet, som brukes i ulike varianter i norsk næringsliv.</w:t>
            </w:r>
          </w:p>
        </w:tc>
      </w:tr>
      <w:tr w:rsidR="00BE47A3" w:rsidRPr="0055149C" w14:paraId="63E2761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380193B" w14:textId="45BF7EE4" w:rsidR="00BE47A3" w:rsidRPr="0055149C" w:rsidRDefault="006930A6" w:rsidP="00BE47A3">
            <w:pPr>
              <w:pStyle w:val="TableTextLeft"/>
            </w:pPr>
            <w:r>
              <w:t>IFRS</w:t>
            </w:r>
          </w:p>
        </w:tc>
        <w:tc>
          <w:tcPr>
            <w:tcW w:w="7926" w:type="dxa"/>
            <w:vAlign w:val="center"/>
          </w:tcPr>
          <w:p w14:paraId="2454CA52" w14:textId="36A9E034"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4A7C44">
              <w:t>«</w:t>
            </w:r>
            <w:r w:rsidRPr="00192F00">
              <w:rPr>
                <w:i/>
                <w:iCs/>
                <w:color w:val="3672B0" w:themeColor="accent2"/>
              </w:rPr>
              <w:t>International Financial Reporting Standards</w:t>
            </w:r>
            <w:r w:rsidRPr="004A7C44">
              <w:t xml:space="preserve">» er et internasjonalt regnskapssystem, som prioriterer presis regnskapsføring av </w:t>
            </w:r>
            <w:r w:rsidR="0042052C" w:rsidRPr="0042052C">
              <w:t>balanseregnskapet</w:t>
            </w:r>
            <w:r w:rsidRPr="004A7C44">
              <w:t>.</w:t>
            </w:r>
          </w:p>
        </w:tc>
      </w:tr>
      <w:tr w:rsidR="00BE47A3" w:rsidRPr="0055149C" w14:paraId="7CE00FE5"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8483FFD" w14:textId="5E8D8A5B" w:rsidR="00BE47A3" w:rsidRPr="0055149C" w:rsidRDefault="00BE47A3" w:rsidP="00BE47A3">
            <w:pPr>
              <w:pStyle w:val="TableTextLeft"/>
            </w:pPr>
            <w:r>
              <w:t>Inntektssystemet for kommunal sektor</w:t>
            </w:r>
          </w:p>
        </w:tc>
        <w:tc>
          <w:tcPr>
            <w:tcW w:w="7926" w:type="dxa"/>
            <w:vAlign w:val="center"/>
          </w:tcPr>
          <w:p w14:paraId="76CBA0AD" w14:textId="2FECFAC4" w:rsidR="00BE47A3" w:rsidRPr="0055149C" w:rsidRDefault="00BE47A3" w:rsidP="00BE47A3">
            <w:pPr>
              <w:pStyle w:val="TableTextLeft"/>
              <w:tabs>
                <w:tab w:val="left" w:pos="1366"/>
              </w:tabs>
              <w:cnfStyle w:val="000000000000" w:firstRow="0" w:lastRow="0" w:firstColumn="0" w:lastColumn="0" w:oddVBand="0" w:evenVBand="0" w:oddHBand="0" w:evenHBand="0" w:firstRowFirstColumn="0" w:firstRowLastColumn="0" w:lastRowFirstColumn="0" w:lastRowLastColumn="0"/>
            </w:pPr>
            <w:r>
              <w:t>En finansieringsmodell som fordeler økonomiske midler til primærkommuner og fylkeskommuner med sikte på å sikre likeverdige tjenester på tvers av landet</w:t>
            </w:r>
          </w:p>
        </w:tc>
      </w:tr>
      <w:tr w:rsidR="00BE47A3" w:rsidRPr="0055149C" w14:paraId="46FDC5C6"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1DA3DEF" w14:textId="300DB7D1" w:rsidR="00BE47A3" w:rsidRPr="0055149C" w:rsidRDefault="00BE47A3" w:rsidP="00BE47A3">
            <w:pPr>
              <w:pStyle w:val="TableTextLeft"/>
            </w:pPr>
            <w:r w:rsidRPr="0055149C">
              <w:t>Kalkylerente</w:t>
            </w:r>
          </w:p>
        </w:tc>
        <w:tc>
          <w:tcPr>
            <w:tcW w:w="7926" w:type="dxa"/>
            <w:vAlign w:val="center"/>
          </w:tcPr>
          <w:p w14:paraId="2C86B5EB" w14:textId="4A690511" w:rsidR="00BE47A3" w:rsidRPr="0055149C" w:rsidRDefault="00710FC2" w:rsidP="00BE47A3">
            <w:pPr>
              <w:pStyle w:val="TableTextLeft"/>
              <w:cnfStyle w:val="000000000000" w:firstRow="0" w:lastRow="0" w:firstColumn="0" w:lastColumn="0" w:oddVBand="0" w:evenVBand="0" w:oddHBand="0" w:evenHBand="0" w:firstRowFirstColumn="0" w:firstRowLastColumn="0" w:lastRowFirstColumn="0" w:lastRowLastColumn="0"/>
            </w:pPr>
            <w:r>
              <w:t>Rente</w:t>
            </w:r>
            <w:r w:rsidR="00EA62B0">
              <w:t xml:space="preserve"> som brukes til å diskontere fr</w:t>
            </w:r>
            <w:r w:rsidR="00452E35">
              <w:t>a</w:t>
            </w:r>
            <w:r w:rsidR="00EA62B0">
              <w:t xml:space="preserve">mtidige kontantstrømmer </w:t>
            </w:r>
            <w:r>
              <w:t>i nåverdiberegninger</w:t>
            </w:r>
          </w:p>
        </w:tc>
      </w:tr>
      <w:tr w:rsidR="00124262" w:rsidRPr="0055149C" w14:paraId="64047F33"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84156D1" w14:textId="5451DA73" w:rsidR="00124262" w:rsidRPr="0055149C" w:rsidRDefault="006930A6" w:rsidP="00BE47A3">
            <w:pPr>
              <w:pStyle w:val="TableTextLeft"/>
            </w:pPr>
            <w:r w:rsidRPr="006930A6">
              <w:t>Kapitalslit</w:t>
            </w:r>
          </w:p>
        </w:tc>
        <w:tc>
          <w:tcPr>
            <w:tcW w:w="7926" w:type="dxa"/>
            <w:vAlign w:val="center"/>
          </w:tcPr>
          <w:p w14:paraId="4DAC3F48" w14:textId="2672AAA1" w:rsidR="00124262" w:rsidRDefault="00BD3D14" w:rsidP="00BE47A3">
            <w:pPr>
              <w:pStyle w:val="TableTextLeft"/>
              <w:cnfStyle w:val="000000000000" w:firstRow="0" w:lastRow="0" w:firstColumn="0" w:lastColumn="0" w:oddVBand="0" w:evenVBand="0" w:oddHBand="0" w:evenHBand="0" w:firstRowFirstColumn="0" w:firstRowLastColumn="0" w:lastRowFirstColumn="0" w:lastRowLastColumn="0"/>
            </w:pPr>
            <w:r>
              <w:t>R</w:t>
            </w:r>
            <w:r w:rsidRPr="00BD3D14">
              <w:t xml:space="preserve">eduksjonen i </w:t>
            </w:r>
            <w:r>
              <w:t>realkapitalen</w:t>
            </w:r>
            <w:r w:rsidRPr="00BD3D14">
              <w:t xml:space="preserve"> over tid som følge av bruk, slitasje og foreldelse</w:t>
            </w:r>
          </w:p>
        </w:tc>
      </w:tr>
      <w:tr w:rsidR="00BE47A3" w:rsidRPr="0055149C" w14:paraId="16A4122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F192DC7" w14:textId="0D3DEAD1" w:rsidR="00BE47A3" w:rsidRPr="0055149C" w:rsidRDefault="006930A6" w:rsidP="00BE47A3">
            <w:pPr>
              <w:pStyle w:val="TableTextLeft"/>
            </w:pPr>
            <w:r w:rsidRPr="006930A6">
              <w:t>Kapitaltjenester</w:t>
            </w:r>
          </w:p>
        </w:tc>
        <w:tc>
          <w:tcPr>
            <w:tcW w:w="7926" w:type="dxa"/>
            <w:vAlign w:val="center"/>
          </w:tcPr>
          <w:p w14:paraId="13FE1CD0" w14:textId="0F6CEFFE" w:rsidR="00BE47A3" w:rsidRPr="0055149C" w:rsidRDefault="007339E9" w:rsidP="00BE47A3">
            <w:pPr>
              <w:pStyle w:val="TableTextLeft"/>
              <w:cnfStyle w:val="000000000000" w:firstRow="0" w:lastRow="0" w:firstColumn="0" w:lastColumn="0" w:oddVBand="0" w:evenVBand="0" w:oddHBand="0" w:evenHBand="0" w:firstRowFirstColumn="0" w:firstRowLastColumn="0" w:lastRowFirstColumn="0" w:lastRowLastColumn="0"/>
            </w:pPr>
            <w:r>
              <w:t>D</w:t>
            </w:r>
            <w:r w:rsidR="00360F06">
              <w:t xml:space="preserve">en produktive tjenesten som </w:t>
            </w:r>
            <w:r>
              <w:t>realkapitalen</w:t>
            </w:r>
            <w:r w:rsidR="00360F06">
              <w:t xml:space="preserve"> gir over en bestemt periode</w:t>
            </w:r>
          </w:p>
        </w:tc>
      </w:tr>
      <w:tr w:rsidR="00BE47A3" w:rsidRPr="0055149C" w14:paraId="425BBAE8"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39BF74E7" w14:textId="307A784C" w:rsidR="00BE47A3" w:rsidRPr="0055149C" w:rsidRDefault="00CD3EEC" w:rsidP="00BE47A3">
            <w:pPr>
              <w:pStyle w:val="TableTextLeft"/>
            </w:pPr>
            <w:r>
              <w:t>Kostnad</w:t>
            </w:r>
          </w:p>
        </w:tc>
        <w:tc>
          <w:tcPr>
            <w:tcW w:w="7926" w:type="dxa"/>
            <w:vAlign w:val="center"/>
          </w:tcPr>
          <w:p w14:paraId="00F49744" w14:textId="03E0071A" w:rsidR="00BE47A3" w:rsidRPr="0055149C" w:rsidRDefault="007F2B93" w:rsidP="00BE47A3">
            <w:pPr>
              <w:pStyle w:val="TableTextLeft"/>
              <w:cnfStyle w:val="000000000000" w:firstRow="0" w:lastRow="0" w:firstColumn="0" w:lastColumn="0" w:oddVBand="0" w:evenVBand="0" w:oddHBand="0" w:evenHBand="0" w:firstRowFirstColumn="0" w:firstRowLastColumn="0" w:lastRowFirstColumn="0" w:lastRowLastColumn="0"/>
            </w:pPr>
            <w:r>
              <w:t>Den ø</w:t>
            </w:r>
            <w:r w:rsidR="008D7470">
              <w:t xml:space="preserve">konomiske verdien av ressursene som brukes opp </w:t>
            </w:r>
            <w:r w:rsidR="00C9580E">
              <w:t xml:space="preserve">i produksjonen </w:t>
            </w:r>
            <w:r w:rsidR="008D7470">
              <w:t>eller forbruke</w:t>
            </w:r>
            <w:r w:rsidR="00883F0C">
              <w:t>s</w:t>
            </w:r>
          </w:p>
        </w:tc>
      </w:tr>
      <w:tr w:rsidR="00BE47A3" w:rsidRPr="0055149C" w14:paraId="5A0BC26A"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FAF82A2" w14:textId="1DF88A1F" w:rsidR="00BE47A3" w:rsidRPr="0055149C" w:rsidRDefault="00BE47A3" w:rsidP="00BE47A3">
            <w:pPr>
              <w:pStyle w:val="TableTextLeft"/>
            </w:pPr>
            <w:r w:rsidRPr="0055149C">
              <w:t>Nedskrivning</w:t>
            </w:r>
          </w:p>
        </w:tc>
        <w:tc>
          <w:tcPr>
            <w:tcW w:w="7926" w:type="dxa"/>
            <w:vAlign w:val="center"/>
          </w:tcPr>
          <w:p w14:paraId="5B334C87" w14:textId="6EC678AD"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R</w:t>
            </w:r>
            <w:r w:rsidRPr="00C8503E">
              <w:t xml:space="preserve">egnskapsmessig </w:t>
            </w:r>
            <w:r>
              <w:t>ned</w:t>
            </w:r>
            <w:r w:rsidRPr="00C8503E">
              <w:t xml:space="preserve">justering </w:t>
            </w:r>
            <w:r>
              <w:t>av</w:t>
            </w:r>
            <w:r w:rsidRPr="00C8503E">
              <w:t xml:space="preserve"> verdien </w:t>
            </w:r>
            <w:r>
              <w:t>av en</w:t>
            </w:r>
            <w:r w:rsidRPr="00C8503E">
              <w:t xml:space="preserve"> eiendel på grunn av </w:t>
            </w:r>
            <w:r>
              <w:t>et uregelmessig verditap</w:t>
            </w:r>
          </w:p>
        </w:tc>
      </w:tr>
      <w:tr w:rsidR="00340B08" w:rsidRPr="0055149C" w14:paraId="5415CE1F"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71E3DBC6" w14:textId="34D547A9" w:rsidR="00340B08" w:rsidRPr="0055149C" w:rsidRDefault="006930A6" w:rsidP="00BE47A3">
            <w:pPr>
              <w:pStyle w:val="TableTextLeft"/>
            </w:pPr>
            <w:r>
              <w:t>NIBOR</w:t>
            </w:r>
          </w:p>
        </w:tc>
        <w:tc>
          <w:tcPr>
            <w:tcW w:w="7926" w:type="dxa"/>
            <w:vAlign w:val="center"/>
          </w:tcPr>
          <w:p w14:paraId="4D731C69" w14:textId="3036F796" w:rsidR="00340B08" w:rsidRDefault="00016630" w:rsidP="00BE47A3">
            <w:pPr>
              <w:pStyle w:val="TableTextLeft"/>
              <w:cnfStyle w:val="000000000000" w:firstRow="0" w:lastRow="0" w:firstColumn="0" w:lastColumn="0" w:oddVBand="0" w:evenVBand="0" w:oddHBand="0" w:evenHBand="0" w:firstRowFirstColumn="0" w:firstRowLastColumn="0" w:lastRowFirstColumn="0" w:lastRowLastColumn="0"/>
            </w:pPr>
            <w:r w:rsidRPr="00016630">
              <w:t>«</w:t>
            </w:r>
            <w:r w:rsidRPr="00192F00">
              <w:rPr>
                <w:i/>
                <w:iCs/>
                <w:color w:val="3672B0" w:themeColor="accent2"/>
              </w:rPr>
              <w:t>Norwegian Interbank Offered Rate</w:t>
            </w:r>
            <w:r w:rsidRPr="00016630">
              <w:t>»</w:t>
            </w:r>
            <w:r>
              <w:t xml:space="preserve"> </w:t>
            </w:r>
            <w:r w:rsidR="00204E9F">
              <w:t>gjenspeiler</w:t>
            </w:r>
            <w:r w:rsidRPr="00016630">
              <w:t xml:space="preserve"> </w:t>
            </w:r>
            <w:r w:rsidR="006213A3">
              <w:t xml:space="preserve">for gitt løpetid og kredittspredning </w:t>
            </w:r>
            <w:r w:rsidRPr="00016630">
              <w:t>rentenivået som en bank krever for usikret pengemarkedsutlån i norske kroner til en annen bank.</w:t>
            </w:r>
          </w:p>
        </w:tc>
      </w:tr>
      <w:tr w:rsidR="00BE47A3" w:rsidRPr="0055149C" w14:paraId="4ED10011"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8D1CF83" w14:textId="656A3FE3" w:rsidR="00BE47A3" w:rsidRPr="0055149C" w:rsidRDefault="006930A6" w:rsidP="00BE47A3">
            <w:pPr>
              <w:pStyle w:val="TableTextLeft"/>
            </w:pPr>
            <w:r>
              <w:t>PIM</w:t>
            </w:r>
          </w:p>
        </w:tc>
        <w:tc>
          <w:tcPr>
            <w:tcW w:w="7926" w:type="dxa"/>
            <w:vAlign w:val="center"/>
          </w:tcPr>
          <w:p w14:paraId="3412C309" w14:textId="5EB2A3D7"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w:t>
            </w:r>
            <w:r w:rsidRPr="00192F00">
              <w:rPr>
                <w:i/>
                <w:iCs/>
                <w:color w:val="3672B0" w:themeColor="accent2"/>
              </w:rPr>
              <w:t xml:space="preserve">Perpetual </w:t>
            </w:r>
            <w:r w:rsidR="00FC7274" w:rsidRPr="00192F00">
              <w:rPr>
                <w:i/>
                <w:iCs/>
                <w:color w:val="3672B0" w:themeColor="accent2"/>
              </w:rPr>
              <w:t>I</w:t>
            </w:r>
            <w:r w:rsidRPr="00192F00">
              <w:rPr>
                <w:i/>
                <w:iCs/>
                <w:color w:val="3672B0" w:themeColor="accent2"/>
              </w:rPr>
              <w:t xml:space="preserve">nventory </w:t>
            </w:r>
            <w:r w:rsidR="00FC7274" w:rsidRPr="00192F00">
              <w:rPr>
                <w:i/>
                <w:iCs/>
                <w:color w:val="3672B0" w:themeColor="accent2"/>
              </w:rPr>
              <w:t>M</w:t>
            </w:r>
            <w:r w:rsidRPr="00192F00">
              <w:rPr>
                <w:i/>
                <w:iCs/>
                <w:color w:val="3672B0" w:themeColor="accent2"/>
              </w:rPr>
              <w:t>ethod</w:t>
            </w:r>
            <w:r>
              <w:t xml:space="preserve">» innebærer estimering av realkapitalbeholdninger ved å summere </w:t>
            </w:r>
            <w:r w:rsidRPr="00C03DCA">
              <w:t>investeringstall</w:t>
            </w:r>
            <w:r w:rsidR="002F685F">
              <w:t xml:space="preserve"> etter kapitalslit</w:t>
            </w:r>
            <w:r>
              <w:t>.</w:t>
            </w:r>
          </w:p>
        </w:tc>
      </w:tr>
      <w:tr w:rsidR="00BE47A3" w:rsidRPr="0055149C" w14:paraId="5DA6649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CE56D04" w14:textId="4540B0A9" w:rsidR="00BE47A3" w:rsidRPr="0055149C" w:rsidRDefault="00BE47A3" w:rsidP="00BE47A3">
            <w:pPr>
              <w:pStyle w:val="TableTextLeft"/>
            </w:pPr>
            <w:r>
              <w:t>Produktinnsatsutgifter</w:t>
            </w:r>
          </w:p>
        </w:tc>
        <w:tc>
          <w:tcPr>
            <w:tcW w:w="7926" w:type="dxa"/>
            <w:vAlign w:val="center"/>
          </w:tcPr>
          <w:p w14:paraId="7893EADF" w14:textId="46ED9602"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Utgifter forbundet med kjøp av varer og tjenester</w:t>
            </w:r>
          </w:p>
        </w:tc>
      </w:tr>
      <w:tr w:rsidR="00BE47A3" w:rsidRPr="0055149C" w14:paraId="1B4A52FB"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2FC772C" w14:textId="016C80BD" w:rsidR="00BE47A3" w:rsidRPr="0055149C" w:rsidRDefault="00BE47A3" w:rsidP="00BE47A3">
            <w:pPr>
              <w:pStyle w:val="TableTextLeft"/>
            </w:pPr>
            <w:r w:rsidRPr="0055149C">
              <w:t>Realkapital</w:t>
            </w:r>
          </w:p>
        </w:tc>
        <w:tc>
          <w:tcPr>
            <w:tcW w:w="7926" w:type="dxa"/>
            <w:vAlign w:val="center"/>
          </w:tcPr>
          <w:p w14:paraId="6A74BB82" w14:textId="279ED163"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Fysiske produksjonsmidler som vedvarer over flere perioder</w:t>
            </w:r>
          </w:p>
        </w:tc>
      </w:tr>
      <w:tr w:rsidR="00BE47A3" w:rsidRPr="0055149C" w14:paraId="4E306B91"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06F94EE" w14:textId="482BE21E" w:rsidR="00BE47A3" w:rsidRDefault="00BE47A3" w:rsidP="00BE47A3">
            <w:pPr>
              <w:pStyle w:val="TableTextLeft"/>
            </w:pPr>
            <w:r>
              <w:t>Rentefot</w:t>
            </w:r>
          </w:p>
        </w:tc>
        <w:tc>
          <w:tcPr>
            <w:tcW w:w="7926" w:type="dxa"/>
            <w:vAlign w:val="center"/>
          </w:tcPr>
          <w:p w14:paraId="53B126F5" w14:textId="6FD7712F"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R</w:t>
            </w:r>
            <w:r w:rsidRPr="00B42C7D">
              <w:t xml:space="preserve">entesatsen </w:t>
            </w:r>
            <w:r>
              <w:t>for</w:t>
            </w:r>
            <w:r w:rsidRPr="00B42C7D">
              <w:t xml:space="preserve"> hvor mye renter som påløper på e</w:t>
            </w:r>
            <w:r>
              <w:t>n kapitalplassering</w:t>
            </w:r>
            <w:r w:rsidRPr="00B42C7D">
              <w:t xml:space="preserve"> over en bestemt periode</w:t>
            </w:r>
          </w:p>
        </w:tc>
      </w:tr>
      <w:tr w:rsidR="00AD126E" w:rsidRPr="0055149C" w14:paraId="25050072"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3A61DA73" w14:textId="37D964E4" w:rsidR="00AD126E" w:rsidRDefault="00AD126E" w:rsidP="00BE47A3">
            <w:pPr>
              <w:pStyle w:val="TableTextLeft"/>
            </w:pPr>
            <w:r>
              <w:t>Rentekostnad</w:t>
            </w:r>
          </w:p>
        </w:tc>
        <w:tc>
          <w:tcPr>
            <w:tcW w:w="7926" w:type="dxa"/>
            <w:vAlign w:val="center"/>
          </w:tcPr>
          <w:p w14:paraId="57063AA7" w14:textId="27F2C0F6" w:rsidR="00AD126E" w:rsidRDefault="00FC398C" w:rsidP="00BE47A3">
            <w:pPr>
              <w:pStyle w:val="TableTextLeft"/>
              <w:cnfStyle w:val="000000000000" w:firstRow="0" w:lastRow="0" w:firstColumn="0" w:lastColumn="0" w:oddVBand="0" w:evenVBand="0" w:oddHBand="0" w:evenHBand="0" w:firstRowFirstColumn="0" w:firstRowLastColumn="0" w:lastRowFirstColumn="0" w:lastRowLastColumn="0"/>
            </w:pPr>
            <w:r>
              <w:t>Kostnaden kny</w:t>
            </w:r>
            <w:r w:rsidR="0080044B">
              <w:t xml:space="preserve">ttet til finansiering </w:t>
            </w:r>
            <w:r w:rsidR="00AB0C85">
              <w:t>ved at man binder</w:t>
            </w:r>
            <w:r w:rsidR="0072250F">
              <w:t xml:space="preserve"> opp </w:t>
            </w:r>
            <w:r w:rsidR="00A72F87">
              <w:t>kapital</w:t>
            </w:r>
          </w:p>
        </w:tc>
      </w:tr>
      <w:tr w:rsidR="00BE47A3" w:rsidRPr="0055149C" w14:paraId="68F7B31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DB05A69" w14:textId="21604471" w:rsidR="00BE47A3" w:rsidRDefault="00BE47A3" w:rsidP="00BE47A3">
            <w:pPr>
              <w:pStyle w:val="TableTextLeft"/>
            </w:pPr>
            <w:r>
              <w:t>Risikopremie</w:t>
            </w:r>
          </w:p>
        </w:tc>
        <w:tc>
          <w:tcPr>
            <w:tcW w:w="7926" w:type="dxa"/>
            <w:vAlign w:val="center"/>
          </w:tcPr>
          <w:p w14:paraId="61893D0B" w14:textId="59AF3666" w:rsidR="00BE47A3" w:rsidRDefault="00417240" w:rsidP="00BE47A3">
            <w:pPr>
              <w:pStyle w:val="TableTextLeft"/>
              <w:cnfStyle w:val="000000000000" w:firstRow="0" w:lastRow="0" w:firstColumn="0" w:lastColumn="0" w:oddVBand="0" w:evenVBand="0" w:oddHBand="0" w:evenHBand="0" w:firstRowFirstColumn="0" w:firstRowLastColumn="0" w:lastRowFirstColumn="0" w:lastRowLastColumn="0"/>
            </w:pPr>
            <w:r>
              <w:t>Mer</w:t>
            </w:r>
            <w:r w:rsidR="00BE47A3" w:rsidRPr="00A811AD">
              <w:t>avkastningen en investor krever for å ta på seg høyere risiko, utover den risikofrie renten.</w:t>
            </w:r>
          </w:p>
        </w:tc>
      </w:tr>
      <w:tr w:rsidR="00BE47A3" w:rsidRPr="0055149C" w14:paraId="36C8E147"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589674BB" w14:textId="13BA7B7C" w:rsidR="00BE47A3" w:rsidRPr="0055149C" w:rsidRDefault="00BE47A3" w:rsidP="00BE47A3">
            <w:pPr>
              <w:pStyle w:val="TableTextLeft"/>
            </w:pPr>
            <w:r>
              <w:t>Swap-rente</w:t>
            </w:r>
          </w:p>
        </w:tc>
        <w:tc>
          <w:tcPr>
            <w:tcW w:w="7926" w:type="dxa"/>
            <w:vAlign w:val="center"/>
          </w:tcPr>
          <w:p w14:paraId="1F08FC6F" w14:textId="1599ED88"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E</w:t>
            </w:r>
            <w:r w:rsidRPr="00C80DEE">
              <w:t>n rentebytteavtale mellom t</w:t>
            </w:r>
            <w:r>
              <w:t xml:space="preserve">o </w:t>
            </w:r>
            <w:r w:rsidRPr="00C80DEE">
              <w:t>kontantstrømmer</w:t>
            </w:r>
            <w:r>
              <w:t>, o</w:t>
            </w:r>
            <w:r w:rsidRPr="00C80DEE">
              <w:t xml:space="preserve">gså kjent som en </w:t>
            </w:r>
            <w:r w:rsidR="00214A02">
              <w:t>«</w:t>
            </w:r>
            <w:r w:rsidRPr="00192F00">
              <w:rPr>
                <w:i/>
                <w:iCs/>
                <w:color w:val="3672B0" w:themeColor="accent2"/>
              </w:rPr>
              <w:t>nullkupongrente</w:t>
            </w:r>
            <w:r w:rsidR="00214A02">
              <w:t>»</w:t>
            </w:r>
          </w:p>
        </w:tc>
      </w:tr>
      <w:tr w:rsidR="00CD3EEC" w:rsidRPr="0055149C" w14:paraId="377B73A0"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4B890F9" w14:textId="4324284B" w:rsidR="00CD3EEC" w:rsidRDefault="00CD3EEC" w:rsidP="00BE47A3">
            <w:pPr>
              <w:pStyle w:val="TableTextLeft"/>
            </w:pPr>
            <w:r>
              <w:t>Utgift</w:t>
            </w:r>
          </w:p>
        </w:tc>
        <w:tc>
          <w:tcPr>
            <w:tcW w:w="7926" w:type="dxa"/>
            <w:vAlign w:val="center"/>
          </w:tcPr>
          <w:p w14:paraId="179E85B0" w14:textId="708406D7" w:rsidR="00CD3EEC" w:rsidRPr="0055149C" w:rsidRDefault="003054A5" w:rsidP="00BE47A3">
            <w:pPr>
              <w:pStyle w:val="TableTextLeft"/>
              <w:cnfStyle w:val="000000000000" w:firstRow="0" w:lastRow="0" w:firstColumn="0" w:lastColumn="0" w:oddVBand="0" w:evenVBand="0" w:oddHBand="0" w:evenHBand="0" w:firstRowFirstColumn="0" w:firstRowLastColumn="0" w:lastRowFirstColumn="0" w:lastRowLastColumn="0"/>
            </w:pPr>
            <w:r>
              <w:t>Ø</w:t>
            </w:r>
            <w:r w:rsidRPr="003054A5">
              <w:t>konomisk forpliktelse</w:t>
            </w:r>
            <w:r w:rsidR="00CC7B22">
              <w:t xml:space="preserve"> ved en anskaffelse</w:t>
            </w:r>
            <w:r w:rsidRPr="003054A5">
              <w:t xml:space="preserve">, som resulterer i reduksjon </w:t>
            </w:r>
            <w:r w:rsidR="000B3198">
              <w:t>i</w:t>
            </w:r>
            <w:r w:rsidRPr="003054A5">
              <w:t xml:space="preserve"> tilgjengelige ressurser</w:t>
            </w:r>
          </w:p>
        </w:tc>
      </w:tr>
      <w:tr w:rsidR="00E52C67" w:rsidRPr="0055149C" w14:paraId="5439066F"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18127B4B" w14:textId="48F14C97" w:rsidR="00E52C67" w:rsidRDefault="00E52C67" w:rsidP="00E52C67">
            <w:pPr>
              <w:pStyle w:val="TableTextLeft"/>
            </w:pPr>
            <w:r>
              <w:t>Utgiftsutjevning</w:t>
            </w:r>
            <w:r w:rsidR="00382781">
              <w:t xml:space="preserve"> i inntektssystemet</w:t>
            </w:r>
          </w:p>
        </w:tc>
        <w:tc>
          <w:tcPr>
            <w:tcW w:w="7926" w:type="dxa"/>
            <w:vAlign w:val="center"/>
          </w:tcPr>
          <w:p w14:paraId="1810B694" w14:textId="367B2ACF" w:rsidR="00E52C67" w:rsidRPr="00A84C81" w:rsidRDefault="00382781" w:rsidP="00E52C67">
            <w:pPr>
              <w:pStyle w:val="TableTextLeft"/>
              <w:cnfStyle w:val="000000000000" w:firstRow="0" w:lastRow="0" w:firstColumn="0" w:lastColumn="0" w:oddVBand="0" w:evenVBand="0" w:oddHBand="0" w:evenHBand="0" w:firstRowFirstColumn="0" w:firstRowLastColumn="0" w:lastRowFirstColumn="0" w:lastRowLastColumn="0"/>
            </w:pPr>
            <w:r>
              <w:t>Omfordeling av</w:t>
            </w:r>
            <w:r w:rsidR="00E52C67" w:rsidRPr="00A84C81">
              <w:t xml:space="preserve"> statlige overføringer for å utjevne forskjeller i kommunale utgifter, slik at alle kommuner får tilstrekkelige ressurser til å tilby likeverdige tjenester</w:t>
            </w:r>
          </w:p>
        </w:tc>
      </w:tr>
      <w:tr w:rsidR="00E52C67" w:rsidRPr="0055149C" w14:paraId="6FACF7A5"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5DB86AD4" w14:textId="7FBA18ED" w:rsidR="00E52C67" w:rsidRPr="0055149C" w:rsidRDefault="006930A6" w:rsidP="00E52C67">
            <w:pPr>
              <w:pStyle w:val="TableTextLeft"/>
            </w:pPr>
            <w:r>
              <w:t>WACC</w:t>
            </w:r>
          </w:p>
        </w:tc>
        <w:tc>
          <w:tcPr>
            <w:tcW w:w="7926" w:type="dxa"/>
            <w:vAlign w:val="center"/>
          </w:tcPr>
          <w:p w14:paraId="06E73A1C" w14:textId="241F8EE3" w:rsidR="00E52C67" w:rsidRPr="0055149C" w:rsidRDefault="00E52C67" w:rsidP="00E52C67">
            <w:pPr>
              <w:pStyle w:val="TableTextLeft"/>
              <w:cnfStyle w:val="000000000000" w:firstRow="0" w:lastRow="0" w:firstColumn="0" w:lastColumn="0" w:oddVBand="0" w:evenVBand="0" w:oddHBand="0" w:evenHBand="0" w:firstRowFirstColumn="0" w:firstRowLastColumn="0" w:lastRowFirstColumn="0" w:lastRowLastColumn="0"/>
            </w:pPr>
            <w:r w:rsidRPr="002F685F">
              <w:t>«</w:t>
            </w:r>
            <w:r w:rsidRPr="002F685F">
              <w:rPr>
                <w:i/>
                <w:iCs/>
                <w:color w:val="3672B0" w:themeColor="accent2"/>
              </w:rPr>
              <w:t xml:space="preserve">Weighted </w:t>
            </w:r>
            <w:r w:rsidR="00FC7274" w:rsidRPr="002F685F">
              <w:rPr>
                <w:i/>
                <w:iCs/>
                <w:color w:val="3672B0" w:themeColor="accent2"/>
              </w:rPr>
              <w:t>A</w:t>
            </w:r>
            <w:r w:rsidRPr="002F685F">
              <w:rPr>
                <w:i/>
                <w:iCs/>
                <w:color w:val="3672B0" w:themeColor="accent2"/>
              </w:rPr>
              <w:t xml:space="preserve">verage </w:t>
            </w:r>
            <w:r w:rsidR="00FC7274" w:rsidRPr="002F685F">
              <w:rPr>
                <w:i/>
                <w:iCs/>
                <w:color w:val="3672B0" w:themeColor="accent2"/>
              </w:rPr>
              <w:t>C</w:t>
            </w:r>
            <w:r w:rsidRPr="002F685F">
              <w:rPr>
                <w:i/>
                <w:iCs/>
                <w:color w:val="3672B0" w:themeColor="accent2"/>
              </w:rPr>
              <w:t xml:space="preserve">ost of </w:t>
            </w:r>
            <w:r w:rsidR="00FC7274" w:rsidRPr="002F685F">
              <w:rPr>
                <w:i/>
                <w:iCs/>
                <w:color w:val="3672B0" w:themeColor="accent2"/>
              </w:rPr>
              <w:t>C</w:t>
            </w:r>
            <w:r w:rsidRPr="002F685F">
              <w:rPr>
                <w:i/>
                <w:iCs/>
                <w:color w:val="3672B0" w:themeColor="accent2"/>
              </w:rPr>
              <w:t>apital</w:t>
            </w:r>
            <w:r w:rsidRPr="002F685F">
              <w:t>» er den gjennomsnittlige finansieringskostnaden, vektet med forholdet mellom egenkapital og gjeld, justert for skattefordelen ved rentebetalinger.</w:t>
            </w:r>
          </w:p>
        </w:tc>
      </w:tr>
    </w:tbl>
    <w:p w14:paraId="5A233048" w14:textId="77777777" w:rsidR="00A8286E" w:rsidRPr="0055149C" w:rsidRDefault="00A8286E" w:rsidP="00C80DEE">
      <w:pPr>
        <w:pStyle w:val="Overskrift1"/>
        <w:numPr>
          <w:ilvl w:val="0"/>
          <w:numId w:val="0"/>
        </w:numPr>
      </w:pPr>
      <w:bookmarkStart w:id="4" w:name="_Toc182321001"/>
      <w:r w:rsidRPr="0055149C">
        <w:lastRenderedPageBreak/>
        <w:t>Innhold</w:t>
      </w:r>
      <w:bookmarkEnd w:id="4"/>
    </w:p>
    <w:tbl>
      <w:tblPr>
        <w:tblW w:w="5000" w:type="pct"/>
        <w:tblCellMar>
          <w:left w:w="0" w:type="dxa"/>
          <w:right w:w="0" w:type="dxa"/>
        </w:tblCellMar>
        <w:tblLook w:val="04A0" w:firstRow="1" w:lastRow="0" w:firstColumn="1" w:lastColumn="0" w:noHBand="0" w:noVBand="1"/>
      </w:tblPr>
      <w:tblGrid>
        <w:gridCol w:w="10204"/>
      </w:tblGrid>
      <w:tr w:rsidR="00E46ED3" w:rsidRPr="0055149C" w14:paraId="0468CE68" w14:textId="77777777" w:rsidTr="009B4FEF">
        <w:tc>
          <w:tcPr>
            <w:tcW w:w="5000" w:type="pct"/>
          </w:tcPr>
          <w:bookmarkStart w:id="5" w:name="_Hlk81914592"/>
          <w:p w14:paraId="2F5B2FFA" w14:textId="3F7F07CC" w:rsidR="00216CC1" w:rsidRDefault="00E46ED3">
            <w:pPr>
              <w:pStyle w:val="INNH1"/>
              <w:rPr>
                <w:rFonts w:asciiTheme="minorHAnsi" w:hAnsiTheme="minorHAnsi" w:cstheme="minorBidi"/>
                <w:color w:val="auto"/>
                <w:kern w:val="2"/>
                <w:sz w:val="24"/>
                <w:szCs w:val="24"/>
                <w14:ligatures w14:val="standardContextual"/>
              </w:rPr>
            </w:pPr>
            <w:r w:rsidRPr="0055149C">
              <w:fldChar w:fldCharType="begin"/>
            </w:r>
            <w:r w:rsidRPr="0055149C">
              <w:instrText xml:space="preserve"> TOC \h \t "~SectionHeading;1;~</w:instrText>
            </w:r>
            <w:r w:rsidR="004A265A" w:rsidRPr="0055149C">
              <w:instrText>SectionTitle;1; ~</w:instrText>
            </w:r>
            <w:r w:rsidRPr="0055149C">
              <w:instrText xml:space="preserve">SubHeading;2;~ExecSumHead;5;~AppendixDivider;6;~AppHead;7" </w:instrText>
            </w:r>
            <w:r w:rsidRPr="0055149C">
              <w:fldChar w:fldCharType="separate"/>
            </w:r>
            <w:hyperlink w:anchor="_Toc182320998" w:history="1">
              <w:r w:rsidR="00216CC1" w:rsidRPr="0012045B">
                <w:rPr>
                  <w:rStyle w:val="Hyperkobling"/>
                </w:rPr>
                <w:t>Dokumentdetaljer</w:t>
              </w:r>
              <w:r w:rsidR="00216CC1">
                <w:tab/>
              </w:r>
              <w:r w:rsidR="00216CC1">
                <w:fldChar w:fldCharType="begin"/>
              </w:r>
              <w:r w:rsidR="00216CC1">
                <w:instrText xml:space="preserve"> PAGEREF _Toc182320998 \h </w:instrText>
              </w:r>
              <w:r w:rsidR="00216CC1">
                <w:fldChar w:fldCharType="separate"/>
              </w:r>
              <w:r w:rsidR="009B1DA8">
                <w:t>2</w:t>
              </w:r>
              <w:r w:rsidR="00216CC1">
                <w:fldChar w:fldCharType="end"/>
              </w:r>
            </w:hyperlink>
          </w:p>
          <w:p w14:paraId="584C5007" w14:textId="44D81B72" w:rsidR="00216CC1" w:rsidRDefault="00216CC1">
            <w:pPr>
              <w:pStyle w:val="INNH1"/>
              <w:rPr>
                <w:rFonts w:asciiTheme="minorHAnsi" w:hAnsiTheme="minorHAnsi" w:cstheme="minorBidi"/>
                <w:color w:val="auto"/>
                <w:kern w:val="2"/>
                <w:sz w:val="24"/>
                <w:szCs w:val="24"/>
                <w14:ligatures w14:val="standardContextual"/>
              </w:rPr>
            </w:pPr>
            <w:hyperlink w:anchor="_Toc182320999" w:history="1">
              <w:r w:rsidRPr="0012045B">
                <w:rPr>
                  <w:rStyle w:val="Hyperkobling"/>
                </w:rPr>
                <w:t>Forord</w:t>
              </w:r>
              <w:r>
                <w:tab/>
              </w:r>
              <w:r>
                <w:fldChar w:fldCharType="begin"/>
              </w:r>
              <w:r>
                <w:instrText xml:space="preserve"> PAGEREF _Toc182320999 \h </w:instrText>
              </w:r>
              <w:r>
                <w:fldChar w:fldCharType="separate"/>
              </w:r>
              <w:r w:rsidR="009B1DA8">
                <w:t>3</w:t>
              </w:r>
              <w:r>
                <w:fldChar w:fldCharType="end"/>
              </w:r>
            </w:hyperlink>
          </w:p>
          <w:p w14:paraId="02A6FDF4" w14:textId="23F5C1D5" w:rsidR="00216CC1" w:rsidRDefault="00216CC1">
            <w:pPr>
              <w:pStyle w:val="INNH1"/>
              <w:rPr>
                <w:rFonts w:asciiTheme="minorHAnsi" w:hAnsiTheme="minorHAnsi" w:cstheme="minorBidi"/>
                <w:color w:val="auto"/>
                <w:kern w:val="2"/>
                <w:sz w:val="24"/>
                <w:szCs w:val="24"/>
                <w14:ligatures w14:val="standardContextual"/>
              </w:rPr>
            </w:pPr>
            <w:hyperlink w:anchor="_Toc182321000" w:history="1">
              <w:r w:rsidRPr="0012045B">
                <w:rPr>
                  <w:rStyle w:val="Hyperkobling"/>
                </w:rPr>
                <w:t>Ordliste</w:t>
              </w:r>
              <w:r>
                <w:tab/>
              </w:r>
              <w:r>
                <w:fldChar w:fldCharType="begin"/>
              </w:r>
              <w:r>
                <w:instrText xml:space="preserve"> PAGEREF _Toc182321000 \h </w:instrText>
              </w:r>
              <w:r>
                <w:fldChar w:fldCharType="separate"/>
              </w:r>
              <w:r w:rsidR="009B1DA8">
                <w:t>4</w:t>
              </w:r>
              <w:r>
                <w:fldChar w:fldCharType="end"/>
              </w:r>
            </w:hyperlink>
          </w:p>
          <w:p w14:paraId="5B693236" w14:textId="46A15734" w:rsidR="00216CC1" w:rsidRDefault="00216CC1">
            <w:pPr>
              <w:pStyle w:val="INNH1"/>
              <w:rPr>
                <w:rFonts w:asciiTheme="minorHAnsi" w:hAnsiTheme="minorHAnsi" w:cstheme="minorBidi"/>
                <w:color w:val="auto"/>
                <w:kern w:val="2"/>
                <w:sz w:val="24"/>
                <w:szCs w:val="24"/>
                <w14:ligatures w14:val="standardContextual"/>
              </w:rPr>
            </w:pPr>
            <w:hyperlink w:anchor="_Toc182321001" w:history="1">
              <w:r w:rsidRPr="0012045B">
                <w:rPr>
                  <w:rStyle w:val="Hyperkobling"/>
                </w:rPr>
                <w:t>Innhold</w:t>
              </w:r>
              <w:r>
                <w:tab/>
              </w:r>
              <w:r>
                <w:fldChar w:fldCharType="begin"/>
              </w:r>
              <w:r>
                <w:instrText xml:space="preserve"> PAGEREF _Toc182321001 \h </w:instrText>
              </w:r>
              <w:r>
                <w:fldChar w:fldCharType="separate"/>
              </w:r>
              <w:r w:rsidR="009B1DA8">
                <w:t>5</w:t>
              </w:r>
              <w:r>
                <w:fldChar w:fldCharType="end"/>
              </w:r>
            </w:hyperlink>
          </w:p>
          <w:p w14:paraId="6DB820C7" w14:textId="7A3F7941" w:rsidR="00216CC1" w:rsidRDefault="00216CC1">
            <w:pPr>
              <w:pStyle w:val="INNH5"/>
              <w:rPr>
                <w:rFonts w:asciiTheme="minorHAnsi" w:hAnsiTheme="minorHAnsi" w:cstheme="minorBidi"/>
                <w:color w:val="auto"/>
                <w:kern w:val="2"/>
                <w:sz w:val="24"/>
                <w:szCs w:val="24"/>
                <w14:ligatures w14:val="standardContextual"/>
              </w:rPr>
            </w:pPr>
            <w:hyperlink w:anchor="_Toc182321002" w:history="1">
              <w:r w:rsidRPr="0012045B">
                <w:rPr>
                  <w:rStyle w:val="Hyperkobling"/>
                </w:rPr>
                <w:t>Sammendrag og konklusjoner</w:t>
              </w:r>
              <w:r>
                <w:tab/>
              </w:r>
              <w:r>
                <w:fldChar w:fldCharType="begin"/>
              </w:r>
              <w:r>
                <w:instrText xml:space="preserve"> PAGEREF _Toc182321002 \h </w:instrText>
              </w:r>
              <w:r>
                <w:fldChar w:fldCharType="separate"/>
              </w:r>
              <w:r w:rsidR="009B1DA8">
                <w:t>6</w:t>
              </w:r>
              <w:r>
                <w:fldChar w:fldCharType="end"/>
              </w:r>
            </w:hyperlink>
          </w:p>
          <w:p w14:paraId="4BCE56FF" w14:textId="6E7A5232" w:rsidR="00216CC1" w:rsidRDefault="00216CC1">
            <w:pPr>
              <w:pStyle w:val="INNH1"/>
              <w:rPr>
                <w:rFonts w:asciiTheme="minorHAnsi" w:hAnsiTheme="minorHAnsi" w:cstheme="minorBidi"/>
                <w:color w:val="auto"/>
                <w:kern w:val="2"/>
                <w:sz w:val="24"/>
                <w:szCs w:val="24"/>
                <w14:ligatures w14:val="standardContextual"/>
              </w:rPr>
            </w:pPr>
            <w:hyperlink w:anchor="_Toc182321003" w:history="1">
              <w:r w:rsidRPr="0012045B">
                <w:rPr>
                  <w:rStyle w:val="Hyperkobling"/>
                </w:rPr>
                <w:t>1</w:t>
              </w:r>
              <w:r>
                <w:rPr>
                  <w:rFonts w:asciiTheme="minorHAnsi" w:hAnsiTheme="minorHAnsi" w:cstheme="minorBidi"/>
                  <w:color w:val="auto"/>
                  <w:kern w:val="2"/>
                  <w:sz w:val="24"/>
                  <w:szCs w:val="24"/>
                  <w14:ligatures w14:val="standardContextual"/>
                </w:rPr>
                <w:tab/>
              </w:r>
              <w:r w:rsidRPr="0012045B">
                <w:rPr>
                  <w:rStyle w:val="Hyperkobling"/>
                </w:rPr>
                <w:t>Bakgrunn</w:t>
              </w:r>
              <w:r>
                <w:tab/>
              </w:r>
              <w:r>
                <w:fldChar w:fldCharType="begin"/>
              </w:r>
              <w:r>
                <w:instrText xml:space="preserve"> PAGEREF _Toc182321003 \h </w:instrText>
              </w:r>
              <w:r>
                <w:fldChar w:fldCharType="separate"/>
              </w:r>
              <w:r w:rsidR="009B1DA8">
                <w:t>12</w:t>
              </w:r>
              <w:r>
                <w:fldChar w:fldCharType="end"/>
              </w:r>
            </w:hyperlink>
          </w:p>
          <w:p w14:paraId="45EC5345" w14:textId="3354383F" w:rsidR="00216CC1" w:rsidRDefault="00216CC1">
            <w:pPr>
              <w:pStyle w:val="INNH2"/>
              <w:rPr>
                <w:rFonts w:cstheme="minorBidi"/>
                <w:color w:val="auto"/>
                <w:kern w:val="2"/>
                <w:sz w:val="24"/>
                <w:szCs w:val="24"/>
                <w14:ligatures w14:val="standardContextual"/>
              </w:rPr>
            </w:pPr>
            <w:hyperlink w:anchor="_Toc182321004" w:history="1">
              <w:r w:rsidRPr="0012045B">
                <w:rPr>
                  <w:rStyle w:val="Hyperkobling"/>
                </w:rPr>
                <w:t>1.1</w:t>
              </w:r>
              <w:r>
                <w:rPr>
                  <w:rFonts w:cstheme="minorBidi"/>
                  <w:color w:val="auto"/>
                  <w:kern w:val="2"/>
                  <w:sz w:val="24"/>
                  <w:szCs w:val="24"/>
                  <w14:ligatures w14:val="standardContextual"/>
                </w:rPr>
                <w:tab/>
              </w:r>
              <w:r w:rsidRPr="0012045B">
                <w:rPr>
                  <w:rStyle w:val="Hyperkobling"/>
                </w:rPr>
                <w:t>Innledning</w:t>
              </w:r>
              <w:r>
                <w:tab/>
              </w:r>
              <w:r>
                <w:fldChar w:fldCharType="begin"/>
              </w:r>
              <w:r>
                <w:instrText xml:space="preserve"> PAGEREF _Toc182321004 \h </w:instrText>
              </w:r>
              <w:r>
                <w:fldChar w:fldCharType="separate"/>
              </w:r>
              <w:r w:rsidR="009B1DA8">
                <w:t>12</w:t>
              </w:r>
              <w:r>
                <w:fldChar w:fldCharType="end"/>
              </w:r>
            </w:hyperlink>
          </w:p>
          <w:p w14:paraId="164367B8" w14:textId="01E6C011" w:rsidR="00216CC1" w:rsidRDefault="00216CC1">
            <w:pPr>
              <w:pStyle w:val="INNH2"/>
              <w:rPr>
                <w:rFonts w:cstheme="minorBidi"/>
                <w:color w:val="auto"/>
                <w:kern w:val="2"/>
                <w:sz w:val="24"/>
                <w:szCs w:val="24"/>
                <w14:ligatures w14:val="standardContextual"/>
              </w:rPr>
            </w:pPr>
            <w:hyperlink w:anchor="_Toc182321005" w:history="1">
              <w:r w:rsidRPr="0012045B">
                <w:rPr>
                  <w:rStyle w:val="Hyperkobling"/>
                </w:rPr>
                <w:t>1.2</w:t>
              </w:r>
              <w:r>
                <w:rPr>
                  <w:rFonts w:cstheme="minorBidi"/>
                  <w:color w:val="auto"/>
                  <w:kern w:val="2"/>
                  <w:sz w:val="24"/>
                  <w:szCs w:val="24"/>
                  <w14:ligatures w14:val="standardContextual"/>
                </w:rPr>
                <w:tab/>
              </w:r>
              <w:r w:rsidRPr="0012045B">
                <w:rPr>
                  <w:rStyle w:val="Hyperkobling"/>
                </w:rPr>
                <w:t>Kort om inntektssystemet og kapitalkostnader</w:t>
              </w:r>
              <w:r>
                <w:tab/>
              </w:r>
              <w:r>
                <w:fldChar w:fldCharType="begin"/>
              </w:r>
              <w:r>
                <w:instrText xml:space="preserve"> PAGEREF _Toc182321005 \h </w:instrText>
              </w:r>
              <w:r>
                <w:fldChar w:fldCharType="separate"/>
              </w:r>
              <w:r w:rsidR="009B1DA8">
                <w:t>13</w:t>
              </w:r>
              <w:r>
                <w:fldChar w:fldCharType="end"/>
              </w:r>
            </w:hyperlink>
          </w:p>
          <w:p w14:paraId="32EEB5AB" w14:textId="4E974897" w:rsidR="00216CC1" w:rsidRDefault="00216CC1">
            <w:pPr>
              <w:pStyle w:val="INNH2"/>
              <w:rPr>
                <w:rFonts w:cstheme="minorBidi"/>
                <w:color w:val="auto"/>
                <w:kern w:val="2"/>
                <w:sz w:val="24"/>
                <w:szCs w:val="24"/>
                <w14:ligatures w14:val="standardContextual"/>
              </w:rPr>
            </w:pPr>
            <w:hyperlink w:anchor="_Toc182321006" w:history="1">
              <w:r w:rsidRPr="0012045B">
                <w:rPr>
                  <w:rStyle w:val="Hyperkobling"/>
                </w:rPr>
                <w:t>1.3</w:t>
              </w:r>
              <w:r>
                <w:rPr>
                  <w:rFonts w:cstheme="minorBidi"/>
                  <w:color w:val="auto"/>
                  <w:kern w:val="2"/>
                  <w:sz w:val="24"/>
                  <w:szCs w:val="24"/>
                  <w14:ligatures w14:val="standardContextual"/>
                </w:rPr>
                <w:tab/>
              </w:r>
              <w:r w:rsidRPr="0012045B">
                <w:rPr>
                  <w:rStyle w:val="Hyperkobling"/>
                </w:rPr>
                <w:t>Kort om måling av kapitalkostnader i kommunesektoren</w:t>
              </w:r>
              <w:r>
                <w:tab/>
              </w:r>
              <w:r>
                <w:fldChar w:fldCharType="begin"/>
              </w:r>
              <w:r>
                <w:instrText xml:space="preserve"> PAGEREF _Toc182321006 \h </w:instrText>
              </w:r>
              <w:r>
                <w:fldChar w:fldCharType="separate"/>
              </w:r>
              <w:r w:rsidR="009B1DA8">
                <w:t>16</w:t>
              </w:r>
              <w:r>
                <w:fldChar w:fldCharType="end"/>
              </w:r>
            </w:hyperlink>
          </w:p>
          <w:p w14:paraId="0ABC20F7" w14:textId="58273B8C" w:rsidR="00216CC1" w:rsidRDefault="00216CC1">
            <w:pPr>
              <w:pStyle w:val="INNH2"/>
              <w:rPr>
                <w:rFonts w:cstheme="minorBidi"/>
                <w:color w:val="auto"/>
                <w:kern w:val="2"/>
                <w:sz w:val="24"/>
                <w:szCs w:val="24"/>
                <w14:ligatures w14:val="standardContextual"/>
              </w:rPr>
            </w:pPr>
            <w:hyperlink w:anchor="_Toc182321007" w:history="1">
              <w:r w:rsidRPr="0012045B">
                <w:rPr>
                  <w:rStyle w:val="Hyperkobling"/>
                </w:rPr>
                <w:t>1.4</w:t>
              </w:r>
              <w:r>
                <w:rPr>
                  <w:rFonts w:cstheme="minorBidi"/>
                  <w:color w:val="auto"/>
                  <w:kern w:val="2"/>
                  <w:sz w:val="24"/>
                  <w:szCs w:val="24"/>
                  <w14:ligatures w14:val="standardContextual"/>
                </w:rPr>
                <w:tab/>
              </w:r>
              <w:r w:rsidRPr="0012045B">
                <w:rPr>
                  <w:rStyle w:val="Hyperkobling"/>
                </w:rPr>
                <w:t>Tidligere studier om kapitalkostnader og inntektssystemet</w:t>
              </w:r>
              <w:r>
                <w:tab/>
              </w:r>
              <w:r>
                <w:fldChar w:fldCharType="begin"/>
              </w:r>
              <w:r>
                <w:instrText xml:space="preserve"> PAGEREF _Toc182321007 \h </w:instrText>
              </w:r>
              <w:r>
                <w:fldChar w:fldCharType="separate"/>
              </w:r>
              <w:r w:rsidR="009B1DA8">
                <w:t>20</w:t>
              </w:r>
              <w:r>
                <w:fldChar w:fldCharType="end"/>
              </w:r>
            </w:hyperlink>
          </w:p>
          <w:p w14:paraId="6E494DEA" w14:textId="2FEF688F" w:rsidR="00216CC1" w:rsidRDefault="00216CC1">
            <w:pPr>
              <w:pStyle w:val="INNH1"/>
              <w:rPr>
                <w:rFonts w:asciiTheme="minorHAnsi" w:hAnsiTheme="minorHAnsi" w:cstheme="minorBidi"/>
                <w:color w:val="auto"/>
                <w:kern w:val="2"/>
                <w:sz w:val="24"/>
                <w:szCs w:val="24"/>
                <w14:ligatures w14:val="standardContextual"/>
              </w:rPr>
            </w:pPr>
            <w:hyperlink w:anchor="_Toc182321008" w:history="1">
              <w:r w:rsidRPr="0012045B">
                <w:rPr>
                  <w:rStyle w:val="Hyperkobling"/>
                </w:rPr>
                <w:t>2</w:t>
              </w:r>
              <w:r>
                <w:rPr>
                  <w:rFonts w:asciiTheme="minorHAnsi" w:hAnsiTheme="minorHAnsi" w:cstheme="minorBidi"/>
                  <w:color w:val="auto"/>
                  <w:kern w:val="2"/>
                  <w:sz w:val="24"/>
                  <w:szCs w:val="24"/>
                  <w14:ligatures w14:val="standardContextual"/>
                </w:rPr>
                <w:tab/>
              </w:r>
              <w:r w:rsidRPr="0012045B">
                <w:rPr>
                  <w:rStyle w:val="Hyperkobling"/>
                </w:rPr>
                <w:t>Prinsipielle vurderinger av målingen av kapitalkostnader</w:t>
              </w:r>
              <w:r>
                <w:tab/>
              </w:r>
              <w:r>
                <w:fldChar w:fldCharType="begin"/>
              </w:r>
              <w:r>
                <w:instrText xml:space="preserve"> PAGEREF _Toc182321008 \h </w:instrText>
              </w:r>
              <w:r>
                <w:fldChar w:fldCharType="separate"/>
              </w:r>
              <w:r w:rsidR="009B1DA8">
                <w:t>26</w:t>
              </w:r>
              <w:r>
                <w:fldChar w:fldCharType="end"/>
              </w:r>
            </w:hyperlink>
          </w:p>
          <w:p w14:paraId="0D3EEDF7" w14:textId="087383DA" w:rsidR="00216CC1" w:rsidRDefault="00216CC1">
            <w:pPr>
              <w:pStyle w:val="INNH2"/>
              <w:rPr>
                <w:rFonts w:cstheme="minorBidi"/>
                <w:color w:val="auto"/>
                <w:kern w:val="2"/>
                <w:sz w:val="24"/>
                <w:szCs w:val="24"/>
                <w14:ligatures w14:val="standardContextual"/>
              </w:rPr>
            </w:pPr>
            <w:hyperlink w:anchor="_Toc182321009" w:history="1">
              <w:r w:rsidRPr="0012045B">
                <w:rPr>
                  <w:rStyle w:val="Hyperkobling"/>
                </w:rPr>
                <w:t>2.1</w:t>
              </w:r>
              <w:r>
                <w:rPr>
                  <w:rFonts w:cstheme="minorBidi"/>
                  <w:color w:val="auto"/>
                  <w:kern w:val="2"/>
                  <w:sz w:val="24"/>
                  <w:szCs w:val="24"/>
                  <w14:ligatures w14:val="standardContextual"/>
                </w:rPr>
                <w:tab/>
              </w:r>
              <w:r w:rsidRPr="0012045B">
                <w:rPr>
                  <w:rStyle w:val="Hyperkobling"/>
                </w:rPr>
                <w:t>Håndtering av realkapitalen</w:t>
              </w:r>
              <w:r>
                <w:tab/>
              </w:r>
              <w:r>
                <w:fldChar w:fldCharType="begin"/>
              </w:r>
              <w:r>
                <w:instrText xml:space="preserve"> PAGEREF _Toc182321009 \h </w:instrText>
              </w:r>
              <w:r>
                <w:fldChar w:fldCharType="separate"/>
              </w:r>
              <w:r w:rsidR="009B1DA8">
                <w:t>26</w:t>
              </w:r>
              <w:r>
                <w:fldChar w:fldCharType="end"/>
              </w:r>
            </w:hyperlink>
          </w:p>
          <w:p w14:paraId="423BDC32" w14:textId="5D076447" w:rsidR="00216CC1" w:rsidRDefault="00216CC1">
            <w:pPr>
              <w:pStyle w:val="INNH2"/>
              <w:rPr>
                <w:rFonts w:cstheme="minorBidi"/>
                <w:color w:val="auto"/>
                <w:kern w:val="2"/>
                <w:sz w:val="24"/>
                <w:szCs w:val="24"/>
                <w14:ligatures w14:val="standardContextual"/>
              </w:rPr>
            </w:pPr>
            <w:hyperlink w:anchor="_Toc182321010" w:history="1">
              <w:r w:rsidRPr="0012045B">
                <w:rPr>
                  <w:rStyle w:val="Hyperkobling"/>
                </w:rPr>
                <w:t>2.2</w:t>
              </w:r>
              <w:r>
                <w:rPr>
                  <w:rFonts w:cstheme="minorBidi"/>
                  <w:color w:val="auto"/>
                  <w:kern w:val="2"/>
                  <w:sz w:val="24"/>
                  <w:szCs w:val="24"/>
                  <w14:ligatures w14:val="standardContextual"/>
                </w:rPr>
                <w:tab/>
              </w:r>
              <w:r w:rsidRPr="0012045B">
                <w:rPr>
                  <w:rStyle w:val="Hyperkobling"/>
                </w:rPr>
                <w:t>Håndtering av rentekostnader</w:t>
              </w:r>
              <w:r>
                <w:tab/>
              </w:r>
              <w:r>
                <w:fldChar w:fldCharType="begin"/>
              </w:r>
              <w:r>
                <w:instrText xml:space="preserve"> PAGEREF _Toc182321010 \h </w:instrText>
              </w:r>
              <w:r>
                <w:fldChar w:fldCharType="separate"/>
              </w:r>
              <w:r w:rsidR="009B1DA8">
                <w:t>33</w:t>
              </w:r>
              <w:r>
                <w:fldChar w:fldCharType="end"/>
              </w:r>
            </w:hyperlink>
          </w:p>
          <w:p w14:paraId="0D7B3E3D" w14:textId="0C2A7686" w:rsidR="00216CC1" w:rsidRDefault="00216CC1">
            <w:pPr>
              <w:pStyle w:val="INNH2"/>
              <w:rPr>
                <w:rFonts w:cstheme="minorBidi"/>
                <w:color w:val="auto"/>
                <w:kern w:val="2"/>
                <w:sz w:val="24"/>
                <w:szCs w:val="24"/>
                <w14:ligatures w14:val="standardContextual"/>
              </w:rPr>
            </w:pPr>
            <w:hyperlink w:anchor="_Toc182321011" w:history="1">
              <w:r w:rsidRPr="0012045B">
                <w:rPr>
                  <w:rStyle w:val="Hyperkobling"/>
                </w:rPr>
                <w:t>2.3</w:t>
              </w:r>
              <w:r>
                <w:rPr>
                  <w:rFonts w:cstheme="minorBidi"/>
                  <w:color w:val="auto"/>
                  <w:kern w:val="2"/>
                  <w:sz w:val="24"/>
                  <w:szCs w:val="24"/>
                  <w14:ligatures w14:val="standardContextual"/>
                </w:rPr>
                <w:tab/>
              </w:r>
              <w:r w:rsidRPr="0012045B">
                <w:rPr>
                  <w:rStyle w:val="Hyperkobling"/>
                </w:rPr>
                <w:t>Kapitalens prisutvikling</w:t>
              </w:r>
              <w:r>
                <w:tab/>
              </w:r>
              <w:r>
                <w:fldChar w:fldCharType="begin"/>
              </w:r>
              <w:r>
                <w:instrText xml:space="preserve"> PAGEREF _Toc182321011 \h </w:instrText>
              </w:r>
              <w:r>
                <w:fldChar w:fldCharType="separate"/>
              </w:r>
              <w:r w:rsidR="009B1DA8">
                <w:t>42</w:t>
              </w:r>
              <w:r>
                <w:fldChar w:fldCharType="end"/>
              </w:r>
            </w:hyperlink>
          </w:p>
          <w:p w14:paraId="4C0F55FE" w14:textId="472DFB07" w:rsidR="00216CC1" w:rsidRDefault="00216CC1">
            <w:pPr>
              <w:pStyle w:val="INNH2"/>
              <w:rPr>
                <w:rFonts w:cstheme="minorBidi"/>
                <w:color w:val="auto"/>
                <w:kern w:val="2"/>
                <w:sz w:val="24"/>
                <w:szCs w:val="24"/>
                <w14:ligatures w14:val="standardContextual"/>
              </w:rPr>
            </w:pPr>
            <w:hyperlink w:anchor="_Toc182321012" w:history="1">
              <w:r w:rsidRPr="0012045B">
                <w:rPr>
                  <w:rStyle w:val="Hyperkobling"/>
                </w:rPr>
                <w:t>2.4</w:t>
              </w:r>
              <w:r>
                <w:rPr>
                  <w:rFonts w:cstheme="minorBidi"/>
                  <w:color w:val="auto"/>
                  <w:kern w:val="2"/>
                  <w:sz w:val="24"/>
                  <w:szCs w:val="24"/>
                  <w14:ligatures w14:val="standardContextual"/>
                </w:rPr>
                <w:tab/>
              </w:r>
              <w:r w:rsidRPr="0012045B">
                <w:rPr>
                  <w:rStyle w:val="Hyperkobling"/>
                </w:rPr>
                <w:t>Kapitaltjenester</w:t>
              </w:r>
              <w:r>
                <w:tab/>
              </w:r>
              <w:r>
                <w:fldChar w:fldCharType="begin"/>
              </w:r>
              <w:r>
                <w:instrText xml:space="preserve"> PAGEREF _Toc182321012 \h </w:instrText>
              </w:r>
              <w:r>
                <w:fldChar w:fldCharType="separate"/>
              </w:r>
              <w:r w:rsidR="009B1DA8">
                <w:t>44</w:t>
              </w:r>
              <w:r>
                <w:fldChar w:fldCharType="end"/>
              </w:r>
            </w:hyperlink>
          </w:p>
          <w:p w14:paraId="0362D515" w14:textId="1861F189" w:rsidR="00216CC1" w:rsidRDefault="00216CC1">
            <w:pPr>
              <w:pStyle w:val="INNH1"/>
              <w:rPr>
                <w:rFonts w:asciiTheme="minorHAnsi" w:hAnsiTheme="minorHAnsi" w:cstheme="minorBidi"/>
                <w:color w:val="auto"/>
                <w:kern w:val="2"/>
                <w:sz w:val="24"/>
                <w:szCs w:val="24"/>
                <w14:ligatures w14:val="standardContextual"/>
              </w:rPr>
            </w:pPr>
            <w:hyperlink w:anchor="_Toc182321013" w:history="1">
              <w:r w:rsidRPr="0012045B">
                <w:rPr>
                  <w:rStyle w:val="Hyperkobling"/>
                </w:rPr>
                <w:t>3</w:t>
              </w:r>
              <w:r>
                <w:rPr>
                  <w:rFonts w:asciiTheme="minorHAnsi" w:hAnsiTheme="minorHAnsi" w:cstheme="minorBidi"/>
                  <w:color w:val="auto"/>
                  <w:kern w:val="2"/>
                  <w:sz w:val="24"/>
                  <w:szCs w:val="24"/>
                  <w14:ligatures w14:val="standardContextual"/>
                </w:rPr>
                <w:tab/>
              </w:r>
              <w:r w:rsidRPr="0012045B">
                <w:rPr>
                  <w:rStyle w:val="Hyperkobling"/>
                </w:rPr>
                <w:t>Implementering</w:t>
              </w:r>
              <w:r>
                <w:tab/>
              </w:r>
              <w:r>
                <w:fldChar w:fldCharType="begin"/>
              </w:r>
              <w:r>
                <w:instrText xml:space="preserve"> PAGEREF _Toc182321013 \h </w:instrText>
              </w:r>
              <w:r>
                <w:fldChar w:fldCharType="separate"/>
              </w:r>
              <w:r w:rsidR="009B1DA8">
                <w:t>45</w:t>
              </w:r>
              <w:r>
                <w:fldChar w:fldCharType="end"/>
              </w:r>
            </w:hyperlink>
          </w:p>
          <w:p w14:paraId="01953803" w14:textId="2B8F3E97" w:rsidR="00216CC1" w:rsidRDefault="00216CC1">
            <w:pPr>
              <w:pStyle w:val="INNH2"/>
              <w:rPr>
                <w:rFonts w:cstheme="minorBidi"/>
                <w:color w:val="auto"/>
                <w:kern w:val="2"/>
                <w:sz w:val="24"/>
                <w:szCs w:val="24"/>
                <w14:ligatures w14:val="standardContextual"/>
              </w:rPr>
            </w:pPr>
            <w:hyperlink w:anchor="_Toc182321014" w:history="1">
              <w:r w:rsidRPr="0012045B">
                <w:rPr>
                  <w:rStyle w:val="Hyperkobling"/>
                </w:rPr>
                <w:t>3.1</w:t>
              </w:r>
              <w:r>
                <w:rPr>
                  <w:rFonts w:cstheme="minorBidi"/>
                  <w:color w:val="auto"/>
                  <w:kern w:val="2"/>
                  <w:sz w:val="24"/>
                  <w:szCs w:val="24"/>
                  <w14:ligatures w14:val="standardContextual"/>
                </w:rPr>
                <w:tab/>
              </w:r>
              <w:r w:rsidRPr="0012045B">
                <w:rPr>
                  <w:rStyle w:val="Hyperkobling"/>
                </w:rPr>
                <w:t>Datagrunnlag</w:t>
              </w:r>
              <w:r>
                <w:tab/>
              </w:r>
              <w:r>
                <w:fldChar w:fldCharType="begin"/>
              </w:r>
              <w:r>
                <w:instrText xml:space="preserve"> PAGEREF _Toc182321014 \h </w:instrText>
              </w:r>
              <w:r>
                <w:fldChar w:fldCharType="separate"/>
              </w:r>
              <w:r w:rsidR="009B1DA8">
                <w:t>45</w:t>
              </w:r>
              <w:r>
                <w:fldChar w:fldCharType="end"/>
              </w:r>
            </w:hyperlink>
          </w:p>
          <w:p w14:paraId="5492731A" w14:textId="6E50ED45" w:rsidR="00216CC1" w:rsidRDefault="00216CC1">
            <w:pPr>
              <w:pStyle w:val="INNH2"/>
              <w:rPr>
                <w:rFonts w:cstheme="minorBidi"/>
                <w:color w:val="auto"/>
                <w:kern w:val="2"/>
                <w:sz w:val="24"/>
                <w:szCs w:val="24"/>
                <w14:ligatures w14:val="standardContextual"/>
              </w:rPr>
            </w:pPr>
            <w:hyperlink w:anchor="_Toc182321015" w:history="1">
              <w:r w:rsidRPr="0012045B">
                <w:rPr>
                  <w:rStyle w:val="Hyperkobling"/>
                </w:rPr>
                <w:t>3.2</w:t>
              </w:r>
              <w:r>
                <w:rPr>
                  <w:rFonts w:cstheme="minorBidi"/>
                  <w:color w:val="auto"/>
                  <w:kern w:val="2"/>
                  <w:sz w:val="24"/>
                  <w:szCs w:val="24"/>
                  <w14:ligatures w14:val="standardContextual"/>
                </w:rPr>
                <w:tab/>
              </w:r>
              <w:r w:rsidRPr="0012045B">
                <w:rPr>
                  <w:rStyle w:val="Hyperkobling"/>
                </w:rPr>
                <w:t>Metodikk</w:t>
              </w:r>
              <w:r>
                <w:tab/>
              </w:r>
              <w:r>
                <w:fldChar w:fldCharType="begin"/>
              </w:r>
              <w:r>
                <w:instrText xml:space="preserve"> PAGEREF _Toc182321015 \h </w:instrText>
              </w:r>
              <w:r>
                <w:fldChar w:fldCharType="separate"/>
              </w:r>
              <w:r w:rsidR="009B1DA8">
                <w:t>56</w:t>
              </w:r>
              <w:r>
                <w:fldChar w:fldCharType="end"/>
              </w:r>
            </w:hyperlink>
          </w:p>
          <w:p w14:paraId="11568624" w14:textId="17DDF5DA" w:rsidR="00216CC1" w:rsidRDefault="00216CC1">
            <w:pPr>
              <w:pStyle w:val="INNH1"/>
              <w:rPr>
                <w:rFonts w:asciiTheme="minorHAnsi" w:hAnsiTheme="minorHAnsi" w:cstheme="minorBidi"/>
                <w:color w:val="auto"/>
                <w:kern w:val="2"/>
                <w:sz w:val="24"/>
                <w:szCs w:val="24"/>
                <w14:ligatures w14:val="standardContextual"/>
              </w:rPr>
            </w:pPr>
            <w:hyperlink w:anchor="_Toc182321016" w:history="1">
              <w:r w:rsidRPr="0012045B">
                <w:rPr>
                  <w:rStyle w:val="Hyperkobling"/>
                </w:rPr>
                <w:t>4</w:t>
              </w:r>
              <w:r>
                <w:rPr>
                  <w:rFonts w:asciiTheme="minorHAnsi" w:hAnsiTheme="minorHAnsi" w:cstheme="minorBidi"/>
                  <w:color w:val="auto"/>
                  <w:kern w:val="2"/>
                  <w:sz w:val="24"/>
                  <w:szCs w:val="24"/>
                  <w14:ligatures w14:val="standardContextual"/>
                </w:rPr>
                <w:tab/>
              </w:r>
              <w:r w:rsidRPr="0012045B">
                <w:rPr>
                  <w:rStyle w:val="Hyperkobling"/>
                </w:rPr>
                <w:t>Empiriske undersøkelser</w:t>
              </w:r>
              <w:r>
                <w:tab/>
              </w:r>
              <w:r>
                <w:fldChar w:fldCharType="begin"/>
              </w:r>
              <w:r>
                <w:instrText xml:space="preserve"> PAGEREF _Toc182321016 \h </w:instrText>
              </w:r>
              <w:r>
                <w:fldChar w:fldCharType="separate"/>
              </w:r>
              <w:r w:rsidR="009B1DA8">
                <w:t>64</w:t>
              </w:r>
              <w:r>
                <w:fldChar w:fldCharType="end"/>
              </w:r>
            </w:hyperlink>
          </w:p>
          <w:p w14:paraId="3F64BBEA" w14:textId="1D0F7769" w:rsidR="00216CC1" w:rsidRDefault="00216CC1">
            <w:pPr>
              <w:pStyle w:val="INNH2"/>
              <w:rPr>
                <w:rFonts w:cstheme="minorBidi"/>
                <w:color w:val="auto"/>
                <w:kern w:val="2"/>
                <w:sz w:val="24"/>
                <w:szCs w:val="24"/>
                <w14:ligatures w14:val="standardContextual"/>
              </w:rPr>
            </w:pPr>
            <w:hyperlink w:anchor="_Toc182321017" w:history="1">
              <w:r w:rsidRPr="0012045B">
                <w:rPr>
                  <w:rStyle w:val="Hyperkobling"/>
                </w:rPr>
                <w:t>4.1</w:t>
              </w:r>
              <w:r>
                <w:rPr>
                  <w:rFonts w:cstheme="minorBidi"/>
                  <w:color w:val="auto"/>
                  <w:kern w:val="2"/>
                  <w:sz w:val="24"/>
                  <w:szCs w:val="24"/>
                  <w14:ligatures w14:val="standardContextual"/>
                </w:rPr>
                <w:tab/>
              </w:r>
              <w:r w:rsidRPr="0012045B">
                <w:rPr>
                  <w:rStyle w:val="Hyperkobling"/>
                </w:rPr>
                <w:t>Kapitalestimering</w:t>
              </w:r>
              <w:r>
                <w:tab/>
              </w:r>
              <w:r>
                <w:fldChar w:fldCharType="begin"/>
              </w:r>
              <w:r>
                <w:instrText xml:space="preserve"> PAGEREF _Toc182321017 \h </w:instrText>
              </w:r>
              <w:r>
                <w:fldChar w:fldCharType="separate"/>
              </w:r>
              <w:r w:rsidR="009B1DA8">
                <w:t>64</w:t>
              </w:r>
              <w:r>
                <w:fldChar w:fldCharType="end"/>
              </w:r>
            </w:hyperlink>
          </w:p>
          <w:p w14:paraId="1689D9A0" w14:textId="31378FD7" w:rsidR="00216CC1" w:rsidRDefault="00216CC1">
            <w:pPr>
              <w:pStyle w:val="INNH2"/>
              <w:rPr>
                <w:rFonts w:cstheme="minorBidi"/>
                <w:color w:val="auto"/>
                <w:kern w:val="2"/>
                <w:sz w:val="24"/>
                <w:szCs w:val="24"/>
                <w14:ligatures w14:val="standardContextual"/>
              </w:rPr>
            </w:pPr>
            <w:hyperlink w:anchor="_Toc182321018" w:history="1">
              <w:r w:rsidRPr="0012045B">
                <w:rPr>
                  <w:rStyle w:val="Hyperkobling"/>
                </w:rPr>
                <w:t>4.2</w:t>
              </w:r>
              <w:r>
                <w:rPr>
                  <w:rFonts w:cstheme="minorBidi"/>
                  <w:color w:val="auto"/>
                  <w:kern w:val="2"/>
                  <w:sz w:val="24"/>
                  <w:szCs w:val="24"/>
                  <w14:ligatures w14:val="standardContextual"/>
                </w:rPr>
                <w:tab/>
              </w:r>
              <w:r w:rsidRPr="0012045B">
                <w:rPr>
                  <w:rStyle w:val="Hyperkobling"/>
                </w:rPr>
                <w:t>Kapitalkostnader og kommunenes økonomi</w:t>
              </w:r>
              <w:r>
                <w:tab/>
              </w:r>
              <w:r>
                <w:fldChar w:fldCharType="begin"/>
              </w:r>
              <w:r>
                <w:instrText xml:space="preserve"> PAGEREF _Toc182321018 \h </w:instrText>
              </w:r>
              <w:r>
                <w:fldChar w:fldCharType="separate"/>
              </w:r>
              <w:r w:rsidR="009B1DA8">
                <w:t>88</w:t>
              </w:r>
              <w:r>
                <w:fldChar w:fldCharType="end"/>
              </w:r>
            </w:hyperlink>
          </w:p>
          <w:p w14:paraId="416E8BE4" w14:textId="05204B66" w:rsidR="00216CC1" w:rsidRDefault="00216CC1">
            <w:pPr>
              <w:pStyle w:val="INNH5"/>
              <w:rPr>
                <w:rFonts w:asciiTheme="minorHAnsi" w:hAnsiTheme="minorHAnsi" w:cstheme="minorBidi"/>
                <w:color w:val="auto"/>
                <w:kern w:val="2"/>
                <w:sz w:val="24"/>
                <w:szCs w:val="24"/>
                <w14:ligatures w14:val="standardContextual"/>
              </w:rPr>
            </w:pPr>
            <w:hyperlink w:anchor="_Toc182321019" w:history="1">
              <w:r w:rsidRPr="0012045B">
                <w:rPr>
                  <w:rStyle w:val="Hyperkobling"/>
                </w:rPr>
                <w:t>Referanser</w:t>
              </w:r>
              <w:r>
                <w:tab/>
              </w:r>
              <w:r>
                <w:fldChar w:fldCharType="begin"/>
              </w:r>
              <w:r>
                <w:instrText xml:space="preserve"> PAGEREF _Toc182321019 \h </w:instrText>
              </w:r>
              <w:r>
                <w:fldChar w:fldCharType="separate"/>
              </w:r>
              <w:r w:rsidR="009B1DA8">
                <w:t>124</w:t>
              </w:r>
              <w:r>
                <w:fldChar w:fldCharType="end"/>
              </w:r>
            </w:hyperlink>
          </w:p>
          <w:p w14:paraId="038AF1BF" w14:textId="48F98F95" w:rsidR="00E46ED3" w:rsidRPr="0055149C" w:rsidRDefault="00E46ED3" w:rsidP="009B4FEF">
            <w:pPr>
              <w:pStyle w:val="Spacer"/>
              <w:rPr>
                <w:color w:val="FF0000"/>
              </w:rPr>
            </w:pPr>
            <w:r w:rsidRPr="0055149C">
              <w:rPr>
                <w:rFonts w:asciiTheme="majorHAnsi" w:eastAsiaTheme="minorEastAsia" w:hAnsiTheme="majorHAnsi"/>
                <w:noProof/>
                <w:sz w:val="22"/>
              </w:rPr>
              <w:fldChar w:fldCharType="end"/>
            </w:r>
          </w:p>
        </w:tc>
      </w:tr>
      <w:tr w:rsidR="00E46ED3" w:rsidRPr="0055149C" w14:paraId="2F4FC1FD" w14:textId="77777777" w:rsidTr="009B4FEF">
        <w:tc>
          <w:tcPr>
            <w:tcW w:w="5000" w:type="pct"/>
          </w:tcPr>
          <w:p w14:paraId="3476094E" w14:textId="1FF1AE6F" w:rsidR="00E46ED3" w:rsidRPr="0055149C" w:rsidRDefault="00E46ED3" w:rsidP="009B4FEF">
            <w:pPr>
              <w:pStyle w:val="Spacer"/>
            </w:pPr>
          </w:p>
        </w:tc>
      </w:tr>
      <w:tr w:rsidR="00E46ED3" w:rsidRPr="0055149C" w14:paraId="0BF0C58C" w14:textId="77777777" w:rsidTr="009B4FEF">
        <w:tc>
          <w:tcPr>
            <w:tcW w:w="5000" w:type="pct"/>
          </w:tcPr>
          <w:p w14:paraId="386814BF" w14:textId="5492B782" w:rsidR="00E46ED3" w:rsidRPr="0055149C" w:rsidRDefault="00E46ED3" w:rsidP="009B4FEF">
            <w:pPr>
              <w:pStyle w:val="Spacer"/>
            </w:pPr>
          </w:p>
        </w:tc>
      </w:tr>
      <w:tr w:rsidR="00E46ED3" w:rsidRPr="0055149C" w14:paraId="7650D2C4" w14:textId="77777777" w:rsidTr="009B4FEF">
        <w:tc>
          <w:tcPr>
            <w:tcW w:w="5000" w:type="pct"/>
          </w:tcPr>
          <w:p w14:paraId="6F8C5975" w14:textId="3A1F6DD1" w:rsidR="00E46ED3" w:rsidRPr="0055149C" w:rsidRDefault="00E46ED3" w:rsidP="009B4FEF">
            <w:pPr>
              <w:pStyle w:val="Spacer"/>
            </w:pPr>
          </w:p>
        </w:tc>
      </w:tr>
    </w:tbl>
    <w:bookmarkEnd w:id="5" w:displacedByCustomXml="next"/>
    <w:sdt>
      <w:sdtPr>
        <w:alias w:val="Section Break (TOC)"/>
        <w:tag w:val="Section Break (TOC)"/>
        <w:id w:val="-1133945831"/>
        <w:placeholder>
          <w:docPart w:val="85A4B8C488A246EBBE0AB332EA6284DE"/>
        </w:placeholder>
      </w:sdtPr>
      <w:sdtContent>
        <w:p w14:paraId="15B28D63" w14:textId="77777777" w:rsidR="00B74780" w:rsidRPr="0055149C" w:rsidRDefault="00B74780" w:rsidP="007C70D0">
          <w:pPr>
            <w:pStyle w:val="Ingenmellomrom"/>
          </w:pPr>
        </w:p>
        <w:p w14:paraId="7DE6BCE4" w14:textId="77777777" w:rsidR="00B74780" w:rsidRPr="0055149C" w:rsidRDefault="00000000" w:rsidP="007C70D0">
          <w:pPr>
            <w:pStyle w:val="Ingenmellomrom"/>
            <w:sectPr w:rsidR="00B74780" w:rsidRPr="0055149C" w:rsidSect="0006455C">
              <w:headerReference w:type="default" r:id="rId29"/>
              <w:footerReference w:type="default" r:id="rId30"/>
              <w:pgSz w:w="11906" w:h="16838" w:code="9"/>
              <w:pgMar w:top="1418" w:right="851" w:bottom="1418" w:left="851" w:header="567" w:footer="284" w:gutter="0"/>
              <w:cols w:space="708"/>
              <w:docGrid w:linePitch="360"/>
            </w:sectPr>
          </w:pPr>
        </w:p>
      </w:sdtContent>
    </w:sdt>
    <w:p w14:paraId="17E9844C" w14:textId="02F0339F" w:rsidR="00A8286E" w:rsidRPr="0055149C" w:rsidRDefault="00A8286E" w:rsidP="008F082B">
      <w:pPr>
        <w:pStyle w:val="ExecSumHead"/>
      </w:pPr>
      <w:bookmarkStart w:id="6" w:name="_Toc58410149"/>
      <w:bookmarkStart w:id="7" w:name="_Toc79414758"/>
      <w:bookmarkStart w:id="8" w:name="_Toc182321002"/>
      <w:r w:rsidRPr="0055149C">
        <w:lastRenderedPageBreak/>
        <w:t>Sammendrag og konklusjoner</w:t>
      </w:r>
      <w:bookmarkEnd w:id="6"/>
      <w:bookmarkEnd w:id="7"/>
      <w:bookmarkEnd w:id="8"/>
    </w:p>
    <w:p w14:paraId="70DAFA1A" w14:textId="15FDB573" w:rsidR="00806AE3" w:rsidRPr="00806AE3" w:rsidRDefault="00E37679" w:rsidP="00806AE3">
      <w:pPr>
        <w:rPr>
          <w:rFonts w:asciiTheme="majorHAnsi" w:hAnsiTheme="majorHAnsi"/>
          <w:i/>
          <w:lang w:eastAsia="nb-NO"/>
        </w:rPr>
      </w:pPr>
      <w:r w:rsidRPr="00E37679">
        <w:rPr>
          <w:rFonts w:asciiTheme="majorHAnsi" w:hAnsiTheme="majorHAnsi"/>
          <w:i/>
          <w:lang w:eastAsia="nb-NO"/>
        </w:rPr>
        <w:t>I denne utredningen undersøker vi om – og eventuelt hvordan – kapitalkostnader bør tas inn i utgiftsutjevningen i det kommunale inntektssystemet.</w:t>
      </w:r>
      <w:r w:rsidR="00806AE3" w:rsidRPr="00806AE3">
        <w:rPr>
          <w:rFonts w:asciiTheme="majorHAnsi" w:hAnsiTheme="majorHAnsi"/>
          <w:i/>
          <w:lang w:eastAsia="nb-NO"/>
        </w:rPr>
        <w:t xml:space="preserve"> </w:t>
      </w:r>
      <w:r w:rsidRPr="00E37679">
        <w:rPr>
          <w:rFonts w:asciiTheme="majorHAnsi" w:hAnsiTheme="majorHAnsi"/>
          <w:i/>
          <w:lang w:eastAsia="nb-NO"/>
        </w:rPr>
        <w:t xml:space="preserve">De prinsipielle avveiningene knyttet til inkludering av kapitalkostnader i </w:t>
      </w:r>
      <w:r w:rsidR="00C55204">
        <w:rPr>
          <w:rFonts w:asciiTheme="majorHAnsi" w:hAnsiTheme="majorHAnsi"/>
          <w:i/>
          <w:lang w:eastAsia="nb-NO"/>
        </w:rPr>
        <w:t>utgiftsutjevningen</w:t>
      </w:r>
      <w:r w:rsidRPr="00E37679">
        <w:rPr>
          <w:rFonts w:asciiTheme="majorHAnsi" w:hAnsiTheme="majorHAnsi"/>
          <w:i/>
          <w:lang w:eastAsia="nb-NO"/>
        </w:rPr>
        <w:t xml:space="preserve"> er diskutert i tidligere utredninger, skjønt det empiriske vurderingsgrunnlaget har vært mer begrenset.</w:t>
      </w:r>
      <w:r w:rsidR="00806AE3" w:rsidRPr="00806AE3">
        <w:rPr>
          <w:rFonts w:asciiTheme="majorHAnsi" w:hAnsiTheme="majorHAnsi"/>
          <w:i/>
          <w:lang w:eastAsia="nb-NO"/>
        </w:rPr>
        <w:t xml:space="preserve"> </w:t>
      </w:r>
      <w:r w:rsidRPr="00E37679">
        <w:rPr>
          <w:rFonts w:asciiTheme="majorHAnsi" w:hAnsiTheme="majorHAnsi"/>
          <w:i/>
          <w:lang w:eastAsia="nb-NO"/>
        </w:rPr>
        <w:t>Vi har gjennomført alternative kapitalberegninger basert på et relativt rikt datasett, der KOSTRA og nasjonalregnskapet fra Statistisk sentralbyrå utgjør de mest sentrale datakildene.</w:t>
      </w:r>
      <w:r w:rsidR="00806AE3" w:rsidRPr="00806AE3">
        <w:rPr>
          <w:rFonts w:asciiTheme="majorHAnsi" w:hAnsiTheme="majorHAnsi"/>
          <w:i/>
          <w:lang w:eastAsia="nb-NO"/>
        </w:rPr>
        <w:t xml:space="preserve"> </w:t>
      </w:r>
      <w:r w:rsidRPr="00E37679">
        <w:rPr>
          <w:rFonts w:asciiTheme="majorHAnsi" w:hAnsiTheme="majorHAnsi"/>
          <w:i/>
          <w:lang w:eastAsia="nb-NO"/>
        </w:rPr>
        <w:t>Kommunenes realkapitalbeholdninger lar seg måle på rimelig</w:t>
      </w:r>
      <w:r w:rsidR="00B21991">
        <w:rPr>
          <w:rFonts w:asciiTheme="majorHAnsi" w:hAnsiTheme="majorHAnsi"/>
          <w:i/>
          <w:lang w:eastAsia="nb-NO"/>
        </w:rPr>
        <w:t>e</w:t>
      </w:r>
      <w:r w:rsidRPr="00E37679">
        <w:rPr>
          <w:rFonts w:asciiTheme="majorHAnsi" w:hAnsiTheme="majorHAnsi"/>
          <w:i/>
          <w:lang w:eastAsia="nb-NO"/>
        </w:rPr>
        <w:t xml:space="preserve"> robust</w:t>
      </w:r>
      <w:r w:rsidR="00B21991">
        <w:rPr>
          <w:rFonts w:asciiTheme="majorHAnsi" w:hAnsiTheme="majorHAnsi"/>
          <w:i/>
          <w:lang w:eastAsia="nb-NO"/>
        </w:rPr>
        <w:t>e</w:t>
      </w:r>
      <w:r w:rsidRPr="00E37679">
        <w:rPr>
          <w:rFonts w:asciiTheme="majorHAnsi" w:hAnsiTheme="majorHAnsi"/>
          <w:i/>
          <w:lang w:eastAsia="nb-NO"/>
        </w:rPr>
        <w:t xml:space="preserve"> måte</w:t>
      </w:r>
      <w:r w:rsidR="00B21991">
        <w:rPr>
          <w:rFonts w:asciiTheme="majorHAnsi" w:hAnsiTheme="majorHAnsi"/>
          <w:i/>
          <w:lang w:eastAsia="nb-NO"/>
        </w:rPr>
        <w:t>r</w:t>
      </w:r>
      <w:r w:rsidRPr="00E37679">
        <w:rPr>
          <w:rFonts w:asciiTheme="majorHAnsi" w:hAnsiTheme="majorHAnsi"/>
          <w:i/>
          <w:lang w:eastAsia="nb-NO"/>
        </w:rPr>
        <w:t xml:space="preserve"> med «Direkte Metode» (DM) og «Perpetual Inventory Model» (PIM), selv om estimatene fanger opp til dels ulike ting, og deres størrelsesorden er beheftet med noe usikkerhet.</w:t>
      </w:r>
      <w:r w:rsidR="00806AE3" w:rsidRPr="00806AE3">
        <w:rPr>
          <w:rFonts w:asciiTheme="majorHAnsi" w:hAnsiTheme="majorHAnsi"/>
          <w:i/>
          <w:lang w:eastAsia="nb-NO"/>
        </w:rPr>
        <w:t xml:space="preserve"> </w:t>
      </w:r>
      <w:r w:rsidRPr="00E37679">
        <w:rPr>
          <w:rFonts w:asciiTheme="majorHAnsi" w:hAnsiTheme="majorHAnsi"/>
          <w:i/>
          <w:lang w:eastAsia="nb-NO"/>
        </w:rPr>
        <w:t>I våre empiriske analyser utforsker vi en løpende rente tilsvarende summen av kalkylerenten for de kommunale selvkosttjenestene og et risikopåslag, og en fast rente tilsvarende det offentliges realavkastningskrav på bruttoinvesteringer omregnet til et nominelt krav.</w:t>
      </w:r>
      <w:r w:rsidR="00806AE3" w:rsidRPr="00806AE3">
        <w:rPr>
          <w:rFonts w:asciiTheme="majorHAnsi" w:hAnsiTheme="majorHAnsi"/>
          <w:i/>
          <w:lang w:eastAsia="nb-NO"/>
        </w:rPr>
        <w:t xml:space="preserve"> </w:t>
      </w:r>
      <w:r w:rsidRPr="00E37679">
        <w:rPr>
          <w:rFonts w:asciiTheme="majorHAnsi" w:hAnsiTheme="majorHAnsi"/>
          <w:i/>
          <w:lang w:eastAsia="nb-NO"/>
        </w:rPr>
        <w:t>Ulike tilnærminger til målingen av kapitalkostnader eller kapitalutgifter gir i hovedsak sterkt korrelerte mål, men nivåene på de ulike målene varierer til dels betraktelig.</w:t>
      </w:r>
      <w:r w:rsidR="00806AE3" w:rsidRPr="00806AE3">
        <w:rPr>
          <w:rFonts w:asciiTheme="majorHAnsi" w:hAnsiTheme="majorHAnsi"/>
          <w:i/>
          <w:lang w:eastAsia="nb-NO"/>
        </w:rPr>
        <w:t xml:space="preserve"> </w:t>
      </w:r>
      <w:r w:rsidR="000D475F" w:rsidRPr="000D475F">
        <w:rPr>
          <w:rFonts w:asciiTheme="majorHAnsi" w:hAnsiTheme="majorHAnsi"/>
          <w:i/>
          <w:lang w:eastAsia="nb-NO"/>
        </w:rPr>
        <w:t xml:space="preserve">Kapitalkostnadsmålene er sterkt korrelert med sentrale </w:t>
      </w:r>
      <w:r w:rsidR="004C12D1">
        <w:rPr>
          <w:rFonts w:asciiTheme="majorHAnsi" w:hAnsiTheme="majorHAnsi"/>
          <w:i/>
          <w:lang w:eastAsia="nb-NO"/>
        </w:rPr>
        <w:t>utgift</w:t>
      </w:r>
      <w:r w:rsidR="000D475F" w:rsidRPr="000D475F">
        <w:rPr>
          <w:rFonts w:asciiTheme="majorHAnsi" w:hAnsiTheme="majorHAnsi"/>
          <w:i/>
          <w:lang w:eastAsia="nb-NO"/>
        </w:rPr>
        <w:t>selementer i de kommunale driftsregnskapene og fanger opp forhold i omgivelsene som bruttodriftsutgiftene ikke gjør.</w:t>
      </w:r>
      <w:r w:rsidR="00806AE3" w:rsidRPr="00806AE3">
        <w:rPr>
          <w:rFonts w:asciiTheme="majorHAnsi" w:hAnsiTheme="majorHAnsi"/>
          <w:i/>
          <w:lang w:eastAsia="nb-NO"/>
        </w:rPr>
        <w:t xml:space="preserve"> </w:t>
      </w:r>
      <w:r w:rsidRPr="00E37679">
        <w:rPr>
          <w:rFonts w:asciiTheme="majorHAnsi" w:hAnsiTheme="majorHAnsi"/>
          <w:i/>
          <w:lang w:eastAsia="nb-NO"/>
        </w:rPr>
        <w:t>Våre regresjonsanalyser av alternative kostnadsmål og de eksisterende kriteriene i utgiftsutjevningen gir relativt få signifikante resultater på tvers av sektorer.</w:t>
      </w:r>
    </w:p>
    <w:p w14:paraId="6E8A5163" w14:textId="568F74CF" w:rsidR="001A28D4" w:rsidRDefault="00E37679" w:rsidP="00806AE3">
      <w:pPr>
        <w:rPr>
          <w:rFonts w:asciiTheme="majorHAnsi" w:hAnsiTheme="majorHAnsi"/>
          <w:i/>
          <w:color w:val="auto"/>
          <w:lang w:eastAsia="nb-NO"/>
        </w:rPr>
      </w:pPr>
      <w:r w:rsidRPr="00E37679">
        <w:rPr>
          <w:rFonts w:asciiTheme="majorHAnsi" w:hAnsiTheme="majorHAnsi"/>
          <w:i/>
          <w:lang w:eastAsia="nb-NO"/>
        </w:rPr>
        <w:t>Vår overordnede anbefaling er å forsøke å finne hensiktsmessige måter å inkludere kapitalkostnadene i inntektssystemet på, uten at det kan forventes å gi radikale utslag i utgiftsutjevningen.</w:t>
      </w:r>
      <w:r w:rsidR="00806AE3" w:rsidRPr="00806AE3">
        <w:rPr>
          <w:rFonts w:asciiTheme="majorHAnsi" w:hAnsiTheme="majorHAnsi"/>
          <w:i/>
          <w:lang w:eastAsia="nb-NO"/>
        </w:rPr>
        <w:t xml:space="preserve"> </w:t>
      </w:r>
      <w:r w:rsidR="000D47A8" w:rsidRPr="000D47A8">
        <w:rPr>
          <w:rFonts w:asciiTheme="majorHAnsi" w:hAnsiTheme="majorHAnsi"/>
          <w:i/>
          <w:lang w:eastAsia="nb-NO"/>
        </w:rPr>
        <w:t>Dersom man lykkes med å finne en hensiktsmessig måte å inkludere kapitalkostnader i utgiftsutjevningen på, anbefaler vi i behandlingen av kapitalslitet lik vekting av DM-estimatet og PIM-estimatet utregnet på tjenestefunksjonsnivå med disaggregerte parametere, eventuelt at man bare anvender sistnevnte estimat.</w:t>
      </w:r>
      <w:r w:rsidR="000D47A8">
        <w:rPr>
          <w:rFonts w:asciiTheme="majorHAnsi" w:hAnsiTheme="majorHAnsi"/>
          <w:i/>
          <w:lang w:eastAsia="nb-NO"/>
        </w:rPr>
        <w:t xml:space="preserve"> </w:t>
      </w:r>
      <w:r w:rsidRPr="00E37679">
        <w:rPr>
          <w:rFonts w:asciiTheme="majorHAnsi" w:hAnsiTheme="majorHAnsi"/>
          <w:i/>
          <w:lang w:eastAsia="nb-NO"/>
        </w:rPr>
        <w:t xml:space="preserve">Videre tar vi til orde for at rentekostnadene i </w:t>
      </w:r>
      <w:r w:rsidR="005B32CF">
        <w:rPr>
          <w:rFonts w:asciiTheme="majorHAnsi" w:hAnsiTheme="majorHAnsi"/>
          <w:i/>
          <w:lang w:eastAsia="nb-NO"/>
        </w:rPr>
        <w:t>utgiftsutjevningen</w:t>
      </w:r>
      <w:r w:rsidRPr="00E37679">
        <w:rPr>
          <w:rFonts w:asciiTheme="majorHAnsi" w:hAnsiTheme="majorHAnsi"/>
          <w:i/>
          <w:lang w:eastAsia="nb-NO"/>
        </w:rPr>
        <w:t xml:space="preserve"> bør måles </w:t>
      </w:r>
      <w:r w:rsidR="00E22709">
        <w:rPr>
          <w:rFonts w:asciiTheme="majorHAnsi" w:hAnsiTheme="majorHAnsi"/>
          <w:i/>
          <w:lang w:eastAsia="nb-NO"/>
        </w:rPr>
        <w:t>ved</w:t>
      </w:r>
      <w:r w:rsidRPr="00E37679">
        <w:rPr>
          <w:rFonts w:asciiTheme="majorHAnsi" w:hAnsiTheme="majorHAnsi"/>
          <w:i/>
          <w:lang w:eastAsia="nb-NO"/>
        </w:rPr>
        <w:t xml:space="preserve"> </w:t>
      </w:r>
      <w:r w:rsidR="002538AC">
        <w:rPr>
          <w:rFonts w:asciiTheme="majorHAnsi" w:hAnsiTheme="majorHAnsi"/>
          <w:i/>
          <w:lang w:eastAsia="nb-NO"/>
        </w:rPr>
        <w:t xml:space="preserve">bruk </w:t>
      </w:r>
      <w:r w:rsidR="000D47A8">
        <w:rPr>
          <w:rFonts w:asciiTheme="majorHAnsi" w:hAnsiTheme="majorHAnsi"/>
          <w:i/>
          <w:lang w:eastAsia="nb-NO"/>
        </w:rPr>
        <w:t>s</w:t>
      </w:r>
      <w:r w:rsidR="002538AC">
        <w:rPr>
          <w:rFonts w:asciiTheme="majorHAnsi" w:hAnsiTheme="majorHAnsi"/>
          <w:i/>
          <w:lang w:eastAsia="nb-NO"/>
        </w:rPr>
        <w:t xml:space="preserve">av </w:t>
      </w:r>
      <w:r w:rsidRPr="00E37679">
        <w:rPr>
          <w:rFonts w:asciiTheme="majorHAnsi" w:hAnsiTheme="majorHAnsi"/>
          <w:i/>
          <w:lang w:eastAsia="nb-NO"/>
        </w:rPr>
        <w:t>en langsiktig rente med et risikopåslag med utgangspunkt i kapitalbeholdningen som ligger til grunn for målingen.</w:t>
      </w:r>
      <w:r w:rsidR="00806AE3" w:rsidRPr="00806AE3">
        <w:rPr>
          <w:rFonts w:asciiTheme="majorHAnsi" w:hAnsiTheme="majorHAnsi"/>
          <w:i/>
          <w:lang w:eastAsia="nb-NO"/>
        </w:rPr>
        <w:t xml:space="preserve"> </w:t>
      </w:r>
      <w:r w:rsidRPr="00E37679">
        <w:rPr>
          <w:rFonts w:asciiTheme="majorHAnsi" w:hAnsiTheme="majorHAnsi"/>
          <w:i/>
          <w:lang w:eastAsia="nb-NO"/>
        </w:rPr>
        <w:t>Gitt at man lykkes med å finne brukbare kriterier i utjevningen for kapitalkostnadene i primærkommunene, anbefaler vi ikke at kapitalkostnader behandles annerledes for primærkommunene enn for fylkeskommunene i utgiftsutjevningen, da hensynene til estimatsikkerhet og kapitalintensitet trekker i hver sin retning.</w:t>
      </w:r>
    </w:p>
    <w:p w14:paraId="14C1D7B2" w14:textId="77777777" w:rsidR="00E068E5" w:rsidRPr="00E068E5" w:rsidRDefault="00E068E5" w:rsidP="00E068E5">
      <w:pPr>
        <w:rPr>
          <w:lang w:eastAsia="nb-NO"/>
        </w:rPr>
      </w:pPr>
      <w:r w:rsidRPr="00E068E5">
        <w:rPr>
          <w:b/>
          <w:bCs/>
          <w:color w:val="3672B0" w:themeColor="accent2"/>
          <w:lang w:eastAsia="nb-NO"/>
        </w:rPr>
        <w:t xml:space="preserve">I denne utredningen undersøker vi om – og eventuelt hvordan – kapitalkostnader bør tas inn i utgiftsutjevningen i det kommunale inntektssystemet. </w:t>
      </w:r>
      <w:r w:rsidRPr="00E068E5">
        <w:rPr>
          <w:lang w:eastAsia="nb-NO"/>
        </w:rPr>
        <w:t xml:space="preserve">Inntektssystemet for kommunesektoren inneholder ordninger for utjevning av ufrivillige forskjeller i utgifter mellom primærkommuner og fylkeskommuner, slik at kommunene blir bedre i stand til å yte likeverdige tjenester. Systemet skal i prinsippet dekke både drifts- og investeringsutgifter innenfor lovbestemte kommunale tjenester utenom selvkosttjenestene. Per i dag er det likevel kun bruttodriftsutgifter som fanges opp av inntektssystemet med unntak av utgiftsutjevningen for fylkesveiene og det tilhørende fergesamband. Vårt mandat er å vurdere hvorvidt kapitalkostnader inkludert kapitalslit og rentekostnader bør inkluderes i systemet. En slik vurdering bør ta utgangspunkt i formålet med utjevningen. Det er dermed viktig å vurdere om inkludering av kapitalkostnader vil gi kommunene et bedre grunnlag for å yte likeverdige tjenester overfor sine innbyggere. Vi er også bedt om å vurdere hvorvidt primærkommunene og fylkeskommunene bør behandles likt med hensyn til kapitalkostnader i utgiftsutjevningen. </w:t>
      </w:r>
    </w:p>
    <w:p w14:paraId="6B7C8747" w14:textId="52E6705A" w:rsidR="00E068E5" w:rsidRPr="00E068E5" w:rsidRDefault="00E068E5" w:rsidP="00E068E5">
      <w:pPr>
        <w:rPr>
          <w:lang w:eastAsia="nb-NO"/>
        </w:rPr>
      </w:pPr>
      <w:r w:rsidRPr="00E068E5">
        <w:rPr>
          <w:b/>
          <w:bCs/>
          <w:color w:val="3672B0" w:themeColor="accent2"/>
          <w:lang w:eastAsia="nb-NO"/>
        </w:rPr>
        <w:lastRenderedPageBreak/>
        <w:t xml:space="preserve">De prinsipielle avveiningene knyttet til inkludering av kapitalkostnader i </w:t>
      </w:r>
      <w:r w:rsidR="00C55204" w:rsidRPr="00C55204">
        <w:rPr>
          <w:b/>
          <w:bCs/>
          <w:color w:val="3672B0" w:themeColor="accent2"/>
          <w:lang w:eastAsia="nb-NO"/>
        </w:rPr>
        <w:t xml:space="preserve">utgiftsutjevningen </w:t>
      </w:r>
      <w:r w:rsidRPr="00E068E5">
        <w:rPr>
          <w:b/>
          <w:bCs/>
          <w:color w:val="3672B0" w:themeColor="accent2"/>
          <w:lang w:eastAsia="nb-NO"/>
        </w:rPr>
        <w:t xml:space="preserve">er diskutert i tidligere utredninger, skjønt det empiriske vurderingsgrunnlaget har vært mer begrenset. </w:t>
      </w:r>
      <w:r w:rsidRPr="00E068E5">
        <w:rPr>
          <w:lang w:eastAsia="nb-NO"/>
        </w:rPr>
        <w:t>Tidligere utredere har gjennomgående ment at kapitalkostnader prinsipielt sett bør inkluderes i det kommunale inntektssystemet. Flere</w:t>
      </w:r>
      <w:r w:rsidR="00076F2D">
        <w:rPr>
          <w:lang w:eastAsia="nb-NO"/>
        </w:rPr>
        <w:t xml:space="preserve"> av dem</w:t>
      </w:r>
      <w:r w:rsidRPr="00E068E5">
        <w:rPr>
          <w:lang w:eastAsia="nb-NO"/>
        </w:rPr>
        <w:t xml:space="preserve"> har imidlertid vært bekymret for at målefeil kan medføre at inkludering av kostnader i systemet vil gjøre mer skade enn nytte. Det gjelder for Rattsø-utvalget, Borge-utvalget og Inntektssystemutvalget, som samtlige anbefaler at kapitalkostnader fortsatt holdes utenfor utgiftsutjevningen. På den andre siden går et flertall i ekspertutvalget for fylkeskommunenes inntektssystem inn for at kapitalkostnader inkluderes i systemet på fylkesnivå. Ekspertutvalget framhever at fylkeskommunene er mer kapitalintensive enn kommunene. Å ignorere kapitalkostnader vil ventelig slå mer ut på fylkesnivå enn på kommunenivå. Disse utredningene har hatt brede mandater og vektlagt forhold knyttet til inntektssystemet og kommuneøkonomi snarere enn detaljer knyttet til målingen av realkapitalen og renter. I flere av de tidligere utredningene om temaet har det ellers nærmest blitt tatt for gitt at realkapitalkostnadene bør måles med oppdaterte priser. Implikasjonene ved at for eksempel gevinster knyttet til eiendom i så fall fanges opp av depresieringstallene er ikke diskutert.</w:t>
      </w:r>
    </w:p>
    <w:p w14:paraId="235E90CD" w14:textId="1F2391F8" w:rsidR="00E068E5" w:rsidRPr="00E068E5" w:rsidRDefault="00E068E5" w:rsidP="00E068E5">
      <w:r w:rsidRPr="00E068E5">
        <w:rPr>
          <w:b/>
          <w:bCs/>
          <w:color w:val="3672B0" w:themeColor="accent2"/>
          <w:lang w:eastAsia="nb-NO"/>
        </w:rPr>
        <w:t>Vi har gjennomført alternative kapitalberegninger basert på et relativt rikt datasett, der KOSTRA og nasjonalregnskapet fra Statistisk sentralbyrå utgjør de mest sentrale datakildene.</w:t>
      </w:r>
      <w:r w:rsidRPr="00E068E5">
        <w:rPr>
          <w:color w:val="3672B0" w:themeColor="accent2"/>
          <w:lang w:eastAsia="nb-NO"/>
        </w:rPr>
        <w:t xml:space="preserve"> </w:t>
      </w:r>
      <w:r w:rsidRPr="00E068E5">
        <w:rPr>
          <w:lang w:eastAsia="nb-NO"/>
        </w:rPr>
        <w:t>Fra nasjonalregnskapet har vi hentet ut disaggregerte deflatorer og depresieringsrater etter funksjon og kapitalart, der de sistnevnte er harmonisert til å stemme med kapitalslittallene i KOSTRA. For fast eiendom og anlegg har vi lagt Statistisk sentralbyrås regionale boligprisindekser til grunn for den samlede utviklingen, men justert bygg- og anleggskomponenten basert på funksjonens prisutvikling innenfor denne kapitalarten, sett opp mot prisutviklingen i kommunal sektor samlet. Dette innebærer at kapitalestimatene som bygger på disaggregerte kapitaldeflatorer også innbefatter en regional komponent. Bruken av eiendomspriser gjør formodentlig at målingen av kapitalbeholdningene blir mer presis</w:t>
      </w:r>
      <w:r w:rsidR="00384682">
        <w:rPr>
          <w:lang w:eastAsia="nb-NO"/>
        </w:rPr>
        <w:t>. Grepet</w:t>
      </w:r>
      <w:r w:rsidRPr="00E068E5">
        <w:rPr>
          <w:lang w:eastAsia="nb-NO"/>
        </w:rPr>
        <w:t xml:space="preserve"> kan </w:t>
      </w:r>
      <w:r w:rsidR="00384682">
        <w:rPr>
          <w:lang w:eastAsia="nb-NO"/>
        </w:rPr>
        <w:t xml:space="preserve">imidlertid </w:t>
      </w:r>
      <w:r w:rsidRPr="00E068E5">
        <w:rPr>
          <w:lang w:eastAsia="nb-NO"/>
        </w:rPr>
        <w:t>også betraktes som mindre treffsikkert for deflatering av kapitalslitet enn en bygg- og anleggsindeks, ettersom det er bygg- og anleggskomponenten av eiendommer som depresierer. En begrensning når det gjelder KOSTRA-dataene er at strømningsvariablene knyttet til realkapitalen som hovedregel er oppgitt for fordeling på funksjoner og ikke art, mens det motsatte er tilfellet for beholdningsvariablene. Anslag på kapitalsammensetning basert på datakildene har derfor også spilt inn på harmoniseringen av dataene. Tomteandelen for faste eiendommer og anlegg er kalibrert og anslått til 35 prosent basert på kapitalens levetid, nasjonalregnskapets investeringsdata og forutsetning om 20 prosent tomteandel for nyinvesteringer.</w:t>
      </w:r>
      <w:r w:rsidR="00CF67FA" w:rsidRPr="00CF67FA">
        <w:rPr>
          <w:lang w:eastAsia="nb-NO"/>
        </w:rPr>
        <w:t xml:space="preserve"> </w:t>
      </w:r>
      <w:r w:rsidR="00CF67FA" w:rsidRPr="008A009D">
        <w:rPr>
          <w:lang w:eastAsia="nb-NO"/>
        </w:rPr>
        <w:t xml:space="preserve">Vi anbefaler at KOSTRA-rapporteringen </w:t>
      </w:r>
      <w:r w:rsidR="00CF67FA">
        <w:rPr>
          <w:lang w:eastAsia="nb-NO"/>
        </w:rPr>
        <w:t xml:space="preserve">i framtiden </w:t>
      </w:r>
      <w:r w:rsidR="00CF67FA" w:rsidRPr="008A009D">
        <w:rPr>
          <w:lang w:eastAsia="nb-NO"/>
        </w:rPr>
        <w:t>legger opp til å inkludere kapitalbeholdninger og kapitalstrømmer på både art og funksjon, slik at beregningsgrunnlaget for kapitalkostnadene bedrer seg med tiden.</w:t>
      </w:r>
      <w:r w:rsidR="00CF67FA">
        <w:rPr>
          <w:lang w:eastAsia="nb-NO"/>
        </w:rPr>
        <w:t xml:space="preserve"> </w:t>
      </w:r>
      <w:r w:rsidR="00CF67FA" w:rsidRPr="008A009D">
        <w:rPr>
          <w:lang w:eastAsia="nb-NO"/>
        </w:rPr>
        <w:t>Videre bør beregningene åpenbart bygge på de mest disaggregerte dataene med god datakvalitet som Statistisk sentralbyrå kan oppdrive over tid, herunder data på kapitaldeflatorer, depresieringsrater og kapitalsammensetning over funksjoner innen kommunal sektor.</w:t>
      </w:r>
    </w:p>
    <w:p w14:paraId="7DE5D26C" w14:textId="31FF8813" w:rsidR="00E068E5" w:rsidRPr="00E068E5" w:rsidRDefault="00E068E5" w:rsidP="00E068E5">
      <w:pPr>
        <w:rPr>
          <w:lang w:eastAsia="nb-NO"/>
        </w:rPr>
      </w:pPr>
      <w:r w:rsidRPr="00E068E5">
        <w:rPr>
          <w:b/>
          <w:bCs/>
          <w:color w:val="3672B0" w:themeColor="accent2"/>
          <w:lang w:eastAsia="nb-NO"/>
        </w:rPr>
        <w:t>Kommunenes realkapitalbeholdninger lar seg måle på rimelig</w:t>
      </w:r>
      <w:r w:rsidR="00B21991">
        <w:rPr>
          <w:b/>
          <w:bCs/>
          <w:color w:val="3672B0" w:themeColor="accent2"/>
          <w:lang w:eastAsia="nb-NO"/>
        </w:rPr>
        <w:t>e</w:t>
      </w:r>
      <w:r w:rsidRPr="00E068E5">
        <w:rPr>
          <w:b/>
          <w:bCs/>
          <w:color w:val="3672B0" w:themeColor="accent2"/>
          <w:lang w:eastAsia="nb-NO"/>
        </w:rPr>
        <w:t xml:space="preserve"> robust</w:t>
      </w:r>
      <w:r w:rsidR="00B21991">
        <w:rPr>
          <w:b/>
          <w:bCs/>
          <w:color w:val="3672B0" w:themeColor="accent2"/>
          <w:lang w:eastAsia="nb-NO"/>
        </w:rPr>
        <w:t>e</w:t>
      </w:r>
      <w:r w:rsidRPr="00E068E5">
        <w:rPr>
          <w:b/>
          <w:bCs/>
          <w:color w:val="3672B0" w:themeColor="accent2"/>
          <w:lang w:eastAsia="nb-NO"/>
        </w:rPr>
        <w:t xml:space="preserve"> måte</w:t>
      </w:r>
      <w:r w:rsidR="00B21991">
        <w:rPr>
          <w:b/>
          <w:bCs/>
          <w:color w:val="3672B0" w:themeColor="accent2"/>
          <w:lang w:eastAsia="nb-NO"/>
        </w:rPr>
        <w:t>r</w:t>
      </w:r>
      <w:r w:rsidRPr="00E068E5">
        <w:rPr>
          <w:b/>
          <w:bCs/>
          <w:color w:val="3672B0" w:themeColor="accent2"/>
          <w:lang w:eastAsia="nb-NO"/>
        </w:rPr>
        <w:t xml:space="preserve"> med «Direkte Metode» (DM) og «Perpetual Inventory Model» (PIM), selv om estimatene fanger opp til dels ulike ting, og deres størrelsesorden er beheftet med noe usikkerhet. </w:t>
      </w:r>
      <w:r w:rsidRPr="00E068E5">
        <w:rPr>
          <w:lang w:eastAsia="nb-NO"/>
        </w:rPr>
        <w:t xml:space="preserve">I våre empiriske undersøkelser måler vi realkapitalbeholdningen til norske primærkommuner og fylkeskommuner med en variant av DM basert på historisk kost og fem varianter av PIM basert på oppdaterte priser. Vi beregner kapitalbeholdningen med PIM både over kapitalarter med disaggregerte kapitaldeflatorer og disaggregerte depresiseringsrater, og over tjenestefunksjoner med </w:t>
      </w:r>
      <w:r w:rsidRPr="00E068E5">
        <w:rPr>
          <w:lang w:eastAsia="nb-NO"/>
        </w:rPr>
        <w:lastRenderedPageBreak/>
        <w:t xml:space="preserve">kombinasjoner av disaggregerte kapitaldeflatorer og disaggregerte depresiseringsrater. Vi tar utgangspunkt i KOSTRA-data etter både funksjon og kapitalart, og varierer forutsetningene knyttet til heterogeniteten i kapitalmassen, herunder prisvekst og levetid. De resulterende settene av estimater er sterkt korrelerte med hverandre. Våre samlede kapitalestimater for kommunal sektor varierer fra 1,05 billioner kroner ved DM til 1,83 billioner kroner ved PIM estimert på funksjonsnivå med aggregerte kapitalkjennetegn. DM-estimatene er annerledes enn PIM-estimatene av natur, siden de fokuserer på historiske innkjøpsutgifter heller enn dagens kapitalverdier. De samlede PIM-estimatene med disaggregerte kjennetegn er derimot relativt like, til tross for ulikt datagrunnlag, nærmere bestemt 1,66 billioner kroner ved estimering med basis i funksjoner og 1,75 billioner kroner ved estimering med basis i kapitalarter. Kapitalmassen i kommunal sektor domineres av fast eiendom og anlegg, med grunnskole som den største funksjonen </w:t>
      </w:r>
      <w:r w:rsidR="00BF2B15">
        <w:rPr>
          <w:lang w:eastAsia="nb-NO"/>
        </w:rPr>
        <w:t>i</w:t>
      </w:r>
      <w:r w:rsidRPr="00E068E5">
        <w:rPr>
          <w:lang w:eastAsia="nb-NO"/>
        </w:rPr>
        <w:t xml:space="preserve"> primærkommunene og samferdsel som den største funksjonen </w:t>
      </w:r>
      <w:r w:rsidR="00BF2B15">
        <w:rPr>
          <w:lang w:eastAsia="nb-NO"/>
        </w:rPr>
        <w:t>i</w:t>
      </w:r>
      <w:r w:rsidRPr="00E068E5">
        <w:rPr>
          <w:lang w:eastAsia="nb-NO"/>
        </w:rPr>
        <w:t xml:space="preserve"> fylkeskommunene.</w:t>
      </w:r>
    </w:p>
    <w:p w14:paraId="12EF4954" w14:textId="4364FDB5" w:rsidR="003B477F" w:rsidRPr="00E068E5" w:rsidRDefault="00E068E5" w:rsidP="00E068E5">
      <w:pPr>
        <w:rPr>
          <w:lang w:eastAsia="nb-NO"/>
        </w:rPr>
      </w:pPr>
      <w:r w:rsidRPr="00E068E5">
        <w:rPr>
          <w:b/>
          <w:bCs/>
          <w:color w:val="3672B0" w:themeColor="accent2"/>
          <w:lang w:eastAsia="nb-NO"/>
        </w:rPr>
        <w:t xml:space="preserve">I våre empiriske analyser utforsker vi en løpende rente tilsvarende summen av kalkylerenten for de kommunale selvkosttjenestene og et risikopåslag, og en fast rente tilsvarende det offentliges realavkastningskrav på bruttoinvesteringer omregnet til et nominelt krav. </w:t>
      </w:r>
      <w:r w:rsidRPr="00E068E5">
        <w:rPr>
          <w:lang w:eastAsia="nb-NO"/>
        </w:rPr>
        <w:t xml:space="preserve">Risikopremien til kalkylerenten til kommunal sektor anslås til 1,5 prosent, basert på vurderingene til Hagen-utvalget. For den faste renten er realavkastningskravet på 4 prosent, mens en inflasjonsforventning på 2 prosent ligger til grunn for omregningen til nominelle termer. Gjeldsrenten primærkommunene møter tenderer til å være synkende med sentralitet, mens den samlede gjeldsgraden tenderer til å være økende med sentralitet. Siden egenkapitalen </w:t>
      </w:r>
      <w:r w:rsidR="00174E82">
        <w:rPr>
          <w:lang w:eastAsia="nb-NO"/>
        </w:rPr>
        <w:t>på grunn av risikoeksponering</w:t>
      </w:r>
      <w:r w:rsidRPr="00E068E5">
        <w:rPr>
          <w:lang w:eastAsia="nb-NO"/>
        </w:rPr>
        <w:t xml:space="preserve"> kan antas å stå overfor en høyere rente enn gjelden, får vi to motstridende effekter på den samlede renten. Dette taler for at vi </w:t>
      </w:r>
      <w:r w:rsidR="0068081F">
        <w:rPr>
          <w:lang w:eastAsia="nb-NO"/>
        </w:rPr>
        <w:t xml:space="preserve">med rimelighet </w:t>
      </w:r>
      <w:r w:rsidRPr="00E068E5">
        <w:rPr>
          <w:lang w:eastAsia="nb-NO"/>
        </w:rPr>
        <w:t xml:space="preserve">kan </w:t>
      </w:r>
      <w:r w:rsidR="00521C1B">
        <w:rPr>
          <w:lang w:eastAsia="nb-NO"/>
        </w:rPr>
        <w:t>fo</w:t>
      </w:r>
      <w:r w:rsidR="0068081F">
        <w:rPr>
          <w:lang w:eastAsia="nb-NO"/>
        </w:rPr>
        <w:t>rutsette</w:t>
      </w:r>
      <w:r w:rsidRPr="00E068E5">
        <w:rPr>
          <w:lang w:eastAsia="nb-NO"/>
        </w:rPr>
        <w:t xml:space="preserve"> samme rente for alle kommuner, skjønt tilsvarende analyser for fylkeskommunene er tvetydige. I prinsippet kunne beregningsgrunnlaget for rentekostnadene vært bredere enn realkapitalbasen, </w:t>
      </w:r>
      <w:r w:rsidR="000712B0">
        <w:rPr>
          <w:lang w:eastAsia="nb-NO"/>
        </w:rPr>
        <w:t>siden</w:t>
      </w:r>
      <w:r w:rsidRPr="00E068E5">
        <w:rPr>
          <w:lang w:eastAsia="nb-NO"/>
        </w:rPr>
        <w:t xml:space="preserve"> </w:t>
      </w:r>
      <w:r w:rsidR="00D325A4">
        <w:rPr>
          <w:lang w:eastAsia="nb-NO"/>
        </w:rPr>
        <w:t xml:space="preserve">en del </w:t>
      </w:r>
      <w:r w:rsidR="000712B0">
        <w:rPr>
          <w:lang w:eastAsia="nb-NO"/>
        </w:rPr>
        <w:t>former for</w:t>
      </w:r>
      <w:r w:rsidRPr="00E068E5">
        <w:rPr>
          <w:lang w:eastAsia="nb-NO"/>
        </w:rPr>
        <w:t xml:space="preserve"> omløpsmidle</w:t>
      </w:r>
      <w:r w:rsidR="000712B0">
        <w:rPr>
          <w:lang w:eastAsia="nb-NO"/>
        </w:rPr>
        <w:t>r</w:t>
      </w:r>
      <w:r w:rsidRPr="00E068E5">
        <w:rPr>
          <w:lang w:eastAsia="nb-NO"/>
        </w:rPr>
        <w:t xml:space="preserve"> også innebærer begrensede muligheter for avkastning. Blant de mest aktuelle kapitalartene er imidlertid varelageret begrenset og fordringer kun aktuelt for et mindre utvalg av kommunene, hvilket bidrar til at vi ikke anbefaler å gå i denne retningen.</w:t>
      </w:r>
    </w:p>
    <w:p w14:paraId="75D77F36" w14:textId="03C6BE57" w:rsidR="008A009D" w:rsidRPr="008A009D" w:rsidRDefault="008A009D" w:rsidP="008A009D">
      <w:pPr>
        <w:rPr>
          <w:lang w:eastAsia="nb-NO"/>
        </w:rPr>
      </w:pPr>
      <w:r w:rsidRPr="008A009D">
        <w:rPr>
          <w:b/>
          <w:bCs/>
          <w:color w:val="3672B0" w:themeColor="accent2"/>
          <w:lang w:eastAsia="nb-NO"/>
        </w:rPr>
        <w:t xml:space="preserve">Ulike tilnærminger til målingen av kapitalkostnader eller kapitalutgifter gir i hovedsak sterkt korrelerte mål, men nivåene på de ulike målene varierer til dels betraktelig. </w:t>
      </w:r>
      <w:r w:rsidRPr="008A009D">
        <w:rPr>
          <w:lang w:eastAsia="nb-NO"/>
        </w:rPr>
        <w:t xml:space="preserve">Med basis i anslagene på kapitalbeholdningene estimerer vi alternative mål for kapitalkostnader og kapitalutgifter. Målene innbefatter bruttoinvesteringsutgifter, bruttoinvesteringsstrømmer og kapitalslit målt ved DM og PIM. I tillegg har vi inkludert kostnadsmål som legger rentekostnader til kapitalslitet, og i ett tilfelle kapitaltjenester, som også fanger opp prisveksten på kapitalen. Utenom korrelasjonene med bruttoinvesteringsvariablene ligger samtlige korrelasjonskoeffisienter </w:t>
      </w:r>
      <w:r w:rsidR="00772F94">
        <w:rPr>
          <w:lang w:eastAsia="nb-NO"/>
        </w:rPr>
        <w:t xml:space="preserve">mellom </w:t>
      </w:r>
      <w:r w:rsidR="00917A10">
        <w:rPr>
          <w:lang w:eastAsia="nb-NO"/>
        </w:rPr>
        <w:t xml:space="preserve">målene </w:t>
      </w:r>
      <w:r w:rsidRPr="008A009D">
        <w:rPr>
          <w:lang w:eastAsia="nb-NO"/>
        </w:rPr>
        <w:t>på godt over 85 prosent</w:t>
      </w:r>
      <w:r w:rsidR="00917A10">
        <w:rPr>
          <w:lang w:eastAsia="nb-NO"/>
        </w:rPr>
        <w:t xml:space="preserve"> for</w:t>
      </w:r>
      <w:r w:rsidRPr="008A009D">
        <w:rPr>
          <w:lang w:eastAsia="nb-NO"/>
        </w:rPr>
        <w:t xml:space="preserve"> både primærkommunene og fylkeskommunene. Som for realkapitalbeholdningene er størrelsesorden på kapitalslitestimatene vesentlig høyere for PIM enn for DM. Usikkerhet knyttet til kapitalens levetid og prisvekst gir relativt små utslag på størrelsesforholdene innbyrdes mellom kommunene og kun moderate utslag på kapitalbeholdningens omfang.</w:t>
      </w:r>
    </w:p>
    <w:p w14:paraId="673840F6" w14:textId="300CD104" w:rsidR="008A009D" w:rsidRPr="008A009D" w:rsidRDefault="008A009D" w:rsidP="008A009D">
      <w:pPr>
        <w:rPr>
          <w:lang w:eastAsia="nb-NO"/>
        </w:rPr>
      </w:pPr>
      <w:r w:rsidRPr="008A009D">
        <w:rPr>
          <w:b/>
          <w:bCs/>
          <w:color w:val="3672B0" w:themeColor="accent2"/>
          <w:lang w:eastAsia="nb-NO"/>
        </w:rPr>
        <w:t xml:space="preserve">Kapitalkostnadsmålene er sterkt korrelert med sentrale </w:t>
      </w:r>
      <w:r w:rsidR="007310BB">
        <w:rPr>
          <w:b/>
          <w:bCs/>
          <w:color w:val="3672B0" w:themeColor="accent2"/>
          <w:lang w:eastAsia="nb-NO"/>
        </w:rPr>
        <w:t>utgift</w:t>
      </w:r>
      <w:r w:rsidRPr="008A009D">
        <w:rPr>
          <w:b/>
          <w:bCs/>
          <w:color w:val="3672B0" w:themeColor="accent2"/>
          <w:lang w:eastAsia="nb-NO"/>
        </w:rPr>
        <w:t xml:space="preserve">selementer i </w:t>
      </w:r>
      <w:r w:rsidR="006B6961">
        <w:rPr>
          <w:b/>
          <w:bCs/>
          <w:color w:val="3672B0" w:themeColor="accent2"/>
          <w:lang w:eastAsia="nb-NO"/>
        </w:rPr>
        <w:t>de kommunale</w:t>
      </w:r>
      <w:r w:rsidR="004B6472">
        <w:rPr>
          <w:b/>
          <w:bCs/>
          <w:color w:val="3672B0" w:themeColor="accent2"/>
          <w:lang w:eastAsia="nb-NO"/>
        </w:rPr>
        <w:t xml:space="preserve"> </w:t>
      </w:r>
      <w:r w:rsidRPr="008A009D">
        <w:rPr>
          <w:b/>
          <w:bCs/>
          <w:color w:val="3672B0" w:themeColor="accent2"/>
          <w:lang w:eastAsia="nb-NO"/>
        </w:rPr>
        <w:t>driftsregnskap</w:t>
      </w:r>
      <w:r w:rsidR="006B6961">
        <w:rPr>
          <w:b/>
          <w:bCs/>
          <w:color w:val="3672B0" w:themeColor="accent2"/>
          <w:lang w:eastAsia="nb-NO"/>
        </w:rPr>
        <w:t>ene</w:t>
      </w:r>
      <w:r w:rsidRPr="008A009D">
        <w:rPr>
          <w:b/>
          <w:bCs/>
          <w:color w:val="3672B0" w:themeColor="accent2"/>
          <w:lang w:eastAsia="nb-NO"/>
        </w:rPr>
        <w:t xml:space="preserve"> og fanger opp forhold i omgivelsene som bruttodriftsutgiftene ikke gjør.</w:t>
      </w:r>
      <w:r w:rsidRPr="008A009D">
        <w:rPr>
          <w:color w:val="3672B0" w:themeColor="accent2"/>
          <w:lang w:eastAsia="nb-NO"/>
        </w:rPr>
        <w:t xml:space="preserve"> </w:t>
      </w:r>
      <w:r w:rsidRPr="008A009D">
        <w:rPr>
          <w:lang w:eastAsia="nb-NO"/>
        </w:rPr>
        <w:t xml:space="preserve">Forholdene i omgivelsene vedrører demografisk utvikling, geografi, næringsøkonomi og skalaegenskaper. Både for primærkommunene og fylkeskommunene er kapitalkostnadsmålene per innbygger i hovedsak sterkt korrelert med bruttodriftsutgifter per innbygger. De fleste korrelasjonskoeffisientene ligger i sjiktet mellom 75 og 85 prosent. Våre undersøkelser viser </w:t>
      </w:r>
      <w:r w:rsidRPr="008A009D">
        <w:rPr>
          <w:lang w:eastAsia="nb-NO"/>
        </w:rPr>
        <w:lastRenderedPageBreak/>
        <w:t xml:space="preserve">videre betydelig korrelasjon mellom kapitalkostnadsmålene per innbygger og utvalgte geografiske og sosioøkonomiske forhold i omgivelsene, skjønt korrelasjonene tenderer til å være enda sterkere ved tilsvarende analyser for bruttodriftsutgifter og omgivelsene. På tjenestefunksjonsnivå er imidlertid korrelasjonskoeffisientene mellom bruttodriftsutgifter og kapitalkostnadene for tjenestene som inngår i utgiftsutjevningen i primærkommunene kun i sjiktet mellom 10 og 50 prosent, mens de </w:t>
      </w:r>
      <w:r w:rsidR="000E50B8">
        <w:rPr>
          <w:lang w:eastAsia="nb-NO"/>
        </w:rPr>
        <w:t xml:space="preserve">i hovedsak </w:t>
      </w:r>
      <w:r w:rsidRPr="008A009D">
        <w:rPr>
          <w:lang w:eastAsia="nb-NO"/>
        </w:rPr>
        <w:t xml:space="preserve">ligger mellom </w:t>
      </w:r>
      <w:r w:rsidR="000E50B8">
        <w:rPr>
          <w:lang w:eastAsia="nb-NO"/>
        </w:rPr>
        <w:t>7</w:t>
      </w:r>
      <w:r w:rsidRPr="008A009D">
        <w:rPr>
          <w:lang w:eastAsia="nb-NO"/>
        </w:rPr>
        <w:t xml:space="preserve">0 og </w:t>
      </w:r>
      <w:r w:rsidR="00E60141">
        <w:rPr>
          <w:lang w:eastAsia="nb-NO"/>
        </w:rPr>
        <w:t>9</w:t>
      </w:r>
      <w:r w:rsidRPr="008A009D">
        <w:rPr>
          <w:lang w:eastAsia="nb-NO"/>
        </w:rPr>
        <w:t xml:space="preserve">0 prosent for fylkeskommunene. Når vi betinger eller kontrollerer for bruttodriftsutgifter i regresjonsanalyser for primærkommunene, forblir mange av sammenhengene mellom kapitalkostnadsmålene og de kontekstuelle variablene signifikante. Primærkommuner med kjennetegn som man typisk finner i sentrale strøk tenderer til å ha relativt </w:t>
      </w:r>
      <w:r w:rsidR="00A42EE9">
        <w:rPr>
          <w:lang w:eastAsia="nb-NO"/>
        </w:rPr>
        <w:t>lave</w:t>
      </w:r>
      <w:r w:rsidRPr="008A009D">
        <w:rPr>
          <w:lang w:eastAsia="nb-NO"/>
        </w:rPr>
        <w:t xml:space="preserve"> kapitalkostnader</w:t>
      </w:r>
      <w:r w:rsidR="007012F0">
        <w:rPr>
          <w:lang w:eastAsia="nb-NO"/>
        </w:rPr>
        <w:t xml:space="preserve"> per innbygger</w:t>
      </w:r>
      <w:r w:rsidRPr="008A009D">
        <w:rPr>
          <w:lang w:eastAsia="nb-NO"/>
        </w:rPr>
        <w:t>, også etter at man betinger på sammenhengen mellom bruttodriftsutgiftene og hvert av de respektive kjennetegnene.</w:t>
      </w:r>
      <w:r w:rsidR="00400E89">
        <w:rPr>
          <w:lang w:eastAsia="nb-NO"/>
        </w:rPr>
        <w:t xml:space="preserve"> </w:t>
      </w:r>
      <w:r w:rsidR="007A0868">
        <w:rPr>
          <w:lang w:eastAsia="nb-NO"/>
        </w:rPr>
        <w:t>L</w:t>
      </w:r>
      <w:r w:rsidR="00400E89">
        <w:rPr>
          <w:lang w:eastAsia="nb-NO"/>
        </w:rPr>
        <w:t xml:space="preserve">ikevel </w:t>
      </w:r>
      <w:r w:rsidR="007A0868">
        <w:rPr>
          <w:lang w:eastAsia="nb-NO"/>
        </w:rPr>
        <w:t>er</w:t>
      </w:r>
      <w:r w:rsidR="00400E89">
        <w:rPr>
          <w:lang w:eastAsia="nb-NO"/>
        </w:rPr>
        <w:t xml:space="preserve"> </w:t>
      </w:r>
      <w:r w:rsidR="00CB6498">
        <w:rPr>
          <w:lang w:eastAsia="nb-NO"/>
        </w:rPr>
        <w:t>befolkningskonsentrasjon</w:t>
      </w:r>
      <w:r w:rsidR="007A0868">
        <w:rPr>
          <w:lang w:eastAsia="nb-NO"/>
        </w:rPr>
        <w:t xml:space="preserve">en i seg selv assosiert med </w:t>
      </w:r>
      <w:r w:rsidR="008F7D9D" w:rsidRPr="008A009D">
        <w:rPr>
          <w:lang w:eastAsia="nb-NO"/>
        </w:rPr>
        <w:t xml:space="preserve">relativt </w:t>
      </w:r>
      <w:r w:rsidR="008F7D9D">
        <w:rPr>
          <w:lang w:eastAsia="nb-NO"/>
        </w:rPr>
        <w:t>lave</w:t>
      </w:r>
      <w:r w:rsidR="008F7D9D" w:rsidRPr="008A009D">
        <w:rPr>
          <w:lang w:eastAsia="nb-NO"/>
        </w:rPr>
        <w:t xml:space="preserve"> kapitalkostnader</w:t>
      </w:r>
      <w:r w:rsidR="008F7D9D">
        <w:rPr>
          <w:lang w:eastAsia="nb-NO"/>
        </w:rPr>
        <w:t xml:space="preserve"> per innbygger</w:t>
      </w:r>
      <w:r w:rsidR="00400E89">
        <w:rPr>
          <w:lang w:eastAsia="nb-NO"/>
        </w:rPr>
        <w:t>.</w:t>
      </w:r>
    </w:p>
    <w:p w14:paraId="7421116E" w14:textId="77777777" w:rsidR="008A009D" w:rsidRPr="008A009D" w:rsidRDefault="008A009D" w:rsidP="008A009D">
      <w:pPr>
        <w:rPr>
          <w:lang w:eastAsia="nb-NO"/>
        </w:rPr>
      </w:pPr>
      <w:r w:rsidRPr="008A009D">
        <w:rPr>
          <w:b/>
          <w:bCs/>
          <w:color w:val="3672B0" w:themeColor="accent2"/>
          <w:lang w:eastAsia="nb-NO"/>
        </w:rPr>
        <w:t>Våre regresjonsanalyser av alternative kostnadsmål og de eksisterende kriteriene i utgiftsutjevningen gir relativt få signifikante resultater på tvers av sektorer.</w:t>
      </w:r>
      <w:r w:rsidRPr="008A009D">
        <w:rPr>
          <w:color w:val="3672B0" w:themeColor="accent2"/>
          <w:lang w:eastAsia="nb-NO"/>
        </w:rPr>
        <w:t xml:space="preserve"> </w:t>
      </w:r>
      <w:r w:rsidRPr="008A009D">
        <w:rPr>
          <w:lang w:eastAsia="nb-NO"/>
        </w:rPr>
        <w:t>Like fullt trekker ulike kapitalkostnadsmål koeffisientene til systemkriteriene i utgiftsutjevningen i samme retning når utslagene av å inkludere dem er betydelige. I tilknytning til inntektssystemet for primærkommunene foretar vi regresjonsanalyser for kriterievektene over funksjoner, tilsvarende Inntektssystemutvalgets regresjoner med bruttodriftsutgifter som utfallsvariabler. I tillegg til bruttodriftsutgifter opererer vi med tre alternative utfallsvariabler, der anslag for kapitalkostnadene er lagt til bruttodriftsutgiftene, i tillegg til en rekke dekomponeringer av kostnadene. Kapitalkostnadsvariablene i regresjonene er kapitalslit målt ved DM og ved PIM på funksjonsnivå, der sistnevnte variabel måles med og uten løpende rentekostnader. Inkludering av kapitalkostnader i utfallsvariabelen forandrer like fullt ikke regresjonsresultatene for kriterievektene radikalt. Videre blir mange av regresjonsresultatene insignifikante når kapitalkostnadene brukes alene som utfallsvariabler. Til sammenlikning synes valg av analyseår å ha vel så stor betydning for regresjonsresultatene. For fylkeskommunene foretar vi enkle korrelasjonsanalyser mellom kostnadsmålene og kriteriene, som jevnt over viser sterk korrelasjon på tvers av tjenesteområdene i inntektssystemets utgiftsutjevning.</w:t>
      </w:r>
    </w:p>
    <w:p w14:paraId="33A690AA" w14:textId="10F08483" w:rsidR="008A009D" w:rsidRPr="008A009D" w:rsidRDefault="008A009D" w:rsidP="008A009D">
      <w:pPr>
        <w:rPr>
          <w:lang w:eastAsia="nb-NO"/>
        </w:rPr>
      </w:pPr>
      <w:r w:rsidRPr="008A009D">
        <w:rPr>
          <w:b/>
          <w:bCs/>
          <w:color w:val="3672B0" w:themeColor="accent2"/>
          <w:lang w:eastAsia="nb-NO"/>
        </w:rPr>
        <w:t>Vår overordnede anbefaling er å forsøke å finne hensiktsmessige måter å inkludere kapitalkostnadene i inntektssystemet på, uten at det kan forventes å gi radikale utslag i utgiftsutjevningen.</w:t>
      </w:r>
      <w:r w:rsidRPr="008A009D">
        <w:rPr>
          <w:color w:val="3672B0" w:themeColor="accent2"/>
          <w:lang w:eastAsia="nb-NO"/>
        </w:rPr>
        <w:t xml:space="preserve"> </w:t>
      </w:r>
      <w:r w:rsidRPr="008A009D">
        <w:rPr>
          <w:lang w:eastAsia="nb-NO"/>
        </w:rPr>
        <w:t xml:space="preserve">Vi har vist at kapitalkostnadene lar seg måle forholdsvis nøyaktig, der mesteparten av usikkerheten er knyttet til nivå og ikke til de relative forskjellene mellom kommunene. Videre har vi vist at bruttodriftsutgifter er en utilstrekkelig proxy for kapitalkostnadene over tjenestefunksjoner, særlig for primærkommunene. Samtidig er kapitalkostnadene tett korrelert med forhold i omgivelsene. Prinsipielt bør kapitalkostnadene inkluderes i inntektssystemet for primærkommunene, da de utgjør en vesentlig andel av deres kostnadsbyrde. Dette vil etter vår vurdering bidra til at inntektsutjevningen predikerer kostnadsvariasjoner på en mer treffsikker måte og med dette gjør kommunene bedre i stand til å yte likeverdige tjenester overfor innbyggerne sine, selv ved enkelte målefeil i kapitalkostnadene. Dersom man legger kapitalkostnadene til bruttodriftsutgiftene i utgiftsutjevningen, vil det både påvirke nivået på kostnadene og variasjonen i de samlede kostnadene. Inkludering av kapitalkostnader i regresjonene for kriterievektene for primærkommunene gir imidlertid relativt svake resultater. Sektorbehandlingen av kapitalkostnadene vil for gitte systemkriterier ikke innebære vesentlige endringer i kriterievektene for primærkommunene, men beløpene til </w:t>
      </w:r>
      <w:r w:rsidRPr="008A009D">
        <w:rPr>
          <w:lang w:eastAsia="nb-NO"/>
        </w:rPr>
        <w:lastRenderedPageBreak/>
        <w:t xml:space="preserve">omfordeling endres. Vi anbefaler at det undersøkes nærmere om man kan finne kriterier som er mer relevant for kapitalkostnadene enten i </w:t>
      </w:r>
      <w:r w:rsidR="00582E34">
        <w:rPr>
          <w:lang w:eastAsia="nb-NO"/>
        </w:rPr>
        <w:t xml:space="preserve">en </w:t>
      </w:r>
      <w:r w:rsidRPr="008A009D">
        <w:rPr>
          <w:lang w:eastAsia="nb-NO"/>
        </w:rPr>
        <w:t xml:space="preserve">felles regresjon med eller </w:t>
      </w:r>
      <w:r w:rsidR="007C1EF3">
        <w:rPr>
          <w:lang w:eastAsia="nb-NO"/>
        </w:rPr>
        <w:t xml:space="preserve">i en </w:t>
      </w:r>
      <w:r w:rsidRPr="008A009D">
        <w:rPr>
          <w:lang w:eastAsia="nb-NO"/>
        </w:rPr>
        <w:t xml:space="preserve">separat regresjon fra bruttodriftsutgiftene. Dersom dette ikke fører fram, kan man alternativt undersøke om en kriterieregresjon på et aggregert nivå kan gi grunnlag for en aggregert kompensasjon. Det er også et alternativ å benytte bruttoinvesteringsstrømmer som utfallsvariabel i kriteriefunksjonene. For å ta hensyn til at denne variabelen varierer betydelig år for år kan man i så fall benytte paneldatametodikk over flere år framfor tversnittanalyser. Først etter at </w:t>
      </w:r>
      <w:r w:rsidR="00044122">
        <w:rPr>
          <w:lang w:eastAsia="nb-NO"/>
        </w:rPr>
        <w:t>disse</w:t>
      </w:r>
      <w:r w:rsidRPr="008A009D">
        <w:rPr>
          <w:lang w:eastAsia="nb-NO"/>
        </w:rPr>
        <w:t xml:space="preserve"> regresjonsanalyse</w:t>
      </w:r>
      <w:r w:rsidR="00044122">
        <w:rPr>
          <w:lang w:eastAsia="nb-NO"/>
        </w:rPr>
        <w:t>ne</w:t>
      </w:r>
      <w:r w:rsidRPr="008A009D">
        <w:rPr>
          <w:lang w:eastAsia="nb-NO"/>
        </w:rPr>
        <w:t xml:space="preserve"> eventuelt gir negative resultater, bør man legge tanken om kompensasjon </w:t>
      </w:r>
      <w:r w:rsidR="00C20C70">
        <w:rPr>
          <w:lang w:eastAsia="nb-NO"/>
        </w:rPr>
        <w:t xml:space="preserve">for kapitalkostnader </w:t>
      </w:r>
      <w:r w:rsidRPr="008A009D">
        <w:rPr>
          <w:lang w:eastAsia="nb-NO"/>
        </w:rPr>
        <w:t xml:space="preserve">for primærkommunene bort. Variabelusikkerhet er ellers langt fra et nytt fenomen i inntektssystemet. Man kan også snu på problemstillingen ved å betrakte utelatelsen av kapitalkostnader fra utfallsvariabelen som en vesentlig målefeil, når utgangspunktet er at disse kostnadene </w:t>
      </w:r>
      <w:r w:rsidR="00C20C70">
        <w:rPr>
          <w:lang w:eastAsia="nb-NO"/>
        </w:rPr>
        <w:t xml:space="preserve">også </w:t>
      </w:r>
      <w:r w:rsidRPr="008A009D">
        <w:rPr>
          <w:lang w:eastAsia="nb-NO"/>
        </w:rPr>
        <w:t>skal dekkes av utgiftsutjevningen. Om kapitalkostnadene går inn i inntektssystemet, vil departementet ha mulighet til å bygge estimatene i kriterieregresjonene på enda mer presise underlagsdata enn vi har kunnet benytte i våre undersøkelser med tanke på kapitalens egenskaper og data på funksjonsnivå.</w:t>
      </w:r>
    </w:p>
    <w:p w14:paraId="18088C39" w14:textId="4FFD65C4" w:rsidR="008A009D" w:rsidRDefault="000D47A8" w:rsidP="00E554AA">
      <w:r w:rsidRPr="000D47A8">
        <w:rPr>
          <w:b/>
          <w:bCs/>
          <w:color w:val="3672B0" w:themeColor="accent2"/>
          <w:lang w:eastAsia="nb-NO"/>
        </w:rPr>
        <w:t>Dersom man lykkes med å finne en hensiktsmessig måte å inkludere kapitalkostnader i utgiftsutjevningen på, anbefaler vi i behandlingen av kapitalslitet lik vekting av DM-estimatet og PIM-estimatet utregnet på tjenestefunksjonsnivå med disaggregerte parametere, eventuelt at man bare anvender sistnevnte estimat.</w:t>
      </w:r>
      <w:r w:rsidR="008A009D" w:rsidRPr="00700427">
        <w:rPr>
          <w:color w:val="3672B0" w:themeColor="accent2"/>
          <w:lang w:eastAsia="nb-NO"/>
        </w:rPr>
        <w:t xml:space="preserve"> </w:t>
      </w:r>
      <w:r w:rsidR="008A009D" w:rsidRPr="008A009D">
        <w:rPr>
          <w:lang w:eastAsia="nb-NO"/>
        </w:rPr>
        <w:t xml:space="preserve">Tidligere utredninger har lagt vekt på at PIM-estimatene bør ha forrang framfor DM-estimatene, fordi de bygger på oppdaterte priser og ikke historiske kostnader. </w:t>
      </w:r>
      <w:r w:rsidR="00F332F2" w:rsidRPr="00F332F2">
        <w:rPr>
          <w:lang w:eastAsia="nb-NO"/>
        </w:rPr>
        <w:t>PIM-estimatene bygger på mer realistiske beholdningsstørrelser for realkapitalen enn DM, som generelt undervurderer kapitalverdiene.</w:t>
      </w:r>
      <w:r w:rsidR="008A009D" w:rsidRPr="008A009D">
        <w:rPr>
          <w:lang w:eastAsia="nb-NO"/>
        </w:rPr>
        <w:t xml:space="preserve"> Videre er verdivurderinger ved PIM i motsetning fra DM konsistent med betraktninger om alternative anvendelser, der leie og omsetning av kapital utgjør reelle muligheter. Samtidig gjenspeiler DM-estimatene </w:t>
      </w:r>
      <w:r w:rsidR="00D254A8">
        <w:rPr>
          <w:lang w:eastAsia="nb-NO"/>
        </w:rPr>
        <w:t>mer direkte</w:t>
      </w:r>
      <w:r w:rsidR="008A009D" w:rsidRPr="008A009D">
        <w:rPr>
          <w:lang w:eastAsia="nb-NO"/>
        </w:rPr>
        <w:t xml:space="preserve"> hva kommunene faktisk har måttet betale for sine historiske investeringer og får ikke implisitt med prisgevinster på deler av kapitalmassen som ikke skal omsettes. DM-estimatene er heller ikke avhengig av komplekse kapitalberegninger, </w:t>
      </w:r>
      <w:r w:rsidR="00DC2F38">
        <w:rPr>
          <w:lang w:eastAsia="nb-NO"/>
        </w:rPr>
        <w:t xml:space="preserve">de </w:t>
      </w:r>
      <w:r w:rsidR="008A009D" w:rsidRPr="008A009D">
        <w:rPr>
          <w:lang w:eastAsia="nb-NO"/>
        </w:rPr>
        <w:t>innbefatter statistikk med bred aksept blant kommunene</w:t>
      </w:r>
      <w:r w:rsidR="00DC2F38">
        <w:rPr>
          <w:lang w:eastAsia="nb-NO"/>
        </w:rPr>
        <w:t>,</w:t>
      </w:r>
      <w:r w:rsidR="008A009D" w:rsidRPr="008A009D">
        <w:rPr>
          <w:lang w:eastAsia="nb-NO"/>
        </w:rPr>
        <w:t xml:space="preserve"> og </w:t>
      </w:r>
      <w:r w:rsidR="00DC2F38">
        <w:rPr>
          <w:lang w:eastAsia="nb-NO"/>
        </w:rPr>
        <w:t xml:space="preserve">de </w:t>
      </w:r>
      <w:r w:rsidR="008A009D" w:rsidRPr="008A009D">
        <w:rPr>
          <w:lang w:eastAsia="nb-NO"/>
        </w:rPr>
        <w:t>bygger på mer disaggregert informasjon enn det som ellers er synlig i KOSTRA. Det er imidlertid ikke uproblematisk å summere kapitalinvesteringer med kroneverdier fra ulike år</w:t>
      </w:r>
      <w:r w:rsidR="008775D7">
        <w:rPr>
          <w:lang w:eastAsia="nb-NO"/>
        </w:rPr>
        <w:t xml:space="preserve"> uten </w:t>
      </w:r>
      <w:r w:rsidR="00625AF3">
        <w:rPr>
          <w:lang w:eastAsia="nb-NO"/>
        </w:rPr>
        <w:t xml:space="preserve">en gang </w:t>
      </w:r>
      <w:r w:rsidR="008775D7">
        <w:rPr>
          <w:lang w:eastAsia="nb-NO"/>
        </w:rPr>
        <w:t>å ta hensyn til generell inflasjon</w:t>
      </w:r>
      <w:r w:rsidR="008A009D" w:rsidRPr="008A009D">
        <w:rPr>
          <w:lang w:eastAsia="nb-NO"/>
        </w:rPr>
        <w:t>, slik man gjør ved DM. PIM-estimatene baker derimot implisitt inn prisutviklingen på kapitalen, som gitt kapitalsammensetningen som regel vil domineres av verdiøkningen på eiendom over tid. Når det ikke er utsikt</w:t>
      </w:r>
      <w:r w:rsidR="006B4EC8">
        <w:rPr>
          <w:lang w:eastAsia="nb-NO"/>
        </w:rPr>
        <w:t>er</w:t>
      </w:r>
      <w:r w:rsidR="008A009D" w:rsidRPr="008A009D">
        <w:rPr>
          <w:lang w:eastAsia="nb-NO"/>
        </w:rPr>
        <w:t xml:space="preserve"> til avhending </w:t>
      </w:r>
      <w:r w:rsidR="007F217B">
        <w:rPr>
          <w:lang w:eastAsia="nb-NO"/>
        </w:rPr>
        <w:t xml:space="preserve">eller leie </w:t>
      </w:r>
      <w:r w:rsidR="008A009D" w:rsidRPr="008A009D">
        <w:rPr>
          <w:lang w:eastAsia="nb-NO"/>
        </w:rPr>
        <w:t xml:space="preserve">av eiendommer, kan </w:t>
      </w:r>
      <w:r w:rsidR="00435CF2">
        <w:rPr>
          <w:lang w:eastAsia="nb-NO"/>
        </w:rPr>
        <w:t xml:space="preserve">inkludering av </w:t>
      </w:r>
      <w:r w:rsidR="008A009D" w:rsidRPr="008A009D">
        <w:rPr>
          <w:lang w:eastAsia="nb-NO"/>
        </w:rPr>
        <w:t xml:space="preserve">prisveksten i kapitalslitet og rentekostnadene </w:t>
      </w:r>
      <w:r w:rsidR="00CB428C">
        <w:rPr>
          <w:lang w:eastAsia="nb-NO"/>
        </w:rPr>
        <w:t xml:space="preserve">i </w:t>
      </w:r>
      <w:r w:rsidR="00CB428C" w:rsidRPr="008A009D">
        <w:rPr>
          <w:lang w:eastAsia="nb-NO"/>
        </w:rPr>
        <w:t>PIM-estimatene</w:t>
      </w:r>
      <w:r w:rsidR="00CB428C">
        <w:rPr>
          <w:lang w:eastAsia="nb-NO"/>
        </w:rPr>
        <w:t xml:space="preserve"> </w:t>
      </w:r>
      <w:r w:rsidR="008A009D" w:rsidRPr="008A009D">
        <w:rPr>
          <w:lang w:eastAsia="nb-NO"/>
        </w:rPr>
        <w:t xml:space="preserve">være </w:t>
      </w:r>
      <w:r w:rsidR="00CB428C" w:rsidRPr="008A009D">
        <w:rPr>
          <w:lang w:eastAsia="nb-NO"/>
        </w:rPr>
        <w:t>problematisk</w:t>
      </w:r>
      <w:r w:rsidR="00D376D9">
        <w:rPr>
          <w:lang w:eastAsia="nb-NO"/>
        </w:rPr>
        <w:t>, ettersom</w:t>
      </w:r>
      <w:r w:rsidR="008A009D" w:rsidRPr="008A009D">
        <w:rPr>
          <w:lang w:eastAsia="nb-NO"/>
        </w:rPr>
        <w:t xml:space="preserve"> kapitalkostnadene vurderes som lave på grunn av en salgs</w:t>
      </w:r>
      <w:r w:rsidR="007F217B">
        <w:rPr>
          <w:lang w:eastAsia="nb-NO"/>
        </w:rPr>
        <w:t>- eller leie</w:t>
      </w:r>
      <w:r w:rsidR="008A009D" w:rsidRPr="008A009D">
        <w:rPr>
          <w:lang w:eastAsia="nb-NO"/>
        </w:rPr>
        <w:t xml:space="preserve">mulighet som er </w:t>
      </w:r>
      <w:r w:rsidR="00683AEA">
        <w:rPr>
          <w:lang w:eastAsia="nb-NO"/>
        </w:rPr>
        <w:t>u</w:t>
      </w:r>
      <w:r w:rsidR="008A009D" w:rsidRPr="008A009D">
        <w:rPr>
          <w:lang w:eastAsia="nb-NO"/>
        </w:rPr>
        <w:t xml:space="preserve">aktuell. Bygg og anlegg </w:t>
      </w:r>
      <w:r w:rsidR="00D32C2D">
        <w:rPr>
          <w:lang w:eastAsia="nb-NO"/>
        </w:rPr>
        <w:t xml:space="preserve">vil </w:t>
      </w:r>
      <w:r w:rsidR="008A009D" w:rsidRPr="008A009D">
        <w:rPr>
          <w:lang w:eastAsia="nb-NO"/>
        </w:rPr>
        <w:t>i slike tilfeller være relativt viktig for reinvesteringer i eiendom, samtidig som tomteprisen øke</w:t>
      </w:r>
      <w:r w:rsidR="00394262">
        <w:rPr>
          <w:lang w:eastAsia="nb-NO"/>
        </w:rPr>
        <w:t>r</w:t>
      </w:r>
      <w:r w:rsidR="008A009D" w:rsidRPr="008A009D">
        <w:rPr>
          <w:lang w:eastAsia="nb-NO"/>
        </w:rPr>
        <w:t xml:space="preserve"> relativt mye, uten at tomtens andel av eiendomsverdien er kjent. </w:t>
      </w:r>
      <w:r w:rsidR="00823BC8">
        <w:rPr>
          <w:lang w:eastAsia="nb-NO"/>
        </w:rPr>
        <w:t>Årlige s</w:t>
      </w:r>
      <w:r w:rsidR="000F4712">
        <w:rPr>
          <w:lang w:eastAsia="nb-NO"/>
        </w:rPr>
        <w:t>vingninger i</w:t>
      </w:r>
      <w:r w:rsidR="00304DC0" w:rsidRPr="00304DC0">
        <w:rPr>
          <w:lang w:eastAsia="nb-NO"/>
        </w:rPr>
        <w:t xml:space="preserve"> verdi</w:t>
      </w:r>
      <w:r w:rsidR="000F4712">
        <w:rPr>
          <w:lang w:eastAsia="nb-NO"/>
        </w:rPr>
        <w:t>veksten</w:t>
      </w:r>
      <w:r w:rsidR="00304DC0" w:rsidRPr="00304DC0">
        <w:rPr>
          <w:lang w:eastAsia="nb-NO"/>
        </w:rPr>
        <w:t xml:space="preserve"> </w:t>
      </w:r>
      <w:r w:rsidR="004074C7">
        <w:rPr>
          <w:lang w:eastAsia="nb-NO"/>
        </w:rPr>
        <w:t>kan</w:t>
      </w:r>
      <w:r w:rsidR="000D0015">
        <w:rPr>
          <w:lang w:eastAsia="nb-NO"/>
        </w:rPr>
        <w:t xml:space="preserve"> også</w:t>
      </w:r>
      <w:r w:rsidR="00304DC0" w:rsidRPr="00304DC0">
        <w:rPr>
          <w:lang w:eastAsia="nb-NO"/>
        </w:rPr>
        <w:t xml:space="preserve"> bidra til ustabilitet i </w:t>
      </w:r>
      <w:r w:rsidR="005F068C">
        <w:rPr>
          <w:lang w:eastAsia="nb-NO"/>
        </w:rPr>
        <w:t xml:space="preserve">de </w:t>
      </w:r>
      <w:r w:rsidR="00304DC0" w:rsidRPr="00304DC0">
        <w:rPr>
          <w:lang w:eastAsia="nb-NO"/>
        </w:rPr>
        <w:t>målte kapitalkostnaden</w:t>
      </w:r>
      <w:r w:rsidR="00C74092">
        <w:rPr>
          <w:lang w:eastAsia="nb-NO"/>
        </w:rPr>
        <w:t>e</w:t>
      </w:r>
      <w:r w:rsidR="005F068C">
        <w:rPr>
          <w:lang w:eastAsia="nb-NO"/>
        </w:rPr>
        <w:t xml:space="preserve"> over tid</w:t>
      </w:r>
      <w:r w:rsidR="004074C7">
        <w:rPr>
          <w:lang w:eastAsia="nb-NO"/>
        </w:rPr>
        <w:t>,</w:t>
      </w:r>
      <w:r w:rsidR="00304DC0" w:rsidRPr="00304DC0">
        <w:rPr>
          <w:lang w:eastAsia="nb-NO"/>
        </w:rPr>
        <w:t xml:space="preserve"> </w:t>
      </w:r>
      <w:r w:rsidR="00823BC8">
        <w:rPr>
          <w:lang w:eastAsia="nb-NO"/>
        </w:rPr>
        <w:t>med påfølgende konsekvenser for forutsigbarhet og forankring</w:t>
      </w:r>
      <w:r w:rsidR="00304DC0" w:rsidRPr="00304DC0">
        <w:rPr>
          <w:lang w:eastAsia="nb-NO"/>
        </w:rPr>
        <w:t>.</w:t>
      </w:r>
      <w:r w:rsidR="00304DC0">
        <w:rPr>
          <w:lang w:eastAsia="nb-NO"/>
        </w:rPr>
        <w:t xml:space="preserve"> </w:t>
      </w:r>
      <w:r w:rsidR="009C61A8" w:rsidRPr="008A009D">
        <w:rPr>
          <w:lang w:eastAsia="nb-NO"/>
        </w:rPr>
        <w:t>PIM</w:t>
      </w:r>
      <w:r w:rsidR="009C61A8">
        <w:rPr>
          <w:lang w:eastAsia="nb-NO"/>
        </w:rPr>
        <w:t>-antakelsen om e</w:t>
      </w:r>
      <w:r w:rsidR="002567AB" w:rsidRPr="008A009D">
        <w:rPr>
          <w:lang w:eastAsia="nb-NO"/>
        </w:rPr>
        <w:t>n geometrisk</w:t>
      </w:r>
      <w:r w:rsidR="002567AB">
        <w:rPr>
          <w:lang w:eastAsia="nb-NO"/>
        </w:rPr>
        <w:t xml:space="preserve"> depresieringsbane</w:t>
      </w:r>
      <w:r w:rsidR="008A009D" w:rsidRPr="008A009D">
        <w:rPr>
          <w:lang w:eastAsia="nb-NO"/>
        </w:rPr>
        <w:t xml:space="preserve"> </w:t>
      </w:r>
      <w:r w:rsidR="00290A70">
        <w:rPr>
          <w:lang w:eastAsia="nb-NO"/>
        </w:rPr>
        <w:t xml:space="preserve">for kapitalvolumet </w:t>
      </w:r>
      <w:r w:rsidR="008A009D" w:rsidRPr="008A009D">
        <w:rPr>
          <w:lang w:eastAsia="nb-NO"/>
        </w:rPr>
        <w:t>vurderes gjerne som mer realistisk enn den lineære depresieringsbanen antatt ved DM</w:t>
      </w:r>
      <w:r w:rsidR="00B93075">
        <w:rPr>
          <w:lang w:eastAsia="nb-NO"/>
        </w:rPr>
        <w:t>.</w:t>
      </w:r>
      <w:r w:rsidR="008A009D" w:rsidRPr="008A009D">
        <w:rPr>
          <w:lang w:eastAsia="nb-NO"/>
        </w:rPr>
        <w:t xml:space="preserve"> Alt i alt er det argumenter</w:t>
      </w:r>
      <w:r w:rsidR="004D3EAD">
        <w:rPr>
          <w:lang w:eastAsia="nb-NO"/>
        </w:rPr>
        <w:t xml:space="preserve"> både i favør av PIM og i favør av DM</w:t>
      </w:r>
      <w:r w:rsidR="008A009D" w:rsidRPr="008A009D">
        <w:rPr>
          <w:lang w:eastAsia="nb-NO"/>
        </w:rPr>
        <w:t xml:space="preserve">, skjønt PIM </w:t>
      </w:r>
      <w:r w:rsidR="00601402">
        <w:rPr>
          <w:lang w:eastAsia="nb-NO"/>
        </w:rPr>
        <w:t>kan</w:t>
      </w:r>
      <w:r w:rsidR="006723A6">
        <w:rPr>
          <w:lang w:eastAsia="nb-NO"/>
        </w:rPr>
        <w:t xml:space="preserve"> forventes å</w:t>
      </w:r>
      <w:r w:rsidR="008A009D" w:rsidRPr="008A009D">
        <w:rPr>
          <w:lang w:eastAsia="nb-NO"/>
        </w:rPr>
        <w:t xml:space="preserve"> gjenspeile de reelle kostnadene best. Vi finner det derfor fornuftig å vekte de to kapitalkostnadsmålene likt eller eventuelt bare bruke PIM</w:t>
      </w:r>
      <w:r w:rsidR="001845C3">
        <w:rPr>
          <w:lang w:eastAsia="nb-NO"/>
        </w:rPr>
        <w:t>-estimatene</w:t>
      </w:r>
      <w:r w:rsidR="008A009D" w:rsidRPr="008A009D">
        <w:rPr>
          <w:lang w:eastAsia="nb-NO"/>
        </w:rPr>
        <w:t xml:space="preserve">. </w:t>
      </w:r>
      <w:r w:rsidR="00E55321" w:rsidRPr="00E55321">
        <w:rPr>
          <w:lang w:eastAsia="nb-NO"/>
        </w:rPr>
        <w:t xml:space="preserve">På grunn av </w:t>
      </w:r>
      <w:r w:rsidR="00BF78B5">
        <w:rPr>
          <w:lang w:eastAsia="nb-NO"/>
        </w:rPr>
        <w:t xml:space="preserve">at </w:t>
      </w:r>
      <w:r w:rsidR="00C82C05">
        <w:rPr>
          <w:lang w:eastAsia="nb-NO"/>
        </w:rPr>
        <w:t xml:space="preserve">de </w:t>
      </w:r>
      <w:r w:rsidR="00BF78B5">
        <w:rPr>
          <w:lang w:eastAsia="nb-NO"/>
        </w:rPr>
        <w:t>kommunale tjenesteforpliktelse</w:t>
      </w:r>
      <w:r w:rsidR="00C82C05">
        <w:rPr>
          <w:lang w:eastAsia="nb-NO"/>
        </w:rPr>
        <w:t>ne</w:t>
      </w:r>
      <w:r w:rsidR="00BF78B5">
        <w:rPr>
          <w:lang w:eastAsia="nb-NO"/>
        </w:rPr>
        <w:t xml:space="preserve"> innebærer </w:t>
      </w:r>
      <w:r w:rsidR="00E55321" w:rsidRPr="00E55321">
        <w:rPr>
          <w:lang w:eastAsia="nb-NO"/>
        </w:rPr>
        <w:t>langsiktige kapitalbindinger</w:t>
      </w:r>
      <w:r w:rsidR="00BF78B5">
        <w:rPr>
          <w:lang w:eastAsia="nb-NO"/>
        </w:rPr>
        <w:t>,</w:t>
      </w:r>
      <w:r w:rsidR="00E55321" w:rsidRPr="00E55321">
        <w:rPr>
          <w:lang w:eastAsia="nb-NO"/>
        </w:rPr>
        <w:t xml:space="preserve"> anbefaler vi å ekskludere pris</w:t>
      </w:r>
      <w:r w:rsidR="001E5DED">
        <w:rPr>
          <w:lang w:eastAsia="nb-NO"/>
        </w:rPr>
        <w:t>veksten</w:t>
      </w:r>
      <w:r w:rsidR="00E55321" w:rsidRPr="00E55321">
        <w:rPr>
          <w:lang w:eastAsia="nb-NO"/>
        </w:rPr>
        <w:t xml:space="preserve"> på kapital</w:t>
      </w:r>
      <w:r w:rsidR="00623FEB">
        <w:rPr>
          <w:lang w:eastAsia="nb-NO"/>
        </w:rPr>
        <w:t>en</w:t>
      </w:r>
      <w:r w:rsidR="00E55321" w:rsidRPr="00E55321">
        <w:rPr>
          <w:lang w:eastAsia="nb-NO"/>
        </w:rPr>
        <w:t xml:space="preserve"> fra utgiftsutjevningen</w:t>
      </w:r>
      <w:r w:rsidR="000E1513">
        <w:rPr>
          <w:lang w:eastAsia="nb-NO"/>
        </w:rPr>
        <w:t>. Like fullt trekker</w:t>
      </w:r>
      <w:r w:rsidR="00E55321" w:rsidRPr="00E55321">
        <w:rPr>
          <w:lang w:eastAsia="nb-NO"/>
        </w:rPr>
        <w:t xml:space="preserve"> </w:t>
      </w:r>
      <w:r w:rsidR="004B2DFC">
        <w:rPr>
          <w:lang w:eastAsia="nb-NO"/>
        </w:rPr>
        <w:t>hensynet til</w:t>
      </w:r>
      <w:r w:rsidR="00E55321" w:rsidRPr="00E55321">
        <w:rPr>
          <w:lang w:eastAsia="nb-NO"/>
        </w:rPr>
        <w:t xml:space="preserve"> </w:t>
      </w:r>
      <w:r w:rsidR="00E55321" w:rsidRPr="00C33C4E">
        <w:rPr>
          <w:lang w:eastAsia="nb-NO"/>
        </w:rPr>
        <w:t>alternative anvendelser</w:t>
      </w:r>
      <w:r w:rsidR="00E554AA">
        <w:rPr>
          <w:lang w:eastAsia="nb-NO"/>
        </w:rPr>
        <w:t xml:space="preserve"> og </w:t>
      </w:r>
      <w:r w:rsidR="008847C1">
        <w:rPr>
          <w:lang w:eastAsia="nb-NO"/>
        </w:rPr>
        <w:t xml:space="preserve">den </w:t>
      </w:r>
      <w:r w:rsidR="00E554AA">
        <w:rPr>
          <w:lang w:eastAsia="nb-NO"/>
        </w:rPr>
        <w:t>implisitt</w:t>
      </w:r>
      <w:r w:rsidR="008847C1">
        <w:rPr>
          <w:lang w:eastAsia="nb-NO"/>
        </w:rPr>
        <w:t>e</w:t>
      </w:r>
      <w:r w:rsidR="00E554AA">
        <w:rPr>
          <w:lang w:eastAsia="nb-NO"/>
        </w:rPr>
        <w:t xml:space="preserve"> inkludering av prisveksten i</w:t>
      </w:r>
      <w:r w:rsidR="00B03649" w:rsidRPr="00C33C4E">
        <w:t xml:space="preserve"> </w:t>
      </w:r>
      <w:r w:rsidR="00A2095B" w:rsidRPr="00C33C4E">
        <w:t>beregnings</w:t>
      </w:r>
      <w:r w:rsidR="00B03649" w:rsidRPr="00C33C4E">
        <w:t xml:space="preserve">grunnlaget </w:t>
      </w:r>
      <w:r w:rsidR="00420B12">
        <w:t>for</w:t>
      </w:r>
      <w:r w:rsidR="00B03649" w:rsidRPr="00C33C4E">
        <w:t xml:space="preserve"> </w:t>
      </w:r>
      <w:r w:rsidR="001A4442">
        <w:t>de øvrige kapitalkostnadene</w:t>
      </w:r>
      <w:r w:rsidR="00A2095B" w:rsidRPr="00C33C4E">
        <w:t xml:space="preserve"> ved PIM</w:t>
      </w:r>
      <w:r w:rsidR="001569C8">
        <w:t xml:space="preserve"> i motsatt retning.</w:t>
      </w:r>
    </w:p>
    <w:p w14:paraId="1AF81E9B" w14:textId="1234DC33" w:rsidR="008A009D" w:rsidRPr="008A009D" w:rsidRDefault="008A009D" w:rsidP="008A009D">
      <w:pPr>
        <w:rPr>
          <w:lang w:eastAsia="nb-NO"/>
        </w:rPr>
      </w:pPr>
      <w:r w:rsidRPr="00700427">
        <w:rPr>
          <w:b/>
          <w:bCs/>
          <w:color w:val="3672B0" w:themeColor="accent2"/>
          <w:lang w:eastAsia="nb-NO"/>
        </w:rPr>
        <w:lastRenderedPageBreak/>
        <w:t xml:space="preserve">Videre tar vi til orde for at rentekostnadene i </w:t>
      </w:r>
      <w:r w:rsidR="003C30CC" w:rsidRPr="003C30CC">
        <w:rPr>
          <w:b/>
          <w:bCs/>
          <w:color w:val="3672B0" w:themeColor="accent2"/>
          <w:lang w:eastAsia="nb-NO"/>
        </w:rPr>
        <w:t xml:space="preserve">utgiftsutjevningen </w:t>
      </w:r>
      <w:r w:rsidRPr="00700427">
        <w:rPr>
          <w:b/>
          <w:bCs/>
          <w:color w:val="3672B0" w:themeColor="accent2"/>
          <w:lang w:eastAsia="nb-NO"/>
        </w:rPr>
        <w:t xml:space="preserve">bør måles </w:t>
      </w:r>
      <w:r w:rsidR="002538AC">
        <w:rPr>
          <w:b/>
          <w:bCs/>
          <w:color w:val="3672B0" w:themeColor="accent2"/>
          <w:lang w:eastAsia="nb-NO"/>
        </w:rPr>
        <w:t>ved bruk av</w:t>
      </w:r>
      <w:r w:rsidRPr="00700427">
        <w:rPr>
          <w:b/>
          <w:bCs/>
          <w:color w:val="3672B0" w:themeColor="accent2"/>
          <w:lang w:eastAsia="nb-NO"/>
        </w:rPr>
        <w:t xml:space="preserve"> en langsiktig rente med et risikopåslag med utgangspunkt i kapitalbeholdningen som ligger til grunn for målingen.</w:t>
      </w:r>
      <w:r w:rsidRPr="00700427">
        <w:rPr>
          <w:color w:val="3672B0" w:themeColor="accent2"/>
          <w:lang w:eastAsia="nb-NO"/>
        </w:rPr>
        <w:t xml:space="preserve"> </w:t>
      </w:r>
      <w:r w:rsidRPr="008A009D">
        <w:rPr>
          <w:lang w:eastAsia="nb-NO"/>
        </w:rPr>
        <w:t>Så lenge kalkylerenten for kommunal sektor er satt til nullkupongrenten med fem års løpetid og et påslag på 0,5 prosent, foreslår vi å benytte denne som grunnrente. Det bør vurderes om en annen mer stabil rente bør legges til grunn for kalkylerenten, for eksempel en langsiktig NIBOR-rente. Videre anbefaler vi å legge til en risikopremie. I utgangspunktet framstår 1,5 prosent som anbefalt av Hagen-utvalget som et naturlig valg. Volatiliteten i kalkylerenten kan være en utfordring, så en fast og inflasjonsjustert realavkastningsmål kan være en mulighet. Et slikt alternativ vil imidlertid i liten grad fange opp svingninger i kommunenes kostnadsbyrde på kort sikt, hvilket taler imot. I lys av nedjusteringer av forventet produktivitetsvekst i Finansdepartementets perspektivmelding og debatten om eventuell nedjustering av realavkastningskravet på offentlige infrastrukturinvesteringer kan det imidlertid vurderes om påslaget eller rentefoten bør reduseres. Ettersom omfanget av andre kapitalbindinger med begrenset avkastning utover realkapitalen er begrenset, anbefaler vi kun å benytte realkapitalbeholdningen som beregningsgrunnlag for rentekostnadene. Når det gjelder hvilket anslag på realkapitalbeholdningen som bør legges til grunn</w:t>
      </w:r>
      <w:r w:rsidR="001D3E1A">
        <w:rPr>
          <w:lang w:eastAsia="nb-NO"/>
        </w:rPr>
        <w:t xml:space="preserve"> for renteberegningene</w:t>
      </w:r>
      <w:r w:rsidRPr="008A009D">
        <w:rPr>
          <w:lang w:eastAsia="nb-NO"/>
        </w:rPr>
        <w:t xml:space="preserve">, anbefaler vi å benytte kapitalbeholdningen som </w:t>
      </w:r>
      <w:r w:rsidR="00561A27">
        <w:rPr>
          <w:lang w:eastAsia="nb-NO"/>
        </w:rPr>
        <w:t>danner grunnlaget for</w:t>
      </w:r>
      <w:r w:rsidRPr="008A009D">
        <w:rPr>
          <w:lang w:eastAsia="nb-NO"/>
        </w:rPr>
        <w:t xml:space="preserve"> beregningen av kapitalslitet. Dette </w:t>
      </w:r>
      <w:r w:rsidR="00161888">
        <w:rPr>
          <w:lang w:eastAsia="nb-NO"/>
        </w:rPr>
        <w:t>innebærer</w:t>
      </w:r>
      <w:r w:rsidRPr="008A009D">
        <w:rPr>
          <w:lang w:eastAsia="nb-NO"/>
        </w:rPr>
        <w:t xml:space="preserve"> å vekte realkapitalbeholdningene målt ved DM og PIM likt, eventuelt begrense seg til PIM om dette </w:t>
      </w:r>
      <w:r w:rsidR="00E475F9">
        <w:rPr>
          <w:lang w:eastAsia="nb-NO"/>
        </w:rPr>
        <w:t>utgjør tilnærmingen i</w:t>
      </w:r>
      <w:r w:rsidRPr="008A009D">
        <w:rPr>
          <w:lang w:eastAsia="nb-NO"/>
        </w:rPr>
        <w:t xml:space="preserve"> de øvrige beregningene. Også her handler deler av valget mellom alternativene om hvorvidt man mener det er riktig å inkludere verdiøkningen i realkapitalen i beholdningsestimatet eller ikke. Realismen i kapitalbeholdningene og perspektivet om alternativ anvendelse</w:t>
      </w:r>
      <w:r w:rsidR="00C9111A">
        <w:rPr>
          <w:lang w:eastAsia="nb-NO"/>
        </w:rPr>
        <w:t>r</w:t>
      </w:r>
      <w:r w:rsidRPr="008A009D">
        <w:rPr>
          <w:lang w:eastAsia="nb-NO"/>
        </w:rPr>
        <w:t xml:space="preserve"> taler for PIM, mens utnyttelse av disaggregert regnskapsinformasjon og bred aksept for tallene i kommune-Norge taler for DM.</w:t>
      </w:r>
    </w:p>
    <w:p w14:paraId="11008D89" w14:textId="6746F743" w:rsidR="00484F66" w:rsidRPr="008A009D" w:rsidRDefault="008A009D" w:rsidP="008A009D">
      <w:pPr>
        <w:rPr>
          <w:lang w:eastAsia="nb-NO"/>
        </w:rPr>
      </w:pPr>
      <w:r w:rsidRPr="00700427">
        <w:rPr>
          <w:b/>
          <w:bCs/>
          <w:color w:val="3672B0" w:themeColor="accent2"/>
          <w:lang w:eastAsia="nb-NO"/>
        </w:rPr>
        <w:t xml:space="preserve">Gitt at man lykkes med å finne brukbare kriterier i utjevningen for kapitalkostnadene i primærkommunene, anbefaler vi ikke at kapitalkostnader behandles annerledes for primærkommunene enn for fylkeskommunene i utgiftsutjevningen, da hensynene til estimatsikkerhet og kapitalintensitet trekker i hver sin retning. </w:t>
      </w:r>
      <w:r w:rsidRPr="008A009D">
        <w:rPr>
          <w:lang w:eastAsia="nb-NO"/>
        </w:rPr>
        <w:t xml:space="preserve">Tidligere utredninger argumenterer for at høyere kapitalintensitet i fylkeskommunene enn i primærkommunene tilsier at det er viktigst å kompensere for kapitalkostnader på det høyeste forvaltningsnivået. Inntektssystemet kompenserer allerede i dag for kapitalkostnader forbundet med fylkesveiene og fergeoverganger. Det er imidlertid vesentlig enklere å anslå sammenhenger mellom kapitalkostnader og kriterier i utgiftsutjevningen for primærkommunene enn fylkeskommunene, ettersom det dreier seg om langt flere enheter. Når argumentene veies mot hverandre, ser vi ikke tungtveiende argumenter for at kompensasjon for kapitalkostnader bør være mer aktuelt på det ene forvaltningsnivået enn på det andre. Det er imidlertid et poeng at kapitalkostnadene for fylkeskommunene viser </w:t>
      </w:r>
      <w:r w:rsidR="00477397">
        <w:rPr>
          <w:lang w:eastAsia="nb-NO"/>
        </w:rPr>
        <w:t xml:space="preserve">relativ </w:t>
      </w:r>
      <w:r w:rsidRPr="008A009D">
        <w:rPr>
          <w:lang w:eastAsia="nb-NO"/>
        </w:rPr>
        <w:t xml:space="preserve">sterk korrelasjon med kriteriene for hver tjenestefunksjon i utgiftsutjevningen. Per i dag foreligger ikke systemkriterier for tjenestefunksjonene i primærkommunene som er i stand til å forklare variasjonen i kapitalkostnader mellom primærkommunene på en god måte. Dersom man skulle mislykkes med å finne fornuftige systemkriterier for kapitalkostnadene på primærkommunenivå, bør det ikke stå i veien for å innføre kompensasjon for kapitalkostnader på fylkeskommunenivå utover dagens kompensasjon for fylkesveier med tilhørende ferger. Ettersom korrelasjonene med kriteriene i utgiftsutjevningen for fylkeskommunene </w:t>
      </w:r>
      <w:r w:rsidR="00C3559A">
        <w:rPr>
          <w:lang w:eastAsia="nb-NO"/>
        </w:rPr>
        <w:t>er</w:t>
      </w:r>
      <w:r w:rsidRPr="008A009D">
        <w:rPr>
          <w:lang w:eastAsia="nb-NO"/>
        </w:rPr>
        <w:t xml:space="preserve"> såpass sterke for kapitalkostnadene, bør sektoriell behandling av kapitalkostnadene være utgangspunktet for en slik kompensasjon.</w:t>
      </w:r>
    </w:p>
    <w:p w14:paraId="7F5A298C" w14:textId="760D9AD3" w:rsidR="00A8286E" w:rsidRPr="0055149C" w:rsidRDefault="00AD54A9" w:rsidP="004B0055">
      <w:pPr>
        <w:pStyle w:val="Overskrift1"/>
        <w:numPr>
          <w:ilvl w:val="0"/>
          <w:numId w:val="1"/>
        </w:numPr>
      </w:pPr>
      <w:bookmarkStart w:id="9" w:name="_Ref166966499"/>
      <w:bookmarkStart w:id="10" w:name="_Toc182321003"/>
      <w:r w:rsidRPr="0055149C">
        <w:lastRenderedPageBreak/>
        <w:t>Bakgrunn</w:t>
      </w:r>
      <w:bookmarkEnd w:id="9"/>
      <w:bookmarkEnd w:id="10"/>
    </w:p>
    <w:p w14:paraId="2918A495" w14:textId="04FAD5E2" w:rsidR="00D734A3" w:rsidRPr="0055149C" w:rsidRDefault="001D2327" w:rsidP="00FB1CC2">
      <w:r>
        <w:t xml:space="preserve">Spørsmålet om </w:t>
      </w:r>
      <w:r w:rsidR="00891691">
        <w:t xml:space="preserve">hvorvidt </w:t>
      </w:r>
      <w:r w:rsidR="00D734A3" w:rsidRPr="0055149C">
        <w:t>kapitalkostnader bør tas inn i utgiftsutjevningen i det kommunale inntektssystemet</w:t>
      </w:r>
      <w:r w:rsidR="00891691">
        <w:t xml:space="preserve"> eller ikke,</w:t>
      </w:r>
      <w:r w:rsidR="00D734A3" w:rsidRPr="0055149C">
        <w:t xml:space="preserve"> har vært gjenstand</w:t>
      </w:r>
      <w:r w:rsidR="007E3BC4" w:rsidRPr="0055149C">
        <w:t xml:space="preserve"> for </w:t>
      </w:r>
      <w:r w:rsidR="008A4AF2" w:rsidRPr="0055149C">
        <w:t>tidligere</w:t>
      </w:r>
      <w:r w:rsidR="007E3BC4" w:rsidRPr="0055149C">
        <w:t xml:space="preserve"> vurderinger. Disse bygger </w:t>
      </w:r>
      <w:r w:rsidR="008F762E" w:rsidRPr="0055149C">
        <w:t xml:space="preserve">på </w:t>
      </w:r>
      <w:r w:rsidR="00C14204" w:rsidRPr="0055149C">
        <w:t>betraktninger forbundet med</w:t>
      </w:r>
      <w:r w:rsidR="007E3BC4" w:rsidRPr="0055149C">
        <w:t xml:space="preserve"> </w:t>
      </w:r>
      <w:r w:rsidR="00C14204" w:rsidRPr="0055149C">
        <w:t xml:space="preserve">både </w:t>
      </w:r>
      <w:r w:rsidR="007E3BC4" w:rsidRPr="0055149C">
        <w:t>oppbyggingen av systemet og</w:t>
      </w:r>
      <w:r w:rsidR="00C14204" w:rsidRPr="0055149C">
        <w:t xml:space="preserve"> kapitalestimering i kommunesektoren. I dette kapittelet </w:t>
      </w:r>
      <w:r w:rsidR="008A4AF2" w:rsidRPr="0055149C">
        <w:t xml:space="preserve">vil vi kort redegjøre </w:t>
      </w:r>
      <w:r w:rsidR="00C14204" w:rsidRPr="0055149C">
        <w:t xml:space="preserve">for </w:t>
      </w:r>
      <w:r w:rsidR="008A4AF2" w:rsidRPr="0055149C">
        <w:t xml:space="preserve">utgangspunktet for </w:t>
      </w:r>
      <w:r w:rsidR="0023756D" w:rsidRPr="0055149C">
        <w:t xml:space="preserve">vår </w:t>
      </w:r>
      <w:r w:rsidR="008A4AF2" w:rsidRPr="0055149C">
        <w:t>utredning</w:t>
      </w:r>
      <w:r w:rsidR="0023756D" w:rsidRPr="0055149C">
        <w:t xml:space="preserve"> om håndtering av kapitalkostnader i </w:t>
      </w:r>
      <w:r w:rsidR="003F1855">
        <w:t xml:space="preserve">utgiftsutjevningen og foreta </w:t>
      </w:r>
      <w:r w:rsidR="00900EAC">
        <w:t xml:space="preserve">enkelte </w:t>
      </w:r>
      <w:r w:rsidR="003F1855">
        <w:t>innledende drøftelser</w:t>
      </w:r>
      <w:r w:rsidR="00C14204" w:rsidRPr="0055149C">
        <w:t>.</w:t>
      </w:r>
    </w:p>
    <w:p w14:paraId="75BF05A6" w14:textId="65F30454" w:rsidR="00C3774D" w:rsidRPr="0055149C" w:rsidRDefault="001E747C" w:rsidP="00C3774D">
      <w:pPr>
        <w:pStyle w:val="Overskrift2"/>
      </w:pPr>
      <w:bookmarkStart w:id="11" w:name="_Toc503952725"/>
      <w:bookmarkStart w:id="12" w:name="_Toc58410150"/>
      <w:bookmarkStart w:id="13" w:name="_Toc79414759"/>
      <w:bookmarkStart w:id="14" w:name="_Toc182321004"/>
      <w:r w:rsidRPr="0055149C">
        <w:t>Innledning</w:t>
      </w:r>
      <w:bookmarkEnd w:id="11"/>
      <w:bookmarkEnd w:id="12"/>
      <w:bookmarkEnd w:id="13"/>
      <w:bookmarkEnd w:id="14"/>
    </w:p>
    <w:p w14:paraId="7E17EFDD" w14:textId="14C4503E" w:rsidR="00C3774D" w:rsidRDefault="00C3774D" w:rsidP="00C3774D">
      <w:pPr>
        <w:rPr>
          <w:lang w:eastAsia="nb-NO"/>
        </w:rPr>
      </w:pPr>
      <w:r w:rsidRPr="0055149C">
        <w:rPr>
          <w:lang w:eastAsia="nb-NO"/>
        </w:rPr>
        <w:t>Kommunal- og distriktsdepartementet framhever i Kommuneproposisjonen for 2024 (</w:t>
      </w:r>
      <w:r w:rsidR="00210EAF" w:rsidRPr="00005323">
        <w:t>Kommunal- og distriktsdepartementet 2023b</w:t>
      </w:r>
      <w:r w:rsidRPr="0055149C">
        <w:rPr>
          <w:lang w:eastAsia="nb-NO"/>
        </w:rPr>
        <w:t>) behovet for en helhetlig vurdering av kapitalkostnader i utgiftsutjevningen i inntektssystemet for kommunal sektor. Dette danner bakgrunnen for vårt oppdrag.</w:t>
      </w:r>
    </w:p>
    <w:p w14:paraId="4E22BE00" w14:textId="15D28BAF" w:rsidR="00E01E6A" w:rsidRPr="0055149C" w:rsidRDefault="00E01E6A" w:rsidP="00E01E6A">
      <w:r w:rsidRPr="0055149C">
        <w:t xml:space="preserve">Inntektssystemet for primærkommuner og fylkeskommuner </w:t>
      </w:r>
      <w:r w:rsidR="008A4AF2" w:rsidRPr="0055149C">
        <w:t>er ment å</w:t>
      </w:r>
      <w:r w:rsidRPr="0055149C">
        <w:t xml:space="preserve"> sette de enkelte kommunene i stand til å levere likeverdige tjenester til sine innbyggere med effektiv bruk av sine ressurser. </w:t>
      </w:r>
      <w:r w:rsidR="003C40A2">
        <w:t xml:space="preserve">En liknende begrunnelse er ønsket om </w:t>
      </w:r>
      <w:r w:rsidR="003C40A2" w:rsidRPr="005545DC">
        <w:t>at forskjeller i utgiftsbehovet til kommunene b</w:t>
      </w:r>
      <w:r w:rsidR="003C40A2">
        <w:t>ør</w:t>
      </w:r>
      <w:r w:rsidR="003C40A2" w:rsidRPr="005545DC">
        <w:t xml:space="preserve"> fange</w:t>
      </w:r>
      <w:r w:rsidR="003C40A2">
        <w:t>s</w:t>
      </w:r>
      <w:r w:rsidR="003C40A2" w:rsidRPr="005545DC">
        <w:t xml:space="preserve"> opp </w:t>
      </w:r>
      <w:r w:rsidR="003C40A2">
        <w:t xml:space="preserve">av </w:t>
      </w:r>
      <w:r w:rsidR="003C40A2" w:rsidRPr="00884F28">
        <w:t>utgiftsutjevningen</w:t>
      </w:r>
      <w:r w:rsidR="00CE482A" w:rsidRPr="00884F28">
        <w:t xml:space="preserve"> på en </w:t>
      </w:r>
      <w:r w:rsidR="003C40A2" w:rsidRPr="00884F28">
        <w:t>treffsikker</w:t>
      </w:r>
      <w:r w:rsidR="003C40A2">
        <w:t xml:space="preserve"> måte. </w:t>
      </w:r>
      <w:r w:rsidRPr="0055149C">
        <w:t xml:space="preserve">Kommunene får hoveddelen av sine inntekter gjennom skatter, rammetilskudd og brukerbetalinger </w:t>
      </w:r>
      <w:r w:rsidR="00CB0EA8" w:rsidRPr="0055149C">
        <w:t xml:space="preserve">i form av </w:t>
      </w:r>
      <w:r w:rsidRPr="0055149C">
        <w:t>gebyrer</w:t>
      </w:r>
      <w:r w:rsidR="00CB0EA8" w:rsidRPr="0055149C">
        <w:t xml:space="preserve"> for selvkosttjenester. I til</w:t>
      </w:r>
      <w:r w:rsidR="00FB1CC2" w:rsidRPr="0055149C">
        <w:t>l</w:t>
      </w:r>
      <w:r w:rsidR="00CB0EA8" w:rsidRPr="0055149C">
        <w:t>egg kommer</w:t>
      </w:r>
      <w:r w:rsidRPr="0055149C">
        <w:t xml:space="preserve"> mindre andeler i form av øremerkede tilskudd, </w:t>
      </w:r>
      <w:r w:rsidR="00CB0EA8" w:rsidRPr="0055149C">
        <w:t>moms</w:t>
      </w:r>
      <w:r w:rsidRPr="0055149C">
        <w:t>kompensasjon, finansinntekter og distriktspolitiske tilskudd.</w:t>
      </w:r>
      <w:r w:rsidR="00996DD1">
        <w:rPr>
          <w:rStyle w:val="Fotnotereferanse"/>
        </w:rPr>
        <w:footnoteReference w:id="2"/>
      </w:r>
      <w:r w:rsidRPr="0055149C">
        <w:t xml:space="preserve"> Noen kommuner har også betydelige inntekter fra naturressurser.</w:t>
      </w:r>
    </w:p>
    <w:p w14:paraId="4F66DEAC" w14:textId="4BEC972A" w:rsidR="001E747C" w:rsidRPr="0055149C" w:rsidRDefault="00E01E6A" w:rsidP="000357AE">
      <w:pPr>
        <w:rPr>
          <w:lang w:eastAsia="nb-NO"/>
        </w:rPr>
      </w:pPr>
      <w:r w:rsidRPr="0055149C">
        <w:t xml:space="preserve">Målet om likeverdighet kan operasjonaliseres på flere måter. En mulig presisering er at kommuner som </w:t>
      </w:r>
      <w:r w:rsidR="008F762E" w:rsidRPr="0055149C">
        <w:t>foretar</w:t>
      </w:r>
      <w:r w:rsidRPr="0055149C">
        <w:t xml:space="preserve"> de samme prioriteringe</w:t>
      </w:r>
      <w:r w:rsidR="008F762E" w:rsidRPr="0055149C">
        <w:t>ne</w:t>
      </w:r>
      <w:r w:rsidR="008A4AF2" w:rsidRPr="0055149C">
        <w:t>,</w:t>
      </w:r>
      <w:r w:rsidRPr="0055149C">
        <w:t xml:space="preserve"> også skal kunne yte de samme tjenester per innbygger til sine ulike grupper av innbyggere </w:t>
      </w:r>
      <w:r w:rsidR="00CB0EA8" w:rsidRPr="0055149C">
        <w:t>(</w:t>
      </w:r>
      <w:r w:rsidRPr="0055149C">
        <w:t xml:space="preserve">se Cappelen 2005). Det fordrer at kommuner </w:t>
      </w:r>
      <w:r w:rsidR="00CB0EA8" w:rsidRPr="0055149C">
        <w:t xml:space="preserve">kompenseres for ulempene når de </w:t>
      </w:r>
      <w:r w:rsidRPr="0055149C">
        <w:t>uforskyldt har svake skattegrunnlag eller er dyre i drift som følge av forhold utenfor egen kontroll.</w:t>
      </w:r>
      <w:r w:rsidR="00691B2B">
        <w:t xml:space="preserve"> </w:t>
      </w:r>
      <w:r w:rsidR="001E747C" w:rsidRPr="0055149C">
        <w:rPr>
          <w:lang w:eastAsia="nb-NO"/>
        </w:rPr>
        <w:t xml:space="preserve">Målet med </w:t>
      </w:r>
      <w:r w:rsidR="008A4AF2" w:rsidRPr="0055149C">
        <w:rPr>
          <w:lang w:eastAsia="nb-NO"/>
        </w:rPr>
        <w:t xml:space="preserve">selve </w:t>
      </w:r>
      <w:r w:rsidR="001E747C" w:rsidRPr="0055149C">
        <w:rPr>
          <w:lang w:eastAsia="nb-NO"/>
        </w:rPr>
        <w:t xml:space="preserve">utgiftsutjevningen i inntektssystemet er å </w:t>
      </w:r>
      <w:r w:rsidR="004E6CF2" w:rsidRPr="0055149C">
        <w:rPr>
          <w:lang w:eastAsia="nb-NO"/>
        </w:rPr>
        <w:t xml:space="preserve">bidra til </w:t>
      </w:r>
      <w:r w:rsidR="008A4AF2" w:rsidRPr="0055149C">
        <w:rPr>
          <w:lang w:eastAsia="nb-NO"/>
        </w:rPr>
        <w:t>at</w:t>
      </w:r>
      <w:r w:rsidR="004E6CF2" w:rsidRPr="0055149C">
        <w:rPr>
          <w:lang w:eastAsia="nb-NO"/>
        </w:rPr>
        <w:t xml:space="preserve"> tjeneste</w:t>
      </w:r>
      <w:r w:rsidR="008A4AF2" w:rsidRPr="0055149C">
        <w:rPr>
          <w:lang w:eastAsia="nb-NO"/>
        </w:rPr>
        <w:t>ne blir likeverdige over kommuner</w:t>
      </w:r>
      <w:r w:rsidR="001D0D9B" w:rsidRPr="0055149C">
        <w:rPr>
          <w:lang w:eastAsia="nb-NO"/>
        </w:rPr>
        <w:t xml:space="preserve"> </w:t>
      </w:r>
      <w:r w:rsidR="00CE5D28" w:rsidRPr="0055149C">
        <w:rPr>
          <w:lang w:eastAsia="nb-NO"/>
        </w:rPr>
        <w:t xml:space="preserve">gjennom </w:t>
      </w:r>
      <w:r w:rsidR="004E6CF2" w:rsidRPr="0055149C">
        <w:rPr>
          <w:lang w:eastAsia="nb-NO"/>
        </w:rPr>
        <w:t>kompensasjon for uforskyldt høye kos</w:t>
      </w:r>
      <w:r w:rsidR="001D0D9B" w:rsidRPr="0055149C">
        <w:rPr>
          <w:lang w:eastAsia="nb-NO"/>
        </w:rPr>
        <w:t xml:space="preserve">tnader. </w:t>
      </w:r>
      <w:r w:rsidR="001E747C" w:rsidRPr="0055149C">
        <w:rPr>
          <w:lang w:eastAsia="nb-NO"/>
        </w:rPr>
        <w:t xml:space="preserve">Fra et rent prinsipielt ståsted er det lite grunnlag for å </w:t>
      </w:r>
      <w:r w:rsidR="00AC6F89" w:rsidRPr="0055149C">
        <w:rPr>
          <w:lang w:eastAsia="nb-NO"/>
        </w:rPr>
        <w:t xml:space="preserve">forskjellsbehandle mellom </w:t>
      </w:r>
      <w:r w:rsidR="001E747C" w:rsidRPr="0055149C">
        <w:rPr>
          <w:lang w:eastAsia="nb-NO"/>
        </w:rPr>
        <w:t xml:space="preserve">driftsutgifter og kapitalutgifter i inntektssystemet, </w:t>
      </w:r>
      <w:r w:rsidR="005A5225" w:rsidRPr="0055149C">
        <w:rPr>
          <w:lang w:eastAsia="nb-NO"/>
        </w:rPr>
        <w:t>som</w:t>
      </w:r>
      <w:r w:rsidR="001E747C" w:rsidRPr="0055149C">
        <w:rPr>
          <w:lang w:eastAsia="nb-NO"/>
        </w:rPr>
        <w:t xml:space="preserve"> innebærer at </w:t>
      </w:r>
      <w:r w:rsidR="00D5372F" w:rsidRPr="0055149C">
        <w:rPr>
          <w:lang w:eastAsia="nb-NO"/>
        </w:rPr>
        <w:t>kapitalutgifter i</w:t>
      </w:r>
      <w:r w:rsidR="001E747C" w:rsidRPr="0055149C">
        <w:rPr>
          <w:lang w:eastAsia="nb-NO"/>
        </w:rPr>
        <w:t xml:space="preserve">deelt sett burde </w:t>
      </w:r>
      <w:r w:rsidR="00D5372F" w:rsidRPr="0055149C">
        <w:rPr>
          <w:lang w:eastAsia="nb-NO"/>
        </w:rPr>
        <w:t>utjevnes</w:t>
      </w:r>
      <w:r w:rsidR="001E747C" w:rsidRPr="0055149C">
        <w:rPr>
          <w:lang w:eastAsia="nb-NO"/>
        </w:rPr>
        <w:t>. Tanken er at kostnadsforskjelle</w:t>
      </w:r>
      <w:r w:rsidR="00F25B30" w:rsidRPr="0055149C">
        <w:rPr>
          <w:lang w:eastAsia="nb-NO"/>
        </w:rPr>
        <w:t>r</w:t>
      </w:r>
      <w:r w:rsidR="000357AE" w:rsidRPr="0055149C">
        <w:rPr>
          <w:lang w:eastAsia="nb-NO"/>
        </w:rPr>
        <w:t xml:space="preserve"> mellom kommunene</w:t>
      </w:r>
      <w:r w:rsidR="001E747C" w:rsidRPr="0055149C">
        <w:rPr>
          <w:lang w:eastAsia="nb-NO"/>
        </w:rPr>
        <w:t xml:space="preserve"> </w:t>
      </w:r>
      <w:r w:rsidR="00410B31">
        <w:rPr>
          <w:lang w:eastAsia="nb-NO"/>
        </w:rPr>
        <w:t xml:space="preserve">kan </w:t>
      </w:r>
      <w:r w:rsidR="001E747C" w:rsidRPr="0055149C">
        <w:rPr>
          <w:lang w:eastAsia="nb-NO"/>
        </w:rPr>
        <w:t xml:space="preserve">skyldes forhold utenfor </w:t>
      </w:r>
      <w:r w:rsidR="000357AE" w:rsidRPr="0055149C">
        <w:rPr>
          <w:lang w:eastAsia="nb-NO"/>
        </w:rPr>
        <w:t>deres</w:t>
      </w:r>
      <w:r w:rsidR="001E747C" w:rsidRPr="0055149C">
        <w:rPr>
          <w:lang w:eastAsia="nb-NO"/>
        </w:rPr>
        <w:t xml:space="preserve"> kontroll, som demografiske, </w:t>
      </w:r>
      <w:r w:rsidR="000357AE" w:rsidRPr="0055149C">
        <w:rPr>
          <w:lang w:eastAsia="nb-NO"/>
        </w:rPr>
        <w:t xml:space="preserve">næringsøkonomiske, </w:t>
      </w:r>
      <w:r w:rsidR="001E747C" w:rsidRPr="0055149C">
        <w:rPr>
          <w:lang w:eastAsia="nb-NO"/>
        </w:rPr>
        <w:t>sosioøkonomiske og geografiske forutsetninger.</w:t>
      </w:r>
    </w:p>
    <w:p w14:paraId="200A2A23" w14:textId="57556F25" w:rsidR="001E747C" w:rsidRPr="0055149C" w:rsidRDefault="001E747C" w:rsidP="001E747C">
      <w:pPr>
        <w:rPr>
          <w:lang w:eastAsia="nb-NO"/>
        </w:rPr>
      </w:pPr>
      <w:r w:rsidRPr="0055149C">
        <w:rPr>
          <w:lang w:eastAsia="nb-NO"/>
        </w:rPr>
        <w:t xml:space="preserve">I praksis </w:t>
      </w:r>
      <w:r w:rsidR="008A4AF2" w:rsidRPr="0055149C">
        <w:rPr>
          <w:lang w:eastAsia="nb-NO"/>
        </w:rPr>
        <w:t>kan</w:t>
      </w:r>
      <w:r w:rsidRPr="0055149C">
        <w:rPr>
          <w:lang w:eastAsia="nb-NO"/>
        </w:rPr>
        <w:t xml:space="preserve"> imidlertid ufullstendig datagrunnlag </w:t>
      </w:r>
      <w:r w:rsidR="008A4AF2" w:rsidRPr="0055149C">
        <w:rPr>
          <w:lang w:eastAsia="nb-NO"/>
        </w:rPr>
        <w:t xml:space="preserve">tale </w:t>
      </w:r>
      <w:r w:rsidRPr="0055149C">
        <w:rPr>
          <w:lang w:eastAsia="nb-NO"/>
        </w:rPr>
        <w:t xml:space="preserve">mot å inkludere kapitalkostnader i utgiftsutjevningen i inntektssystemet. Dette er også grunnen til at kapitalkostnader ikke inngår i inntektssystemet i dag med unntak av fylkeskommunenes veiinvesteringer. </w:t>
      </w:r>
      <w:r w:rsidR="008A4AF2" w:rsidRPr="0055149C">
        <w:rPr>
          <w:lang w:eastAsia="nb-NO"/>
        </w:rPr>
        <w:t>Videre blir m</w:t>
      </w:r>
      <w:r w:rsidRPr="0055149C">
        <w:rPr>
          <w:lang w:eastAsia="nb-NO"/>
        </w:rPr>
        <w:t>erverdien av å inkludere kapitalkostnader i utgiftsutjevningen mindre</w:t>
      </w:r>
      <w:r w:rsidR="00FC64A3">
        <w:rPr>
          <w:lang w:eastAsia="nb-NO"/>
        </w:rPr>
        <w:t>,</w:t>
      </w:r>
      <w:r w:rsidRPr="0055149C">
        <w:rPr>
          <w:lang w:eastAsia="nb-NO"/>
        </w:rPr>
        <w:t xml:space="preserve"> dersom kapitalkostnadene er </w:t>
      </w:r>
      <w:r w:rsidR="006D57B1">
        <w:rPr>
          <w:lang w:eastAsia="nb-NO"/>
        </w:rPr>
        <w:t xml:space="preserve">tilnærmet konstante per innbygger både mellom kommuner og mellom sektor, eller dersom de er </w:t>
      </w:r>
      <w:r w:rsidRPr="0055149C">
        <w:rPr>
          <w:lang w:eastAsia="nb-NO"/>
        </w:rPr>
        <w:t xml:space="preserve">tett korrelert med bruttodriftsutgiftene. Tidligere undersøkelser viser at kapitalkostnadene står for en større andel av kostnadsvariasjonene for fylkeskommunene enn </w:t>
      </w:r>
      <w:r w:rsidRPr="0055149C">
        <w:rPr>
          <w:lang w:eastAsia="nb-NO"/>
        </w:rPr>
        <w:lastRenderedPageBreak/>
        <w:t xml:space="preserve">for </w:t>
      </w:r>
      <w:r w:rsidR="008A4AF2" w:rsidRPr="0055149C">
        <w:rPr>
          <w:lang w:eastAsia="nb-NO"/>
        </w:rPr>
        <w:t>primær</w:t>
      </w:r>
      <w:r w:rsidRPr="0055149C">
        <w:rPr>
          <w:lang w:eastAsia="nb-NO"/>
        </w:rPr>
        <w:t>kommunene, e</w:t>
      </w:r>
      <w:r w:rsidR="00FC64A3">
        <w:rPr>
          <w:lang w:eastAsia="nb-NO"/>
        </w:rPr>
        <w:t>t</w:t>
      </w:r>
      <w:r w:rsidRPr="0055149C">
        <w:rPr>
          <w:lang w:eastAsia="nb-NO"/>
        </w:rPr>
        <w:t xml:space="preserve">tersom </w:t>
      </w:r>
      <w:r w:rsidR="005E3EAC" w:rsidRPr="0055149C">
        <w:rPr>
          <w:lang w:eastAsia="nb-NO"/>
        </w:rPr>
        <w:t>fylkeskommunene</w:t>
      </w:r>
      <w:r w:rsidRPr="0055149C">
        <w:rPr>
          <w:lang w:eastAsia="nb-NO"/>
        </w:rPr>
        <w:t xml:space="preserve"> </w:t>
      </w:r>
      <w:r w:rsidR="005E3EAC" w:rsidRPr="0055149C">
        <w:rPr>
          <w:lang w:eastAsia="nb-NO"/>
        </w:rPr>
        <w:t xml:space="preserve">er </w:t>
      </w:r>
      <w:r w:rsidRPr="0055149C">
        <w:rPr>
          <w:lang w:eastAsia="nb-NO"/>
        </w:rPr>
        <w:t xml:space="preserve">mer kapitalintensive (se for eksempel tabell 8 i </w:t>
      </w:r>
      <w:r w:rsidR="00813057" w:rsidRPr="0055149C">
        <w:rPr>
          <w:lang w:eastAsia="nb-NO"/>
        </w:rPr>
        <w:t>Kommunal- og distriktsdepartementet 2022</w:t>
      </w:r>
      <w:r w:rsidR="000357AE" w:rsidRPr="0055149C">
        <w:rPr>
          <w:lang w:eastAsia="nb-NO"/>
        </w:rPr>
        <w:t>).</w:t>
      </w:r>
    </w:p>
    <w:p w14:paraId="40FF3E3B" w14:textId="0C41E646" w:rsidR="001E747C" w:rsidRPr="0055149C" w:rsidRDefault="001E747C" w:rsidP="001E747C">
      <w:pPr>
        <w:rPr>
          <w:color w:val="auto"/>
          <w:lang w:eastAsia="nb-NO"/>
        </w:rPr>
      </w:pPr>
      <w:r w:rsidRPr="0055149C">
        <w:rPr>
          <w:lang w:eastAsia="nb-NO"/>
        </w:rPr>
        <w:t>Kapitalkostnadene består av kapitalslit og rentekostnader</w:t>
      </w:r>
      <w:r w:rsidR="000357AE" w:rsidRPr="0055149C">
        <w:rPr>
          <w:lang w:eastAsia="nb-NO"/>
        </w:rPr>
        <w:t xml:space="preserve">, i tillegg til </w:t>
      </w:r>
      <w:r w:rsidR="0080749F">
        <w:rPr>
          <w:lang w:eastAsia="nb-NO"/>
        </w:rPr>
        <w:t xml:space="preserve">at </w:t>
      </w:r>
      <w:r w:rsidR="000357AE" w:rsidRPr="0055149C">
        <w:rPr>
          <w:lang w:eastAsia="nb-NO"/>
        </w:rPr>
        <w:t>kapitalens prisutvikling vil ha betydning</w:t>
      </w:r>
      <w:r w:rsidRPr="0055149C">
        <w:rPr>
          <w:lang w:eastAsia="nb-NO"/>
        </w:rPr>
        <w:t xml:space="preserve">. I </w:t>
      </w:r>
      <w:r w:rsidR="008E7E43">
        <w:rPr>
          <w:lang w:eastAsia="nb-NO"/>
        </w:rPr>
        <w:t>KOSTRA</w:t>
      </w:r>
      <w:r w:rsidRPr="0055149C">
        <w:rPr>
          <w:lang w:eastAsia="nb-NO"/>
        </w:rPr>
        <w:t xml:space="preserve"> rapporteres de samlede avskrivninger per kommunale </w:t>
      </w:r>
      <w:r w:rsidR="00EB3FC5" w:rsidRPr="0055149C">
        <w:rPr>
          <w:lang w:eastAsia="nb-NO"/>
        </w:rPr>
        <w:t>tjenestefunksjoner</w:t>
      </w:r>
      <w:r w:rsidRPr="0055149C">
        <w:rPr>
          <w:lang w:eastAsia="nb-NO"/>
        </w:rPr>
        <w:t xml:space="preserve"> med utgangspunkt i anskaffelseskostnaden, uten at kapitalslitet kan spores direkte tilbake til de ulike formene for varige driftsmidle</w:t>
      </w:r>
      <w:r w:rsidR="000E117E" w:rsidRPr="0055149C">
        <w:rPr>
          <w:lang w:eastAsia="nb-NO"/>
        </w:rPr>
        <w:t>r</w:t>
      </w:r>
      <w:r w:rsidRPr="0055149C">
        <w:rPr>
          <w:lang w:eastAsia="nb-NO"/>
        </w:rPr>
        <w:t xml:space="preserve"> og immateriell kapital. </w:t>
      </w:r>
      <w:r w:rsidRPr="0055149C">
        <w:rPr>
          <w:color w:val="auto"/>
          <w:lang w:eastAsia="nb-NO"/>
        </w:rPr>
        <w:t xml:space="preserve">Dersom man skal måle det reelle kapitalslitet, bør lenken mellom de varige driftsmidlene og de ikke-finansielle </w:t>
      </w:r>
      <w:r w:rsidR="008F762E" w:rsidRPr="0055149C">
        <w:rPr>
          <w:color w:val="auto"/>
          <w:lang w:eastAsia="nb-NO"/>
        </w:rPr>
        <w:t xml:space="preserve">eiendelene </w:t>
      </w:r>
      <w:r w:rsidRPr="0055149C">
        <w:rPr>
          <w:color w:val="auto"/>
          <w:lang w:eastAsia="nb-NO"/>
        </w:rPr>
        <w:t>anslås. I</w:t>
      </w:r>
      <w:r w:rsidR="00FC64A3">
        <w:rPr>
          <w:color w:val="auto"/>
          <w:lang w:eastAsia="nb-NO"/>
        </w:rPr>
        <w:t xml:space="preserve"> </w:t>
      </w:r>
      <w:r w:rsidRPr="0055149C">
        <w:rPr>
          <w:color w:val="auto"/>
          <w:lang w:eastAsia="nb-NO"/>
        </w:rPr>
        <w:t>tillegg til balansepostene for varige driftsmidler vil dette kreve deflatorer og depresieringsrater, fortrinnsvis på et disaggregert nivå.</w:t>
      </w:r>
      <w:r w:rsidR="0041193D" w:rsidRPr="0055149C">
        <w:rPr>
          <w:color w:val="auto"/>
          <w:lang w:eastAsia="nb-NO"/>
        </w:rPr>
        <w:t xml:space="preserve"> Dette er momenter som tyder på at kapitalkostnadene i praksis </w:t>
      </w:r>
      <w:r w:rsidR="000357AE" w:rsidRPr="0055149C">
        <w:rPr>
          <w:color w:val="auto"/>
          <w:lang w:eastAsia="nb-NO"/>
        </w:rPr>
        <w:t>kompliserer kapitalestimeringen og vil kunne være kilder til målefeil</w:t>
      </w:r>
      <w:r w:rsidR="00FD32AA" w:rsidRPr="0055149C">
        <w:rPr>
          <w:color w:val="auto"/>
          <w:lang w:eastAsia="nb-NO"/>
        </w:rPr>
        <w:t>.</w:t>
      </w:r>
    </w:p>
    <w:p w14:paraId="58AB4C01" w14:textId="19CB73EF" w:rsidR="00E34598" w:rsidRDefault="001E747C" w:rsidP="001E747C">
      <w:r w:rsidRPr="0055149C">
        <w:t xml:space="preserve">I flere tidligere utredninger tas det nærmest for gitt at </w:t>
      </w:r>
      <w:r w:rsidR="008F762E" w:rsidRPr="0055149C">
        <w:t xml:space="preserve">tallene for </w:t>
      </w:r>
      <w:r w:rsidR="00015233" w:rsidRPr="0055149C">
        <w:t>kapitalslitet</w:t>
      </w:r>
      <w:r w:rsidRPr="0055149C">
        <w:t xml:space="preserve"> bør måles som </w:t>
      </w:r>
      <w:r w:rsidR="002A6BEE" w:rsidRPr="0055149C">
        <w:t>oppdaterte kostnader</w:t>
      </w:r>
      <w:r w:rsidR="00015233" w:rsidRPr="0055149C">
        <w:t xml:space="preserve"> snarere en</w:t>
      </w:r>
      <w:r w:rsidR="00AE4227">
        <w:t>n</w:t>
      </w:r>
      <w:r w:rsidR="00015233" w:rsidRPr="0055149C">
        <w:t xml:space="preserve"> historiske kostnader (se spesielt </w:t>
      </w:r>
      <w:r w:rsidR="00AC6F89" w:rsidRPr="0055149C">
        <w:t xml:space="preserve">NOU 2005:18 </w:t>
      </w:r>
      <w:r w:rsidR="00015233" w:rsidRPr="0055149C">
        <w:t xml:space="preserve">og </w:t>
      </w:r>
      <w:r w:rsidR="00AC6F89" w:rsidRPr="0055149C">
        <w:t>NOU 2022:10</w:t>
      </w:r>
      <w:r w:rsidR="00015233" w:rsidRPr="0055149C">
        <w:t xml:space="preserve">). Dette kan tolkes som at man har vært opptatt av nåverdien </w:t>
      </w:r>
      <w:r w:rsidR="00015233" w:rsidRPr="00884F28">
        <w:t>av</w:t>
      </w:r>
      <w:r w:rsidR="00770203">
        <w:t xml:space="preserve"> </w:t>
      </w:r>
      <w:r w:rsidR="00015233" w:rsidRPr="00884F28">
        <w:t>utg</w:t>
      </w:r>
      <w:r w:rsidR="00015233" w:rsidRPr="0055149C">
        <w:t xml:space="preserve">iftene </w:t>
      </w:r>
      <w:r w:rsidR="00770203">
        <w:t xml:space="preserve">over tid </w:t>
      </w:r>
      <w:r w:rsidR="00015233" w:rsidRPr="0055149C">
        <w:t xml:space="preserve">snarere enn </w:t>
      </w:r>
      <w:r w:rsidR="006D57B1">
        <w:t xml:space="preserve">av </w:t>
      </w:r>
      <w:r w:rsidR="00015233" w:rsidRPr="0055149C">
        <w:t>hva som har vært de historiske utgiftene</w:t>
      </w:r>
      <w:r w:rsidRPr="0055149C">
        <w:t>. I praksis vil dette innebære at kapitalgevinster fanges opp i kapitalbeholdningene og dermed depresieringstallene. Det kan argumenteres for en slik tilnærming ut fra et alternativkostnadsperspektiv</w:t>
      </w:r>
      <w:r w:rsidR="008A4AF2" w:rsidRPr="0055149C">
        <w:t xml:space="preserve"> eller</w:t>
      </w:r>
      <w:r w:rsidR="005C2E4D">
        <w:t xml:space="preserve"> et</w:t>
      </w:r>
      <w:r w:rsidR="008A4AF2" w:rsidRPr="0055149C">
        <w:t xml:space="preserve"> gjenkjøpsperspektiv</w:t>
      </w:r>
      <w:r w:rsidRPr="0055149C">
        <w:t>. Samtidig kan det synes søkt og utilsiktet å fange opp eiendomsprisgevinster i avskrivningstallene</w:t>
      </w:r>
      <w:r w:rsidR="00015233" w:rsidRPr="0055149C">
        <w:t xml:space="preserve"> for eiendommer </w:t>
      </w:r>
      <w:r w:rsidR="00682580">
        <w:t xml:space="preserve">i tilfeller </w:t>
      </w:r>
      <w:r w:rsidR="00015233" w:rsidRPr="0055149C">
        <w:t xml:space="preserve">uten utsikter for </w:t>
      </w:r>
      <w:r w:rsidR="00FA568B">
        <w:t>tomte</w:t>
      </w:r>
      <w:r w:rsidR="00015233" w:rsidRPr="0055149C">
        <w:t>salg</w:t>
      </w:r>
      <w:r w:rsidR="00682580">
        <w:t xml:space="preserve"> og </w:t>
      </w:r>
      <w:r w:rsidR="00FA568B">
        <w:t>først og fremst reinvesteringer i bygg</w:t>
      </w:r>
      <w:r w:rsidRPr="0055149C">
        <w:t xml:space="preserve">, hvilket </w:t>
      </w:r>
      <w:r w:rsidR="00015233" w:rsidRPr="0055149C">
        <w:t xml:space="preserve">vil være </w:t>
      </w:r>
      <w:r w:rsidRPr="0055149C">
        <w:t xml:space="preserve">en </w:t>
      </w:r>
      <w:r w:rsidR="00015233" w:rsidRPr="0055149C">
        <w:t>konsekvens</w:t>
      </w:r>
      <w:r w:rsidRPr="0055149C">
        <w:t xml:space="preserve"> av en slik tilnærming</w:t>
      </w:r>
      <w:r w:rsidR="00E7199F">
        <w:t xml:space="preserve"> (se delkapittel </w:t>
      </w:r>
      <w:r w:rsidR="00E7199F">
        <w:fldChar w:fldCharType="begin"/>
      </w:r>
      <w:r w:rsidR="00E7199F">
        <w:instrText xml:space="preserve"> REF _Ref179204671 \r \h </w:instrText>
      </w:r>
      <w:r w:rsidR="00E7199F">
        <w:fldChar w:fldCharType="separate"/>
      </w:r>
      <w:r w:rsidR="009B1DA8">
        <w:t>2.3</w:t>
      </w:r>
      <w:r w:rsidR="00E7199F">
        <w:fldChar w:fldCharType="end"/>
      </w:r>
      <w:r w:rsidR="00E7199F">
        <w:t xml:space="preserve"> for mer om denne diskusjonen)</w:t>
      </w:r>
      <w:r w:rsidRPr="0055149C">
        <w:t>.</w:t>
      </w:r>
    </w:p>
    <w:p w14:paraId="43C847D5" w14:textId="1C15F3A4" w:rsidR="001E747C" w:rsidRPr="0055149C" w:rsidRDefault="00AC6F89" w:rsidP="001E747C">
      <w:pPr>
        <w:rPr>
          <w:lang w:eastAsia="nb-NO"/>
        </w:rPr>
      </w:pPr>
      <w:r w:rsidRPr="0055149C">
        <w:rPr>
          <w:lang w:eastAsia="nb-NO"/>
        </w:rPr>
        <w:t>Fagd</w:t>
      </w:r>
      <w:r w:rsidR="001E747C" w:rsidRPr="0055149C">
        <w:rPr>
          <w:lang w:eastAsia="nb-NO"/>
        </w:rPr>
        <w:t xml:space="preserve">ebatten om kompensasjon av kapitalkostnader i utgiftsutjevningen i inntektssystemet har handlet mye om kapitalslit, men også rentekostnader </w:t>
      </w:r>
      <w:r w:rsidR="008A4AF2" w:rsidRPr="0055149C">
        <w:rPr>
          <w:lang w:eastAsia="nb-NO"/>
        </w:rPr>
        <w:t>utgjør et vesentlig diskusjonstema</w:t>
      </w:r>
      <w:r w:rsidR="001E747C" w:rsidRPr="0055149C">
        <w:rPr>
          <w:lang w:eastAsia="nb-NO"/>
        </w:rPr>
        <w:t>. Rente</w:t>
      </w:r>
      <w:r w:rsidR="008A4AF2" w:rsidRPr="0055149C">
        <w:rPr>
          <w:lang w:eastAsia="nb-NO"/>
        </w:rPr>
        <w:t>kostnader</w:t>
      </w:r>
      <w:r w:rsidR="001E747C" w:rsidRPr="0055149C">
        <w:rPr>
          <w:lang w:eastAsia="nb-NO"/>
        </w:rPr>
        <w:t xml:space="preserve"> reflekterer kostnadene av å få penger i dag istedenfor i fr</w:t>
      </w:r>
      <w:r w:rsidRPr="0055149C">
        <w:rPr>
          <w:lang w:eastAsia="nb-NO"/>
        </w:rPr>
        <w:t>a</w:t>
      </w:r>
      <w:r w:rsidR="001E747C" w:rsidRPr="0055149C">
        <w:rPr>
          <w:lang w:eastAsia="nb-NO"/>
        </w:rPr>
        <w:t>mtiden</w:t>
      </w:r>
      <w:r w:rsidRPr="0055149C">
        <w:rPr>
          <w:lang w:eastAsia="nb-NO"/>
        </w:rPr>
        <w:t xml:space="preserve"> og kan relateres til bredere beregningsgrunnlag enn bare realkapitalen. I praksis kan kommunene</w:t>
      </w:r>
      <w:r w:rsidR="0080749F">
        <w:rPr>
          <w:lang w:eastAsia="nb-NO"/>
        </w:rPr>
        <w:t>s</w:t>
      </w:r>
      <w:r w:rsidRPr="0055149C">
        <w:rPr>
          <w:lang w:eastAsia="nb-NO"/>
        </w:rPr>
        <w:t xml:space="preserve"> lånerenter og gjeldsgrad variere mellom kommuner, hvilket gjør</w:t>
      </w:r>
      <w:r w:rsidR="00942388" w:rsidRPr="0055149C">
        <w:rPr>
          <w:lang w:eastAsia="nb-NO"/>
        </w:rPr>
        <w:t xml:space="preserve"> det vanskeligere å vite </w:t>
      </w:r>
      <w:r w:rsidR="00674BA6" w:rsidRPr="0055149C">
        <w:rPr>
          <w:lang w:eastAsia="nb-NO"/>
        </w:rPr>
        <w:t xml:space="preserve">hvilken rente det bør kompenseres for. Problemet forsterkes av at enkelte forskjeller i rente kan være velbegrunnet i </w:t>
      </w:r>
      <w:r w:rsidR="008B11B5" w:rsidRPr="0055149C">
        <w:rPr>
          <w:lang w:eastAsia="nb-NO"/>
        </w:rPr>
        <w:t xml:space="preserve">investeringenes risikoprofil. </w:t>
      </w:r>
      <w:r w:rsidR="007640F4" w:rsidRPr="0055149C">
        <w:rPr>
          <w:lang w:eastAsia="nb-NO"/>
        </w:rPr>
        <w:t xml:space="preserve">Et annet praktisk problem er at renter varierer over tid </w:t>
      </w:r>
      <w:r w:rsidR="00ED1522" w:rsidRPr="0055149C">
        <w:rPr>
          <w:lang w:eastAsia="nb-NO"/>
        </w:rPr>
        <w:t xml:space="preserve">med både langsiktige og kortsiktige svingninger. Især kortsiktige svingninger skaper </w:t>
      </w:r>
      <w:r w:rsidR="00A149D8" w:rsidRPr="0055149C">
        <w:rPr>
          <w:lang w:eastAsia="nb-NO"/>
        </w:rPr>
        <w:t>problemer for et kompensasjonssystem.</w:t>
      </w:r>
      <w:r w:rsidRPr="0055149C">
        <w:rPr>
          <w:lang w:eastAsia="nb-NO"/>
        </w:rPr>
        <w:t xml:space="preserve"> Både kommunenes kapitalslit og rentekostnader avhenger dessuten mekanisk av hvor store </w:t>
      </w:r>
      <w:r w:rsidR="007E10B6">
        <w:rPr>
          <w:lang w:eastAsia="nb-NO"/>
        </w:rPr>
        <w:t>brutto</w:t>
      </w:r>
      <w:r w:rsidR="00794466">
        <w:rPr>
          <w:lang w:eastAsia="nb-NO"/>
        </w:rPr>
        <w:t>i</w:t>
      </w:r>
      <w:r w:rsidRPr="0055149C">
        <w:rPr>
          <w:lang w:eastAsia="nb-NO"/>
        </w:rPr>
        <w:t>nvesteringer kommunene foretar over tid.</w:t>
      </w:r>
    </w:p>
    <w:p w14:paraId="65C12A70" w14:textId="54220350" w:rsidR="005D41BF" w:rsidRPr="0055149C" w:rsidRDefault="00412962" w:rsidP="005D41BF">
      <w:pPr>
        <w:pStyle w:val="Overskrift2"/>
      </w:pPr>
      <w:bookmarkStart w:id="15" w:name="_Ref167202149"/>
      <w:bookmarkStart w:id="16" w:name="_Ref174726663"/>
      <w:bookmarkStart w:id="17" w:name="_Toc182321005"/>
      <w:r w:rsidRPr="0055149C">
        <w:t>Kort om inntektssystemet</w:t>
      </w:r>
      <w:bookmarkEnd w:id="15"/>
      <w:r w:rsidR="00EE213C" w:rsidRPr="0055149C">
        <w:t xml:space="preserve"> og kapitalkostnader</w:t>
      </w:r>
      <w:bookmarkEnd w:id="16"/>
      <w:bookmarkEnd w:id="17"/>
    </w:p>
    <w:p w14:paraId="48E1209D" w14:textId="10930060" w:rsidR="00F22684" w:rsidRPr="0055149C" w:rsidRDefault="00412962" w:rsidP="00412962">
      <w:r w:rsidRPr="0055149C">
        <w:t>Både for primærkommuner og fylkeskommuner utjevnes inntekter og utgifter hver for seg. Grovt sett henter systemet for skatteutjevning midler fra kommuner med inntekter over gjennomsnittet og gir til kommuner med inntekter under gjennomsnittet</w:t>
      </w:r>
      <w:r w:rsidR="008A4AF2" w:rsidRPr="0055149C">
        <w:t>, sammenliknet med en situasjon med like tilskudd per innbygger i alle kommuner</w:t>
      </w:r>
      <w:r w:rsidRPr="0055149C">
        <w:t>. En del naturressursbaserte inntekter er per i dag holdt utenom utjevningen</w:t>
      </w:r>
      <w:r w:rsidR="007D6221">
        <w:t>.</w:t>
      </w:r>
      <w:r w:rsidR="00C07E88">
        <w:t xml:space="preserve"> I</w:t>
      </w:r>
      <w:r w:rsidR="008A4AF2" w:rsidRPr="0055149C">
        <w:t xml:space="preserve"> </w:t>
      </w:r>
      <w:r w:rsidR="00C07E88">
        <w:t xml:space="preserve">hovedsak </w:t>
      </w:r>
      <w:r w:rsidR="008A4AF2" w:rsidRPr="0055149C">
        <w:t xml:space="preserve">kontrollerer </w:t>
      </w:r>
      <w:r w:rsidR="00C07E88">
        <w:t xml:space="preserve">vi derfor </w:t>
      </w:r>
      <w:r w:rsidR="008A4AF2" w:rsidRPr="0055149C">
        <w:t>for frie inntekter i utregningen av systemets kriterievekter.</w:t>
      </w:r>
      <w:r w:rsidRPr="0055149C">
        <w:t xml:space="preserve"> </w:t>
      </w:r>
      <w:r w:rsidR="008A4AF2" w:rsidRPr="0055149C">
        <w:t>U</w:t>
      </w:r>
      <w:r w:rsidRPr="0055149C">
        <w:t xml:space="preserve">tjevningen av de resterende inntektene er </w:t>
      </w:r>
      <w:r w:rsidR="00DD5899">
        <w:t>likevel</w:t>
      </w:r>
      <w:r w:rsidR="008A4AF2" w:rsidRPr="0055149C">
        <w:t xml:space="preserve"> </w:t>
      </w:r>
      <w:r w:rsidRPr="0055149C">
        <w:t>ikke fullstendig. Utgiftsutjevningen henter midler fra kommuner</w:t>
      </w:r>
      <w:r w:rsidR="00B4548B">
        <w:t>,</w:t>
      </w:r>
      <w:r w:rsidRPr="0055149C">
        <w:t xml:space="preserve"> der befolkningssammensetning eller andre kostnadsforhold utenfor kommunenes kontroll tilsier lave kostnader per innbygger</w:t>
      </w:r>
      <w:r w:rsidR="007C1F7C">
        <w:t xml:space="preserve">. Tilsvarende </w:t>
      </w:r>
      <w:r w:rsidR="004D483E">
        <w:t>tilføre</w:t>
      </w:r>
      <w:r w:rsidR="00353C34">
        <w:t>s</w:t>
      </w:r>
      <w:r w:rsidR="007C1F7C" w:rsidRPr="0055149C">
        <w:t xml:space="preserve"> </w:t>
      </w:r>
      <w:r w:rsidR="00F22684" w:rsidRPr="00F22684">
        <w:t>midler til kommuner</w:t>
      </w:r>
      <w:r w:rsidR="004D483E">
        <w:t>,</w:t>
      </w:r>
      <w:r w:rsidR="00F22684" w:rsidRPr="00F22684">
        <w:t xml:space="preserve"> </w:t>
      </w:r>
      <w:r w:rsidR="00883999">
        <w:t>der</w:t>
      </w:r>
      <w:r w:rsidR="00F22684" w:rsidRPr="00F22684">
        <w:t xml:space="preserve"> </w:t>
      </w:r>
      <w:r w:rsidR="004D483E">
        <w:t>omgivelsene</w:t>
      </w:r>
      <w:r w:rsidR="00F22684" w:rsidRPr="00F22684">
        <w:t xml:space="preserve"> </w:t>
      </w:r>
      <w:r w:rsidR="004D483E">
        <w:t>tilsier</w:t>
      </w:r>
      <w:r w:rsidR="00F22684" w:rsidRPr="00F22684">
        <w:t xml:space="preserve"> høyere kostnader per innbygger.</w:t>
      </w:r>
    </w:p>
    <w:p w14:paraId="62044C34" w14:textId="68FAAC25" w:rsidR="00770D6F" w:rsidRDefault="00AC6F89" w:rsidP="00412962">
      <w:r w:rsidRPr="0055149C">
        <w:t>Kommuneregnskapene for både primærkommunene og fylkeskommunene impliserer at vel 80</w:t>
      </w:r>
      <w:r w:rsidR="00080810">
        <w:t xml:space="preserve"> </w:t>
      </w:r>
      <w:r w:rsidRPr="0055149C">
        <w:t xml:space="preserve">prosent av driftsutgiftene på begge forvaltningsnivåer inngår i det kommunale inntektssystemet. </w:t>
      </w:r>
      <w:r w:rsidRPr="0055149C">
        <w:lastRenderedPageBreak/>
        <w:t>Utgiftene kan tilskrives kommunale tjenestefunksjoner som står overfor relativt sterke nasjonale føringer. De øvrige kommunale tjenestene er typisk</w:t>
      </w:r>
      <w:r w:rsidR="00EB3FC5" w:rsidRPr="0055149C">
        <w:t>e</w:t>
      </w:r>
      <w:r w:rsidRPr="0055149C">
        <w:t xml:space="preserve"> selvkosttjenester s</w:t>
      </w:r>
      <w:r w:rsidR="007E1A24" w:rsidRPr="0055149C">
        <w:t>om finansieres gjennom brukerbetalinger</w:t>
      </w:r>
      <w:r w:rsidRPr="0055149C">
        <w:t>, tjenester kommunene selv har valgt å tilby</w:t>
      </w:r>
      <w:r w:rsidR="007E1A24" w:rsidRPr="0055149C">
        <w:t>,</w:t>
      </w:r>
      <w:r w:rsidRPr="0055149C">
        <w:t xml:space="preserve"> eller tjenester som i prinsippet skal dekkes av utjevningen, men er utelatt </w:t>
      </w:r>
      <w:r w:rsidR="00D03C2A">
        <w:t xml:space="preserve">på grunn </w:t>
      </w:r>
      <w:r w:rsidRPr="0055149C">
        <w:t xml:space="preserve">av beregningstekniske </w:t>
      </w:r>
      <w:r w:rsidR="00F52ACC">
        <w:t xml:space="preserve">eller </w:t>
      </w:r>
      <w:r w:rsidR="00EB7104">
        <w:t>pragmatiske</w:t>
      </w:r>
      <w:r w:rsidR="00F52ACC">
        <w:t xml:space="preserve"> </w:t>
      </w:r>
      <w:r w:rsidR="007E1A24" w:rsidRPr="0055149C">
        <w:t>årsaker</w:t>
      </w:r>
      <w:r w:rsidRPr="0055149C">
        <w:t>.</w:t>
      </w:r>
    </w:p>
    <w:p w14:paraId="12A389A3" w14:textId="70018D90" w:rsidR="00AC6F89" w:rsidRPr="0055149C" w:rsidRDefault="00770D6F" w:rsidP="00412962">
      <w:r w:rsidRPr="001D30D0">
        <w:t xml:space="preserve">Utelatelse av en kommunal tjeneste fra utgiftsutjevningen </w:t>
      </w:r>
      <w:r w:rsidR="00A97420">
        <w:t>utelukker</w:t>
      </w:r>
      <w:r w:rsidRPr="001D30D0">
        <w:t xml:space="preserve"> ikke nødvendigvis at den er finansiert ved frie inntekter. Innbyggertilskuddet utgjør majoriteten av rammetilskuddet til kommunene, som i tillegg omfatter regionalpolitiske tilskudd og skjønnstilskudd. I og med at innbyggertilskuddet før utgiftsutjevningen er fordelt med et likt beløp per innbygger, vil det kunne være egnet til å finansiere tjenester som enten ikke er beheftet med store utgiftsvariasjoner over kommuner eller ikke innbefatter sterke forventninger om likeverdig tjenestetilbud.</w:t>
      </w:r>
      <w:r>
        <w:t xml:space="preserve"> </w:t>
      </w:r>
      <w:r w:rsidRPr="001D30D0">
        <w:t xml:space="preserve">Det </w:t>
      </w:r>
      <w:r>
        <w:t>kan</w:t>
      </w:r>
      <w:r w:rsidRPr="001D30D0">
        <w:t xml:space="preserve"> typisk </w:t>
      </w:r>
      <w:r>
        <w:t xml:space="preserve">også </w:t>
      </w:r>
      <w:r w:rsidRPr="001D30D0">
        <w:t xml:space="preserve">dreie seg om tjenester som er av relativt beskjedent omfang eller uten åpenbare </w:t>
      </w:r>
      <w:r w:rsidR="002B553E">
        <w:t xml:space="preserve">variabler i omgivelsene </w:t>
      </w:r>
      <w:r w:rsidRPr="001D30D0">
        <w:t xml:space="preserve">som fungerer godt som </w:t>
      </w:r>
      <w:r>
        <w:t>i regresjonene som fastsetter kriterievektene. I slike tilfeller vil</w:t>
      </w:r>
      <w:r w:rsidRPr="001D30D0">
        <w:t xml:space="preserve"> utelatelse av dem få begrenset betydning for den samlede kompensasjonen.</w:t>
      </w:r>
    </w:p>
    <w:p w14:paraId="6B3707FA" w14:textId="2B7A11A7" w:rsidR="00964112" w:rsidRDefault="00591F3A" w:rsidP="00964112">
      <w:r w:rsidRPr="0055149C">
        <w:t xml:space="preserve">I </w:t>
      </w:r>
      <w:r w:rsidRPr="0055149C">
        <w:fldChar w:fldCharType="begin"/>
      </w:r>
      <w:r w:rsidRPr="0055149C">
        <w:instrText xml:space="preserve"> REF _Ref172559155 \h </w:instrText>
      </w:r>
      <w:r w:rsidRPr="0055149C">
        <w:fldChar w:fldCharType="separate"/>
      </w:r>
      <w:r w:rsidR="009B1DA8" w:rsidRPr="0055149C">
        <w:t xml:space="preserve">Figur </w:t>
      </w:r>
      <w:r w:rsidR="009B1DA8">
        <w:rPr>
          <w:noProof/>
        </w:rPr>
        <w:t>1</w:t>
      </w:r>
      <w:r w:rsidR="009B1DA8">
        <w:t>.</w:t>
      </w:r>
      <w:r w:rsidR="009B1DA8">
        <w:rPr>
          <w:noProof/>
        </w:rPr>
        <w:t>1</w:t>
      </w:r>
      <w:r w:rsidRPr="0055149C">
        <w:fldChar w:fldCharType="end"/>
      </w:r>
      <w:r w:rsidRPr="0055149C">
        <w:t xml:space="preserve"> a) og b) har vi illustrert hvordan bruttodriftsutgiftene i kommunal sektor fordeler seg over tjenestefunksjoner for henholdsvis primærkommunene og fylkeskommunene.</w:t>
      </w:r>
      <w:r w:rsidR="00F741F4">
        <w:rPr>
          <w:rStyle w:val="Fotnotereferanse"/>
        </w:rPr>
        <w:footnoteReference w:id="3"/>
      </w:r>
      <w:r w:rsidR="00487DEB">
        <w:t xml:space="preserve"> </w:t>
      </w:r>
      <w:r w:rsidR="00964112">
        <w:t>I 2022 utgjorde helse og omsorg og grunnskolen de største tjenestefunksjonene i primærkommunene med til sammen mer enn halvparten av bruttodriftsutgiftene. Deretter fulgte barnehager og administrasjon, politisk styring, fellesutgifter og uspesifiserte tjenester. Nærmere hver femte bruttodriftsutgiftkrone i primærkommunene var involvert i tjenester som ikke inngår i utgiftsutjevningen, hvorav vann, avløp, renovasjon og avfall (såkalte VAR-tjenester) utgjør den mest omfattende tjenestefunksjonen.</w:t>
      </w:r>
    </w:p>
    <w:p w14:paraId="50795471" w14:textId="486F3D87" w:rsidR="00964112" w:rsidRDefault="00964112" w:rsidP="00412962">
      <w:r w:rsidRPr="00412A03">
        <w:t>For fylkeskommunene la videregående utdanning beslag på 4</w:t>
      </w:r>
      <w:r>
        <w:t>1</w:t>
      </w:r>
      <w:r w:rsidRPr="00412A03">
        <w:t xml:space="preserve"> prosent av de samlede bruttodriftsutgiftene i 2022, mens samferdsel sto </w:t>
      </w:r>
      <w:r>
        <w:t xml:space="preserve">for </w:t>
      </w:r>
      <w:r w:rsidR="007E2E39">
        <w:t>vel</w:t>
      </w:r>
      <w:r w:rsidRPr="00412A03">
        <w:t xml:space="preserve"> 35 prosent. </w:t>
      </w:r>
      <w:r>
        <w:t xml:space="preserve">Merk at innholdet innenfor samferdsel domineres av transportinfrastruktur og kollektivtilbud med vei og buss som de største delfunksjonene. </w:t>
      </w:r>
      <w:r w:rsidR="002B553E">
        <w:t xml:space="preserve">Innholdet </w:t>
      </w:r>
      <w:r>
        <w:t xml:space="preserve">varierer betydelig mellom fylkeskommunene avhengig av sentralitet, tilgang til kyst, utbygd jernbane og geografiske avstander, hvilket også er bakgrunnen for at flere delsektorer inngår hver for seg i fylkeskommunenes inntektssystem. </w:t>
      </w:r>
      <w:r w:rsidRPr="00412A03">
        <w:t>Den tredje tjenestefunksjonen</w:t>
      </w:r>
      <w:r>
        <w:t xml:space="preserve"> i inntektssystemet for fylkeskommunene</w:t>
      </w:r>
      <w:r w:rsidRPr="00412A03">
        <w:t xml:space="preserve"> – tannhelse –</w:t>
      </w:r>
      <w:r>
        <w:t xml:space="preserve"> står kun for knapt fire prosent av forvaltningsnivåets bruttodriftsutgifter. Vel en femtedel av fylkeskommunenes bruttodriftsutgifter er knyttet til tjenester som ligger utenfor utgiftsutjevningen.</w:t>
      </w:r>
    </w:p>
    <w:p w14:paraId="04AC47CA" w14:textId="11115C99" w:rsidR="000856FC" w:rsidRDefault="000856FC" w:rsidP="000856FC">
      <w:r w:rsidRPr="0055149C">
        <w:t>For de tjenestefunksjonene som inngår i utgiftsutjevningen</w:t>
      </w:r>
      <w:r>
        <w:t>,</w:t>
      </w:r>
      <w:r w:rsidRPr="0055149C">
        <w:t xml:space="preserve"> anslås utgiftsbehovet til den enkelte kommune ved hjelp av en kostnadsnøkkel. Kostnadsnøkkelen i inntektssystemet er bygget opp i to trinn. For hver tjenestefunksjon benyttes indikatorer til å beregne kommunens </w:t>
      </w:r>
      <w:r w:rsidR="00827806">
        <w:t xml:space="preserve">forventede </w:t>
      </w:r>
      <w:r w:rsidRPr="0055149C">
        <w:t xml:space="preserve">utgiftsbehov per innbygger relativt til landsgjennomsnittet. Det er lagt vekt på å finne indikatorer som ikke lar seg påvirke av den enkelte kommunes atferd. Indikatorvektene er i hovedsak basert på regresjonsanalyser og </w:t>
      </w:r>
      <w:r>
        <w:t xml:space="preserve">skalert </w:t>
      </w:r>
      <w:r w:rsidRPr="0055149C">
        <w:t>slik at de summerer seg til én for hver tjenestefunksjon. De funksjonsspesifikke normerte kostnadene utgjør første trinn. Variabelen vil være et tall over eller under én, som indikerer om kostnadsnivået er over eller under landsgjennomsnittet.</w:t>
      </w:r>
    </w:p>
    <w:p w14:paraId="46660571" w14:textId="365D9F98" w:rsidR="007E07E5" w:rsidRDefault="007E07E5" w:rsidP="007E07E5">
      <w:r w:rsidRPr="0055149C">
        <w:lastRenderedPageBreak/>
        <w:t xml:space="preserve">I andre trinn beregnes et vektet gjennomsnitt av de funksjonsfordelte </w:t>
      </w:r>
      <w:r w:rsidR="001C0E20" w:rsidRPr="00520B45">
        <w:t xml:space="preserve">utgiftsbehovene </w:t>
      </w:r>
      <w:r w:rsidRPr="00520B45">
        <w:t>med</w:t>
      </w:r>
      <w:r w:rsidRPr="0055149C">
        <w:t xml:space="preserve"> tjenestefunksjonens andel av de samlede utgiftene som vekte</w:t>
      </w:r>
      <w:r>
        <w:t>r.</w:t>
      </w:r>
      <w:r w:rsidRPr="0055149C">
        <w:rPr>
          <w:rStyle w:val="Fotnotereferanse"/>
        </w:rPr>
        <w:footnoteReference w:id="4"/>
      </w:r>
      <w:r w:rsidRPr="0055149C">
        <w:t xml:space="preserve"> En kommune der alle indikatorverdiene er lik landsgjennomsnittet</w:t>
      </w:r>
      <w:r>
        <w:t>,</w:t>
      </w:r>
      <w:r w:rsidRPr="0055149C">
        <w:t xml:space="preserve"> vil få indeks</w:t>
      </w:r>
      <w:r>
        <w:t xml:space="preserve"> for beregnet utgiftsbehov</w:t>
      </w:r>
      <w:r w:rsidRPr="0055149C">
        <w:t xml:space="preserve"> lik én. Kommuner som er dyrere å drive enn landsgjennomsnittet</w:t>
      </w:r>
      <w:r>
        <w:t>,</w:t>
      </w:r>
      <w:r w:rsidRPr="0055149C">
        <w:t xml:space="preserve"> vil få kostnadsindeks over én og får et tillegg til innbyggertilskuddet gjennom </w:t>
      </w:r>
      <w:r>
        <w:t>utgiftsutjevningen</w:t>
      </w:r>
      <w:r w:rsidRPr="0055149C">
        <w:t>. Kommuner som er billigere i drift enn landsgjennomsnittet</w:t>
      </w:r>
      <w:r>
        <w:t>,</w:t>
      </w:r>
      <w:r w:rsidRPr="0055149C">
        <w:t xml:space="preserve"> får indeks under én og får dermed et trekk. Summert over alle kommuner går systemet i balanse.</w:t>
      </w:r>
    </w:p>
    <w:p w14:paraId="47D58B1A" w14:textId="71F2E4E0" w:rsidR="00296C32" w:rsidRPr="0055149C" w:rsidRDefault="00296C32" w:rsidP="00296C32">
      <w:pPr>
        <w:pStyle w:val="Bildetekst"/>
        <w:jc w:val="both"/>
      </w:pPr>
      <w:bookmarkStart w:id="18" w:name="_Ref172559155"/>
      <w:r w:rsidRPr="0055149C">
        <w:t xml:space="preserve">Figur </w:t>
      </w:r>
      <w:fldSimple w:instr=" STYLEREF 1 \s ">
        <w:r w:rsidR="009B1DA8">
          <w:rPr>
            <w:noProof/>
          </w:rPr>
          <w:t>1</w:t>
        </w:r>
      </w:fldSimple>
      <w:r w:rsidR="004B03E3">
        <w:t>.</w:t>
      </w:r>
      <w:fldSimple w:instr=" SEQ Figur \* ARABIC \s 1 ">
        <w:r w:rsidR="009B1DA8">
          <w:rPr>
            <w:noProof/>
          </w:rPr>
          <w:t>1</w:t>
        </w:r>
      </w:fldSimple>
      <w:bookmarkEnd w:id="18"/>
      <w:r w:rsidRPr="0055149C">
        <w:tab/>
        <w:t>Fordeling av bruttodriftsutgifter for a) primærkommunene (øverst) og b) fylkeskommunene (nederst) over tjenestefunksjoner i 2022</w:t>
      </w:r>
    </w:p>
    <w:p w14:paraId="63408D2B" w14:textId="1DE35E8E" w:rsidR="00F51E6E" w:rsidRPr="0055149C" w:rsidRDefault="00F8517D" w:rsidP="00F45E31">
      <w:pPr>
        <w:jc w:val="center"/>
        <w:rPr>
          <w:noProof/>
        </w:rPr>
      </w:pPr>
      <w:r>
        <w:rPr>
          <w:noProof/>
          <w:lang w:val="en-US" w:eastAsia="en-US"/>
        </w:rPr>
        <w:drawing>
          <wp:inline distT="0" distB="0" distL="0" distR="0" wp14:anchorId="32A17E68" wp14:editId="26419B04">
            <wp:extent cx="5364000" cy="2880000"/>
            <wp:effectExtent l="0" t="0" r="8255" b="0"/>
            <wp:docPr id="1216291487" name="Diagram 1">
              <a:extLst xmlns:a="http://schemas.openxmlformats.org/drawingml/2006/main">
                <a:ext uri="{FF2B5EF4-FFF2-40B4-BE49-F238E27FC236}">
                  <a16:creationId xmlns:a16="http://schemas.microsoft.com/office/drawing/2014/main" id="{BC944710-E4E3-452D-9B5A-81060CE50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t xml:space="preserve"> </w:t>
      </w:r>
      <w:r w:rsidR="00803BE4" w:rsidRPr="00B7033C">
        <w:rPr>
          <w:noProof/>
          <w:color w:val="000000"/>
          <w:lang w:val="en-US" w:eastAsia="en-US"/>
        </w:rPr>
        <w:drawing>
          <wp:inline distT="0" distB="0" distL="0" distR="0" wp14:anchorId="36AF1DC4" wp14:editId="276E4F1A">
            <wp:extent cx="5364000" cy="2880000"/>
            <wp:effectExtent l="0" t="0" r="8255" b="0"/>
            <wp:docPr id="553216918" name="Diagram 1">
              <a:extLst xmlns:a="http://schemas.openxmlformats.org/drawingml/2006/main">
                <a:ext uri="{FF2B5EF4-FFF2-40B4-BE49-F238E27FC236}">
                  <a16:creationId xmlns:a16="http://schemas.microsoft.com/office/drawing/2014/main" id="{C7D506B1-96A1-4E49-A963-AEBC1084F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DA6B06" w14:textId="1B3036ED" w:rsidR="00956BD7" w:rsidRDefault="00956BD7" w:rsidP="00956BD7">
      <w:pPr>
        <w:pStyle w:val="Source"/>
        <w:rPr>
          <w:lang w:eastAsia="nb-NO"/>
        </w:rPr>
      </w:pPr>
      <w:r w:rsidRPr="0055149C">
        <w:rPr>
          <w:lang w:eastAsia="nb-NO"/>
        </w:rPr>
        <w:t>Kilde: Vista Analyse</w:t>
      </w:r>
    </w:p>
    <w:p w14:paraId="5D6EB9D5" w14:textId="2905786A" w:rsidR="00412962" w:rsidRPr="0055149C" w:rsidRDefault="00412962" w:rsidP="00412962">
      <w:r w:rsidRPr="0055149C">
        <w:lastRenderedPageBreak/>
        <w:t>Når målet er likeverdige tjenester, bør i utgangspunktet alle kostnader som er nødvendige for å fr</w:t>
      </w:r>
      <w:r w:rsidR="00452E35">
        <w:t>a</w:t>
      </w:r>
      <w:r w:rsidRPr="0055149C">
        <w:t>mbringe tjenestene</w:t>
      </w:r>
      <w:r w:rsidR="00CA1F11">
        <w:t>,</w:t>
      </w:r>
      <w:r w:rsidRPr="0055149C">
        <w:t xml:space="preserve"> tas i betraktning</w:t>
      </w:r>
      <w:r w:rsidR="00CA1F11">
        <w:t>. Dette inkluderer</w:t>
      </w:r>
      <w:r w:rsidRPr="0055149C">
        <w:t xml:space="preserve"> </w:t>
      </w:r>
      <w:r w:rsidR="00D6101D" w:rsidRPr="0055149C">
        <w:t xml:space="preserve">både løpende driftsutgifter og </w:t>
      </w:r>
      <w:r w:rsidRPr="0055149C">
        <w:t>kapitalkostnader. Med unntak for fylkesveier</w:t>
      </w:r>
      <w:r w:rsidR="00936C0C">
        <w:t xml:space="preserve"> med tilhørende fergesamband</w:t>
      </w:r>
      <w:r w:rsidRPr="0055149C">
        <w:t xml:space="preserve"> er det ikke slik i dag. Det er likevel noen</w:t>
      </w:r>
      <w:r w:rsidR="00D6101D" w:rsidRPr="0055149C">
        <w:t xml:space="preserve"> tenkelige</w:t>
      </w:r>
      <w:r w:rsidRPr="0055149C">
        <w:t xml:space="preserve"> situasjoner</w:t>
      </w:r>
      <w:r w:rsidR="00AD7E51">
        <w:t>,</w:t>
      </w:r>
      <w:r w:rsidRPr="0055149C">
        <w:t xml:space="preserve"> der kapitalkostnader kan behandles mer summarisk enn driftskostnader uten </w:t>
      </w:r>
      <w:r w:rsidR="00EB3FC5" w:rsidRPr="0055149C">
        <w:t xml:space="preserve">vesentlige og </w:t>
      </w:r>
      <w:r w:rsidRPr="0055149C">
        <w:t xml:space="preserve">uheldige konsekvenser for fordelingen av tjenesteproduksjonen mellom kommuner. </w:t>
      </w:r>
    </w:p>
    <w:p w14:paraId="7FB80C85" w14:textId="4195564F" w:rsidR="004554F1" w:rsidRDefault="00412962" w:rsidP="002A6BEE">
      <w:r w:rsidRPr="0055149C">
        <w:t xml:space="preserve">For det første kan kapitalkostnader tas helt ut av omfordelingssystemet uten systematiske konsekvenser for finansieringen av tjenesteproduksjonen, dersom de er tilnærmet konstante per innbygger både mellom kommuner og mellom </w:t>
      </w:r>
      <w:r w:rsidR="00EB3FC5" w:rsidRPr="0055149C">
        <w:t>tjenestefunksjoner</w:t>
      </w:r>
      <w:r w:rsidRPr="0055149C">
        <w:t xml:space="preserve">. </w:t>
      </w:r>
      <w:r w:rsidR="00A65123" w:rsidRPr="0055149C">
        <w:t xml:space="preserve">I et slikt tilfelle vil </w:t>
      </w:r>
      <w:r w:rsidR="003E0B62">
        <w:t>utgiftsbehovet</w:t>
      </w:r>
      <w:r w:rsidR="00A65123" w:rsidRPr="0055149C">
        <w:t xml:space="preserve"> per innbygger </w:t>
      </w:r>
      <w:r w:rsidR="0039762A" w:rsidRPr="0055149C">
        <w:t xml:space="preserve">i alle kommuner </w:t>
      </w:r>
      <w:r w:rsidR="00A65123" w:rsidRPr="0055149C">
        <w:t>være</w:t>
      </w:r>
      <w:r w:rsidR="0039762A" w:rsidRPr="0055149C">
        <w:t xml:space="preserve"> lik landsgjennomsnittet</w:t>
      </w:r>
      <w:r w:rsidR="00D6101D" w:rsidRPr="0055149C">
        <w:t>,</w:t>
      </w:r>
      <w:r w:rsidR="008A1CCB" w:rsidRPr="0055149C">
        <w:t xml:space="preserve"> og det blir ingen omfordeling.</w:t>
      </w:r>
      <w:r w:rsidR="00E1151B">
        <w:t xml:space="preserve"> </w:t>
      </w:r>
      <w:r w:rsidRPr="0055149C">
        <w:t>En forenklet håndtering er også mulig</w:t>
      </w:r>
      <w:r w:rsidR="00AD7E51">
        <w:t>,</w:t>
      </w:r>
      <w:r w:rsidRPr="0055149C">
        <w:t xml:space="preserve"> dersom kapitalkostnadene står i et fast forhold til driftskostnadene, enten på tvers av </w:t>
      </w:r>
      <w:r w:rsidR="00EB3FC5" w:rsidRPr="0055149C">
        <w:t xml:space="preserve">tjenestefunksjoner </w:t>
      </w:r>
      <w:r w:rsidRPr="0055149C">
        <w:t xml:space="preserve">eller innen den enkelte </w:t>
      </w:r>
      <w:r w:rsidR="00EB3FC5" w:rsidRPr="0055149C">
        <w:t>tjenestefunksjon</w:t>
      </w:r>
      <w:r w:rsidRPr="0055149C">
        <w:t>.</w:t>
      </w:r>
      <w:r w:rsidR="00357C4C" w:rsidRPr="0055149C">
        <w:t xml:space="preserve"> </w:t>
      </w:r>
      <w:r w:rsidR="002A6BEE" w:rsidRPr="0055149C">
        <w:t xml:space="preserve">Det andre tilfellet inntreffer </w:t>
      </w:r>
      <w:r w:rsidR="00520B45">
        <w:t>når</w:t>
      </w:r>
      <w:r w:rsidR="00147776" w:rsidRPr="0055149C">
        <w:t xml:space="preserve"> kapitalkostnadene står i</w:t>
      </w:r>
      <w:r w:rsidR="00520B45">
        <w:t xml:space="preserve"> et</w:t>
      </w:r>
      <w:r w:rsidR="00147776" w:rsidRPr="0055149C">
        <w:t xml:space="preserve"> fast forhold </w:t>
      </w:r>
      <w:r w:rsidR="00E1151B">
        <w:t xml:space="preserve">til driftsutgiftene </w:t>
      </w:r>
      <w:r w:rsidR="00147776" w:rsidRPr="0055149C">
        <w:t xml:space="preserve">på tvers av </w:t>
      </w:r>
      <w:r w:rsidR="00EB3FC5" w:rsidRPr="0055149C">
        <w:t>tjenestefunksjoner</w:t>
      </w:r>
      <w:r w:rsidR="00E1151B">
        <w:t xml:space="preserve">. I så fall vil </w:t>
      </w:r>
      <w:r w:rsidR="002A6BEE" w:rsidRPr="0055149C">
        <w:t>det</w:t>
      </w:r>
      <w:r w:rsidRPr="0055149C">
        <w:t xml:space="preserve"> kun </w:t>
      </w:r>
      <w:r w:rsidR="00E1151B">
        <w:t xml:space="preserve">være </w:t>
      </w:r>
      <w:r w:rsidRPr="0055149C">
        <w:t xml:space="preserve">beløpet </w:t>
      </w:r>
      <w:r w:rsidR="00EB3FC5" w:rsidRPr="0055149C">
        <w:t>til</w:t>
      </w:r>
      <w:r w:rsidRPr="0055149C">
        <w:t xml:space="preserve"> omfordel</w:t>
      </w:r>
      <w:r w:rsidR="00EB3FC5" w:rsidRPr="0055149C">
        <w:t>ing</w:t>
      </w:r>
      <w:r w:rsidRPr="0055149C">
        <w:t xml:space="preserve"> som påvirkes av om vi tar kapitalkostnadene med eller ikke, mens vektingen av de ulike </w:t>
      </w:r>
      <w:r w:rsidR="00EB3FC5" w:rsidRPr="0055149C">
        <w:t xml:space="preserve">tjenestefunksjonene </w:t>
      </w:r>
      <w:r w:rsidRPr="0055149C">
        <w:t>og av de enkelte indikatorene innen hver sektor er upåvirket.</w:t>
      </w:r>
    </w:p>
    <w:p w14:paraId="456DB63A" w14:textId="4998A328" w:rsidR="00412962" w:rsidRPr="0055149C" w:rsidRDefault="00147776" w:rsidP="002A6BEE">
      <w:r w:rsidRPr="0055149C">
        <w:t xml:space="preserve">Dersom kapitalkostnadene </w:t>
      </w:r>
      <w:r w:rsidR="00363E7C" w:rsidRPr="0055149C">
        <w:t xml:space="preserve">står i faste forhold </w:t>
      </w:r>
      <w:r w:rsidR="002648EB">
        <w:t>til drifts</w:t>
      </w:r>
      <w:r w:rsidR="00E1151B">
        <w:t>utgiftene</w:t>
      </w:r>
      <w:r w:rsidR="006A056E">
        <w:t xml:space="preserve"> </w:t>
      </w:r>
      <w:r w:rsidR="00363E7C" w:rsidRPr="0055149C">
        <w:t xml:space="preserve">innen den enkelte </w:t>
      </w:r>
      <w:r w:rsidR="00EB3FC5" w:rsidRPr="0055149C">
        <w:t>tjenestefunksjon</w:t>
      </w:r>
      <w:r w:rsidR="002A6BEE" w:rsidRPr="0055149C">
        <w:t xml:space="preserve">, står vi overfor et tredje tilfelle. </w:t>
      </w:r>
      <w:r w:rsidR="00E1151B">
        <w:t xml:space="preserve">Her </w:t>
      </w:r>
      <w:r w:rsidR="00412962" w:rsidRPr="0055149C">
        <w:t xml:space="preserve">påvirkes totalbeløpet og vektingen av de ulike </w:t>
      </w:r>
      <w:r w:rsidR="00EB3FC5" w:rsidRPr="0055149C">
        <w:t>tjenestefunksjonene</w:t>
      </w:r>
      <w:r w:rsidR="00412962" w:rsidRPr="0055149C">
        <w:t xml:space="preserve">, mens indikatorvektene på </w:t>
      </w:r>
      <w:r w:rsidR="00EB3FC5" w:rsidRPr="0055149C">
        <w:t>funksjons</w:t>
      </w:r>
      <w:r w:rsidR="00412962" w:rsidRPr="0055149C">
        <w:t xml:space="preserve">nivå fortsatt vil være upåvirket. </w:t>
      </w:r>
      <w:r w:rsidR="009B4E0E" w:rsidRPr="0055149C">
        <w:t>Utsagnet «</w:t>
      </w:r>
      <w:r w:rsidR="003F75EF" w:rsidRPr="0002496E">
        <w:rPr>
          <w:i/>
          <w:iCs/>
        </w:rPr>
        <w:t xml:space="preserve">kun beløpet </w:t>
      </w:r>
      <w:r w:rsidR="00D6101D" w:rsidRPr="0002496E">
        <w:rPr>
          <w:i/>
          <w:iCs/>
        </w:rPr>
        <w:t>til</w:t>
      </w:r>
      <w:r w:rsidR="003F75EF" w:rsidRPr="0002496E">
        <w:rPr>
          <w:i/>
          <w:iCs/>
        </w:rPr>
        <w:t xml:space="preserve"> omforde</w:t>
      </w:r>
      <w:r w:rsidR="00EB3FC5" w:rsidRPr="0002496E">
        <w:rPr>
          <w:i/>
          <w:iCs/>
        </w:rPr>
        <w:t>ling</w:t>
      </w:r>
      <w:r w:rsidR="003F75EF" w:rsidRPr="0002496E">
        <w:rPr>
          <w:i/>
          <w:iCs/>
        </w:rPr>
        <w:t xml:space="preserve"> som påvirkes</w:t>
      </w:r>
      <w:r w:rsidR="003F75EF" w:rsidRPr="0055149C">
        <w:t>» innebærer at kommuner som har høyere driftsutgifter enn gjennomsnittet får høyere kompensasjon enn i dag</w:t>
      </w:r>
      <w:r w:rsidR="00D6101D" w:rsidRPr="0055149C">
        <w:t>. Dette skyldes at</w:t>
      </w:r>
      <w:r w:rsidR="003F75EF" w:rsidRPr="0055149C">
        <w:t xml:space="preserve"> de også har høyere kapitalutgifter, men man kan altså bruke akk</w:t>
      </w:r>
      <w:r w:rsidR="000E43D1" w:rsidRPr="0055149C">
        <w:t xml:space="preserve">urat samme vekter på kapitalutgifter som på driftsutgifter. </w:t>
      </w:r>
    </w:p>
    <w:p w14:paraId="2EB372A6" w14:textId="75A47440" w:rsidR="00357C4C" w:rsidRPr="0055149C" w:rsidRDefault="00412962" w:rsidP="00412962">
      <w:r w:rsidRPr="0055149C">
        <w:t xml:space="preserve">En </w:t>
      </w:r>
      <w:r w:rsidR="00CE253A">
        <w:t>tidlig</w:t>
      </w:r>
      <w:r w:rsidRPr="0055149C">
        <w:t xml:space="preserve"> test på om kapitalkostnader bør innarbeides</w:t>
      </w:r>
      <w:r w:rsidR="00117319" w:rsidRPr="0055149C">
        <w:t xml:space="preserve"> med egne nøkler og vekter</w:t>
      </w:r>
      <w:r w:rsidR="00EB3FC5" w:rsidRPr="0055149C">
        <w:t>,</w:t>
      </w:r>
      <w:r w:rsidRPr="0055149C">
        <w:t xml:space="preserve"> kan være å se på gjennomsnittlig nivå for kapitalkostnader mellom </w:t>
      </w:r>
      <w:r w:rsidR="00EB3FC5" w:rsidRPr="0055149C">
        <w:t xml:space="preserve">tjenestefunksjoner </w:t>
      </w:r>
      <w:r w:rsidRPr="0055149C">
        <w:t xml:space="preserve">og på korrelasjonen mellom disse </w:t>
      </w:r>
      <w:r w:rsidR="00D6101D" w:rsidRPr="0055149C">
        <w:t>kostnadene</w:t>
      </w:r>
      <w:r w:rsidRPr="0055149C">
        <w:t xml:space="preserve"> og </w:t>
      </w:r>
      <w:r w:rsidR="00D6101D" w:rsidRPr="0055149C">
        <w:t xml:space="preserve">de løpende </w:t>
      </w:r>
      <w:r w:rsidRPr="0055149C">
        <w:t>driftsutgifte</w:t>
      </w:r>
      <w:r w:rsidR="00D6101D" w:rsidRPr="0055149C">
        <w:t>ne</w:t>
      </w:r>
      <w:r w:rsidRPr="0055149C">
        <w:t xml:space="preserve"> etter </w:t>
      </w:r>
      <w:r w:rsidR="00EB3FC5" w:rsidRPr="0055149C">
        <w:t>tjenestefunksjon</w:t>
      </w:r>
      <w:r w:rsidRPr="0055149C">
        <w:t xml:space="preserve">. Hvis gjennomsnittsnivået er likt og korrelasjonen er nær null, peker det </w:t>
      </w:r>
      <w:r w:rsidR="00EB3FC5" w:rsidRPr="0055149C">
        <w:t xml:space="preserve">i </w:t>
      </w:r>
      <w:r w:rsidRPr="0055149C">
        <w:t>retning av det første tilfelle</w:t>
      </w:r>
      <w:r w:rsidR="00EB3FC5" w:rsidRPr="0055149C">
        <w:t>t</w:t>
      </w:r>
      <w:r w:rsidRPr="0055149C">
        <w:t>. Hvis korrelasjonen er nær én</w:t>
      </w:r>
      <w:r w:rsidR="00CD3707">
        <w:t>,</w:t>
      </w:r>
      <w:r w:rsidRPr="0055149C">
        <w:t xml:space="preserve"> peker det i retning av </w:t>
      </w:r>
      <w:r w:rsidR="00EE213C" w:rsidRPr="0055149C">
        <w:t xml:space="preserve">det andre </w:t>
      </w:r>
      <w:r w:rsidR="00CD3707">
        <w:t xml:space="preserve">eller </w:t>
      </w:r>
      <w:r w:rsidR="00EE213C" w:rsidRPr="0055149C">
        <w:t xml:space="preserve">det tredje </w:t>
      </w:r>
      <w:r w:rsidRPr="0055149C">
        <w:t>tilfelle</w:t>
      </w:r>
      <w:r w:rsidR="00EE213C" w:rsidRPr="0055149C">
        <w:t>t</w:t>
      </w:r>
      <w:r w:rsidR="00CD3707">
        <w:t xml:space="preserve"> </w:t>
      </w:r>
      <w:r w:rsidR="00EE213C" w:rsidRPr="0055149C">
        <w:t>beskrevet over</w:t>
      </w:r>
      <w:r w:rsidRPr="0055149C">
        <w:t xml:space="preserve">. Ved andre korrelasjonsmønstre eller som en alternativ test, kan kapitalkostnader inkluderes i de regresjonene som er brukt for å forklare driftsutgiftene per innbygger innenfor </w:t>
      </w:r>
      <w:r w:rsidR="009F2069">
        <w:t>utgiftsutjevningen</w:t>
      </w:r>
      <w:r w:rsidRPr="0055149C">
        <w:t xml:space="preserve">. Det gir informasjon om hvordan regresjonsresultatene eventuelt påvirkes og mulighet til å teste ut flere indikatorvariable. </w:t>
      </w:r>
      <w:r w:rsidR="00EE213C" w:rsidRPr="0055149C">
        <w:t xml:space="preserve">Det er også mulig å se for seg at kompensasjonen for kapitalkostnader skjer på et aggregert nivå. </w:t>
      </w:r>
      <w:r w:rsidRPr="0055149C">
        <w:t xml:space="preserve">Slike empiriske øvelser fordrer avklaring av hvordan kapitalkostnader </w:t>
      </w:r>
      <w:r w:rsidR="00F45A98">
        <w:t>bør</w:t>
      </w:r>
      <w:r w:rsidRPr="0055149C">
        <w:t xml:space="preserve"> måles.</w:t>
      </w:r>
      <w:r w:rsidR="00357C4C" w:rsidRPr="0055149C">
        <w:t xml:space="preserve"> </w:t>
      </w:r>
      <w:r w:rsidR="00EE213C" w:rsidRPr="0055149C">
        <w:t xml:space="preserve">Vi </w:t>
      </w:r>
      <w:r w:rsidR="00357C4C" w:rsidRPr="0055149C">
        <w:t xml:space="preserve">vil </w:t>
      </w:r>
      <w:r w:rsidR="00DB3EDA" w:rsidRPr="0055149C">
        <w:t>foreta</w:t>
      </w:r>
      <w:r w:rsidR="00357C4C" w:rsidRPr="0055149C">
        <w:t xml:space="preserve"> slike </w:t>
      </w:r>
      <w:r w:rsidR="00EE213C" w:rsidRPr="0055149C">
        <w:t xml:space="preserve">empiriske </w:t>
      </w:r>
      <w:r w:rsidR="00DB3EDA" w:rsidRPr="0055149C">
        <w:t xml:space="preserve">undersøkelser i kapittel </w:t>
      </w:r>
      <w:r w:rsidR="00DB3EDA" w:rsidRPr="0055149C">
        <w:fldChar w:fldCharType="begin"/>
      </w:r>
      <w:r w:rsidR="00DB3EDA" w:rsidRPr="0055149C">
        <w:instrText xml:space="preserve"> REF _Ref172639769 \r \h </w:instrText>
      </w:r>
      <w:r w:rsidR="00DB3EDA" w:rsidRPr="0055149C">
        <w:fldChar w:fldCharType="separate"/>
      </w:r>
      <w:r w:rsidR="009B1DA8">
        <w:t>4</w:t>
      </w:r>
      <w:r w:rsidR="00DB3EDA" w:rsidRPr="0055149C">
        <w:fldChar w:fldCharType="end"/>
      </w:r>
      <w:r w:rsidR="00357C4C" w:rsidRPr="0055149C">
        <w:t>.</w:t>
      </w:r>
    </w:p>
    <w:p w14:paraId="34B873C3" w14:textId="1BF594F9" w:rsidR="00DD2CC1" w:rsidRPr="0055149C" w:rsidRDefault="002E1510" w:rsidP="00DD2CC1">
      <w:pPr>
        <w:pStyle w:val="Overskrift2"/>
      </w:pPr>
      <w:bookmarkStart w:id="19" w:name="_Ref167283495"/>
      <w:bookmarkStart w:id="20" w:name="_Ref167284778"/>
      <w:bookmarkStart w:id="21" w:name="_Ref167285660"/>
      <w:bookmarkStart w:id="22" w:name="_Ref167373861"/>
      <w:bookmarkStart w:id="23" w:name="_Ref167442946"/>
      <w:bookmarkStart w:id="24" w:name="_Ref167454114"/>
      <w:bookmarkStart w:id="25" w:name="_Toc182321006"/>
      <w:r w:rsidRPr="0055149C">
        <w:t>Kort om måling av kapitalkostnader i kommunesektoren</w:t>
      </w:r>
      <w:bookmarkEnd w:id="19"/>
      <w:bookmarkEnd w:id="20"/>
      <w:bookmarkEnd w:id="21"/>
      <w:bookmarkEnd w:id="22"/>
      <w:bookmarkEnd w:id="23"/>
      <w:bookmarkEnd w:id="24"/>
      <w:bookmarkEnd w:id="25"/>
    </w:p>
    <w:p w14:paraId="6F795C5E" w14:textId="7EFBD2D4" w:rsidR="0079529C" w:rsidRPr="0055149C" w:rsidRDefault="00010B5A" w:rsidP="00010B5A">
      <w:r w:rsidRPr="0055149C">
        <w:t>For å avgrense kostnadene ved å bruke realkapital bruke</w:t>
      </w:r>
      <w:r w:rsidR="0099787B">
        <w:t>r vi</w:t>
      </w:r>
      <w:r w:rsidRPr="0055149C">
        <w:t xml:space="preserve"> et skolebygg som eksempel. En kommune som eier et skolebygg, kan ta </w:t>
      </w:r>
      <w:r w:rsidRPr="00800BBA">
        <w:rPr>
          <w:color w:val="auto"/>
        </w:rPr>
        <w:t xml:space="preserve">utgangspunkt </w:t>
      </w:r>
      <w:r w:rsidR="001C0E20" w:rsidRPr="00800BBA">
        <w:rPr>
          <w:color w:val="auto"/>
        </w:rPr>
        <w:t xml:space="preserve">i å </w:t>
      </w:r>
      <w:r w:rsidRPr="00800BBA">
        <w:rPr>
          <w:color w:val="auto"/>
        </w:rPr>
        <w:t xml:space="preserve">selge </w:t>
      </w:r>
      <w:r w:rsidRPr="0055149C">
        <w:t xml:space="preserve">bygget eller bruke det ett år til. </w:t>
      </w:r>
      <w:r w:rsidR="0079529C" w:rsidRPr="0055149C">
        <w:t>La oss starte med å</w:t>
      </w:r>
      <w:r w:rsidRPr="0055149C">
        <w:t xml:space="preserve"> forutsette at det er et rimelig velfungerende marked for bygg av denne typen. Dersom bygge</w:t>
      </w:r>
      <w:r w:rsidR="001C2401" w:rsidRPr="0055149C">
        <w:t>t</w:t>
      </w:r>
      <w:r w:rsidRPr="0055149C">
        <w:t xml:space="preserve"> selges, kan salgssummen plasseres med avkastning. Hvis kommunen fortsetter å bruke bygget, går den glipp av denne avkastningen, omtalt som rentekostnad. Hvis bygget selges etter ett år</w:t>
      </w:r>
      <w:r w:rsidR="001C2401" w:rsidRPr="0055149C">
        <w:t>,</w:t>
      </w:r>
      <w:r w:rsidRPr="0055149C">
        <w:t xml:space="preserve"> kan kostnadene ved å bruke kapitalen i</w:t>
      </w:r>
      <w:r w:rsidR="001C2401" w:rsidRPr="0055149C">
        <w:t xml:space="preserve"> løpet av</w:t>
      </w:r>
      <w:r w:rsidRPr="0055149C">
        <w:t xml:space="preserve"> dette året anslås som rentetapet</w:t>
      </w:r>
      <w:r w:rsidR="0079529C" w:rsidRPr="0055149C">
        <w:t>, påplusset</w:t>
      </w:r>
      <w:r w:rsidR="00F5347B">
        <w:t xml:space="preserve"> </w:t>
      </w:r>
      <w:r w:rsidRPr="0055149C">
        <w:t xml:space="preserve">verdifallet eller </w:t>
      </w:r>
      <w:r w:rsidR="0079529C" w:rsidRPr="0055149C">
        <w:t>fratrukket</w:t>
      </w:r>
      <w:r w:rsidRPr="0055149C">
        <w:t xml:space="preserve"> verdistigningen av bygget gjennom året.</w:t>
      </w:r>
    </w:p>
    <w:p w14:paraId="35F95908" w14:textId="475399C0" w:rsidR="00967F48" w:rsidRPr="0055149C" w:rsidRDefault="00010B5A" w:rsidP="00967F48">
      <w:r w:rsidRPr="0055149C">
        <w:lastRenderedPageBreak/>
        <w:t xml:space="preserve">Verdiendringen gjennom året kan begrepsmessig deles i to: Et tap knyttet til slitasje og elde omtalt som depresiering og et tap (eller </w:t>
      </w:r>
      <w:r w:rsidR="00D84A00">
        <w:t xml:space="preserve">en </w:t>
      </w:r>
      <w:r w:rsidRPr="0055149C">
        <w:t>gevinst) knyttet til at bygninger av denne typen er blitt billigere (eller dyrere) i løpet av året.</w:t>
      </w:r>
      <w:r w:rsidRPr="0055149C">
        <w:rPr>
          <w:rStyle w:val="Fotnotereferanse"/>
        </w:rPr>
        <w:footnoteReference w:id="5"/>
      </w:r>
      <w:r w:rsidRPr="0055149C">
        <w:t xml:space="preserve"> Kostnadene ved å bruke kapitalen kan dermed beregnes som summen av rentetap og depresiering, fratrukket en e</w:t>
      </w:r>
      <w:r w:rsidR="0079529C" w:rsidRPr="0055149C">
        <w:t>ventuell</w:t>
      </w:r>
      <w:r w:rsidRPr="0055149C">
        <w:t xml:space="preserve"> prisgevinst eller </w:t>
      </w:r>
      <w:r w:rsidR="005A5783">
        <w:t>tillagt</w:t>
      </w:r>
      <w:r w:rsidRPr="0055149C">
        <w:t xml:space="preserve"> et eventuelt pristap</w:t>
      </w:r>
      <w:r w:rsidR="00A32801">
        <w:t>.</w:t>
      </w:r>
      <w:r w:rsidR="00A32801" w:rsidRPr="00A32801">
        <w:t xml:space="preserve"> </w:t>
      </w:r>
      <w:r w:rsidR="009A77D7">
        <w:t xml:space="preserve">I prinsippet kan utregningen både skje i nominelle og reelle termer. </w:t>
      </w:r>
      <w:r w:rsidR="00A32801" w:rsidRPr="00A32801">
        <w:t>For enkelte lesere kan det være nyttig å se de matematiske uttrykk</w:t>
      </w:r>
      <w:r w:rsidR="008166AF">
        <w:t>ene</w:t>
      </w:r>
      <w:r w:rsidR="00A32801" w:rsidRPr="00A32801">
        <w:t xml:space="preserve"> for </w:t>
      </w:r>
      <w:r w:rsidR="004C6836">
        <w:t>kapitalkostnadene</w:t>
      </w:r>
      <w:r w:rsidR="009A77D7">
        <w:t xml:space="preserve">, så vi har kommet med en formalisert </w:t>
      </w:r>
      <w:r w:rsidR="004C6836">
        <w:t>representasjon</w:t>
      </w:r>
      <w:r w:rsidR="009A77D7">
        <w:t xml:space="preserve"> </w:t>
      </w:r>
      <w:r w:rsidR="004C6836">
        <w:t xml:space="preserve">av de omtalte </w:t>
      </w:r>
      <w:r w:rsidR="004C6836" w:rsidRPr="00A32801">
        <w:t>størrelsen</w:t>
      </w:r>
      <w:r w:rsidR="004C6836">
        <w:t xml:space="preserve">e </w:t>
      </w:r>
      <w:r w:rsidR="009A77D7">
        <w:t xml:space="preserve">i </w:t>
      </w:r>
      <w:r w:rsidR="006241BF" w:rsidRPr="0055149C">
        <w:fldChar w:fldCharType="begin"/>
      </w:r>
      <w:r w:rsidR="006241BF" w:rsidRPr="0055149C">
        <w:instrText xml:space="preserve"> REF _Ref176425310 \h </w:instrText>
      </w:r>
      <w:r w:rsidR="006241BF" w:rsidRPr="0055149C">
        <w:fldChar w:fldCharType="separate"/>
      </w:r>
      <w:r w:rsidR="009B1DA8" w:rsidRPr="0055149C">
        <w:t xml:space="preserve">Tekstboks </w:t>
      </w:r>
      <w:r w:rsidR="009B1DA8">
        <w:rPr>
          <w:noProof/>
        </w:rPr>
        <w:t>1</w:t>
      </w:r>
      <w:r w:rsidR="009B1DA8" w:rsidRPr="0055149C">
        <w:t>.</w:t>
      </w:r>
      <w:r w:rsidR="009B1DA8">
        <w:rPr>
          <w:noProof/>
        </w:rPr>
        <w:t>1</w:t>
      </w:r>
      <w:r w:rsidR="006241BF" w:rsidRPr="0055149C">
        <w:fldChar w:fldCharType="end"/>
      </w:r>
      <w:r w:rsidRPr="0055149C">
        <w:t>.</w:t>
      </w:r>
    </w:p>
    <w:tbl>
      <w:tblPr>
        <w:tblW w:w="8505" w:type="dxa"/>
        <w:tblLayout w:type="fixed"/>
        <w:tblCellMar>
          <w:left w:w="0" w:type="dxa"/>
          <w:right w:w="0" w:type="dxa"/>
        </w:tblCellMar>
        <w:tblLook w:val="04A0" w:firstRow="1" w:lastRow="0" w:firstColumn="1" w:lastColumn="0" w:noHBand="0" w:noVBand="1"/>
      </w:tblPr>
      <w:tblGrid>
        <w:gridCol w:w="8505"/>
      </w:tblGrid>
      <w:tr w:rsidR="00412A03" w:rsidRPr="0055149C" w14:paraId="7EFAAC2B" w14:textId="77777777" w:rsidTr="009238AE">
        <w:tc>
          <w:tcPr>
            <w:tcW w:w="8505" w:type="dxa"/>
            <w:tcBorders>
              <w:bottom w:val="single" w:sz="2" w:space="0" w:color="162F5C" w:themeColor="accent1"/>
            </w:tcBorders>
          </w:tcPr>
          <w:p w14:paraId="7BFB9E73" w14:textId="603C41B5" w:rsidR="00412A03" w:rsidRPr="0055149C" w:rsidRDefault="00412A03" w:rsidP="009238AE">
            <w:pPr>
              <w:pStyle w:val="CaptionTextframe"/>
              <w:ind w:left="0" w:firstLine="0"/>
            </w:pPr>
            <w:bookmarkStart w:id="26" w:name="_Ref176425310"/>
            <w:bookmarkStart w:id="27" w:name="_Hlk96948334"/>
            <w:r w:rsidRPr="0055149C">
              <w:t xml:space="preserve">Tekstboks </w:t>
            </w:r>
            <w:fldSimple w:instr=" STYLEREF 1 \s ">
              <w:r w:rsidR="009B1DA8">
                <w:rPr>
                  <w:noProof/>
                </w:rPr>
                <w:t>1</w:t>
              </w:r>
            </w:fldSimple>
            <w:r w:rsidRPr="0055149C">
              <w:t>.</w:t>
            </w:r>
            <w:fldSimple w:instr=" SEQ Tekstboks \* ARABIC \s 1 ">
              <w:r w:rsidR="009B1DA8">
                <w:rPr>
                  <w:noProof/>
                </w:rPr>
                <w:t>1</w:t>
              </w:r>
            </w:fldSimple>
            <w:bookmarkEnd w:id="26"/>
            <w:r w:rsidRPr="0055149C">
              <w:tab/>
              <w:t>Matematisk presisering av årlig kapitalenhetskostnad med og uten inflasjon</w:t>
            </w:r>
          </w:p>
        </w:tc>
      </w:tr>
      <w:tr w:rsidR="00412A03" w:rsidRPr="0055149C" w14:paraId="777E2FC4" w14:textId="77777777" w:rsidTr="009238AE">
        <w:tc>
          <w:tcPr>
            <w:tcW w:w="8505" w:type="dxa"/>
            <w:tcBorders>
              <w:top w:val="single" w:sz="2" w:space="0" w:color="162F5C" w:themeColor="accent1"/>
              <w:bottom w:val="single" w:sz="2" w:space="0" w:color="162F5C" w:themeColor="accent1"/>
            </w:tcBorders>
          </w:tcPr>
          <w:p w14:paraId="71ABDA57" w14:textId="0438C431" w:rsidR="00412A03" w:rsidRPr="0055149C" w:rsidRDefault="00622945" w:rsidP="009238AE">
            <w:pPr>
              <w:pStyle w:val="KeyMsgBoxText"/>
              <w:keepNext/>
            </w:pPr>
            <w:r>
              <w:t xml:space="preserve">I det følgende vil vi gi en matematisk presisering av </w:t>
            </w:r>
            <w:r w:rsidR="003629CD">
              <w:t xml:space="preserve">den årlige </w:t>
            </w:r>
            <w:r w:rsidR="003629CD" w:rsidRPr="003629CD">
              <w:t>kapitalenhetskostnad</w:t>
            </w:r>
            <w:r w:rsidR="003629CD">
              <w:t xml:space="preserve">en. </w:t>
            </w:r>
            <w:r w:rsidR="00412A03" w:rsidRPr="0055149C">
              <w:t xml:space="preserve">La </w:t>
            </w:r>
            <m:oMath>
              <m:r>
                <w:rPr>
                  <w:rFonts w:ascii="Cambria Math" w:hAnsi="Cambria Math"/>
                </w:rPr>
                <m:t>p</m:t>
              </m:r>
            </m:oMath>
            <w:r w:rsidR="00412A03" w:rsidRPr="0055149C">
              <w:t xml:space="preserve"> være prisen på investeringsvare</w:t>
            </w:r>
            <w:r w:rsidR="00EE6231">
              <w:t>n</w:t>
            </w:r>
            <w:r w:rsidR="00412A03" w:rsidRPr="0055149C">
              <w:t xml:space="preserve">, </w:t>
            </w:r>
            <m:oMath>
              <m:r>
                <w:rPr>
                  <w:rFonts w:ascii="Cambria Math" w:hAnsi="Cambria Math"/>
                </w:rPr>
                <m:t>r</m:t>
              </m:r>
            </m:oMath>
            <w:r w:rsidR="00412A03" w:rsidRPr="0055149C">
              <w:t xml:space="preserve"> er avkastningskravet, </w:t>
            </w:r>
            <m:oMath>
              <m:r>
                <w:rPr>
                  <w:rFonts w:ascii="Cambria Math" w:hAnsi="Cambria Math" w:cstheme="minorHAnsi"/>
                </w:rPr>
                <m:t>δ</m:t>
              </m:r>
            </m:oMath>
            <w:r w:rsidR="00412A03" w:rsidRPr="0055149C">
              <w:t xml:space="preserve"> er depresiering,</w:t>
            </w:r>
            <w:r w:rsidR="00EE6231">
              <w:t xml:space="preserve"> </w:t>
            </w:r>
            <m:oMath>
              <m:acc>
                <m:accPr>
                  <m:chr m:val="̇"/>
                  <m:ctrlPr>
                    <w:rPr>
                      <w:rFonts w:ascii="Cambria Math" w:hAnsi="Cambria Math"/>
                      <w:i/>
                      <w:iCs/>
                    </w:rPr>
                  </m:ctrlPr>
                </m:accPr>
                <m:e>
                  <m:r>
                    <w:rPr>
                      <w:rFonts w:ascii="Cambria Math" w:hAnsi="Cambria Math"/>
                    </w:rPr>
                    <m:t>p</m:t>
                  </m:r>
                </m:e>
              </m:acc>
            </m:oMath>
            <w:r w:rsidR="00A84BFA">
              <w:t xml:space="preserve"> </w:t>
            </w:r>
            <w:r w:rsidR="00412A03" w:rsidRPr="0055149C">
              <w:t xml:space="preserve">er realprisgevinst på investeringsvarer (realpristap hvis størrelsen er negativ), og </w:t>
            </w:r>
            <m:oMath>
              <m:r>
                <w:rPr>
                  <w:rFonts w:ascii="Cambria Math" w:hAnsi="Cambria Math" w:cstheme="minorHAnsi"/>
                </w:rPr>
                <m:t>π</m:t>
              </m:r>
            </m:oMath>
            <w:r w:rsidR="00412A03" w:rsidRPr="0055149C">
              <w:t xml:space="preserve"> </w:t>
            </w:r>
            <w:r w:rsidR="00AA4F37">
              <w:t>være generell</w:t>
            </w:r>
            <w:r w:rsidR="00412A03" w:rsidRPr="0055149C">
              <w:t xml:space="preserve"> inflasjon. Årlig kapitalenhetskostnad </w:t>
            </w:r>
            <m:oMath>
              <m:r>
                <w:rPr>
                  <w:rFonts w:ascii="Cambria Math" w:hAnsi="Cambria Math"/>
                </w:rPr>
                <m:t>k</m:t>
              </m:r>
            </m:oMath>
            <w:r w:rsidR="00412A03" w:rsidRPr="0055149C">
              <w:t>, hvilket tilsvarer årlig leiepris, er gitt i det følgende:</w:t>
            </w:r>
          </w:p>
          <w:p w14:paraId="68E42B06" w14:textId="0EB5426F" w:rsidR="00412A03" w:rsidRPr="0055149C" w:rsidRDefault="00412A03" w:rsidP="009238AE">
            <w:pPr>
              <w:pStyle w:val="KeyMsgBoxText"/>
              <w:keepNext/>
            </w:pPr>
            <w:r w:rsidRPr="0055149C">
              <w:rPr>
                <w:i/>
                <w:iCs/>
              </w:rPr>
              <w:t>Årlig kapitalenhetskostnad</w:t>
            </w:r>
            <w:r w:rsidRPr="0055149C">
              <w:t>:</w:t>
            </w:r>
            <w:r w:rsidRPr="0055149C">
              <w:rPr>
                <w:i/>
                <w:iCs/>
              </w:rPr>
              <w:t xml:space="preserve"> </w:t>
            </w:r>
            <m:oMath>
              <m:r>
                <w:rPr>
                  <w:rFonts w:ascii="Cambria Math" w:hAnsi="Cambria Math"/>
                </w:rPr>
                <m:t>k=</m:t>
              </m:r>
              <m:d>
                <m:dPr>
                  <m:ctrlPr>
                    <w:rPr>
                      <w:rFonts w:ascii="Cambria Math" w:hAnsi="Cambria Math"/>
                      <w:i/>
                      <w:iCs/>
                    </w:rPr>
                  </m:ctrlPr>
                </m:dPr>
                <m:e>
                  <m:r>
                    <w:rPr>
                      <w:rFonts w:ascii="Cambria Math" w:hAnsi="Cambria Math"/>
                    </w:rPr>
                    <m:t>r+δ-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e>
              </m:d>
              <m:r>
                <w:rPr>
                  <w:rFonts w:ascii="Cambria Math" w:hAnsi="Cambria Math"/>
                </w:rPr>
                <m:t>p</m:t>
              </m:r>
            </m:oMath>
            <w:r w:rsidRPr="0055149C">
              <w:rPr>
                <w:i/>
                <w:iCs/>
              </w:rPr>
              <w:t xml:space="preserve">. </w:t>
            </w:r>
            <w:r w:rsidRPr="0055149C">
              <w:t xml:space="preserve">Man kan lure på hva størrelsen </w:t>
            </w:r>
            <m:oMath>
              <m:r>
                <w:rPr>
                  <w:rFonts w:ascii="Cambria Math" w:hAnsi="Cambria Math"/>
                </w:rPr>
                <m:t>p</m:t>
              </m:r>
            </m:oMath>
            <w:r w:rsidRPr="0055149C">
              <w:t xml:space="preserve"> utenfor parentesen har med saken å gjøre. Dens rolle er å sørge for at kapitalenhetskostnaden vurderes til gjenanskaffelsesverdi. I lærebøker antas ofte at </w:t>
            </w:r>
            <m:oMath>
              <m:r>
                <w:rPr>
                  <w:rFonts w:ascii="Cambria Math" w:hAnsi="Cambria Math"/>
                </w:rPr>
                <m:t>p = 1</m:t>
              </m:r>
            </m:oMath>
            <w:r w:rsidRPr="0055149C">
              <w:t xml:space="preserve">. Da blir uttrykket </w:t>
            </w:r>
          </w:p>
          <w:p w14:paraId="473B9DDC" w14:textId="77777777" w:rsidR="00C645A9" w:rsidRDefault="00412A03" w:rsidP="009238AE">
            <w:pPr>
              <w:pStyle w:val="KeyMsgBoxText"/>
              <w:keepNext/>
              <w:rPr>
                <w:iCs/>
              </w:rPr>
            </w:pPr>
            <w:r w:rsidRPr="0055149C">
              <w:t xml:space="preserve">Årlig kapitalenhetskostnad hvis </w:t>
            </w:r>
            <m:oMath>
              <m:r>
                <w:rPr>
                  <w:rFonts w:ascii="Cambria Math" w:hAnsi="Cambria Math"/>
                </w:rPr>
                <m:t>p=1</m:t>
              </m:r>
            </m:oMath>
            <w:r w:rsidRPr="0055149C">
              <w:t xml:space="preserve">: </w:t>
            </w:r>
            <m:oMath>
              <m:r>
                <w:rPr>
                  <w:rFonts w:ascii="Cambria Math" w:hAnsi="Cambria Math"/>
                </w:rPr>
                <m:t>k=</m:t>
              </m:r>
              <m:d>
                <m:dPr>
                  <m:ctrlPr>
                    <w:rPr>
                      <w:rFonts w:ascii="Cambria Math" w:hAnsi="Cambria Math"/>
                      <w:i/>
                      <w:iCs/>
                    </w:rPr>
                  </m:ctrlPr>
                </m:dPr>
                <m:e>
                  <m:r>
                    <w:rPr>
                      <w:rFonts w:ascii="Cambria Math" w:hAnsi="Cambria Math"/>
                    </w:rPr>
                    <m:t>r+δ-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e>
              </m:d>
            </m:oMath>
            <w:r w:rsidRPr="0055149C">
              <w:rPr>
                <w:iCs/>
              </w:rPr>
              <w:t>.</w:t>
            </w:r>
          </w:p>
          <w:p w14:paraId="5E068DC3" w14:textId="70E300F3" w:rsidR="00412A03" w:rsidRPr="0055149C" w:rsidRDefault="00412A03" w:rsidP="009238AE">
            <w:pPr>
              <w:pStyle w:val="KeyMsgBoxText"/>
              <w:keepNext/>
              <w:rPr>
                <w:iCs/>
              </w:rPr>
            </w:pPr>
            <w:r w:rsidRPr="0055149C">
              <w:rPr>
                <w:iCs/>
              </w:rPr>
              <w:t xml:space="preserve">Av og til antas også at </w:t>
            </w:r>
            <m:oMath>
              <m:f>
                <m:fPr>
                  <m:type m:val="skw"/>
                  <m:ctrlPr>
                    <w:rPr>
                      <w:rFonts w:ascii="Cambria Math" w:hAnsi="Cambria Math"/>
                      <w:i/>
                    </w:rPr>
                  </m:ctrlPr>
                </m:fPr>
                <m:num>
                  <m:acc>
                    <m:accPr>
                      <m:chr m:val="̇"/>
                      <m:ctrlPr>
                        <w:rPr>
                          <w:rFonts w:ascii="Cambria Math" w:hAnsi="Cambria Math"/>
                          <w:i/>
                        </w:rPr>
                      </m:ctrlPr>
                    </m:accPr>
                    <m:e>
                      <m:r>
                        <w:rPr>
                          <w:rFonts w:ascii="Cambria Math" w:hAnsi="Cambria Math"/>
                        </w:rPr>
                        <m:t>p</m:t>
                      </m:r>
                    </m:e>
                  </m:acc>
                </m:num>
                <m:den>
                  <m:r>
                    <w:rPr>
                      <w:rFonts w:ascii="Cambria Math" w:hAnsi="Cambria Math"/>
                    </w:rPr>
                    <m:t>p</m:t>
                  </m:r>
                </m:den>
              </m:f>
              <m:r>
                <w:rPr>
                  <w:rFonts w:ascii="Cambria Math" w:hAnsi="Cambria Math"/>
                </w:rPr>
                <m:t>=0</m:t>
              </m:r>
            </m:oMath>
            <w:r w:rsidRPr="0055149C">
              <w:t>. Årlig kapitalenhetskostnad hvis</w:t>
            </w:r>
            <m:oMath>
              <m:r>
                <w:rPr>
                  <w:rFonts w:ascii="Cambria Math" w:hAnsi="Cambria Math"/>
                </w:rPr>
                <m:t xml:space="preserve"> p=1</m:t>
              </m:r>
            </m:oMath>
            <w:r w:rsidRPr="0055149C">
              <w:t xml:space="preserve"> og </w:t>
            </w:r>
            <m:oMath>
              <m:f>
                <m:fPr>
                  <m:type m:val="skw"/>
                  <m:ctrlPr>
                    <w:rPr>
                      <w:rFonts w:ascii="Cambria Math" w:hAnsi="Cambria Math"/>
                      <w:i/>
                    </w:rPr>
                  </m:ctrlPr>
                </m:fPr>
                <m:num>
                  <m:acc>
                    <m:accPr>
                      <m:chr m:val="̇"/>
                      <m:ctrlPr>
                        <w:rPr>
                          <w:rFonts w:ascii="Cambria Math" w:hAnsi="Cambria Math"/>
                          <w:i/>
                        </w:rPr>
                      </m:ctrlPr>
                    </m:accPr>
                    <m:e>
                      <m:r>
                        <w:rPr>
                          <w:rFonts w:ascii="Cambria Math" w:hAnsi="Cambria Math"/>
                        </w:rPr>
                        <m:t>p</m:t>
                      </m:r>
                    </m:e>
                  </m:acc>
                </m:num>
                <m:den>
                  <m:r>
                    <w:rPr>
                      <w:rFonts w:ascii="Cambria Math" w:hAnsi="Cambria Math"/>
                    </w:rPr>
                    <m:t>p</m:t>
                  </m:r>
                </m:den>
              </m:f>
              <m:r>
                <w:rPr>
                  <w:rFonts w:ascii="Cambria Math" w:hAnsi="Cambria Math"/>
                </w:rPr>
                <m:t>=0</m:t>
              </m:r>
            </m:oMath>
            <w:r w:rsidRPr="0055149C">
              <w:t xml:space="preserve">: </w:t>
            </w:r>
            <m:oMath>
              <m:r>
                <w:rPr>
                  <w:rFonts w:ascii="Cambria Math" w:hAnsi="Cambria Math"/>
                </w:rPr>
                <m:t>k=</m:t>
              </m:r>
              <m:d>
                <m:dPr>
                  <m:ctrlPr>
                    <w:rPr>
                      <w:rFonts w:ascii="Cambria Math" w:hAnsi="Cambria Math"/>
                      <w:i/>
                      <w:iCs/>
                    </w:rPr>
                  </m:ctrlPr>
                </m:dPr>
                <m:e>
                  <m:r>
                    <w:rPr>
                      <w:rFonts w:ascii="Cambria Math" w:hAnsi="Cambria Math"/>
                    </w:rPr>
                    <m:t>r+δ</m:t>
                  </m:r>
                </m:e>
              </m:d>
            </m:oMath>
            <w:r w:rsidRPr="0055149C">
              <w:rPr>
                <w:iCs/>
              </w:rPr>
              <w:t>.</w:t>
            </w:r>
          </w:p>
          <w:p w14:paraId="3C795B1D" w14:textId="72D2CCE6" w:rsidR="00412A03" w:rsidRPr="0055149C" w:rsidRDefault="00412A03" w:rsidP="009238AE">
            <w:pPr>
              <w:pStyle w:val="KeyMsgBoxText"/>
              <w:keepNext/>
              <w:rPr>
                <w:iCs/>
              </w:rPr>
            </w:pPr>
            <w:r w:rsidRPr="0055149C">
              <w:rPr>
                <w:iCs/>
              </w:rPr>
              <w:t>Hvis vi vil bringe inn inflasjon i det opprinnelig uttrykket</w:t>
            </w:r>
            <w:r w:rsidR="003863DC">
              <w:rPr>
                <w:iCs/>
              </w:rPr>
              <w:t>,</w:t>
            </w:r>
            <w:r w:rsidRPr="0055149C">
              <w:rPr>
                <w:iCs/>
              </w:rPr>
              <w:t xml:space="preserve"> må vi gjøre både rente og prisstigning til nominelle størrelser. Da får vi i det generelle tilfellet</w:t>
            </w:r>
          </w:p>
          <w:p w14:paraId="16A9493F" w14:textId="77777777" w:rsidR="00412A03" w:rsidRPr="0055149C" w:rsidRDefault="00412A03" w:rsidP="009238AE">
            <w:pPr>
              <w:pStyle w:val="KeyMsgBoxText"/>
              <w:keepNext/>
              <w:rPr>
                <w:iCs/>
              </w:rPr>
            </w:pPr>
            <w:r w:rsidRPr="0055149C">
              <w:t xml:space="preserve">Årlig kapitalenhetskostnad </w:t>
            </w:r>
            <m:oMath>
              <m:r>
                <w:rPr>
                  <w:rFonts w:ascii="Cambria Math" w:hAnsi="Cambria Math"/>
                </w:rPr>
                <m:t>k=</m:t>
              </m:r>
              <m:d>
                <m:dPr>
                  <m:ctrlPr>
                    <w:rPr>
                      <w:rFonts w:ascii="Cambria Math" w:hAnsi="Cambria Math"/>
                      <w:i/>
                      <w:iCs/>
                    </w:rPr>
                  </m:ctrlPr>
                </m:dPr>
                <m:e>
                  <m:r>
                    <w:rPr>
                      <w:rFonts w:ascii="Cambria Math" w:hAnsi="Cambria Math"/>
                    </w:rPr>
                    <m:t>r+π+δ-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r>
                    <w:rPr>
                      <w:rFonts w:ascii="Cambria Math" w:hAnsi="Cambria Math"/>
                    </w:rPr>
                    <m:t>-π</m:t>
                  </m:r>
                </m:e>
              </m:d>
              <m:r>
                <w:rPr>
                  <w:rFonts w:ascii="Cambria Math" w:hAnsi="Cambria Math"/>
                </w:rPr>
                <m:t>p=</m:t>
              </m:r>
              <m:d>
                <m:dPr>
                  <m:ctrlPr>
                    <w:rPr>
                      <w:rFonts w:ascii="Cambria Math" w:hAnsi="Cambria Math"/>
                      <w:i/>
                      <w:iCs/>
                    </w:rPr>
                  </m:ctrlPr>
                </m:dPr>
                <m:e>
                  <m:r>
                    <w:rPr>
                      <w:rFonts w:ascii="Cambria Math" w:hAnsi="Cambria Math"/>
                    </w:rPr>
                    <m:t>r+δ-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e>
              </m:d>
              <m:r>
                <w:rPr>
                  <w:rFonts w:ascii="Cambria Math" w:hAnsi="Cambria Math"/>
                </w:rPr>
                <m:t>p</m:t>
              </m:r>
            </m:oMath>
            <w:r w:rsidRPr="0055149C">
              <w:rPr>
                <w:iCs/>
              </w:rPr>
              <w:t>. Den årlige kapitalenhetskostnaden er altså den samme enten vi har med inflasjon eller ikke.</w:t>
            </w:r>
          </w:p>
          <w:p w14:paraId="776BA3F7" w14:textId="77777777" w:rsidR="00412A03" w:rsidRPr="0055149C" w:rsidRDefault="00412A03" w:rsidP="009238AE">
            <w:pPr>
              <w:pStyle w:val="KeyMsgBoxText"/>
              <w:keepNext/>
              <w:tabs>
                <w:tab w:val="left" w:pos="3626"/>
              </w:tabs>
            </w:pPr>
            <w:r w:rsidRPr="0055149C">
              <w:rPr>
                <w:iCs/>
              </w:rPr>
              <w:t>I praksis vil både kapitalprisene, depresieringsratene og eventuelt også avkastningskravet variere avhengig av kapitalart og anvendelse</w:t>
            </w:r>
            <w:r>
              <w:rPr>
                <w:iCs/>
              </w:rPr>
              <w:t>.</w:t>
            </w:r>
          </w:p>
        </w:tc>
      </w:tr>
    </w:tbl>
    <w:bookmarkEnd w:id="27"/>
    <w:p w14:paraId="3EFB67EA" w14:textId="77777777" w:rsidR="00412A03" w:rsidRPr="0055149C" w:rsidRDefault="00412A03" w:rsidP="00412A03">
      <w:pPr>
        <w:pStyle w:val="Source"/>
        <w:rPr>
          <w:lang w:eastAsia="nb-NO"/>
        </w:rPr>
      </w:pPr>
      <w:r w:rsidRPr="0055149C">
        <w:rPr>
          <w:lang w:eastAsia="nb-NO"/>
        </w:rPr>
        <w:t>Kilde: Vista Analyse</w:t>
      </w:r>
    </w:p>
    <w:p w14:paraId="2D14CC78" w14:textId="77777777" w:rsidR="009E789F" w:rsidRPr="0055149C" w:rsidRDefault="009E789F" w:rsidP="009E789F">
      <w:r w:rsidRPr="0055149C">
        <w:t>Et tilsvarende regnestykke kan gjøres hvis kommunen sitter med bygget i flere år, eller dersom det investere</w:t>
      </w:r>
      <w:r>
        <w:t>s</w:t>
      </w:r>
      <w:r w:rsidRPr="0055149C">
        <w:t xml:space="preserve"> i et nytt bygg som den sitter med inntil det ikke lenger oppfyller sin funksjon. For en kommune som leier et skolebygg er kostnadene ved å bruke kapitalen gitt ved leien, pluss eventuelle tilleggsutlegg knyttet til vedlikehold eller standardheving.</w:t>
      </w:r>
    </w:p>
    <w:p w14:paraId="4870E09E" w14:textId="11F4D197" w:rsidR="009E789F" w:rsidRDefault="009E789F" w:rsidP="009E789F">
      <w:r w:rsidRPr="0055149C">
        <w:t>Fra utleiers side bør leien tilsvare hva det koster utleier å eie bygget et år, altså de samme størrelsene som nettopp er nevnt. Hvis det var et avvik, ville brukere av slike bygg prøve å erstatte leie med eie eller omvendt, avhengig av hva som var billigst. Med rimelig velfungerende marked for leie kan en dermed bruke markedsleien som mål på kapitalkostnadene. I fravær av velfungerende leiemarkeder kan kostnadene ved å eie og bruke et bygg anslås med utgangspunkt i elementene rentetap, kapitalslit og eventuelt nettorealprisgevinst.</w:t>
      </w:r>
    </w:p>
    <w:p w14:paraId="39D95B61" w14:textId="0D9C8397" w:rsidR="00967F48" w:rsidRPr="0055149C" w:rsidRDefault="00967F48" w:rsidP="00967F48">
      <w:r w:rsidRPr="0055149C">
        <w:t xml:space="preserve">Regnskapene for kommunesektoren i </w:t>
      </w:r>
      <w:r w:rsidR="008E7E43">
        <w:t>KOSTRA</w:t>
      </w:r>
      <w:r w:rsidRPr="0055149C">
        <w:t xml:space="preserve"> inneholder tall for bruttoinvesteringer og </w:t>
      </w:r>
      <w:r w:rsidR="00E5312B">
        <w:t>avskrivning</w:t>
      </w:r>
      <w:r w:rsidRPr="0055149C">
        <w:t xml:space="preserve">er etter tjenestefunksjon (men ikke kapitalart), verdsatt til de prisene som gjaldt i </w:t>
      </w:r>
      <w:r w:rsidRPr="0055149C">
        <w:lastRenderedPageBreak/>
        <w:t>investeringsåret. Det er også tall for neddepresierte kapitalbeholdninger etter art (men ikke etter funksjon) målt til anskaffelseskostnad.</w:t>
      </w:r>
    </w:p>
    <w:p w14:paraId="19B2FD0B" w14:textId="0FE8377D" w:rsidR="00056742" w:rsidRDefault="00967F48" w:rsidP="00967F48">
      <w:r w:rsidRPr="0055149C">
        <w:t xml:space="preserve">For å anslå depresiering og rentetap etter funksjon målt i dagens priser, kan det dermed være ønskelig å gå veien om tall for verdien av kapital etter funksjon målt ved prisene for det aktuelle året. Slike tall kan konstrueres ved å summere investeringskostnader, fratrukket beregnet depresiering over tid, målt i faste priser med det aktuelle året som basisår. Denne metoden omtales gjerne som </w:t>
      </w:r>
      <w:r w:rsidR="00F11F3A">
        <w:t>«</w:t>
      </w:r>
      <w:r w:rsidR="009F70DA">
        <w:rPr>
          <w:b/>
          <w:bCs/>
          <w:iCs/>
          <w:color w:val="3672B0" w:themeColor="accent2"/>
        </w:rPr>
        <w:t>P</w:t>
      </w:r>
      <w:r w:rsidRPr="009F70DA">
        <w:rPr>
          <w:b/>
          <w:bCs/>
          <w:iCs/>
          <w:color w:val="3672B0" w:themeColor="accent2"/>
        </w:rPr>
        <w:t xml:space="preserve">erpetual </w:t>
      </w:r>
      <w:r w:rsidR="009F70DA">
        <w:rPr>
          <w:b/>
          <w:bCs/>
          <w:iCs/>
          <w:color w:val="3672B0" w:themeColor="accent2"/>
        </w:rPr>
        <w:t>I</w:t>
      </w:r>
      <w:r w:rsidRPr="009F70DA">
        <w:rPr>
          <w:b/>
          <w:bCs/>
          <w:iCs/>
          <w:color w:val="3672B0" w:themeColor="accent2"/>
        </w:rPr>
        <w:t xml:space="preserve">nventory </w:t>
      </w:r>
      <w:r w:rsidR="009F70DA">
        <w:rPr>
          <w:b/>
          <w:bCs/>
          <w:iCs/>
          <w:color w:val="3672B0" w:themeColor="accent2"/>
        </w:rPr>
        <w:t>M</w:t>
      </w:r>
      <w:r w:rsidRPr="009F70DA">
        <w:rPr>
          <w:b/>
          <w:bCs/>
          <w:iCs/>
          <w:color w:val="3672B0" w:themeColor="accent2"/>
        </w:rPr>
        <w:t>ethod</w:t>
      </w:r>
      <w:r w:rsidR="00F11F3A">
        <w:t>»</w:t>
      </w:r>
      <w:r w:rsidRPr="009F70DA">
        <w:rPr>
          <w:color w:val="3672B0" w:themeColor="accent2"/>
        </w:rPr>
        <w:t xml:space="preserve"> </w:t>
      </w:r>
      <w:r w:rsidRPr="009F70DA">
        <w:t>(</w:t>
      </w:r>
      <w:r w:rsidRPr="009F70DA">
        <w:rPr>
          <w:color w:val="3672B0" w:themeColor="accent2"/>
        </w:rPr>
        <w:t>PIM</w:t>
      </w:r>
      <w:r w:rsidRPr="009F70DA">
        <w:t>). Motstykket er</w:t>
      </w:r>
      <w:r w:rsidR="00891691" w:rsidRPr="009F70DA">
        <w:t xml:space="preserve"> </w:t>
      </w:r>
      <w:r w:rsidR="00F11F3A">
        <w:t>«</w:t>
      </w:r>
      <w:r w:rsidR="009F70DA">
        <w:rPr>
          <w:b/>
          <w:bCs/>
          <w:iCs/>
          <w:color w:val="3672B0" w:themeColor="accent2"/>
        </w:rPr>
        <w:t>D</w:t>
      </w:r>
      <w:r w:rsidRPr="009F70DA">
        <w:rPr>
          <w:b/>
          <w:bCs/>
          <w:iCs/>
          <w:color w:val="3672B0" w:themeColor="accent2"/>
        </w:rPr>
        <w:t xml:space="preserve">irekte </w:t>
      </w:r>
      <w:r w:rsidR="009F70DA">
        <w:rPr>
          <w:b/>
          <w:bCs/>
          <w:iCs/>
          <w:color w:val="3672B0" w:themeColor="accent2"/>
        </w:rPr>
        <w:t>M</w:t>
      </w:r>
      <w:r w:rsidRPr="009F70DA">
        <w:rPr>
          <w:b/>
          <w:bCs/>
          <w:iCs/>
          <w:color w:val="3672B0" w:themeColor="accent2"/>
        </w:rPr>
        <w:t>etode</w:t>
      </w:r>
      <w:r w:rsidR="00F11F3A">
        <w:t>»</w:t>
      </w:r>
      <w:r w:rsidRPr="009F70DA">
        <w:rPr>
          <w:b/>
          <w:bCs/>
          <w:color w:val="3672B0" w:themeColor="accent2"/>
        </w:rPr>
        <w:t xml:space="preserve"> </w:t>
      </w:r>
      <w:r w:rsidRPr="009F70DA">
        <w:t>(</w:t>
      </w:r>
      <w:r w:rsidRPr="009F70DA">
        <w:rPr>
          <w:color w:val="3672B0" w:themeColor="accent2"/>
        </w:rPr>
        <w:t>DM</w:t>
      </w:r>
      <w:r w:rsidRPr="009F70DA">
        <w:t>)</w:t>
      </w:r>
      <w:r w:rsidRPr="0055149C">
        <w:t xml:space="preserve">, som i dette tilfelle innebærer </w:t>
      </w:r>
      <w:r w:rsidR="00D07C65">
        <w:t xml:space="preserve">at </w:t>
      </w:r>
      <w:r w:rsidRPr="0055149C">
        <w:t>man baserer seg direkte på de</w:t>
      </w:r>
      <w:r w:rsidR="00C40E8A">
        <w:t>t</w:t>
      </w:r>
      <w:r w:rsidRPr="0055149C">
        <w:t xml:space="preserve"> bokførte </w:t>
      </w:r>
      <w:r w:rsidR="00056742">
        <w:t>kapitalslitet</w:t>
      </w:r>
      <w:r w:rsidR="00C40E8A">
        <w:t xml:space="preserve"> og de bokførte </w:t>
      </w:r>
      <w:r w:rsidRPr="0055149C">
        <w:t>beholdningene.</w:t>
      </w:r>
      <w:r w:rsidR="004B03E3">
        <w:t xml:space="preserve"> Vi kommer tilbake til disse tilnærmingene i seksjon </w:t>
      </w:r>
      <w:r w:rsidR="004B03E3">
        <w:fldChar w:fldCharType="begin"/>
      </w:r>
      <w:r w:rsidR="004B03E3">
        <w:instrText xml:space="preserve"> REF _Ref178638784 \r \h </w:instrText>
      </w:r>
      <w:r w:rsidR="004B03E3">
        <w:fldChar w:fldCharType="separate"/>
      </w:r>
      <w:r w:rsidR="009B1DA8">
        <w:t>2.1.3</w:t>
      </w:r>
      <w:r w:rsidR="004B03E3">
        <w:fldChar w:fldCharType="end"/>
      </w:r>
      <w:r w:rsidR="004B03E3">
        <w:t>.</w:t>
      </w:r>
    </w:p>
    <w:p w14:paraId="7B94DE2F" w14:textId="71679400" w:rsidR="00C5292F" w:rsidRDefault="00C5292F" w:rsidP="00967F48">
      <w:r w:rsidRPr="000F50C9">
        <w:t xml:space="preserve">Investeringer innebærer kostnader i dag og nyttevirkninger </w:t>
      </w:r>
      <w:r>
        <w:t xml:space="preserve">spredt utover </w:t>
      </w:r>
      <w:r w:rsidRPr="000F50C9">
        <w:t>framtiden</w:t>
      </w:r>
      <w:r>
        <w:t xml:space="preserve">. Kommuner vil i mange tilfeller kunne investere i ulik grad, også når de bakenforliggende kjennetegnene er relativt like. Dynamikken </w:t>
      </w:r>
      <w:r w:rsidR="00860F0F">
        <w:t>i en</w:t>
      </w:r>
      <w:r>
        <w:t xml:space="preserve"> kompensasjon</w:t>
      </w:r>
      <w:r w:rsidR="00FA65E9">
        <w:t xml:space="preserve"> over tid </w:t>
      </w:r>
      <w:r>
        <w:t xml:space="preserve">er illustrert i </w:t>
      </w:r>
      <w:r>
        <w:rPr>
          <w:highlight w:val="yellow"/>
        </w:rPr>
        <w:fldChar w:fldCharType="begin"/>
      </w:r>
      <w:r>
        <w:instrText xml:space="preserve"> REF _Ref178638209 \h </w:instrText>
      </w:r>
      <w:r>
        <w:rPr>
          <w:highlight w:val="yellow"/>
        </w:rPr>
      </w:r>
      <w:r>
        <w:rPr>
          <w:highlight w:val="yellow"/>
        </w:rPr>
        <w:fldChar w:fldCharType="separate"/>
      </w:r>
      <w:r w:rsidR="009B1DA8">
        <w:t xml:space="preserve">Figur </w:t>
      </w:r>
      <w:r w:rsidR="009B1DA8">
        <w:rPr>
          <w:noProof/>
        </w:rPr>
        <w:t>1</w:t>
      </w:r>
      <w:r w:rsidR="009B1DA8">
        <w:t>.</w:t>
      </w:r>
      <w:r w:rsidR="009B1DA8">
        <w:rPr>
          <w:noProof/>
        </w:rPr>
        <w:t>2</w:t>
      </w:r>
      <w:r>
        <w:rPr>
          <w:highlight w:val="yellow"/>
        </w:rPr>
        <w:fldChar w:fldCharType="end"/>
      </w:r>
      <w:r>
        <w:t xml:space="preserve">. </w:t>
      </w:r>
      <w:r w:rsidR="00DF52F4">
        <w:t xml:space="preserve">For enkelthets skyld har vi sett bort fra kompensasjon av rentetap, hvilket også kan tolkes som at alternativrenten er lik null. </w:t>
      </w:r>
      <w:r>
        <w:t>Kompens</w:t>
      </w:r>
      <w:r w:rsidR="00BC084C">
        <w:t>a</w:t>
      </w:r>
      <w:r w:rsidR="00D07C65">
        <w:t>s</w:t>
      </w:r>
      <w:r>
        <w:t xml:space="preserve">jonen </w:t>
      </w:r>
      <w:r w:rsidR="00C93E70">
        <w:t>vil</w:t>
      </w:r>
      <w:r>
        <w:t xml:space="preserve"> imidlertid </w:t>
      </w:r>
      <w:r w:rsidR="00C93E70">
        <w:t xml:space="preserve">komme </w:t>
      </w:r>
      <w:r>
        <w:t xml:space="preserve">uavhengig av om man har investert eller ikke, </w:t>
      </w:r>
      <w:r w:rsidR="00817032">
        <w:t xml:space="preserve">dersom </w:t>
      </w:r>
      <w:r>
        <w:t xml:space="preserve">det er forventede kapitalkostnader gitt et sett </w:t>
      </w:r>
      <w:r w:rsidRPr="002B553E">
        <w:t xml:space="preserve">av </w:t>
      </w:r>
      <w:r w:rsidR="00AC5909" w:rsidRPr="002B553E">
        <w:t xml:space="preserve">observerbare variabler </w:t>
      </w:r>
      <w:r w:rsidR="002B553E" w:rsidRPr="002B553E">
        <w:t>i</w:t>
      </w:r>
      <w:r w:rsidR="002B553E">
        <w:t xml:space="preserve"> omgivelsene </w:t>
      </w:r>
      <w:r>
        <w:t>som ligger til grunn for kompensasjonen. Dermed vil kommunene stå overfor en avveining i forhold til når de vil binde kapitalen som er uavhengig av timingen på kompensasjonen, der nytten av investeringen må ses opp mot kapitalkostnadene ved å binde opp kapitalen</w:t>
      </w:r>
      <w:r w:rsidR="004B03E3">
        <w:t>.</w:t>
      </w:r>
    </w:p>
    <w:p w14:paraId="648A608F" w14:textId="47FF1EF4" w:rsidR="00C5292F" w:rsidRDefault="00C5292F" w:rsidP="00C5292F">
      <w:pPr>
        <w:pStyle w:val="Bildetekst"/>
      </w:pPr>
      <w:bookmarkStart w:id="28" w:name="_Ref178638209"/>
      <w:r>
        <w:t xml:space="preserve">Figur </w:t>
      </w:r>
      <w:fldSimple w:instr=" STYLEREF 1 \s ">
        <w:r w:rsidR="009B1DA8">
          <w:rPr>
            <w:noProof/>
          </w:rPr>
          <w:t>1</w:t>
        </w:r>
      </w:fldSimple>
      <w:r w:rsidR="004B03E3">
        <w:t>.</w:t>
      </w:r>
      <w:fldSimple w:instr=" SEQ Figur \* ARABIC \s 1 ">
        <w:r w:rsidR="009B1DA8">
          <w:rPr>
            <w:noProof/>
          </w:rPr>
          <w:t>2</w:t>
        </w:r>
      </w:fldSimple>
      <w:bookmarkEnd w:id="28"/>
      <w:r>
        <w:tab/>
        <w:t xml:space="preserve">Illustrasjon av sammenhengen mellom en investering og </w:t>
      </w:r>
      <w:r w:rsidR="00D83712">
        <w:t xml:space="preserve">en hypotetisk </w:t>
      </w:r>
      <w:r>
        <w:t xml:space="preserve">kompensasjon </w:t>
      </w:r>
      <w:r w:rsidR="00270781">
        <w:t xml:space="preserve">utenom rentetap </w:t>
      </w:r>
      <w:r>
        <w:t xml:space="preserve">i </w:t>
      </w:r>
      <w:r w:rsidR="00DF52F4">
        <w:t xml:space="preserve">utgiftsutjevningen </w:t>
      </w:r>
      <w:r w:rsidR="00F15B64">
        <w:t>gjennom</w:t>
      </w:r>
      <w:r w:rsidR="00DF52F4">
        <w:t xml:space="preserve"> </w:t>
      </w:r>
      <w:r>
        <w:t>det kommunale inntektssystemet for en gitt kommune.</w:t>
      </w:r>
    </w:p>
    <w:p w14:paraId="24CC2774" w14:textId="14B4740E" w:rsidR="00C5292F" w:rsidRDefault="00C5292F" w:rsidP="00C5292F">
      <w:pPr>
        <w:jc w:val="center"/>
      </w:pPr>
      <w:r>
        <w:rPr>
          <w:noProof/>
          <w:lang w:val="en-US" w:eastAsia="en-US"/>
        </w:rPr>
        <w:drawing>
          <wp:inline distT="0" distB="0" distL="0" distR="0" wp14:anchorId="1A943C52" wp14:editId="71556F52">
            <wp:extent cx="3600000" cy="3103200"/>
            <wp:effectExtent l="0" t="0" r="0" b="2540"/>
            <wp:docPr id="105606006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3103200"/>
                    </a:xfrm>
                    <a:prstGeom prst="rect">
                      <a:avLst/>
                    </a:prstGeom>
                    <a:noFill/>
                  </pic:spPr>
                </pic:pic>
              </a:graphicData>
            </a:graphic>
          </wp:inline>
        </w:drawing>
      </w:r>
    </w:p>
    <w:p w14:paraId="283C7333" w14:textId="0AF3373A" w:rsidR="00270781" w:rsidRPr="00270781" w:rsidRDefault="00C5292F" w:rsidP="00270781">
      <w:pPr>
        <w:pStyle w:val="Source"/>
        <w:rPr>
          <w:lang w:eastAsia="nb-NO"/>
        </w:rPr>
      </w:pPr>
      <w:r w:rsidRPr="0055149C">
        <w:rPr>
          <w:lang w:eastAsia="nb-NO"/>
        </w:rPr>
        <w:t>Kilde: Vista Analyse</w:t>
      </w:r>
    </w:p>
    <w:p w14:paraId="49CC2622" w14:textId="24D00C78" w:rsidR="00967F48" w:rsidRPr="0055149C" w:rsidRDefault="00967F48" w:rsidP="00967F48">
      <w:r w:rsidRPr="0055149C">
        <w:t xml:space="preserve">Kommunene kan finansiere investeringer ved egne oppsparte midler – altså deres egenkapital – eller ved å ta opp lån, men kan ikke lånefinansiere driftsutgifter. Rentetapet ved å sitte med kapital kan dermed anslås som et gjennomsnitt av egenkapitalkostnad og lånerente, men det finnes også andre muligheter. Vi drøfter prinsipper rundt dette nærmere i </w:t>
      </w:r>
      <w:r w:rsidR="00E56261">
        <w:t>del</w:t>
      </w:r>
      <w:r w:rsidRPr="0055149C">
        <w:t xml:space="preserve">kapittel </w:t>
      </w:r>
      <w:r w:rsidR="00E56261">
        <w:fldChar w:fldCharType="begin"/>
      </w:r>
      <w:r w:rsidR="00E56261">
        <w:instrText xml:space="preserve"> REF _Ref179732775 \r \h </w:instrText>
      </w:r>
      <w:r w:rsidR="00E56261">
        <w:fldChar w:fldCharType="separate"/>
      </w:r>
      <w:r w:rsidR="009B1DA8">
        <w:t>2.2</w:t>
      </w:r>
      <w:r w:rsidR="00E56261">
        <w:fldChar w:fldCharType="end"/>
      </w:r>
      <w:r w:rsidRPr="0055149C">
        <w:t>.</w:t>
      </w:r>
    </w:p>
    <w:p w14:paraId="4089C34D" w14:textId="310DB23A" w:rsidR="00AF4D02" w:rsidRDefault="00967F48" w:rsidP="00967F48">
      <w:r w:rsidRPr="0055149C">
        <w:lastRenderedPageBreak/>
        <w:t xml:space="preserve">Et alternativ til å ta utgangspunkt i beregnede årlige kapitalkostnader kan være å gå rett på </w:t>
      </w:r>
      <w:r w:rsidR="004C099A">
        <w:t>brutto</w:t>
      </w:r>
      <w:r w:rsidRPr="0055149C">
        <w:t>investeringene</w:t>
      </w:r>
      <w:r w:rsidR="004C099A">
        <w:t xml:space="preserve"> i realkapitalen</w:t>
      </w:r>
      <w:r w:rsidRPr="0055149C">
        <w:t xml:space="preserve">. Dette vil innebære å beregne investeringskostnader i en kommune relativt til en norm og kompensere kommuner som må investere for mye. Man behandler da investeringskostnadene som om de var driftskostnader, uten hensyn til at investeringer varer lengre enn et år. </w:t>
      </w:r>
      <w:r w:rsidR="00AF4D02">
        <w:t>Bruttoinvesteringer varierer betydelig over tid</w:t>
      </w:r>
      <w:r w:rsidR="004104E7">
        <w:t>. Hvis man</w:t>
      </w:r>
      <w:r w:rsidR="00964EFE">
        <w:t xml:space="preserve"> </w:t>
      </w:r>
      <w:r w:rsidR="00B230F1">
        <w:t xml:space="preserve">tar for seg </w:t>
      </w:r>
      <w:r w:rsidR="00964EFE">
        <w:t xml:space="preserve">et gjennomsnitt </w:t>
      </w:r>
      <w:r w:rsidR="00B230F1">
        <w:t xml:space="preserve">av bruttoinvesteringene </w:t>
      </w:r>
      <w:r w:rsidR="00964EFE">
        <w:t xml:space="preserve">over tid som depresieres, </w:t>
      </w:r>
      <w:r w:rsidR="00E1493B">
        <w:t>nærmer man seg noe som minner om kapitalslitet. Det vil</w:t>
      </w:r>
      <w:r w:rsidR="00690494">
        <w:t>le</w:t>
      </w:r>
      <w:r w:rsidR="00E1493B">
        <w:t xml:space="preserve"> imidlertid </w:t>
      </w:r>
      <w:r w:rsidR="00690494">
        <w:t xml:space="preserve">vært mulig </w:t>
      </w:r>
      <w:r w:rsidR="00E1493B">
        <w:t xml:space="preserve">å </w:t>
      </w:r>
      <w:r w:rsidR="00690494">
        <w:t xml:space="preserve">imøtekomme problemstillingen </w:t>
      </w:r>
      <w:r w:rsidR="00B230F1">
        <w:t>med</w:t>
      </w:r>
      <w:r w:rsidR="0083030D">
        <w:t xml:space="preserve"> høy variasjon</w:t>
      </w:r>
      <w:r w:rsidR="00B230F1">
        <w:t xml:space="preserve"> </w:t>
      </w:r>
      <w:r w:rsidR="00690494">
        <w:t xml:space="preserve">ved å </w:t>
      </w:r>
      <w:r w:rsidR="00E1493B">
        <w:t>bruke</w:t>
      </w:r>
      <w:r w:rsidR="0083030D">
        <w:t xml:space="preserve"> bruttoinvesteringer</w:t>
      </w:r>
      <w:r w:rsidR="00E1493B">
        <w:t xml:space="preserve"> som utfallsvariabel </w:t>
      </w:r>
      <w:r w:rsidR="00690494">
        <w:t xml:space="preserve">i paneldataregresjoner </w:t>
      </w:r>
      <w:r w:rsidR="00E1493B">
        <w:t xml:space="preserve">over tid i kriteriefunksjonene </w:t>
      </w:r>
      <w:r w:rsidR="00690494">
        <w:t>tilknyttet utgiftsutjevningen.</w:t>
      </w:r>
      <w:r w:rsidR="004104E7">
        <w:t xml:space="preserve"> </w:t>
      </w:r>
      <w:r w:rsidR="00690494">
        <w:t>F</w:t>
      </w:r>
      <w:r w:rsidR="00690494" w:rsidRPr="0055149C">
        <w:t>r</w:t>
      </w:r>
      <w:r w:rsidR="00690494">
        <w:t>a</w:t>
      </w:r>
      <w:r w:rsidR="00690494" w:rsidRPr="0055149C">
        <w:t>mgangsmåten kan i prinsippet gjøres økonomisk ekvivalent med å ta utgangspunkt i kapitalkostnader.</w:t>
      </w:r>
    </w:p>
    <w:p w14:paraId="272B5739" w14:textId="225F5514" w:rsidR="00967F48" w:rsidRDefault="00967F48" w:rsidP="00010B5A">
      <w:r w:rsidRPr="0055149C">
        <w:t xml:space="preserve">Et argument for å ta utgangspunkt i kapitalkostnadene er at det er kapitalbeholdningen og ikke de enkelte investeringsdosene som bestemmer kapasiteten til å yte tjenester og som dermed påvirkes av behovet for tjenestene. Utgiftsbehovet knyttet til kapitalkostnader kan anslås på lignende måte som utgiftsbehovet knyttet til driftskostnader, det vil si med utgangspunkt i tall for demografi med </w:t>
      </w:r>
      <w:r w:rsidR="00AC5909">
        <w:t>mer</w:t>
      </w:r>
      <w:r w:rsidRPr="0055149C">
        <w:t>. Å bare kompensere ufrivillige kostnader knyttet til den løpende bruken av kapital innebærer også at kommunene selv må bære kostnadene ved feiltilpasninger av kapitalbeholdningen, for eksempel fordi de bommer på anslag for fr</w:t>
      </w:r>
      <w:r w:rsidR="00EA6503">
        <w:t>a</w:t>
      </w:r>
      <w:r w:rsidRPr="0055149C">
        <w:t>mtidig befolkningsutvikling. Dette styrker kommunenes insentiver til god planlegging.</w:t>
      </w:r>
    </w:p>
    <w:p w14:paraId="781957F5" w14:textId="7D4DC2D1" w:rsidR="00D614BB" w:rsidRDefault="004B03E3" w:rsidP="00D614BB">
      <w:pPr>
        <w:rPr>
          <w:lang w:eastAsia="nb-NO"/>
        </w:rPr>
      </w:pPr>
      <w:r w:rsidRPr="00972CE7">
        <w:rPr>
          <w:lang w:eastAsia="nb-NO"/>
        </w:rPr>
        <w:t xml:space="preserve">I </w:t>
      </w:r>
      <w:r w:rsidR="00F76102">
        <w:rPr>
          <w:lang w:eastAsia="nb-NO"/>
        </w:rPr>
        <w:t>utgiftsutjevningen</w:t>
      </w:r>
      <w:r w:rsidRPr="00972CE7">
        <w:rPr>
          <w:lang w:eastAsia="nb-NO"/>
        </w:rPr>
        <w:t xml:space="preserve"> for kommunal sektor kompenserer man for kommunenes driftsutgifter og ikke driftskostnader. Merk at mens utgifter innebærer betalingsforpliktelser, ut</w:t>
      </w:r>
      <w:r w:rsidR="000D3E1F">
        <w:rPr>
          <w:lang w:eastAsia="nb-NO"/>
        </w:rPr>
        <w:t>t</w:t>
      </w:r>
      <w:r w:rsidRPr="00972CE7">
        <w:rPr>
          <w:lang w:eastAsia="nb-NO"/>
        </w:rPr>
        <w:t xml:space="preserve">rykker kostnadene når ressurser forbrukes. Tidligere diskusjoner om hvorvidt kapitalforbruket bør tas hensyn til i </w:t>
      </w:r>
      <w:r w:rsidR="00A3151D">
        <w:rPr>
          <w:lang w:eastAsia="nb-NO"/>
        </w:rPr>
        <w:t>utgiftsutjevningen</w:t>
      </w:r>
      <w:r w:rsidR="00A3151D" w:rsidRPr="00972CE7">
        <w:rPr>
          <w:lang w:eastAsia="nb-NO"/>
        </w:rPr>
        <w:t xml:space="preserve"> </w:t>
      </w:r>
      <w:r w:rsidRPr="00972CE7">
        <w:rPr>
          <w:lang w:eastAsia="nb-NO"/>
        </w:rPr>
        <w:t>eller ikke, har fokusert på kostnader fr</w:t>
      </w:r>
      <w:r w:rsidR="00EA6503">
        <w:rPr>
          <w:lang w:eastAsia="nb-NO"/>
        </w:rPr>
        <w:t>a</w:t>
      </w:r>
      <w:r w:rsidRPr="00972CE7">
        <w:rPr>
          <w:lang w:eastAsia="nb-NO"/>
        </w:rPr>
        <w:t xml:space="preserve">mfor utgifter. Videre heter det utgiftsutjevning og ikke kostnadsutjevning. Mens utgiften finner sted når man forplikter seg til å betale, finner kostnadene sted når godet man kjøper forbrukes. Fokuset på </w:t>
      </w:r>
      <w:r w:rsidR="008D4A5F">
        <w:rPr>
          <w:lang w:eastAsia="nb-NO"/>
        </w:rPr>
        <w:t>kapital</w:t>
      </w:r>
      <w:r w:rsidRPr="00972CE7">
        <w:rPr>
          <w:lang w:eastAsia="nb-NO"/>
        </w:rPr>
        <w:t>kostnader kan synes snodig når utjevningen i inntektssystemet for kommunal sektor i utgangspunkt kompenserer for avvik i kommunenes forventede driftsutgifter</w:t>
      </w:r>
      <w:r w:rsidR="00DB4B28">
        <w:rPr>
          <w:lang w:eastAsia="nb-NO"/>
        </w:rPr>
        <w:t xml:space="preserve"> </w:t>
      </w:r>
      <w:r w:rsidRPr="00972CE7">
        <w:rPr>
          <w:lang w:eastAsia="nb-NO"/>
        </w:rPr>
        <w:t xml:space="preserve">og ikke forventede driftskostnader. Trolig henger det sammen med posteringene i </w:t>
      </w:r>
      <w:r w:rsidR="008E7E43">
        <w:rPr>
          <w:lang w:eastAsia="nb-NO"/>
        </w:rPr>
        <w:t>KOSTRA</w:t>
      </w:r>
      <w:r w:rsidRPr="00972CE7">
        <w:rPr>
          <w:lang w:eastAsia="nb-NO"/>
        </w:rPr>
        <w:t>, der man opererer med bruttodrift</w:t>
      </w:r>
      <w:r w:rsidR="003E7998">
        <w:rPr>
          <w:lang w:eastAsia="nb-NO"/>
        </w:rPr>
        <w:t>s</w:t>
      </w:r>
      <w:r w:rsidRPr="00972CE7">
        <w:rPr>
          <w:lang w:eastAsia="nb-NO"/>
        </w:rPr>
        <w:t>utgifter snarere en</w:t>
      </w:r>
      <w:r w:rsidR="00A808B1">
        <w:rPr>
          <w:lang w:eastAsia="nb-NO"/>
        </w:rPr>
        <w:t>n</w:t>
      </w:r>
      <w:r w:rsidRPr="00972CE7">
        <w:rPr>
          <w:lang w:eastAsia="nb-NO"/>
        </w:rPr>
        <w:t xml:space="preserve"> bruttodriftskostnader.</w:t>
      </w:r>
      <w:r w:rsidR="00EB57BC">
        <w:rPr>
          <w:lang w:eastAsia="nb-NO"/>
        </w:rPr>
        <w:t xml:space="preserve"> Videre</w:t>
      </w:r>
      <w:r w:rsidR="00D614BB">
        <w:rPr>
          <w:lang w:eastAsia="nb-NO"/>
        </w:rPr>
        <w:t xml:space="preserve"> bruker man trolig</w:t>
      </w:r>
      <w:r w:rsidR="00D614BB" w:rsidRPr="00187B8D">
        <w:rPr>
          <w:lang w:eastAsia="nb-NO"/>
        </w:rPr>
        <w:t xml:space="preserve"> utgifter om denne delen av utjevningen for å skille den fra inntektsutjevningen, </w:t>
      </w:r>
      <w:r w:rsidR="00D614BB">
        <w:rPr>
          <w:lang w:eastAsia="nb-NO"/>
        </w:rPr>
        <w:t>snarere enn</w:t>
      </w:r>
      <w:r w:rsidR="00D614BB" w:rsidRPr="00187B8D">
        <w:rPr>
          <w:lang w:eastAsia="nb-NO"/>
        </w:rPr>
        <w:t xml:space="preserve"> for å skille den fra en hypotetisk kostnadsutjevning. For øvrig kan kommunene ikke låne til drift, de sitter normalt ikke med store varelagre</w:t>
      </w:r>
      <w:r w:rsidR="00D614BB">
        <w:rPr>
          <w:lang w:eastAsia="nb-NO"/>
        </w:rPr>
        <w:t>,</w:t>
      </w:r>
      <w:r w:rsidR="00D614BB" w:rsidRPr="00187B8D">
        <w:rPr>
          <w:lang w:eastAsia="nb-NO"/>
        </w:rPr>
        <w:t xml:space="preserve"> og de har egne regler for pensjonskostnader.</w:t>
      </w:r>
    </w:p>
    <w:p w14:paraId="64DCD734" w14:textId="06748502" w:rsidR="004B03E3" w:rsidRPr="0055149C" w:rsidRDefault="004B03E3" w:rsidP="00010B5A">
      <w:pPr>
        <w:rPr>
          <w:lang w:eastAsia="nb-NO"/>
        </w:rPr>
      </w:pPr>
      <w:r w:rsidRPr="0055149C">
        <w:rPr>
          <w:lang w:eastAsia="nb-NO"/>
        </w:rPr>
        <w:t xml:space="preserve">Nå skal det sies at forskjellen mellom kostnader og utgifter er mer </w:t>
      </w:r>
      <w:r w:rsidR="001E001D">
        <w:rPr>
          <w:lang w:eastAsia="nb-NO"/>
        </w:rPr>
        <w:t xml:space="preserve">påtagelig </w:t>
      </w:r>
      <w:r w:rsidRPr="0055149C">
        <w:rPr>
          <w:lang w:eastAsia="nb-NO"/>
        </w:rPr>
        <w:t xml:space="preserve">for forbruket av realkapitalen enn for andre produksjonskostnader. For realkapitalen vil kostnader og utgifter </w:t>
      </w:r>
      <w:r w:rsidR="00960266">
        <w:rPr>
          <w:lang w:eastAsia="nb-NO"/>
        </w:rPr>
        <w:t>å s</w:t>
      </w:r>
      <w:r w:rsidRPr="0055149C">
        <w:rPr>
          <w:lang w:eastAsia="nb-NO"/>
        </w:rPr>
        <w:t xml:space="preserve">kille seg vesentlig fra hverandre, idet utgiftene som regel finner sted ved anskaffelsen, </w:t>
      </w:r>
      <w:r w:rsidR="008760A5">
        <w:rPr>
          <w:lang w:eastAsia="nb-NO"/>
        </w:rPr>
        <w:t xml:space="preserve">med </w:t>
      </w:r>
      <w:r w:rsidRPr="0055149C">
        <w:rPr>
          <w:lang w:eastAsia="nb-NO"/>
        </w:rPr>
        <w:t xml:space="preserve">mindre det er snakk om avbetaling. Kostnadene finner derimot sted over tid, hvilket i regnskapet </w:t>
      </w:r>
      <w:r w:rsidR="004D254C">
        <w:rPr>
          <w:lang w:eastAsia="nb-NO"/>
        </w:rPr>
        <w:t xml:space="preserve">reflekteres </w:t>
      </w:r>
      <w:r w:rsidRPr="0055149C">
        <w:rPr>
          <w:lang w:eastAsia="nb-NO"/>
        </w:rPr>
        <w:t xml:space="preserve">ved at kapitalen først kapitaliseres </w:t>
      </w:r>
      <w:r w:rsidR="008760A5">
        <w:rPr>
          <w:lang w:eastAsia="nb-NO"/>
        </w:rPr>
        <w:t>og</w:t>
      </w:r>
      <w:r w:rsidR="001E001D">
        <w:rPr>
          <w:lang w:eastAsia="nb-NO"/>
        </w:rPr>
        <w:t xml:space="preserve"> </w:t>
      </w:r>
      <w:r w:rsidRPr="0055149C">
        <w:rPr>
          <w:lang w:eastAsia="nb-NO"/>
        </w:rPr>
        <w:t xml:space="preserve">deretter kostnadsføres over tid som kapitalslit. I konvensjonelle foretaksregnskap bokføres kapitalslitet både i form av avskrivninger og nedskrivninger, men i kommuneregnskapene bokføres bare avskrivninger. For driftsregnskapet for øvrig </w:t>
      </w:r>
      <w:r w:rsidR="001E001D">
        <w:rPr>
          <w:lang w:eastAsia="nb-NO"/>
        </w:rPr>
        <w:t xml:space="preserve">består </w:t>
      </w:r>
      <w:r w:rsidRPr="0055149C">
        <w:rPr>
          <w:lang w:eastAsia="nb-NO"/>
        </w:rPr>
        <w:t xml:space="preserve">forskjellen mellom driftskostnader og driftsutgifter først og fremst </w:t>
      </w:r>
      <w:r w:rsidR="001E001D">
        <w:rPr>
          <w:lang w:eastAsia="nb-NO"/>
        </w:rPr>
        <w:t>av</w:t>
      </w:r>
      <w:r w:rsidR="00A84BFA">
        <w:rPr>
          <w:lang w:eastAsia="nb-NO"/>
        </w:rPr>
        <w:t xml:space="preserve"> </w:t>
      </w:r>
      <w:r w:rsidRPr="0055149C">
        <w:rPr>
          <w:lang w:eastAsia="nb-NO"/>
        </w:rPr>
        <w:t>endringer i varelageret og eventuelt endringer i fordringer</w:t>
      </w:r>
      <w:r>
        <w:rPr>
          <w:lang w:eastAsia="nb-NO"/>
        </w:rPr>
        <w:t>.</w:t>
      </w:r>
    </w:p>
    <w:p w14:paraId="75C93761" w14:textId="58DC4133" w:rsidR="00C37912" w:rsidRPr="0055149C" w:rsidRDefault="00C37912" w:rsidP="00C37912">
      <w:pPr>
        <w:pStyle w:val="Overskrift2"/>
      </w:pPr>
      <w:bookmarkStart w:id="29" w:name="_Ref167283660"/>
      <w:bookmarkStart w:id="30" w:name="_Toc182321007"/>
      <w:r w:rsidRPr="0055149C">
        <w:lastRenderedPageBreak/>
        <w:t xml:space="preserve">Tidligere </w:t>
      </w:r>
      <w:r w:rsidR="00FB29A8" w:rsidRPr="0055149C">
        <w:t>studier om</w:t>
      </w:r>
      <w:r w:rsidRPr="0055149C">
        <w:t xml:space="preserve"> kapitalkostnader </w:t>
      </w:r>
      <w:r w:rsidR="00FB29A8" w:rsidRPr="0055149C">
        <w:t>og</w:t>
      </w:r>
      <w:r w:rsidRPr="0055149C">
        <w:t xml:space="preserve"> inntektssystemet</w:t>
      </w:r>
      <w:bookmarkEnd w:id="29"/>
      <w:bookmarkEnd w:id="30"/>
    </w:p>
    <w:p w14:paraId="0399A0F7" w14:textId="430FFBAF" w:rsidR="00C37912" w:rsidRPr="0055149C" w:rsidRDefault="00732DCE" w:rsidP="00C37912">
      <w:r w:rsidRPr="0055149C">
        <w:t>Spørsmålet om behandling av kapitalkostnader i inntektssystemet er diskutert i tre norske offentlige utredninger (NOU 1996:1, NOU 2005:18 og NOU 2022:10) og av en ekspertgruppe (</w:t>
      </w:r>
      <w:r w:rsidR="00A1117F" w:rsidRPr="00DD179F">
        <w:rPr>
          <w:color w:val="auto"/>
        </w:rPr>
        <w:t xml:space="preserve">Kommunal- og distriktsdepartementet </w:t>
      </w:r>
      <w:r w:rsidRPr="0055149C">
        <w:t>2022)</w:t>
      </w:r>
      <w:r w:rsidR="00C305C3" w:rsidRPr="0055149C">
        <w:t>.</w:t>
      </w:r>
      <w:r w:rsidR="00C37912" w:rsidRPr="0055149C">
        <w:t xml:space="preserve"> </w:t>
      </w:r>
      <w:r w:rsidRPr="0055149C">
        <w:t>I tillegg belyser flere andre faglige arbeider kapitalestimering i kommunal sektor i Norge (</w:t>
      </w:r>
      <w:r w:rsidR="00A6197E" w:rsidRPr="0055149C">
        <w:t xml:space="preserve">se for eksempel </w:t>
      </w:r>
      <w:r w:rsidRPr="0055149C">
        <w:t xml:space="preserve">Langørgen og Rønningen 2002, Kalvarskaia og Langørgen 2004, </w:t>
      </w:r>
      <w:r w:rsidR="00F67310">
        <w:t>Aastvedt med flere 2006</w:t>
      </w:r>
      <w:r w:rsidR="004711E9">
        <w:t xml:space="preserve">, </w:t>
      </w:r>
      <w:r w:rsidRPr="0055149C">
        <w:t xml:space="preserve">Raknerud med flere 2007, </w:t>
      </w:r>
      <w:r w:rsidR="007C514A" w:rsidRPr="00DD179F">
        <w:rPr>
          <w:color w:val="auto"/>
        </w:rPr>
        <w:t>Håkonsen</w:t>
      </w:r>
      <w:r w:rsidR="007C514A">
        <w:t xml:space="preserve">, </w:t>
      </w:r>
      <w:r w:rsidRPr="0055149C">
        <w:t>Kallager og Lunder 2017, Thorstensen, Lie og Lunder 2021 og Holmen 2022</w:t>
      </w:r>
      <w:r w:rsidR="007E0471">
        <w:t>a</w:t>
      </w:r>
      <w:r w:rsidRPr="0055149C">
        <w:t>).</w:t>
      </w:r>
    </w:p>
    <w:p w14:paraId="79F915D9" w14:textId="7BD07D4D" w:rsidR="00C37912" w:rsidRPr="0055149C" w:rsidRDefault="00EF438B" w:rsidP="00C37912">
      <w:r w:rsidRPr="0055149C">
        <w:t>Rattsø-utvalget utrede</w:t>
      </w:r>
      <w:r w:rsidR="00CF0BCA" w:rsidRPr="0055149C">
        <w:t>t</w:t>
      </w:r>
      <w:r w:rsidR="00C37912" w:rsidRPr="0055149C">
        <w:t xml:space="preserve"> et enklere og mer rettferdig inntektssystem for kommuner og fylkeskommuner</w:t>
      </w:r>
      <w:r w:rsidRPr="0055149C">
        <w:t xml:space="preserve"> (NOU 1996:1). Utvalget vis</w:t>
      </w:r>
      <w:r w:rsidR="00CF0BCA" w:rsidRPr="0055149C">
        <w:t>er</w:t>
      </w:r>
      <w:r w:rsidR="00C37912" w:rsidRPr="0055149C">
        <w:t xml:space="preserve"> til at alle tilskudd til investeringsformål </w:t>
      </w:r>
      <w:r w:rsidR="00166F95" w:rsidRPr="0055149C">
        <w:t>hadde blitt</w:t>
      </w:r>
      <w:r w:rsidR="00C37912" w:rsidRPr="0055149C">
        <w:t xml:space="preserve"> holdt utenfor da inntektssystemet ble etablert i 1986. </w:t>
      </w:r>
      <w:r w:rsidR="00CF0BCA" w:rsidRPr="0055149C">
        <w:t>De</w:t>
      </w:r>
      <w:r w:rsidR="00C37912" w:rsidRPr="0055149C">
        <w:t>t pek</w:t>
      </w:r>
      <w:r w:rsidR="00CF0BCA" w:rsidRPr="0055149C">
        <w:t>er</w:t>
      </w:r>
      <w:r w:rsidR="00C37912" w:rsidRPr="0055149C">
        <w:t xml:space="preserve"> på at alle kostnader ved nasjonale velferdstjenester i prinsippet bør inngå i utgiftsutjevningen, også kapitalkostnader. Et system som kun kompenserer for et høyt utgiftsbehov</w:t>
      </w:r>
      <w:r w:rsidR="009F7726">
        <w:t xml:space="preserve"> knyttet til drift</w:t>
      </w:r>
      <w:r w:rsidR="007B4C4C">
        <w:t>,</w:t>
      </w:r>
      <w:r w:rsidR="00C37912" w:rsidRPr="0055149C">
        <w:t xml:space="preserve"> kan bare sikre delvis </w:t>
      </w:r>
      <w:r w:rsidR="000A168B" w:rsidRPr="0055149C">
        <w:t>utgiftsutjevning</w:t>
      </w:r>
      <w:r w:rsidR="00C37912" w:rsidRPr="0055149C">
        <w:t xml:space="preserve">. </w:t>
      </w:r>
      <w:r w:rsidR="00166F95" w:rsidRPr="0055149C">
        <w:t>Rattsø-</w:t>
      </w:r>
      <w:r w:rsidR="00CF0BCA" w:rsidRPr="0055149C">
        <w:t>u</w:t>
      </w:r>
      <w:r w:rsidR="00C37912" w:rsidRPr="0055149C">
        <w:t>tvalget argumentere</w:t>
      </w:r>
      <w:r w:rsidR="00CF0BCA" w:rsidRPr="0055149C">
        <w:t>r</w:t>
      </w:r>
      <w:r w:rsidR="00C37912" w:rsidRPr="0055149C">
        <w:t xml:space="preserve"> også for at en eventuell kompensasjon burde ta utgangspunkt i behovet for tjenester og den kapitalbeholdning som er nødvendig for å tilfredsstille dette, slik at kommunene ikke så lett kunne påvirke størrelsen på en kompensasjon gjennom egen atferd. </w:t>
      </w:r>
      <w:r w:rsidR="00732DCE" w:rsidRPr="0055149C">
        <w:t>Etter utvalgets syn er kommuneregnskapene lite egnet til å gi informasjon om kapitalkostnader, siden de er ført etter kontantprinsippet.</w:t>
      </w:r>
      <w:r w:rsidR="00C37912" w:rsidRPr="0055149C">
        <w:t xml:space="preserve"> </w:t>
      </w:r>
      <w:r w:rsidR="00A6197E" w:rsidRPr="0055149C">
        <w:t xml:space="preserve">På usikkert grunnlag antar utvalget likevel at kapitalkostnadene fordeler seg mellom kommunene om lag som driftsutgiftene og </w:t>
      </w:r>
      <w:r w:rsidR="001E001D">
        <w:t xml:space="preserve">mener </w:t>
      </w:r>
      <w:r w:rsidR="00A6197E" w:rsidRPr="0055149C">
        <w:t>at ekskluderingen av kapitalkostnader dermed ikke ville ha særlige fordelingsvirkninger.</w:t>
      </w:r>
    </w:p>
    <w:p w14:paraId="63C820B6" w14:textId="78214F6D" w:rsidR="00C37912" w:rsidRPr="0055149C" w:rsidRDefault="000C2545" w:rsidP="00C37912">
      <w:r w:rsidRPr="0055149C">
        <w:t>Borge-utvalget</w:t>
      </w:r>
      <w:r w:rsidR="00C37912" w:rsidRPr="0055149C">
        <w:t xml:space="preserve"> l</w:t>
      </w:r>
      <w:r w:rsidR="00CF0BCA" w:rsidRPr="0055149C">
        <w:t>a</w:t>
      </w:r>
      <w:r w:rsidR="00C37912" w:rsidRPr="0055149C">
        <w:t xml:space="preserve"> </w:t>
      </w:r>
      <w:r w:rsidRPr="0055149C">
        <w:t xml:space="preserve">fram </w:t>
      </w:r>
      <w:r w:rsidR="00C37912" w:rsidRPr="0055149C">
        <w:t xml:space="preserve">en ny utredning av inntektssystemet for kommunene under tittelen </w:t>
      </w:r>
      <w:r w:rsidRPr="0055149C">
        <w:t>«</w:t>
      </w:r>
      <w:r w:rsidR="00C37912" w:rsidRPr="0055149C">
        <w:rPr>
          <w:i/>
          <w:iCs/>
        </w:rPr>
        <w:t>Fordeling, forenkling, forbedring, inntektssystemet for kommuner og fylkeskommuner</w:t>
      </w:r>
      <w:r w:rsidRPr="0055149C">
        <w:t>»</w:t>
      </w:r>
      <w:r w:rsidR="00547410" w:rsidRPr="0055149C">
        <w:t xml:space="preserve"> </w:t>
      </w:r>
      <w:r w:rsidR="00547410">
        <w:t>(</w:t>
      </w:r>
      <w:r w:rsidR="00547410" w:rsidRPr="0055149C">
        <w:t>NOU 2005:18)</w:t>
      </w:r>
      <w:r w:rsidR="00C37912" w:rsidRPr="0055149C">
        <w:t xml:space="preserve">. </w:t>
      </w:r>
      <w:r w:rsidR="0081474B" w:rsidRPr="0055149C">
        <w:t>I likhet med</w:t>
      </w:r>
      <w:r w:rsidR="00C37912" w:rsidRPr="0055149C">
        <w:t xml:space="preserve"> Rat</w:t>
      </w:r>
      <w:r w:rsidR="005F597D" w:rsidRPr="0055149C">
        <w:t>t</w:t>
      </w:r>
      <w:r w:rsidR="00C37912" w:rsidRPr="0055149C">
        <w:t xml:space="preserve">sø-utvalget </w:t>
      </w:r>
      <w:r w:rsidR="00CF0BCA" w:rsidRPr="0055149C">
        <w:t>mener</w:t>
      </w:r>
      <w:r w:rsidR="00C37912" w:rsidRPr="0055149C">
        <w:t xml:space="preserve"> Borge-utvalget at alle utgifter til </w:t>
      </w:r>
      <w:r w:rsidR="007B4C4C">
        <w:t>p</w:t>
      </w:r>
      <w:r w:rsidR="008A5682">
        <w:t>rimær</w:t>
      </w:r>
      <w:r w:rsidR="00C37912" w:rsidRPr="0055149C">
        <w:t xml:space="preserve">kommunal og fylkeskommunal tjenesteproduksjon i prinsippet burde omfattes av utgiftsutjevningen. Utvalget </w:t>
      </w:r>
      <w:r w:rsidR="0081474B" w:rsidRPr="0055149C">
        <w:t>g</w:t>
      </w:r>
      <w:r w:rsidR="00CF0BCA" w:rsidRPr="0055149C">
        <w:t>ir</w:t>
      </w:r>
      <w:r w:rsidR="0081474B" w:rsidRPr="0055149C">
        <w:t xml:space="preserve"> uttrykk for</w:t>
      </w:r>
      <w:r w:rsidR="00C37912" w:rsidRPr="0055149C">
        <w:t xml:space="preserve"> at </w:t>
      </w:r>
      <w:r w:rsidR="00CF0BCA" w:rsidRPr="0055149C">
        <w:t>man ikke vil trenge egne indikatorer for kapitalutgiftene i inntektssystemet</w:t>
      </w:r>
      <w:r w:rsidR="00E42226">
        <w:t>,</w:t>
      </w:r>
      <w:r w:rsidR="00CF0BCA" w:rsidRPr="0055149C">
        <w:t xml:space="preserve"> </w:t>
      </w:r>
      <w:r w:rsidR="00C37912" w:rsidRPr="0055149C">
        <w:t xml:space="preserve">dersom </w:t>
      </w:r>
      <w:r w:rsidR="00CF0BCA" w:rsidRPr="0055149C">
        <w:t>de</w:t>
      </w:r>
      <w:r w:rsidR="00C37912" w:rsidRPr="0055149C">
        <w:t xml:space="preserve"> </w:t>
      </w:r>
      <w:r w:rsidR="00CF0BCA" w:rsidRPr="0055149C">
        <w:t>er</w:t>
      </w:r>
      <w:r w:rsidR="00C37912" w:rsidRPr="0055149C">
        <w:t xml:space="preserve"> proporsjonale med driftsutgiftene. Å inkludere kapitalutgifter i utgiftstallene vil imidlertid omfordele fra kommuner med lavt beregnet utgiftsbehov til drift, til kommuner med høyt beregnet utgiftsbehov </w:t>
      </w:r>
      <w:r w:rsidR="00D64781" w:rsidRPr="0055149C">
        <w:t xml:space="preserve">til </w:t>
      </w:r>
      <w:r w:rsidR="00C37912" w:rsidRPr="0055149C">
        <w:t>drift. Dette tils</w:t>
      </w:r>
      <w:r w:rsidR="00CF0BCA" w:rsidRPr="0055149C">
        <w:t>ier</w:t>
      </w:r>
      <w:r w:rsidR="00C37912" w:rsidRPr="0055149C">
        <w:t xml:space="preserve"> etter utvalgets syn at opplysningene om </w:t>
      </w:r>
      <w:r w:rsidR="00E5312B">
        <w:t>avskrivning</w:t>
      </w:r>
      <w:r w:rsidR="00C37912" w:rsidRPr="0055149C">
        <w:t>er og realkapital må være gode nok til å fastslå i hvilken grad kapitalutgiftene faktisk samvarier</w:t>
      </w:r>
      <w:r w:rsidR="00CF0BCA" w:rsidRPr="0055149C">
        <w:t>er</w:t>
      </w:r>
      <w:r w:rsidR="00C37912" w:rsidRPr="0055149C">
        <w:t xml:space="preserve"> med </w:t>
      </w:r>
      <w:r w:rsidR="00CF0BCA" w:rsidRPr="0055149C">
        <w:t xml:space="preserve">de løpende </w:t>
      </w:r>
      <w:r w:rsidR="00C37912" w:rsidRPr="0055149C">
        <w:t xml:space="preserve">driftsutgiftene. Til tross for etableringen av </w:t>
      </w:r>
      <w:r w:rsidR="008E7E43">
        <w:t>KOSTRA</w:t>
      </w:r>
      <w:r w:rsidR="00C37912" w:rsidRPr="0055149C">
        <w:t xml:space="preserve"> noen år tidligere men</w:t>
      </w:r>
      <w:r w:rsidR="00CF0BCA" w:rsidRPr="0055149C">
        <w:t>er</w:t>
      </w:r>
      <w:r w:rsidR="00C37912" w:rsidRPr="0055149C">
        <w:t xml:space="preserve"> Borge-utvalget at dette kravet ikke var oppfylt</w:t>
      </w:r>
      <w:r w:rsidR="00A6197E" w:rsidRPr="0055149C">
        <w:t xml:space="preserve"> </w:t>
      </w:r>
      <w:r w:rsidR="001553DE">
        <w:t>da utvalget utarbeidet sin rapport</w:t>
      </w:r>
      <w:r w:rsidR="0081474B" w:rsidRPr="0055149C">
        <w:t xml:space="preserve">. </w:t>
      </w:r>
      <w:r w:rsidR="00A6197E" w:rsidRPr="0055149C">
        <w:t>Det konkluderer med at det er for tidlig å vurdere om kapitalutgiftene burde inkluderes i utgiftsutjevningen</w:t>
      </w:r>
      <w:r w:rsidR="00687E6E" w:rsidRPr="0055149C">
        <w:t xml:space="preserve"> og eventuelt hvordan</w:t>
      </w:r>
      <w:r w:rsidR="00A6197E" w:rsidRPr="0055149C">
        <w:t>.</w:t>
      </w:r>
    </w:p>
    <w:p w14:paraId="13FF458F" w14:textId="1FEB4C0B" w:rsidR="00E73E2F" w:rsidRPr="0055149C" w:rsidRDefault="00D14B5D" w:rsidP="00C37912">
      <w:r w:rsidRPr="0055149C">
        <w:t>Inntektssystemutvalget – også kjent som Haraldsvik-utvalget – gjennomg</w:t>
      </w:r>
      <w:r w:rsidR="00CF0BCA" w:rsidRPr="0055149C">
        <w:t>år</w:t>
      </w:r>
      <w:r w:rsidRPr="0055149C">
        <w:t xml:space="preserve"> inntektssystemet for primærkommunene (NOU 2022:10). Utvalget peke</w:t>
      </w:r>
      <w:r w:rsidR="00CF0BCA" w:rsidRPr="0055149C">
        <w:t>r</w:t>
      </w:r>
      <w:r w:rsidR="00C37912" w:rsidRPr="0055149C">
        <w:t xml:space="preserve"> på at de frie inntektene skal finansiere både </w:t>
      </w:r>
      <w:r w:rsidR="00687E6E" w:rsidRPr="0055149C">
        <w:t>løpende driftsutgifter</w:t>
      </w:r>
      <w:r w:rsidR="00C37912" w:rsidRPr="0055149C">
        <w:t xml:space="preserve"> og kapitalutgifter i tjenesteproduksjonen</w:t>
      </w:r>
      <w:r w:rsidRPr="0055149C">
        <w:t>,</w:t>
      </w:r>
      <w:r w:rsidR="00C37912" w:rsidRPr="0055149C">
        <w:t xml:space="preserve"> men at eventuelle ufrivillige variasjoner i kapitalutgiftene ikke bl</w:t>
      </w:r>
      <w:r w:rsidR="003F1471">
        <w:t>ir</w:t>
      </w:r>
      <w:r w:rsidR="00C37912" w:rsidRPr="0055149C">
        <w:t xml:space="preserve"> utjevnet. Som </w:t>
      </w:r>
      <w:r w:rsidR="00A6197E" w:rsidRPr="0055149C">
        <w:t>utvalget framhever</w:t>
      </w:r>
      <w:r w:rsidR="003F1471">
        <w:t>,</w:t>
      </w:r>
      <w:r w:rsidR="00C37912" w:rsidRPr="0055149C">
        <w:t xml:space="preserve"> innebærer dette at tilskudd til kapitalformål fordeles mellom kommunene gjennom innbyggertilskuddet</w:t>
      </w:r>
      <w:r w:rsidRPr="0055149C">
        <w:t xml:space="preserve"> inklusive utjevning</w:t>
      </w:r>
      <w:r w:rsidR="00E73E2F" w:rsidRPr="0055149C">
        <w:t>smekanismen</w:t>
      </w:r>
      <w:r w:rsidR="00C37912" w:rsidRPr="0055149C">
        <w:t>, skatteinntektene</w:t>
      </w:r>
      <w:r w:rsidRPr="0055149C">
        <w:t xml:space="preserve"> </w:t>
      </w:r>
      <w:r w:rsidR="00C37912" w:rsidRPr="0055149C">
        <w:t>og de regionalpolitiske tilskuddene.</w:t>
      </w:r>
      <w:r w:rsidR="00166F95" w:rsidRPr="0055149C">
        <w:t xml:space="preserve"> </w:t>
      </w:r>
      <w:r w:rsidR="00C37912" w:rsidRPr="0055149C">
        <w:t xml:space="preserve">Utvalget </w:t>
      </w:r>
      <w:r w:rsidR="00A60B7A" w:rsidRPr="0055149C">
        <w:t>basere</w:t>
      </w:r>
      <w:r w:rsidR="00CF0BCA" w:rsidRPr="0055149C">
        <w:t>r</w:t>
      </w:r>
      <w:r w:rsidR="00A60B7A" w:rsidRPr="0055149C">
        <w:t xml:space="preserve"> sine vurderinger på </w:t>
      </w:r>
      <w:r w:rsidR="00C37912" w:rsidRPr="0055149C">
        <w:t>Borge-utvalgets v</w:t>
      </w:r>
      <w:r w:rsidR="00A60B7A" w:rsidRPr="0055149C">
        <w:t>urderinger</w:t>
      </w:r>
      <w:r w:rsidR="00C37912" w:rsidRPr="0055149C">
        <w:t xml:space="preserve"> og analysene i to rapporter </w:t>
      </w:r>
      <w:r w:rsidR="00A60B7A" w:rsidRPr="0055149C">
        <w:t>av</w:t>
      </w:r>
      <w:r w:rsidR="00C37912" w:rsidRPr="0055149C">
        <w:t xml:space="preserve"> Telemarksforsking </w:t>
      </w:r>
      <w:r w:rsidR="00A60B7A" w:rsidRPr="0055149C">
        <w:t>(</w:t>
      </w:r>
      <w:r w:rsidR="007C514A" w:rsidRPr="00DD179F">
        <w:rPr>
          <w:color w:val="auto"/>
        </w:rPr>
        <w:t>Håkonsen</w:t>
      </w:r>
      <w:r w:rsidR="007C514A">
        <w:t xml:space="preserve">, </w:t>
      </w:r>
      <w:r w:rsidR="00A60B7A" w:rsidRPr="0055149C">
        <w:t xml:space="preserve">Kallager og Lunder 2017 og Thorstensen, Lie og Lunder 2021), som omtales under. Det </w:t>
      </w:r>
      <w:r w:rsidR="00C37912" w:rsidRPr="0055149C">
        <w:t>konkludere</w:t>
      </w:r>
      <w:r w:rsidR="00CF0BCA" w:rsidRPr="0055149C">
        <w:t>r</w:t>
      </w:r>
      <w:r w:rsidR="00C37912" w:rsidRPr="0055149C">
        <w:t xml:space="preserve"> med at kvaliteten på data ikke var god nok til at behandlingen av kapitalutgifter i utgiftsutjevningen burde endres.</w:t>
      </w:r>
    </w:p>
    <w:p w14:paraId="6A86B8B4" w14:textId="7B1358CA" w:rsidR="00A9543E" w:rsidRPr="0055149C" w:rsidRDefault="00FB29A8" w:rsidP="00C37912">
      <w:pPr>
        <w:rPr>
          <w:lang w:eastAsia="nb-NO"/>
        </w:rPr>
      </w:pPr>
      <w:r w:rsidRPr="0055149C">
        <w:rPr>
          <w:lang w:eastAsia="nb-NO"/>
        </w:rPr>
        <w:lastRenderedPageBreak/>
        <w:t>Et ekspertutvalg ledet av Lunder og oppnevnt av Kommunal- og distriktsdepartementet (2022) fremme</w:t>
      </w:r>
      <w:r w:rsidR="00CF0BCA" w:rsidRPr="0055149C">
        <w:rPr>
          <w:lang w:eastAsia="nb-NO"/>
        </w:rPr>
        <w:t>r</w:t>
      </w:r>
      <w:r w:rsidRPr="0055149C">
        <w:rPr>
          <w:lang w:eastAsia="nb-NO"/>
        </w:rPr>
        <w:t xml:space="preserve"> forslag om revideringer av fylkeskommunenes inntektssystem fra og med 2024.</w:t>
      </w:r>
      <w:r w:rsidR="00244E97" w:rsidRPr="0055149C">
        <w:rPr>
          <w:lang w:eastAsia="nb-NO"/>
        </w:rPr>
        <w:t xml:space="preserve"> </w:t>
      </w:r>
      <w:r w:rsidR="000F742D" w:rsidRPr="0055149C">
        <w:t>Utvalget vektlegger at tilskudd til kapitalformål i det gjeldende systemet i hovedsak blir fordelt gjennom innbyggertilskuddet og skatteinntektene, inklusive inntektsutjevningen, det vil si med tilnærmet samme beløp per innbygger.</w:t>
      </w:r>
      <w:r w:rsidR="00C37912" w:rsidRPr="0055149C">
        <w:t xml:space="preserve"> </w:t>
      </w:r>
      <w:r w:rsidR="007470AA" w:rsidRPr="00C33348">
        <w:t xml:space="preserve">Unntaket </w:t>
      </w:r>
      <w:r w:rsidR="00CF0BCA" w:rsidRPr="00C33348">
        <w:t>er</w:t>
      </w:r>
      <w:r w:rsidR="000F742D" w:rsidRPr="00C33348">
        <w:t>,</w:t>
      </w:r>
      <w:r w:rsidR="007470AA" w:rsidRPr="00C33348">
        <w:t xml:space="preserve"> som nevnt</w:t>
      </w:r>
      <w:r w:rsidR="000E01B0">
        <w:t xml:space="preserve"> i delkapittel </w:t>
      </w:r>
      <w:r w:rsidR="000E01B0">
        <w:fldChar w:fldCharType="begin"/>
      </w:r>
      <w:r w:rsidR="000E01B0">
        <w:instrText xml:space="preserve"> REF _Ref174726663 \r \h </w:instrText>
      </w:r>
      <w:r w:rsidR="000E01B0">
        <w:fldChar w:fldCharType="separate"/>
      </w:r>
      <w:r w:rsidR="009B1DA8">
        <w:t>1.2</w:t>
      </w:r>
      <w:r w:rsidR="000E01B0">
        <w:fldChar w:fldCharType="end"/>
      </w:r>
      <w:r w:rsidR="000F742D" w:rsidRPr="00C33348">
        <w:t>,</w:t>
      </w:r>
      <w:r w:rsidR="007470AA" w:rsidRPr="00C33348">
        <w:t xml:space="preserve"> knyttet til fylkesveier</w:t>
      </w:r>
      <w:r w:rsidR="00CB70E3" w:rsidRPr="00C33348">
        <w:t xml:space="preserve"> </w:t>
      </w:r>
      <w:r w:rsidR="00A9543E" w:rsidRPr="00C33348">
        <w:t>(se Krehic og Nyhus 2022</w:t>
      </w:r>
      <w:r w:rsidR="0093202C">
        <w:t>,</w:t>
      </w:r>
      <w:r w:rsidR="008056D2">
        <w:t xml:space="preserve"> </w:t>
      </w:r>
      <w:r w:rsidR="00044608" w:rsidRPr="00044608">
        <w:t>Holen, Saltnes og Leland 2021</w:t>
      </w:r>
      <w:r w:rsidR="00CA5E7F">
        <w:t>,</w:t>
      </w:r>
      <w:r w:rsidR="0093202C">
        <w:t xml:space="preserve"> </w:t>
      </w:r>
      <w:r w:rsidR="000823F7">
        <w:t xml:space="preserve">og </w:t>
      </w:r>
      <w:r w:rsidR="00CE47A4" w:rsidRPr="00CE47A4">
        <w:t>Kommunal- og distriktsdepartementet 2023b</w:t>
      </w:r>
      <w:r w:rsidR="00CA5E7F" w:rsidRPr="00CA5E7F">
        <w:t xml:space="preserve"> </w:t>
      </w:r>
      <w:r w:rsidR="00CA5E7F" w:rsidRPr="00C33348">
        <w:t>for detaljer</w:t>
      </w:r>
      <w:r w:rsidR="000823F7">
        <w:t>)</w:t>
      </w:r>
      <w:r w:rsidR="000F742D" w:rsidRPr="00C33348">
        <w:t>,</w:t>
      </w:r>
      <w:r w:rsidR="00A9543E" w:rsidRPr="00C33348">
        <w:t xml:space="preserve"> </w:t>
      </w:r>
      <w:r w:rsidR="00CB70E3" w:rsidRPr="00C33348">
        <w:t xml:space="preserve">inkludert et eget kriterium for </w:t>
      </w:r>
      <w:r w:rsidR="0063018A">
        <w:t>fergesamband</w:t>
      </w:r>
      <w:r w:rsidR="00CB70E3" w:rsidRPr="00C33348">
        <w:t xml:space="preserve"> (</w:t>
      </w:r>
      <w:r w:rsidR="004C34A0" w:rsidRPr="00C8376C">
        <w:rPr>
          <w:lang w:eastAsia="nb-NO"/>
        </w:rPr>
        <w:t>se Svendsen med flere 2017</w:t>
      </w:r>
      <w:r w:rsidR="004C34A0">
        <w:rPr>
          <w:lang w:eastAsia="nb-NO"/>
        </w:rPr>
        <w:t>,</w:t>
      </w:r>
      <w:r w:rsidR="004C34A0" w:rsidRPr="00C8376C">
        <w:rPr>
          <w:lang w:eastAsia="nb-NO"/>
        </w:rPr>
        <w:t xml:space="preserve"> Rødseth med flere 2022a</w:t>
      </w:r>
      <w:r w:rsidR="004C34A0" w:rsidRPr="005F192C">
        <w:t xml:space="preserve"> </w:t>
      </w:r>
      <w:r w:rsidR="004C34A0">
        <w:t xml:space="preserve">og </w:t>
      </w:r>
      <w:r w:rsidR="004C34A0" w:rsidRPr="00CE47A4">
        <w:t>Kommunal- og distriktsdepartementet 2023b</w:t>
      </w:r>
      <w:r w:rsidR="004C34A0" w:rsidRPr="00CA5E7F">
        <w:t xml:space="preserve"> </w:t>
      </w:r>
      <w:r w:rsidR="004C34A0" w:rsidRPr="00C33348">
        <w:t xml:space="preserve">for </w:t>
      </w:r>
      <w:r w:rsidR="004C34A0">
        <w:t>videre lesing</w:t>
      </w:r>
      <w:r w:rsidR="00CB70E3" w:rsidRPr="00C33348">
        <w:t>).</w:t>
      </w:r>
      <w:r w:rsidR="00244E97" w:rsidRPr="0055149C">
        <w:t xml:space="preserve"> </w:t>
      </w:r>
      <w:r w:rsidR="00C37912" w:rsidRPr="0055149C">
        <w:t xml:space="preserve">Utvalget </w:t>
      </w:r>
      <w:r w:rsidR="00244E97" w:rsidRPr="0055149C">
        <w:t>konstatere</w:t>
      </w:r>
      <w:r w:rsidR="00CF0BCA" w:rsidRPr="0055149C">
        <w:t>r</w:t>
      </w:r>
      <w:r w:rsidR="00C37912" w:rsidRPr="0055149C">
        <w:t xml:space="preserve"> at fylkeskommunene se</w:t>
      </w:r>
      <w:r w:rsidR="000F742D" w:rsidRPr="0055149C">
        <w:t>r</w:t>
      </w:r>
      <w:r w:rsidR="00C37912" w:rsidRPr="0055149C">
        <w:t xml:space="preserve"> ut til å være mer kapitalintensive enn </w:t>
      </w:r>
      <w:r w:rsidR="007470AA" w:rsidRPr="0055149C">
        <w:t>primær</w:t>
      </w:r>
      <w:r w:rsidR="00C37912" w:rsidRPr="0055149C">
        <w:t>kommunene</w:t>
      </w:r>
      <w:r w:rsidR="00244E97" w:rsidRPr="0055149C">
        <w:t xml:space="preserve">. </w:t>
      </w:r>
      <w:r w:rsidR="000F742D" w:rsidRPr="0055149C">
        <w:t xml:space="preserve">Etter deres </w:t>
      </w:r>
      <w:r w:rsidR="00891691">
        <w:t xml:space="preserve">vurdering </w:t>
      </w:r>
      <w:r w:rsidR="000F742D" w:rsidRPr="0055149C">
        <w:t>tilsier den relativt høye kapitalintensiteten en særskilt vurdering av behandlingen av kapitalkostnader i fylkeskommunene</w:t>
      </w:r>
      <w:r w:rsidR="00C37912" w:rsidRPr="0055149C">
        <w:t>.</w:t>
      </w:r>
    </w:p>
    <w:p w14:paraId="5BD088DF" w14:textId="0E6086AD" w:rsidR="00C37912" w:rsidRPr="0055149C" w:rsidRDefault="00244E97" w:rsidP="00C01DD9">
      <w:r w:rsidRPr="0055149C">
        <w:rPr>
          <w:lang w:eastAsia="nb-NO"/>
        </w:rPr>
        <w:t>Ekspertutvalg</w:t>
      </w:r>
      <w:r w:rsidR="00891691">
        <w:rPr>
          <w:lang w:eastAsia="nb-NO"/>
        </w:rPr>
        <w:t xml:space="preserve">et </w:t>
      </w:r>
      <w:r w:rsidR="00C37912" w:rsidRPr="0055149C">
        <w:t>slutte</w:t>
      </w:r>
      <w:r w:rsidR="00CF0BCA" w:rsidRPr="0055149C">
        <w:t>r</w:t>
      </w:r>
      <w:r w:rsidR="00C37912" w:rsidRPr="0055149C">
        <w:t xml:space="preserve"> seg til Rat</w:t>
      </w:r>
      <w:r w:rsidR="00250CA5" w:rsidRPr="0055149C">
        <w:t>t</w:t>
      </w:r>
      <w:r w:rsidR="00C37912" w:rsidRPr="0055149C">
        <w:t>sø-, Borge- og Har</w:t>
      </w:r>
      <w:r w:rsidR="00250CA5" w:rsidRPr="0055149C">
        <w:t>a</w:t>
      </w:r>
      <w:r w:rsidR="00C37912" w:rsidRPr="0055149C">
        <w:t xml:space="preserve">ldsvik-utvalgene i vurderingen av at utgiftsutjevningen i prinsippet også bør omfatte kapitalkostnader. </w:t>
      </w:r>
      <w:r w:rsidR="00CF0BCA" w:rsidRPr="0055149C">
        <w:t>Utvalget definerer k</w:t>
      </w:r>
      <w:r w:rsidR="00C37912" w:rsidRPr="0055149C">
        <w:t xml:space="preserve">apitalkostnader som summen av rentekostnad og kapitalslit </w:t>
      </w:r>
      <w:r w:rsidR="001F4717" w:rsidRPr="0055149C">
        <w:t xml:space="preserve">målt ved regnskapsmessige </w:t>
      </w:r>
      <w:r w:rsidR="00E5312B">
        <w:t>avskrivning</w:t>
      </w:r>
      <w:r w:rsidR="00C37912" w:rsidRPr="0055149C">
        <w:t>er</w:t>
      </w:r>
      <w:r w:rsidR="00CF0BCA" w:rsidRPr="0055149C">
        <w:t>. I</w:t>
      </w:r>
      <w:r w:rsidR="00C37912" w:rsidRPr="0055149C">
        <w:t xml:space="preserve"> </w:t>
      </w:r>
      <w:r w:rsidR="00CF0BCA" w:rsidRPr="0055149C">
        <w:t>sine</w:t>
      </w:r>
      <w:r w:rsidR="00C37912" w:rsidRPr="0055149C">
        <w:t xml:space="preserve"> diskusjone</w:t>
      </w:r>
      <w:r w:rsidR="00CF0BCA" w:rsidRPr="0055149C">
        <w:t>r</w:t>
      </w:r>
      <w:r w:rsidR="00C37912" w:rsidRPr="0055149C">
        <w:t xml:space="preserve"> konsentrer</w:t>
      </w:r>
      <w:r w:rsidR="00F425A5" w:rsidRPr="0055149C">
        <w:t>t</w:t>
      </w:r>
      <w:r w:rsidR="00C37912" w:rsidRPr="0055149C">
        <w:t xml:space="preserve">e utvalget seg </w:t>
      </w:r>
      <w:r w:rsidR="00CF0BCA" w:rsidRPr="0055149C">
        <w:t xml:space="preserve">like fullt </w:t>
      </w:r>
      <w:r w:rsidR="00C37912" w:rsidRPr="0055149C">
        <w:t>om den sist</w:t>
      </w:r>
      <w:r w:rsidR="005E0F56">
        <w:t>nevnt</w:t>
      </w:r>
      <w:r w:rsidR="00C37912" w:rsidRPr="0055149C">
        <w:t>e komponenten.</w:t>
      </w:r>
      <w:r w:rsidRPr="0055149C">
        <w:t xml:space="preserve"> </w:t>
      </w:r>
      <w:r w:rsidR="00C37912" w:rsidRPr="0055149C">
        <w:t xml:space="preserve">Utvalget </w:t>
      </w:r>
      <w:r w:rsidR="00CF0BCA" w:rsidRPr="0055149C">
        <w:t>er delt</w:t>
      </w:r>
      <w:r w:rsidR="00C37912" w:rsidRPr="0055149C">
        <w:t xml:space="preserve"> i avveiingen av fordeler og ulemper ved å legge </w:t>
      </w:r>
      <w:r w:rsidR="00E5312B">
        <w:t>avskrivning</w:t>
      </w:r>
      <w:r w:rsidR="00C37912" w:rsidRPr="0055149C">
        <w:t xml:space="preserve">stallene i </w:t>
      </w:r>
      <w:r w:rsidR="008E7E43">
        <w:t>KOSTRA</w:t>
      </w:r>
      <w:r w:rsidR="00C37912" w:rsidRPr="0055149C">
        <w:t xml:space="preserve"> til grunn for omfordeling i systemet. Flertallet konkludere</w:t>
      </w:r>
      <w:r w:rsidR="00CF0BCA" w:rsidRPr="0055149C">
        <w:t>r</w:t>
      </w:r>
      <w:r w:rsidR="00C37912" w:rsidRPr="0055149C">
        <w:t xml:space="preserve"> med at disse tallene </w:t>
      </w:r>
      <w:r w:rsidR="000F742D" w:rsidRPr="0055149C">
        <w:t>bør</w:t>
      </w:r>
      <w:r w:rsidR="00C37912" w:rsidRPr="0055149C">
        <w:t xml:space="preserve"> tas inn i beregningen av fylkenes utgiftsbehov, med følgende begrunnelse</w:t>
      </w:r>
      <w:r w:rsidR="008D580C">
        <w:t>r</w:t>
      </w:r>
      <w:r w:rsidR="00D4668B">
        <w:t>: For det første er k</w:t>
      </w:r>
      <w:r w:rsidR="00C37912" w:rsidRPr="0055149C">
        <w:t>apitalkostnader allerede inkludert for fylkesveier</w:t>
      </w:r>
      <w:r w:rsidRPr="0055149C">
        <w:t>. Utvalget foresl</w:t>
      </w:r>
      <w:r w:rsidR="00CF0BCA" w:rsidRPr="0055149C">
        <w:t>år</w:t>
      </w:r>
      <w:r w:rsidR="00C37912" w:rsidRPr="0055149C">
        <w:t xml:space="preserve"> ikke å endre dette</w:t>
      </w:r>
      <w:r w:rsidRPr="0055149C">
        <w:t>.</w:t>
      </w:r>
      <w:r w:rsidR="00D4668B">
        <w:t xml:space="preserve"> For det andre er f</w:t>
      </w:r>
      <w:r w:rsidR="00C37912" w:rsidRPr="0055149C">
        <w:t xml:space="preserve">ylkene </w:t>
      </w:r>
      <w:r w:rsidRPr="0055149C">
        <w:t>høyst sannsynlig</w:t>
      </w:r>
      <w:r w:rsidR="00C37912" w:rsidRPr="0055149C">
        <w:t xml:space="preserve"> mer kapitalintensive enn kommunene</w:t>
      </w:r>
      <w:r w:rsidRPr="0055149C">
        <w:t>.</w:t>
      </w:r>
      <w:r w:rsidR="00D4668B">
        <w:t xml:space="preserve"> For det</w:t>
      </w:r>
      <w:r w:rsidR="00C01DD9">
        <w:t xml:space="preserve"> tredje – </w:t>
      </w:r>
      <w:r w:rsidR="00C01DD9">
        <w:rPr>
          <w:rFonts w:eastAsia="Calibri"/>
        </w:rPr>
        <w:t>v</w:t>
      </w:r>
      <w:r w:rsidR="00C37912" w:rsidRPr="0055149C">
        <w:t xml:space="preserve">ed kjøp av transporttjenester fra andre inngår kapitalkostnadene i fylkeskommunenes betalinger og dermed i bokførte driftsutgifter. </w:t>
      </w:r>
      <w:r w:rsidR="00D33D2A" w:rsidRPr="0055149C">
        <w:t>Dermed blir det kompensert for innkjøpte kapitaltjenester</w:t>
      </w:r>
      <w:r w:rsidR="00072F60" w:rsidRPr="0055149C">
        <w:t>, men ikke kapitaltjenester fra eiet kapital.</w:t>
      </w:r>
    </w:p>
    <w:p w14:paraId="6A1FB7A3" w14:textId="5DDB0879" w:rsidR="00C37912" w:rsidRPr="0055149C" w:rsidRDefault="00C37912" w:rsidP="00C37912">
      <w:r w:rsidRPr="0055149C">
        <w:t xml:space="preserve">Mindretallet </w:t>
      </w:r>
      <w:r w:rsidR="00CF0BCA" w:rsidRPr="0055149C">
        <w:t>viser</w:t>
      </w:r>
      <w:r w:rsidRPr="0055149C">
        <w:t xml:space="preserve"> til at en burde vente på bedre tall før en gikk til et skritt med presumptivt betydelige omfordelingsvirkninger</w:t>
      </w:r>
      <w:r w:rsidR="00891691">
        <w:t xml:space="preserve"> (</w:t>
      </w:r>
      <w:r w:rsidR="00891691" w:rsidRPr="0055149C">
        <w:rPr>
          <w:lang w:eastAsia="nb-NO"/>
        </w:rPr>
        <w:t>Kommunal- og distriktsdepartementet 2022</w:t>
      </w:r>
      <w:r w:rsidR="00891691">
        <w:rPr>
          <w:lang w:eastAsia="nb-NO"/>
        </w:rPr>
        <w:t>)</w:t>
      </w:r>
      <w:r w:rsidRPr="0055149C">
        <w:t>.</w:t>
      </w:r>
      <w:r w:rsidR="00890C84" w:rsidRPr="00890C84">
        <w:t xml:space="preserve"> </w:t>
      </w:r>
      <w:r w:rsidR="00890C84" w:rsidRPr="00005323">
        <w:t xml:space="preserve">Ekspertutvalgets anbefalinger og oppfølging av disse er oppsummer i </w:t>
      </w:r>
      <w:r w:rsidR="0076323F" w:rsidRPr="00005323">
        <w:t>kommuneproposisjonen for 2024</w:t>
      </w:r>
      <w:r w:rsidR="0076323F">
        <w:t xml:space="preserve"> (</w:t>
      </w:r>
      <w:r w:rsidR="00890C84" w:rsidRPr="00005323">
        <w:t>Kommunal- og distriktsdepartementets 2023b).</w:t>
      </w:r>
    </w:p>
    <w:p w14:paraId="3804B730" w14:textId="3FD3D2E4" w:rsidR="006D1D41" w:rsidRPr="0055149C" w:rsidRDefault="002E7A84" w:rsidP="00C37912">
      <w:r w:rsidRPr="002E7A84">
        <w:t>Kommunal- og distriktsdepartementet konkluderer i Kommuneproposisjonen for 2024 (</w:t>
      </w:r>
      <w:r w:rsidR="00144DC6" w:rsidRPr="00005323">
        <w:t>Kommunal- og distriktsdepartementet 2023b</w:t>
      </w:r>
      <w:r w:rsidRPr="002E7A84">
        <w:t xml:space="preserve">) med at kapitalkostnader inntil videre fremdeles bør holdes utenfor utgiftsutjevningen for fylkeskommunene, sett bort i fra fylkesveiene </w:t>
      </w:r>
      <w:r>
        <w:t xml:space="preserve">med tilhørende ferger </w:t>
      </w:r>
      <w:r w:rsidRPr="002E7A84">
        <w:t>som i dag</w:t>
      </w:r>
      <w:r w:rsidR="006D1D41" w:rsidRPr="0055149C">
        <w:t xml:space="preserve">. </w:t>
      </w:r>
      <w:r w:rsidR="002520AF" w:rsidRPr="0055149C">
        <w:t>Departementet viser til at Inntektssystemutvalget og ekspertutvalget kom til motstridende konklusjoner</w:t>
      </w:r>
      <w:r w:rsidR="00716836">
        <w:t>,</w:t>
      </w:r>
      <w:r w:rsidR="002520AF" w:rsidRPr="0055149C">
        <w:t xml:space="preserve"> og at det er behov for mer kunnskap om kapitalkostnader og utgiftsutjevningen for både primærkommuner og fylkeskommuner</w:t>
      </w:r>
      <w:r w:rsidR="00716836">
        <w:t>,</w:t>
      </w:r>
      <w:r w:rsidR="002520AF" w:rsidRPr="0055149C">
        <w:t xml:space="preserve"> før man konkluderer</w:t>
      </w:r>
      <w:r w:rsidR="006D1D41" w:rsidRPr="0055149C">
        <w:t>.</w:t>
      </w:r>
    </w:p>
    <w:p w14:paraId="7B07611F" w14:textId="64831094" w:rsidR="00397931" w:rsidRDefault="00C37912" w:rsidP="00397931">
      <w:r w:rsidRPr="0055149C">
        <w:t xml:space="preserve">Behandlingen av kapitalkostnader i </w:t>
      </w:r>
      <w:r w:rsidR="007B0ECA">
        <w:t>utgiftsutjevningen</w:t>
      </w:r>
      <w:r w:rsidRPr="0055149C">
        <w:t xml:space="preserve"> </w:t>
      </w:r>
      <w:r w:rsidR="00CF0BCA" w:rsidRPr="0055149C">
        <w:t>har</w:t>
      </w:r>
      <w:r w:rsidRPr="0055149C">
        <w:t xml:space="preserve"> </w:t>
      </w:r>
      <w:r w:rsidR="00542892">
        <w:t>også blitt behandlet</w:t>
      </w:r>
      <w:r w:rsidRPr="0055149C">
        <w:t xml:space="preserve"> i flere faglige analyser de siste </w:t>
      </w:r>
      <w:r w:rsidR="00542892">
        <w:t>25</w:t>
      </w:r>
      <w:r w:rsidRPr="0055149C">
        <w:t xml:space="preserve"> årene.</w:t>
      </w:r>
      <w:r w:rsidR="00953A7D">
        <w:t xml:space="preserve"> </w:t>
      </w:r>
      <w:r w:rsidR="00397931" w:rsidRPr="004D21A8">
        <w:t>Langørgen</w:t>
      </w:r>
      <w:r w:rsidR="00397931">
        <w:t xml:space="preserve"> (2001)</w:t>
      </w:r>
      <w:r w:rsidR="00953A7D" w:rsidRPr="00953A7D">
        <w:t xml:space="preserve"> </w:t>
      </w:r>
      <w:r w:rsidR="00953A7D" w:rsidRPr="0055149C">
        <w:t>ved Statistisk sentralbyrå</w:t>
      </w:r>
      <w:r w:rsidR="00397931">
        <w:t xml:space="preserve"> argumenterer for at betydelige årlige variasjoner i </w:t>
      </w:r>
      <w:r w:rsidR="00387BB5">
        <w:t xml:space="preserve">kommunenes </w:t>
      </w:r>
      <w:r w:rsidR="00397931">
        <w:t>kapitalutgifte</w:t>
      </w:r>
      <w:r w:rsidR="00387BB5">
        <w:t>r</w:t>
      </w:r>
      <w:r w:rsidR="00397931">
        <w:t xml:space="preserve"> utjevnes over tid, slik at behovet for kompensasjon for disse utgiftene er begrenset i et lengre tidsperspektiv. Kapitalutgiftene må her forstås som bruttodriftsutgiftene, eventuelt fratrukket avhending av realkapitalen.</w:t>
      </w:r>
    </w:p>
    <w:p w14:paraId="3271090F" w14:textId="0D3A27E0" w:rsidR="00C37912" w:rsidRPr="0055149C" w:rsidRDefault="00C37912" w:rsidP="003C4A2E">
      <w:r w:rsidRPr="0055149C">
        <w:t xml:space="preserve">Langørgen og Rønningen (2002) </w:t>
      </w:r>
      <w:r w:rsidR="00244E97" w:rsidRPr="0055149C">
        <w:t xml:space="preserve">ved Statistisk sentralbyrå </w:t>
      </w:r>
      <w:r w:rsidRPr="0055149C">
        <w:t>skil</w:t>
      </w:r>
      <w:r w:rsidR="00CF0BCA" w:rsidRPr="0055149C">
        <w:t>ler</w:t>
      </w:r>
      <w:r w:rsidRPr="0055149C">
        <w:t xml:space="preserve"> mellom to forhold i diskusjonen om hva kapitalkostnader betyr for kommunenes mulighet til å yte likeverdige tjenester</w:t>
      </w:r>
      <w:r w:rsidR="0096709D">
        <w:t xml:space="preserve">. For det første vil det ifølge forfatterne </w:t>
      </w:r>
      <w:r w:rsidR="00244E97" w:rsidRPr="0055149C">
        <w:t>være utfordrende å</w:t>
      </w:r>
      <w:r w:rsidRPr="0055149C">
        <w:t xml:space="preserve"> tilpasse kapitalbeholdningen til behovene</w:t>
      </w:r>
      <w:r w:rsidR="00244E97" w:rsidRPr="0055149C">
        <w:t xml:space="preserve"> </w:t>
      </w:r>
      <w:r w:rsidR="003C4A2E">
        <w:t>og</w:t>
      </w:r>
      <w:r w:rsidR="009254B2" w:rsidRPr="009254B2">
        <w:t xml:space="preserve"> at det reflekteres i etterspørselen</w:t>
      </w:r>
      <w:r w:rsidR="003C4A2E">
        <w:t>, både</w:t>
      </w:r>
      <w:r w:rsidR="00244E97" w:rsidRPr="0055149C">
        <w:t xml:space="preserve"> </w:t>
      </w:r>
      <w:r w:rsidRPr="0055149C">
        <w:t>på kort og lang sikt</w:t>
      </w:r>
      <w:r w:rsidR="007D2C53" w:rsidRPr="0055149C">
        <w:t>.</w:t>
      </w:r>
      <w:r w:rsidR="003C4A2E">
        <w:t xml:space="preserve"> For det andre trekker de fram at u</w:t>
      </w:r>
      <w:r w:rsidRPr="0055149C">
        <w:t xml:space="preserve">frivillige variasjoner i </w:t>
      </w:r>
      <w:r w:rsidR="007D2C53" w:rsidRPr="0055149C">
        <w:t xml:space="preserve">kommunenes </w:t>
      </w:r>
      <w:r w:rsidRPr="0055149C">
        <w:t xml:space="preserve">utgiftsbehov </w:t>
      </w:r>
      <w:r w:rsidR="007D2C53" w:rsidRPr="0055149C">
        <w:t>kan</w:t>
      </w:r>
      <w:r w:rsidRPr="0055149C">
        <w:t xml:space="preserve"> skyldes kapitalutgifter.</w:t>
      </w:r>
    </w:p>
    <w:p w14:paraId="61339544" w14:textId="22ACAB46" w:rsidR="006338F6" w:rsidRPr="0055149C" w:rsidRDefault="00C37912" w:rsidP="00826267">
      <w:r w:rsidRPr="0055149C">
        <w:lastRenderedPageBreak/>
        <w:t xml:space="preserve">Det andre punktet er mest relevant for </w:t>
      </w:r>
      <w:r w:rsidR="00926DDD" w:rsidRPr="0055149C">
        <w:t>vår studie</w:t>
      </w:r>
      <w:r w:rsidRPr="0055149C">
        <w:t>. Forfatterne pek</w:t>
      </w:r>
      <w:r w:rsidR="00CF0BCA" w:rsidRPr="0055149C">
        <w:t>er</w:t>
      </w:r>
      <w:r w:rsidRPr="0055149C">
        <w:t xml:space="preserve"> på at tallene for avskrivninger og kapital i </w:t>
      </w:r>
      <w:r w:rsidR="008E7E43">
        <w:t>KOSTRA</w:t>
      </w:r>
      <w:r w:rsidRPr="0055149C">
        <w:t xml:space="preserve"> kan ligge for lavt</w:t>
      </w:r>
      <w:r w:rsidR="00033FEB" w:rsidRPr="0055149C">
        <w:t>,</w:t>
      </w:r>
      <w:r w:rsidRPr="0055149C">
        <w:t xml:space="preserve"> fordi de er regnet i anskaffelsespriser. De </w:t>
      </w:r>
      <w:r w:rsidR="00033FEB" w:rsidRPr="0055149C">
        <w:t>argumenter</w:t>
      </w:r>
      <w:r w:rsidR="00166F95" w:rsidRPr="0055149C">
        <w:t>te</w:t>
      </w:r>
      <w:r w:rsidRPr="0055149C">
        <w:t xml:space="preserve"> likevel </w:t>
      </w:r>
      <w:r w:rsidR="00033FEB" w:rsidRPr="0055149C">
        <w:t xml:space="preserve">for at </w:t>
      </w:r>
      <w:r w:rsidRPr="0055149C">
        <w:t xml:space="preserve">det ville være interessant å studere hvordan </w:t>
      </w:r>
      <w:r w:rsidR="00E5312B">
        <w:t>avskrivning</w:t>
      </w:r>
      <w:r w:rsidRPr="0055149C">
        <w:t>stallene samvariere</w:t>
      </w:r>
      <w:r w:rsidR="00CF0BCA" w:rsidRPr="0055149C">
        <w:t>r</w:t>
      </w:r>
      <w:r w:rsidRPr="0055149C">
        <w:t xml:space="preserve"> med relevante forklaringsvariable</w:t>
      </w:r>
      <w:r w:rsidR="001C06E9" w:rsidRPr="0055149C">
        <w:t>r</w:t>
      </w:r>
      <w:r w:rsidRPr="0055149C">
        <w:t xml:space="preserve">. </w:t>
      </w:r>
      <w:r w:rsidR="00166F95" w:rsidRPr="0055149C">
        <w:t>Langørgen og Rønningen beregne</w:t>
      </w:r>
      <w:r w:rsidR="00CF0BCA" w:rsidRPr="0055149C">
        <w:t>r</w:t>
      </w:r>
      <w:r w:rsidRPr="0055149C">
        <w:t xml:space="preserve"> </w:t>
      </w:r>
      <w:r w:rsidR="00E5312B">
        <w:t>avskrivning</w:t>
      </w:r>
      <w:r w:rsidRPr="0055149C">
        <w:t xml:space="preserve">er per innbygger i alt og etter </w:t>
      </w:r>
      <w:r w:rsidR="007D2C53" w:rsidRPr="0055149C">
        <w:t>åtte</w:t>
      </w:r>
      <w:r w:rsidRPr="0055149C">
        <w:t xml:space="preserve"> tjenesteområder for 322 kommuner i året 2001. </w:t>
      </w:r>
      <w:r w:rsidR="00166F95" w:rsidRPr="0055149C">
        <w:t>De f</w:t>
      </w:r>
      <w:r w:rsidR="00CF0BCA" w:rsidRPr="0055149C">
        <w:t>inner</w:t>
      </w:r>
      <w:r w:rsidRPr="0055149C">
        <w:t xml:space="preserve"> en klar tendens til at de beregnede </w:t>
      </w:r>
      <w:r w:rsidR="00826267" w:rsidRPr="0055149C">
        <w:t>kapital</w:t>
      </w:r>
      <w:r w:rsidRPr="0055149C">
        <w:t>tallene faller med kommunenes størrelse og øker med nivået på deres frie inntekter og samlede driftsutgifter</w:t>
      </w:r>
      <w:r w:rsidR="00826267" w:rsidRPr="0055149C">
        <w:t>, normalisert per innbygger.</w:t>
      </w:r>
    </w:p>
    <w:p w14:paraId="357547D0" w14:textId="123CAE3B" w:rsidR="00C37912" w:rsidRPr="0055149C" w:rsidRDefault="00345071" w:rsidP="00826267">
      <w:r w:rsidRPr="0055149C">
        <w:t>Regresjonene til Langørgen og Rønningen</w:t>
      </w:r>
      <w:r w:rsidR="00C37912" w:rsidRPr="0055149C">
        <w:t xml:space="preserve"> for </w:t>
      </w:r>
      <w:r w:rsidR="00E5312B">
        <w:t>avskrivning</w:t>
      </w:r>
      <w:r w:rsidR="00C37912" w:rsidRPr="0055149C">
        <w:t xml:space="preserve">er </w:t>
      </w:r>
      <w:r w:rsidRPr="0055149C">
        <w:t xml:space="preserve">i </w:t>
      </w:r>
      <w:r w:rsidR="00C37912" w:rsidRPr="0055149C">
        <w:t xml:space="preserve">utdanningssektoren </w:t>
      </w:r>
      <w:r w:rsidR="00695F0B" w:rsidRPr="0055149C">
        <w:t>og samlet</w:t>
      </w:r>
      <w:r w:rsidR="00C37912" w:rsidRPr="0055149C">
        <w:t xml:space="preserve"> vis</w:t>
      </w:r>
      <w:r w:rsidR="00CF0BCA" w:rsidRPr="0055149C">
        <w:t>er</w:t>
      </w:r>
      <w:r w:rsidR="00C37912" w:rsidRPr="0055149C">
        <w:t xml:space="preserve"> signifikant positiv effekt av frie inntekter per innbygger, invers av folkemengde, spredtbygdhet</w:t>
      </w:r>
      <w:r w:rsidR="00695F0B" w:rsidRPr="0055149C">
        <w:t xml:space="preserve"> og</w:t>
      </w:r>
      <w:r w:rsidR="00C37912" w:rsidRPr="0055149C">
        <w:t xml:space="preserve"> befolkningsendring</w:t>
      </w:r>
      <w:r w:rsidR="00695F0B" w:rsidRPr="0055149C">
        <w:t xml:space="preserve">, samt nivå og </w:t>
      </w:r>
      <w:r w:rsidR="00C37912" w:rsidRPr="0055149C">
        <w:t xml:space="preserve">vekst i andelen </w:t>
      </w:r>
      <w:r w:rsidRPr="0055149C">
        <w:t>6 til 15 år</w:t>
      </w:r>
      <w:r w:rsidR="00C37912" w:rsidRPr="0055149C">
        <w:t xml:space="preserve">. </w:t>
      </w:r>
      <w:r w:rsidRPr="0055149C">
        <w:t>Som en robusthetstest s</w:t>
      </w:r>
      <w:r w:rsidR="00CF0BCA" w:rsidRPr="0055149C">
        <w:t>er</w:t>
      </w:r>
      <w:r w:rsidRPr="0055149C">
        <w:t xml:space="preserve"> forfatterne blant annet også på avskriv</w:t>
      </w:r>
      <w:r w:rsidR="00746DC3">
        <w:t>n</w:t>
      </w:r>
      <w:r w:rsidRPr="0055149C">
        <w:t>inger samlet</w:t>
      </w:r>
      <w:r w:rsidR="002520AF" w:rsidRPr="0055149C">
        <w:t xml:space="preserve"> som utfallsvariabel</w:t>
      </w:r>
      <w:r w:rsidRPr="0055149C">
        <w:t xml:space="preserve"> og aldersgruppen 0 til 15 år</w:t>
      </w:r>
      <w:r w:rsidR="002520AF" w:rsidRPr="0055149C">
        <w:t xml:space="preserve"> som forklaringsvariabel</w:t>
      </w:r>
      <w:r w:rsidRPr="0055149C">
        <w:t>. Hovedr</w:t>
      </w:r>
      <w:r w:rsidR="00C37912" w:rsidRPr="0055149C">
        <w:t>egresjonene forklar</w:t>
      </w:r>
      <w:r w:rsidR="00CF0BCA" w:rsidRPr="0055149C">
        <w:t>er</w:t>
      </w:r>
      <w:r w:rsidR="00C37912" w:rsidRPr="0055149C">
        <w:t xml:space="preserve"> </w:t>
      </w:r>
      <w:r w:rsidRPr="0055149C">
        <w:t>52 prosent</w:t>
      </w:r>
      <w:r w:rsidR="00C37912" w:rsidRPr="0055149C">
        <w:t xml:space="preserve"> av den samlede variasjonen i tallene for </w:t>
      </w:r>
      <w:r w:rsidR="00E5312B">
        <w:t>avskrivning</w:t>
      </w:r>
      <w:r w:rsidR="00C37912" w:rsidRPr="0055149C">
        <w:t>er per innbygger</w:t>
      </w:r>
      <w:r w:rsidRPr="0055149C">
        <w:t>, mens prosentsatsen øk</w:t>
      </w:r>
      <w:r w:rsidR="00CF0BCA" w:rsidRPr="0055149C">
        <w:t>er</w:t>
      </w:r>
      <w:r w:rsidRPr="0055149C">
        <w:t xml:space="preserve"> til 64 prosent i robusthetstesten</w:t>
      </w:r>
      <w:r w:rsidR="00C37912" w:rsidRPr="0055149C">
        <w:t>.</w:t>
      </w:r>
    </w:p>
    <w:p w14:paraId="241F8507" w14:textId="211BE4A1" w:rsidR="00345071" w:rsidRPr="0055149C" w:rsidRDefault="00695F0B" w:rsidP="00345071">
      <w:r w:rsidRPr="0055149C">
        <w:t xml:space="preserve">I en annen studie </w:t>
      </w:r>
      <w:r w:rsidR="00E1151B">
        <w:t xml:space="preserve">fra </w:t>
      </w:r>
      <w:r w:rsidRPr="0055149C">
        <w:t xml:space="preserve">Statistisk sentralbyrå </w:t>
      </w:r>
      <w:r w:rsidR="00CF0BCA" w:rsidRPr="0055149C">
        <w:t>bringer</w:t>
      </w:r>
      <w:r w:rsidRPr="0055149C">
        <w:t xml:space="preserve"> </w:t>
      </w:r>
      <w:r w:rsidR="00C37912" w:rsidRPr="0055149C">
        <w:t xml:space="preserve">Kalvarskaia og Langørgen (2004) analysen til Langørgen og Rønningen (2002) et skritt videre ved å beregne </w:t>
      </w:r>
      <w:r w:rsidR="00E5312B">
        <w:t>avskrivning</w:t>
      </w:r>
      <w:r w:rsidR="00C37912" w:rsidRPr="0055149C">
        <w:t xml:space="preserve">er for primærkommunenes skolebygninger. </w:t>
      </w:r>
      <w:r w:rsidR="00E5312B">
        <w:t>Avskrivning</w:t>
      </w:r>
      <w:r w:rsidR="00C37912" w:rsidRPr="0055149C">
        <w:t xml:space="preserve">er </w:t>
      </w:r>
      <w:r w:rsidR="00CF0BCA" w:rsidRPr="0055149C">
        <w:t>blir</w:t>
      </w:r>
      <w:r w:rsidR="00166F95" w:rsidRPr="0055149C">
        <w:t xml:space="preserve"> </w:t>
      </w:r>
      <w:r w:rsidR="00C37912" w:rsidRPr="0055149C">
        <w:t>beregne</w:t>
      </w:r>
      <w:r w:rsidR="00166F95" w:rsidRPr="0055149C">
        <w:t>t</w:t>
      </w:r>
      <w:r w:rsidR="00C37912" w:rsidRPr="0055149C">
        <w:t xml:space="preserve"> ved å akkumulere prisomregnede faktiske investeringer ved to ulike forutsetninger om formen på depresieringene</w:t>
      </w:r>
      <w:r w:rsidRPr="0055149C">
        <w:t xml:space="preserve"> –</w:t>
      </w:r>
      <w:r w:rsidR="00C37912" w:rsidRPr="0055149C">
        <w:t xml:space="preserve"> lineære og geometriske.</w:t>
      </w:r>
      <w:r w:rsidR="00345071" w:rsidRPr="0055149C">
        <w:t xml:space="preserve"> </w:t>
      </w:r>
      <w:r w:rsidR="00C37912" w:rsidRPr="0055149C">
        <w:t xml:space="preserve">De beregnede avskrivningene </w:t>
      </w:r>
      <w:r w:rsidR="00CF0BCA" w:rsidRPr="0055149C">
        <w:t>viser</w:t>
      </w:r>
      <w:r w:rsidR="00166F95" w:rsidRPr="0055149C">
        <w:t xml:space="preserve"> seg å være</w:t>
      </w:r>
      <w:r w:rsidR="00C37912" w:rsidRPr="0055149C">
        <w:t xml:space="preserve"> sterkt korrelert med hverandre, men korrelasjonskoeffisienten med </w:t>
      </w:r>
      <w:r w:rsidR="008E7E43">
        <w:t>KOSTRA</w:t>
      </w:r>
      <w:r w:rsidR="00C37912" w:rsidRPr="0055149C">
        <w:t xml:space="preserve">-tallene for </w:t>
      </w:r>
      <w:r w:rsidR="00E5312B">
        <w:t>avskrivning</w:t>
      </w:r>
      <w:r w:rsidR="00C37912" w:rsidRPr="0055149C">
        <w:t xml:space="preserve">er </w:t>
      </w:r>
      <w:r w:rsidR="00166F95" w:rsidRPr="0055149C">
        <w:t>va</w:t>
      </w:r>
      <w:r w:rsidR="00C37912" w:rsidRPr="0055149C">
        <w:t xml:space="preserve">r nede i 0,55. </w:t>
      </w:r>
      <w:r w:rsidR="00166F95" w:rsidRPr="0055149C">
        <w:t>Forfatterne</w:t>
      </w:r>
      <w:r w:rsidR="00C37912" w:rsidRPr="0055149C">
        <w:t xml:space="preserve"> diskuter</w:t>
      </w:r>
      <w:r w:rsidR="00166F95" w:rsidRPr="0055149C">
        <w:t>e</w:t>
      </w:r>
      <w:r w:rsidR="00CF0BCA" w:rsidRPr="0055149C">
        <w:t>r</w:t>
      </w:r>
      <w:r w:rsidR="00C37912" w:rsidRPr="0055149C">
        <w:t xml:space="preserve"> også beregning av rentekostnader, men </w:t>
      </w:r>
      <w:r w:rsidR="00CF0BCA" w:rsidRPr="0055149C">
        <w:t>bruker</w:t>
      </w:r>
      <w:r w:rsidR="00C37912" w:rsidRPr="0055149C">
        <w:t xml:space="preserve"> ikke </w:t>
      </w:r>
      <w:r w:rsidR="00217F5F">
        <w:t>variabelen</w:t>
      </w:r>
      <w:r w:rsidR="00C37912" w:rsidRPr="0055149C">
        <w:t xml:space="preserve"> i analysen</w:t>
      </w:r>
      <w:r w:rsidR="00A9543E" w:rsidRPr="0055149C">
        <w:t>.</w:t>
      </w:r>
    </w:p>
    <w:p w14:paraId="122E0054" w14:textId="52201642" w:rsidR="00C305C3" w:rsidRPr="0055149C" w:rsidRDefault="00345071" w:rsidP="00C37912">
      <w:r w:rsidRPr="0055149C">
        <w:t xml:space="preserve">Kalvarskaia og Langørgen </w:t>
      </w:r>
      <w:r w:rsidR="00C37912" w:rsidRPr="0055149C">
        <w:t>sammenli</w:t>
      </w:r>
      <w:r w:rsidR="00373928" w:rsidRPr="0055149C">
        <w:t>k</w:t>
      </w:r>
      <w:r w:rsidR="00C37912" w:rsidRPr="0055149C">
        <w:t>ne</w:t>
      </w:r>
      <w:r w:rsidR="00CF0BCA" w:rsidRPr="0055149C">
        <w:t>r</w:t>
      </w:r>
      <w:r w:rsidR="00C37912" w:rsidRPr="0055149C">
        <w:t xml:space="preserve"> regresjonene av </w:t>
      </w:r>
      <w:r w:rsidR="008E7E43">
        <w:t>KOSTRA</w:t>
      </w:r>
      <w:r w:rsidR="00C37912" w:rsidRPr="0055149C">
        <w:t>-</w:t>
      </w:r>
      <w:r w:rsidR="00E5312B">
        <w:t>avskrivning</w:t>
      </w:r>
      <w:r w:rsidR="00C37912" w:rsidRPr="0055149C">
        <w:t xml:space="preserve">ene for skolebygg i Langørgen og Rønningen (2002) med regresjoner av beregnet kapitalslit basert på akkumulerte investeringer og lineær depresiering. Som i analysene av </w:t>
      </w:r>
      <w:r w:rsidR="008E7E43">
        <w:t>KOSTRA</w:t>
      </w:r>
      <w:r w:rsidR="00C37912" w:rsidRPr="0055149C">
        <w:t>-</w:t>
      </w:r>
      <w:r w:rsidR="00E5312B">
        <w:t>avskrivning</w:t>
      </w:r>
      <w:r w:rsidR="00C37912" w:rsidRPr="0055149C">
        <w:t xml:space="preserve">ene fra 2002, </w:t>
      </w:r>
      <w:r w:rsidR="00CF0BCA" w:rsidRPr="0055149C">
        <w:t>finner</w:t>
      </w:r>
      <w:r w:rsidR="00C37912" w:rsidRPr="0055149C">
        <w:t xml:space="preserve"> forfatterne signifikant positiv effekt av frie inntekter per innbygger, invers av folkemengde, spredtbygdhet, befolkningsendring og andelen av befolkningen 6</w:t>
      </w:r>
      <w:r w:rsidRPr="0055149C">
        <w:t xml:space="preserve"> til </w:t>
      </w:r>
      <w:r w:rsidR="00C37912" w:rsidRPr="0055149C">
        <w:t xml:space="preserve">15 år i regresjoner med beregnet kapitalslit som venstresidevariabel. </w:t>
      </w:r>
      <w:r w:rsidR="00CB10B5" w:rsidRPr="0055149C">
        <w:t>R</w:t>
      </w:r>
      <w:r w:rsidR="00C37912" w:rsidRPr="0055149C">
        <w:t xml:space="preserve">egresjonene på de beregnede </w:t>
      </w:r>
      <w:r w:rsidR="004C25D9" w:rsidRPr="0055149C">
        <w:t>avskrivnings</w:t>
      </w:r>
      <w:r w:rsidR="00977A24" w:rsidRPr="0055149C">
        <w:t xml:space="preserve">tallene </w:t>
      </w:r>
      <w:r w:rsidR="00C37912" w:rsidRPr="0055149C">
        <w:t>forklar</w:t>
      </w:r>
      <w:r w:rsidR="00CF0BCA" w:rsidRPr="0055149C">
        <w:t>er</w:t>
      </w:r>
      <w:r w:rsidR="00C37912" w:rsidRPr="0055149C">
        <w:t xml:space="preserve"> </w:t>
      </w:r>
      <w:r w:rsidR="00CB10B5" w:rsidRPr="0055149C">
        <w:t xml:space="preserve">riktignok </w:t>
      </w:r>
      <w:r w:rsidR="00C37912" w:rsidRPr="0055149C">
        <w:t xml:space="preserve">en lavere andel av variasjonen i tallene enn regresjonene på </w:t>
      </w:r>
      <w:r w:rsidR="00E5312B">
        <w:t>avskrivning</w:t>
      </w:r>
      <w:r w:rsidR="00C37912" w:rsidRPr="0055149C">
        <w:t>en</w:t>
      </w:r>
      <w:r w:rsidR="00CB10B5" w:rsidRPr="0055149C">
        <w:t>e</w:t>
      </w:r>
      <w:r w:rsidR="00C37912" w:rsidRPr="0055149C">
        <w:t xml:space="preserve"> i </w:t>
      </w:r>
      <w:r w:rsidR="008E7E43">
        <w:t>KOSTRA</w:t>
      </w:r>
      <w:r w:rsidR="00C37912" w:rsidRPr="0055149C">
        <w:t xml:space="preserve">, </w:t>
      </w:r>
      <w:r w:rsidR="00CB10B5" w:rsidRPr="0055149C">
        <w:t>nærmere bestemt</w:t>
      </w:r>
      <w:r w:rsidR="00C37912" w:rsidRPr="0055149C">
        <w:t xml:space="preserve"> 40 </w:t>
      </w:r>
      <w:r w:rsidRPr="0055149C">
        <w:t>prosent</w:t>
      </w:r>
      <w:r w:rsidR="00C37912" w:rsidRPr="0055149C">
        <w:t xml:space="preserve"> </w:t>
      </w:r>
      <w:r w:rsidR="00CB10B5" w:rsidRPr="0055149C">
        <w:t xml:space="preserve">sett opp </w:t>
      </w:r>
      <w:r w:rsidR="00C37912" w:rsidRPr="0055149C">
        <w:t>mot 52 p</w:t>
      </w:r>
      <w:r w:rsidR="00C26518" w:rsidRPr="0055149C">
        <w:t>rosent.</w:t>
      </w:r>
    </w:p>
    <w:p w14:paraId="294131E5" w14:textId="23562E47" w:rsidR="004B5877" w:rsidRDefault="00C37912" w:rsidP="004B5877">
      <w:r w:rsidRPr="0055149C">
        <w:t>Telemarksforsking har sett på kapitalkostnader i primærkommunene i t</w:t>
      </w:r>
      <w:r w:rsidR="004B5877">
        <w:t>re</w:t>
      </w:r>
      <w:r w:rsidRPr="0055149C">
        <w:t xml:space="preserve"> sammenhenger</w:t>
      </w:r>
      <w:r w:rsidR="004B5877">
        <w:t xml:space="preserve"> </w:t>
      </w:r>
      <w:r w:rsidR="00F67310">
        <w:t>(Aastvedt med flere 2006,</w:t>
      </w:r>
      <w:r w:rsidR="00F67310" w:rsidRPr="004B5877">
        <w:t xml:space="preserve"> </w:t>
      </w:r>
      <w:r w:rsidR="00F67310" w:rsidRPr="0055149C">
        <w:t>Håkonsen, Kallager og Lunder 2017</w:t>
      </w:r>
      <w:r w:rsidR="00F67310">
        <w:t xml:space="preserve"> og </w:t>
      </w:r>
      <w:r w:rsidR="00F67310" w:rsidRPr="0055149C">
        <w:t>Thorstensen, Lie og Lunder 2021</w:t>
      </w:r>
      <w:r w:rsidR="00F67310">
        <w:t>)</w:t>
      </w:r>
      <w:r w:rsidRPr="0055149C">
        <w:t>.</w:t>
      </w:r>
      <w:bookmarkStart w:id="31" w:name="_Hlk181616960"/>
      <w:r w:rsidR="004B5877">
        <w:t xml:space="preserve"> Aastvedt med flere (2006) påpeker at utviklingen i tomtepriser gir opphav til variasjoner i kommunenes brukerpriser på kapital. Forfatterne argumenterer for at det vil være noe kunstig å inkludere kalkulatoriske kostnader basert på kostnader kommunene ikke står overfor når det ikke er utsikter for å avhende tomter. De understreker at kostnadsvariasjonene knyttet til leie vil gi seg utslag i driftsutgiftene. I sine drøftelser av hvordan inkludering av kapitalkostnader i inntektssystemet vil påvirke storbykommunene, argumenterer forfatterne for at stordriftsfordeler i kapitalkostnadene og relativt høye tomtepriser i sentrale strøk vil trekke i motsatte retninger med uviss nettoeffekt.</w:t>
      </w:r>
    </w:p>
    <w:p w14:paraId="0A037728" w14:textId="77777777" w:rsidR="00594E7E" w:rsidRDefault="00594E7E" w:rsidP="00594E7E">
      <w:r>
        <w:t xml:space="preserve">Aastvedt med flere diskuterer videre mulighetene for adekvat måling av kapitalkostnadene knyttet til eiendom. Et alternativ er utleie av de kommunale eiendommene fra egne eiendomsforvaltningsenheter til kommunale tjenestefunksjoner. Forfatterne framhever insentivutfordringer knyttet til prisingen og avhengighet av velfungerende kontrollmekanismer som svakheter ved denne løsningen. Et annet alternativ er å innføre full periodisering av de </w:t>
      </w:r>
      <w:r>
        <w:lastRenderedPageBreak/>
        <w:t xml:space="preserve">kommunale regnskapene, slik at det ikke gis muligheter til </w:t>
      </w:r>
      <w:r w:rsidRPr="00911CEE">
        <w:t xml:space="preserve">å </w:t>
      </w:r>
      <w:r>
        <w:t xml:space="preserve">hente inn </w:t>
      </w:r>
      <w:r w:rsidRPr="00911CEE">
        <w:t xml:space="preserve">økte </w:t>
      </w:r>
      <w:r>
        <w:t>utgifter</w:t>
      </w:r>
      <w:r w:rsidRPr="00911CEE">
        <w:t xml:space="preserve"> i form av økte inntekter et annet sted i regnskapet</w:t>
      </w:r>
      <w:r>
        <w:t>. I dette tilfellet trekker forfatterne fram varierende tomteverdier mellom kommuner, hvilket uten gode kontrollmekanismer gir muligheter til å påvirke avskrivningsgrunnlaget ved fastsettelse av eiendommenes tomteandel med påfølgende resultateffekter.</w:t>
      </w:r>
    </w:p>
    <w:p w14:paraId="3AB4CFF3" w14:textId="60A495F9" w:rsidR="00166F95" w:rsidRDefault="00C37912" w:rsidP="00C37912">
      <w:pPr>
        <w:rPr>
          <w:lang w:eastAsia="nb-NO"/>
        </w:rPr>
      </w:pPr>
      <w:r w:rsidRPr="0055149C">
        <w:t>Håkonsen, Kal</w:t>
      </w:r>
      <w:r w:rsidR="00FA3ED9" w:rsidRPr="0055149C">
        <w:t>l</w:t>
      </w:r>
      <w:r w:rsidRPr="0055149C">
        <w:t xml:space="preserve">ager og Lunder (2017) </w:t>
      </w:r>
      <w:bookmarkEnd w:id="31"/>
      <w:r w:rsidRPr="0055149C">
        <w:t>undersøk</w:t>
      </w:r>
      <w:r w:rsidR="00CD61A7" w:rsidRPr="0055149C">
        <w:t>er</w:t>
      </w:r>
      <w:r w:rsidRPr="0055149C">
        <w:t xml:space="preserve"> bl</w:t>
      </w:r>
      <w:r w:rsidR="001C06E9" w:rsidRPr="0055149C">
        <w:t xml:space="preserve">ant annet </w:t>
      </w:r>
      <w:r w:rsidRPr="0055149C">
        <w:t xml:space="preserve">i hvilken grad kapitalkostnader, definert som summen av kapitalslit og rentekostnad, påvirkes av befolkningsendringer. </w:t>
      </w:r>
      <w:r w:rsidR="0060386C">
        <w:rPr>
          <w:lang w:eastAsia="nb-NO"/>
        </w:rPr>
        <w:t xml:space="preserve">Begrunnet i KOSTRAs rapportering av </w:t>
      </w:r>
      <w:r w:rsidR="0060386C" w:rsidRPr="00F24A7E">
        <w:rPr>
          <w:lang w:eastAsia="nb-NO"/>
        </w:rPr>
        <w:t>grunnerverv</w:t>
      </w:r>
      <w:r w:rsidR="0060386C">
        <w:rPr>
          <w:lang w:eastAsia="nb-NO"/>
        </w:rPr>
        <w:t xml:space="preserve"> for eiendommer forutsetter forfatterne en svært lav tomteandel på kun tre prosent av investeringene, som ikke tar høyde for geografiske forskjeller. Deretter holder de andelen som de anslår som tomter utenfor beregningene.</w:t>
      </w:r>
      <w:r w:rsidR="00B42CC2">
        <w:rPr>
          <w:lang w:eastAsia="nb-NO"/>
        </w:rPr>
        <w:t xml:space="preserve"> </w:t>
      </w:r>
      <w:r w:rsidR="00166F95" w:rsidRPr="0055149C">
        <w:t>Flere alternative</w:t>
      </w:r>
      <w:r w:rsidRPr="0055149C">
        <w:t xml:space="preserve"> mål for kapitalkostnader bl</w:t>
      </w:r>
      <w:r w:rsidR="00CD61A7" w:rsidRPr="0055149C">
        <w:t>ir</w:t>
      </w:r>
      <w:r w:rsidRPr="0055149C">
        <w:t xml:space="preserve"> brukt</w:t>
      </w:r>
      <w:r w:rsidR="00166F95" w:rsidRPr="0055149C">
        <w:t>, herunder</w:t>
      </w:r>
      <w:r w:rsidRPr="0055149C">
        <w:t xml:space="preserve"> </w:t>
      </w:r>
      <w:r w:rsidR="00E5312B">
        <w:t>avskrivning</w:t>
      </w:r>
      <w:r w:rsidRPr="0055149C">
        <w:t xml:space="preserve">er fra </w:t>
      </w:r>
      <w:r w:rsidR="008E7E43">
        <w:t>KOSTRA</w:t>
      </w:r>
      <w:r w:rsidRPr="0055149C">
        <w:t xml:space="preserve">, beregnede </w:t>
      </w:r>
      <w:r w:rsidR="00E5312B">
        <w:t>avskrivning</w:t>
      </w:r>
      <w:r w:rsidRPr="0055149C">
        <w:t>er basert på bruttoanskaffelseskostnader og</w:t>
      </w:r>
      <w:r w:rsidR="00166F95" w:rsidRPr="0055149C">
        <w:t xml:space="preserve"> </w:t>
      </w:r>
      <w:r w:rsidRPr="0055149C">
        <w:t xml:space="preserve">nettogjenanskaffelseskostnader, </w:t>
      </w:r>
      <w:r w:rsidR="00CD61A7" w:rsidRPr="0055149C">
        <w:t>samt</w:t>
      </w:r>
      <w:r w:rsidRPr="0055149C">
        <w:t xml:space="preserve"> sum</w:t>
      </w:r>
      <w:r w:rsidR="003C2A4B">
        <w:t>men av</w:t>
      </w:r>
      <w:r w:rsidRPr="0055149C">
        <w:t xml:space="preserve"> </w:t>
      </w:r>
      <w:r w:rsidR="00E5312B">
        <w:t>avskrivning</w:t>
      </w:r>
      <w:r w:rsidRPr="0055149C">
        <w:t>er og rentetap når kapital</w:t>
      </w:r>
      <w:r w:rsidR="000C6BBE">
        <w:t>en</w:t>
      </w:r>
      <w:r w:rsidRPr="0055149C">
        <w:t xml:space="preserve"> beregnes ut fra nettogjenanskaffelseskostnad. </w:t>
      </w:r>
      <w:r w:rsidR="00F20F4F" w:rsidRPr="0055149C">
        <w:rPr>
          <w:lang w:eastAsia="nb-NO"/>
        </w:rPr>
        <w:t xml:space="preserve">Det opplyses om at det kan diskuteres hva som er korrekt risikojustert rente for kommunale </w:t>
      </w:r>
      <w:r w:rsidR="000C6BBE">
        <w:rPr>
          <w:lang w:eastAsia="nb-NO"/>
        </w:rPr>
        <w:t>brutto</w:t>
      </w:r>
      <w:r w:rsidR="00F20F4F" w:rsidRPr="0055149C">
        <w:rPr>
          <w:lang w:eastAsia="nb-NO"/>
        </w:rPr>
        <w:t>investeringer, men at selvkostrenten benyttes i disse beregningene.</w:t>
      </w:r>
    </w:p>
    <w:p w14:paraId="17DC8C49" w14:textId="3798EB85" w:rsidR="00C37912" w:rsidRPr="0055149C" w:rsidRDefault="007C514A" w:rsidP="00C37912">
      <w:pPr>
        <w:rPr>
          <w:lang w:eastAsia="nb-NO"/>
        </w:rPr>
      </w:pPr>
      <w:r w:rsidRPr="00DD179F">
        <w:rPr>
          <w:color w:val="auto"/>
        </w:rPr>
        <w:t>Håkonsen</w:t>
      </w:r>
      <w:r>
        <w:rPr>
          <w:lang w:eastAsia="nb-NO"/>
        </w:rPr>
        <w:t xml:space="preserve">, </w:t>
      </w:r>
      <w:r w:rsidR="00CD61A7" w:rsidRPr="0055149C">
        <w:rPr>
          <w:lang w:eastAsia="nb-NO"/>
        </w:rPr>
        <w:t>Kallager og Lunder (2017) motiverer</w:t>
      </w:r>
      <w:r w:rsidR="00CD61A7" w:rsidRPr="0055149C">
        <w:t xml:space="preserve"> beregningen av de alternative målene ved å påpeke</w:t>
      </w:r>
      <w:r w:rsidR="00CD61A7" w:rsidRPr="0055149C">
        <w:rPr>
          <w:lang w:eastAsia="nb-NO"/>
        </w:rPr>
        <w:t xml:space="preserve"> f</w:t>
      </w:r>
      <w:r w:rsidR="00166F95" w:rsidRPr="0055149C">
        <w:rPr>
          <w:lang w:eastAsia="nb-NO"/>
        </w:rPr>
        <w:t xml:space="preserve">lere </w:t>
      </w:r>
      <w:r w:rsidR="00C37912" w:rsidRPr="0055149C">
        <w:t xml:space="preserve">svakheter ved </w:t>
      </w:r>
      <w:r w:rsidR="008E7E43">
        <w:t>KOSTRA</w:t>
      </w:r>
      <w:r w:rsidR="00C37912" w:rsidRPr="0055149C">
        <w:t>-tallene</w:t>
      </w:r>
      <w:r w:rsidR="00166F95" w:rsidRPr="0055149C">
        <w:t>. En svakhet er at</w:t>
      </w:r>
      <w:r w:rsidR="00C37912" w:rsidRPr="0055149C">
        <w:t xml:space="preserve"> </w:t>
      </w:r>
      <w:r w:rsidR="008E7E43">
        <w:t>KOSTRA</w:t>
      </w:r>
      <w:r w:rsidR="00C37912" w:rsidRPr="0055149C">
        <w:t xml:space="preserve">-tallene </w:t>
      </w:r>
      <w:r w:rsidR="001553DE">
        <w:t xml:space="preserve">er </w:t>
      </w:r>
      <w:r w:rsidR="00C37912" w:rsidRPr="0055149C">
        <w:t>basert på historisk anskaffelsespris</w:t>
      </w:r>
      <w:r w:rsidR="00166F95" w:rsidRPr="0055149C">
        <w:t xml:space="preserve">. </w:t>
      </w:r>
      <w:r w:rsidR="00E97B67">
        <w:t>Disse tallene</w:t>
      </w:r>
      <w:r w:rsidR="00C37912" w:rsidRPr="0055149C">
        <w:t xml:space="preserve"> </w:t>
      </w:r>
      <w:r w:rsidR="00CD61A7" w:rsidRPr="0055149C">
        <w:t>beregnes</w:t>
      </w:r>
      <w:r w:rsidR="00C37912" w:rsidRPr="0055149C">
        <w:t xml:space="preserve"> </w:t>
      </w:r>
      <w:r w:rsidR="0044165A">
        <w:t xml:space="preserve">også </w:t>
      </w:r>
      <w:r w:rsidR="00E97B67">
        <w:t xml:space="preserve">i </w:t>
      </w:r>
      <w:r w:rsidR="00C37912" w:rsidRPr="0055149C">
        <w:t>brutto</w:t>
      </w:r>
      <w:r w:rsidR="00E97B67">
        <w:t>terner</w:t>
      </w:r>
      <w:r w:rsidR="00C37912" w:rsidRPr="0055149C">
        <w:t xml:space="preserve">, </w:t>
      </w:r>
      <w:r w:rsidR="00CD61A7" w:rsidRPr="0055149C">
        <w:t xml:space="preserve">hvilket innebærer </w:t>
      </w:r>
      <w:r w:rsidR="00C37912" w:rsidRPr="0055149C">
        <w:t>at investeringstilskudd, brukerfinansiering og andre inntekter ikke trekkes fra</w:t>
      </w:r>
      <w:r w:rsidR="00166F95" w:rsidRPr="0055149C">
        <w:t>. Videre kommer</w:t>
      </w:r>
      <w:r w:rsidR="00C37912" w:rsidRPr="0055149C">
        <w:t xml:space="preserve"> nedskriving av kapital ikke til syne i regnskapet på annen måte enn at den tilhørende </w:t>
      </w:r>
      <w:r w:rsidR="00E5312B">
        <w:t>avskrivning</w:t>
      </w:r>
      <w:r w:rsidR="00C37912" w:rsidRPr="0055149C">
        <w:t xml:space="preserve">en forsvinner. Det andre momentet trekker i retning av at </w:t>
      </w:r>
      <w:r w:rsidR="008E7E43">
        <w:t>KOSTRA</w:t>
      </w:r>
      <w:r w:rsidR="00C37912" w:rsidRPr="0055149C">
        <w:t xml:space="preserve">-tallene overvurderer kapitalslitet, mens det første og tredje momentet trekker i retning av undervurdering. </w:t>
      </w:r>
      <w:r w:rsidR="00771548" w:rsidRPr="0055149C">
        <w:t>Forfatterne</w:t>
      </w:r>
      <w:r w:rsidR="00C37912" w:rsidRPr="0055149C">
        <w:t xml:space="preserve"> argumenter</w:t>
      </w:r>
      <w:r w:rsidR="00771548" w:rsidRPr="0055149C">
        <w:t>e</w:t>
      </w:r>
      <w:r w:rsidR="00CD61A7" w:rsidRPr="0055149C">
        <w:t>r</w:t>
      </w:r>
      <w:r w:rsidR="00C37912" w:rsidRPr="0055149C">
        <w:t xml:space="preserve"> for at nettoresultatet trolig er en undervurdering.</w:t>
      </w:r>
    </w:p>
    <w:p w14:paraId="02FE997A" w14:textId="76D74588" w:rsidR="00C37912" w:rsidRPr="0055149C" w:rsidRDefault="007C514A" w:rsidP="00C37912">
      <w:r w:rsidRPr="00DD179F">
        <w:rPr>
          <w:color w:val="auto"/>
        </w:rPr>
        <w:t>Håkonsen</w:t>
      </w:r>
      <w:r>
        <w:t xml:space="preserve">, </w:t>
      </w:r>
      <w:r w:rsidR="00E3483B">
        <w:t>Kallager</w:t>
      </w:r>
      <w:r w:rsidR="00771548" w:rsidRPr="0055149C">
        <w:t xml:space="preserve"> og Lunder</w:t>
      </w:r>
      <w:r w:rsidR="00C37912" w:rsidRPr="0055149C">
        <w:t xml:space="preserve"> beregne</w:t>
      </w:r>
      <w:r w:rsidR="00CD61A7" w:rsidRPr="0055149C">
        <w:t>r</w:t>
      </w:r>
      <w:r w:rsidR="00C37912" w:rsidRPr="0055149C">
        <w:t xml:space="preserve"> </w:t>
      </w:r>
      <w:r w:rsidR="00E5312B">
        <w:t>avskrivning</w:t>
      </w:r>
      <w:r w:rsidR="00C37912" w:rsidRPr="0055149C">
        <w:t xml:space="preserve">er og kapitalkostnader for </w:t>
      </w:r>
      <w:r w:rsidR="00EB3FC5" w:rsidRPr="0055149C">
        <w:t>sju</w:t>
      </w:r>
      <w:r w:rsidR="00C37912" w:rsidRPr="0055149C">
        <w:t xml:space="preserve"> </w:t>
      </w:r>
      <w:r w:rsidR="001D5A96">
        <w:t>tjeneste</w:t>
      </w:r>
      <w:r w:rsidR="00EB3FC5" w:rsidRPr="0055149C">
        <w:t>funksjoner</w:t>
      </w:r>
      <w:r w:rsidR="00C37912" w:rsidRPr="0055149C">
        <w:t xml:space="preserve"> i utgiftsutjevningen med utgangspunkt i prisomregnede investeringstall</w:t>
      </w:r>
      <w:r w:rsidR="008C37AB" w:rsidRPr="0055149C">
        <w:t xml:space="preserve">. De </w:t>
      </w:r>
      <w:r w:rsidR="00CD61A7" w:rsidRPr="0055149C">
        <w:t>antar</w:t>
      </w:r>
      <w:r w:rsidR="00C37912" w:rsidRPr="0055149C">
        <w:t xml:space="preserve"> lineære </w:t>
      </w:r>
      <w:r w:rsidR="00E5312B">
        <w:t>avskrivning</w:t>
      </w:r>
      <w:r w:rsidR="00C37912" w:rsidRPr="0055149C">
        <w:t xml:space="preserve">er og at </w:t>
      </w:r>
      <w:r w:rsidR="008C37AB" w:rsidRPr="0055149C">
        <w:t>den femårige</w:t>
      </w:r>
      <w:r w:rsidR="00C37912" w:rsidRPr="0055149C">
        <w:t xml:space="preserve"> swap</w:t>
      </w:r>
      <w:r w:rsidR="00A63BE0">
        <w:t>-</w:t>
      </w:r>
      <w:r w:rsidR="00A11E72">
        <w:t>renten</w:t>
      </w:r>
      <w:r w:rsidR="00C37912" w:rsidRPr="0055149C">
        <w:t xml:space="preserve"> </w:t>
      </w:r>
      <w:r w:rsidR="00967F48" w:rsidRPr="0055149C">
        <w:t>– også kjent som den femårige nullkupong</w:t>
      </w:r>
      <w:r w:rsidR="00A11E72">
        <w:t>renten</w:t>
      </w:r>
      <w:r w:rsidR="00967F48" w:rsidRPr="0055149C">
        <w:t xml:space="preserve"> </w:t>
      </w:r>
      <w:r w:rsidR="006E6618">
        <w:t xml:space="preserve">(se seksjon </w:t>
      </w:r>
      <w:r w:rsidR="006E6618">
        <w:fldChar w:fldCharType="begin"/>
      </w:r>
      <w:r w:rsidR="006E6618">
        <w:instrText xml:space="preserve"> REF _Ref167350652 \r \h </w:instrText>
      </w:r>
      <w:r w:rsidR="006E6618">
        <w:fldChar w:fldCharType="separate"/>
      </w:r>
      <w:r w:rsidR="009B1DA8">
        <w:t>2.2.3</w:t>
      </w:r>
      <w:r w:rsidR="006E6618">
        <w:fldChar w:fldCharType="end"/>
      </w:r>
      <w:r w:rsidR="006E6618">
        <w:t xml:space="preserve">) </w:t>
      </w:r>
      <w:r w:rsidR="00967F48" w:rsidRPr="0055149C">
        <w:t xml:space="preserve">– </w:t>
      </w:r>
      <w:r w:rsidR="00C37912" w:rsidRPr="0055149C">
        <w:t xml:space="preserve">fanger opp alternativkostnaden ved å binde opp kapital. For fire av </w:t>
      </w:r>
      <w:r w:rsidR="00EB3FC5" w:rsidRPr="0055149C">
        <w:t>tjenestefunksjonene</w:t>
      </w:r>
      <w:r w:rsidR="00CD61A7" w:rsidRPr="0055149C">
        <w:t xml:space="preserve"> –</w:t>
      </w:r>
      <w:r w:rsidR="00C37912" w:rsidRPr="0055149C">
        <w:t xml:space="preserve"> </w:t>
      </w:r>
      <w:r w:rsidR="00CD61A7" w:rsidRPr="0055149C">
        <w:t xml:space="preserve">nærmere bestemt </w:t>
      </w:r>
      <w:r w:rsidR="00C37912" w:rsidRPr="0055149C">
        <w:t>administrasjon, skole, barnehage</w:t>
      </w:r>
      <w:r w:rsidR="00336157">
        <w:t>,</w:t>
      </w:r>
      <w:r w:rsidR="00C37912" w:rsidRPr="0055149C">
        <w:t xml:space="preserve"> og helse og </w:t>
      </w:r>
      <w:r w:rsidR="00CD61A7" w:rsidRPr="0055149C">
        <w:t xml:space="preserve">omsorg – </w:t>
      </w:r>
      <w:r w:rsidR="00C37912" w:rsidRPr="0055149C">
        <w:t>bl</w:t>
      </w:r>
      <w:r w:rsidR="00CD61A7" w:rsidRPr="0055149C">
        <w:t>ir</w:t>
      </w:r>
      <w:r w:rsidR="00C37912" w:rsidRPr="0055149C">
        <w:t xml:space="preserve"> det gjennomført to sett av regresjoner</w:t>
      </w:r>
      <w:r w:rsidR="00CD61A7" w:rsidRPr="0055149C">
        <w:t>,</w:t>
      </w:r>
      <w:r w:rsidR="00C37912" w:rsidRPr="0055149C">
        <w:t xml:space="preserve"> som også belyser betydningen av å inkludere kapitalkostnader i utgiftsutjevningen. </w:t>
      </w:r>
    </w:p>
    <w:p w14:paraId="7C527F56" w14:textId="7716100D" w:rsidR="00C37912" w:rsidRPr="0055149C" w:rsidRDefault="00C37912" w:rsidP="00C37912">
      <w:r w:rsidRPr="0055149C">
        <w:t xml:space="preserve">I det første settet </w:t>
      </w:r>
      <w:r w:rsidR="002A4959">
        <w:t>av regresjoner</w:t>
      </w:r>
      <w:r w:rsidR="004074E0">
        <w:t xml:space="preserve"> </w:t>
      </w:r>
      <w:r w:rsidRPr="0055149C">
        <w:t>undersøke</w:t>
      </w:r>
      <w:r w:rsidR="004074E0">
        <w:t>r forfatterne</w:t>
      </w:r>
      <w:r w:rsidRPr="0055149C">
        <w:t xml:space="preserve"> i hvilken grad de ulike målene for kapitalkostnader forklares av de daværende variablene i utgiftsutjevningen supplert med en indikator for befolkningsvekst. Et fellesbilde for alle </w:t>
      </w:r>
      <w:r w:rsidR="00EB3FC5" w:rsidRPr="0055149C">
        <w:t>tjenestefunksjonene</w:t>
      </w:r>
      <w:r w:rsidRPr="0055149C">
        <w:t xml:space="preserve"> </w:t>
      </w:r>
      <w:r w:rsidR="00CD61A7" w:rsidRPr="0055149C">
        <w:t>er</w:t>
      </w:r>
      <w:r w:rsidRPr="0055149C">
        <w:t xml:space="preserve"> at forklaringskraften til regresjonene </w:t>
      </w:r>
      <w:r w:rsidR="00CD61A7" w:rsidRPr="0055149C">
        <w:t>øker</w:t>
      </w:r>
      <w:r w:rsidRPr="0055149C">
        <w:t xml:space="preserve"> når en går fra </w:t>
      </w:r>
      <w:r w:rsidR="008E7E43">
        <w:t>KOSTRA</w:t>
      </w:r>
      <w:r w:rsidRPr="0055149C">
        <w:t>-</w:t>
      </w:r>
      <w:r w:rsidR="00E5312B">
        <w:t>avskrivning</w:t>
      </w:r>
      <w:r w:rsidRPr="0055149C">
        <w:t xml:space="preserve">ene som venstresidevariabel via beregnede </w:t>
      </w:r>
      <w:r w:rsidR="00E5312B">
        <w:t>avskrivning</w:t>
      </w:r>
      <w:r w:rsidRPr="0055149C">
        <w:t>er verdsatt ved bruttoanskaffelseskostnade</w:t>
      </w:r>
      <w:r w:rsidR="000D2F75" w:rsidRPr="0055149C">
        <w:t>r</w:t>
      </w:r>
      <w:r w:rsidRPr="0055149C">
        <w:t xml:space="preserve"> til beregnede </w:t>
      </w:r>
      <w:r w:rsidR="00E5312B">
        <w:t>avskrivning</w:t>
      </w:r>
      <w:r w:rsidRPr="0055149C">
        <w:t xml:space="preserve">er verdsatt ved nettogjenanskaffelseskostnad. Å legge rentekostnadene til det siste anslaget for </w:t>
      </w:r>
      <w:r w:rsidR="00E5312B">
        <w:t>avskrivning</w:t>
      </w:r>
      <w:r w:rsidRPr="0055149C">
        <w:t xml:space="preserve">er </w:t>
      </w:r>
      <w:r w:rsidR="00CD61A7" w:rsidRPr="0055149C">
        <w:t>betyr</w:t>
      </w:r>
      <w:r w:rsidRPr="0055149C">
        <w:t xml:space="preserve"> derimot nesten ingenting. Det fr</w:t>
      </w:r>
      <w:r w:rsidR="00EA6503">
        <w:t>a</w:t>
      </w:r>
      <w:r w:rsidRPr="0055149C">
        <w:t>mg</w:t>
      </w:r>
      <w:r w:rsidR="00CD61A7" w:rsidRPr="0055149C">
        <w:t>år</w:t>
      </w:r>
      <w:r w:rsidRPr="0055149C">
        <w:t xml:space="preserve"> også </w:t>
      </w:r>
      <w:r w:rsidR="008C37AB" w:rsidRPr="0055149C">
        <w:t xml:space="preserve">av studien </w:t>
      </w:r>
      <w:r w:rsidRPr="0055149C">
        <w:t>at forklaringskraften i regresjonene er klart lavere enn i regresjone</w:t>
      </w:r>
      <w:r w:rsidR="00C8030C">
        <w:t>r</w:t>
      </w:r>
      <w:r w:rsidR="009F573D">
        <w:t>,</w:t>
      </w:r>
      <w:r w:rsidRPr="0055149C">
        <w:t xml:space="preserve"> der de samme høyresidevariablene brukes til å forklare driftsutgiftene. Å inkludere relativ befolkningsvekst som ny forklaringsvariabel endre</w:t>
      </w:r>
      <w:r w:rsidR="00CD61A7" w:rsidRPr="0055149C">
        <w:t>r</w:t>
      </w:r>
      <w:r w:rsidRPr="0055149C">
        <w:t xml:space="preserve"> ikke nevneverdig på dette bildet.</w:t>
      </w:r>
    </w:p>
    <w:p w14:paraId="0DAC8F87" w14:textId="379A13B4" w:rsidR="00C37912" w:rsidRPr="0055149C" w:rsidRDefault="00395922" w:rsidP="00C37912">
      <w:r w:rsidRPr="00395922">
        <w:t>I det andre settet av regresjoner undersøker Håkonsen, Kallager og Lunder om samvariasjonen mellom de ulike forklaringsvariablene i utgiftsutjevningen og utfallsvariablene endres når kapitalkostnadene legges til driftsutgiftene.</w:t>
      </w:r>
      <w:r>
        <w:t xml:space="preserve"> </w:t>
      </w:r>
      <w:r w:rsidR="00A63BE0" w:rsidRPr="0055149C">
        <w:t>Resultatene</w:t>
      </w:r>
      <w:r w:rsidR="00CD61A7" w:rsidRPr="0055149C">
        <w:t xml:space="preserve"> tyder på at</w:t>
      </w:r>
      <w:r w:rsidR="00C37912" w:rsidRPr="0055149C">
        <w:t xml:space="preserve"> </w:t>
      </w:r>
      <w:r w:rsidR="0044165A">
        <w:t xml:space="preserve">betydningen av </w:t>
      </w:r>
      <w:r w:rsidR="00C37912" w:rsidRPr="0055149C">
        <w:t xml:space="preserve">de ulike </w:t>
      </w:r>
      <w:r w:rsidR="00C37912" w:rsidRPr="0055149C">
        <w:lastRenderedPageBreak/>
        <w:t xml:space="preserve">kriterievariablene i utgiftsutjevningen i noen grad </w:t>
      </w:r>
      <w:r w:rsidR="00CD61A7" w:rsidRPr="0055149C">
        <w:t xml:space="preserve">blir </w:t>
      </w:r>
      <w:r w:rsidR="008C37AB" w:rsidRPr="0055149C">
        <w:t xml:space="preserve">påvirket </w:t>
      </w:r>
      <w:r w:rsidR="00C37912" w:rsidRPr="0055149C">
        <w:t xml:space="preserve">av dette, men utslagene er ifølge </w:t>
      </w:r>
      <w:r>
        <w:t>forfatterne</w:t>
      </w:r>
      <w:r w:rsidR="00C37912" w:rsidRPr="0055149C">
        <w:t xml:space="preserve"> «</w:t>
      </w:r>
      <w:r w:rsidR="008C37AB" w:rsidRPr="0055149C">
        <w:rPr>
          <w:i/>
          <w:iCs/>
        </w:rPr>
        <w:t xml:space="preserve">… </w:t>
      </w:r>
      <w:r w:rsidR="00C37912" w:rsidRPr="0055149C">
        <w:rPr>
          <w:i/>
          <w:iCs/>
        </w:rPr>
        <w:t xml:space="preserve">ikke større enn variasjonen i estimater som </w:t>
      </w:r>
      <w:r w:rsidR="009D3FAE" w:rsidRPr="0055149C">
        <w:rPr>
          <w:i/>
          <w:iCs/>
        </w:rPr>
        <w:t>Kommunal- og moderniseringsdepartementet</w:t>
      </w:r>
      <w:r w:rsidR="00C37912" w:rsidRPr="0055149C">
        <w:rPr>
          <w:i/>
          <w:iCs/>
        </w:rPr>
        <w:t xml:space="preserve"> vanligvis må forholde seg til når de fastsetter kriterievekter</w:t>
      </w:r>
      <w:r w:rsidR="00C37912" w:rsidRPr="0055149C">
        <w:t>»</w:t>
      </w:r>
      <w:r>
        <w:t xml:space="preserve"> (side 73, </w:t>
      </w:r>
      <w:r w:rsidRPr="00395922">
        <w:t>Håkonsen, Kallager og Lunder</w:t>
      </w:r>
      <w:r>
        <w:t xml:space="preserve"> 2017).</w:t>
      </w:r>
      <w:r w:rsidR="00C37912" w:rsidRPr="0055149C">
        <w:t xml:space="preserve"> </w:t>
      </w:r>
      <w:r w:rsidR="008C37AB" w:rsidRPr="0055149C">
        <w:t>Forskerne konkludere</w:t>
      </w:r>
      <w:r w:rsidR="00CD61A7" w:rsidRPr="0055149C">
        <w:t>r</w:t>
      </w:r>
      <w:r w:rsidR="00C37912" w:rsidRPr="0055149C">
        <w:t xml:space="preserve"> med at en inkludering av kapitalkostnader dermed ikke vil gi omfattende endringer i inntektsfordelingen.</w:t>
      </w:r>
      <w:r w:rsidR="008C37AB" w:rsidRPr="0055149C">
        <w:t xml:space="preserve"> </w:t>
      </w:r>
      <w:r w:rsidR="00C37912" w:rsidRPr="0055149C">
        <w:t xml:space="preserve">Den siste vurderingen </w:t>
      </w:r>
      <w:r w:rsidR="00CD61A7" w:rsidRPr="0055149C">
        <w:t>illustreres</w:t>
      </w:r>
      <w:r w:rsidR="008C37AB" w:rsidRPr="0055149C">
        <w:t xml:space="preserve"> også </w:t>
      </w:r>
      <w:r w:rsidR="00C37912" w:rsidRPr="0055149C">
        <w:t xml:space="preserve">ved å vise plott av </w:t>
      </w:r>
      <w:r w:rsidR="0022498A" w:rsidRPr="0055149C">
        <w:t xml:space="preserve">bruttodriftsutgifter </w:t>
      </w:r>
      <w:r w:rsidR="00C37912" w:rsidRPr="0055149C">
        <w:t xml:space="preserve">og beregnede kapitalkostnader mot indeks for beregnet utgiftsbehov over kommunene for de fire </w:t>
      </w:r>
      <w:r w:rsidR="00EB3FC5" w:rsidRPr="0055149C">
        <w:t>tjenestefunksjonene</w:t>
      </w:r>
      <w:r w:rsidR="00C37912" w:rsidRPr="0055149C">
        <w:t xml:space="preserve">. Plottene </w:t>
      </w:r>
      <w:r w:rsidR="00CD61A7" w:rsidRPr="0055149C">
        <w:t>gir</w:t>
      </w:r>
      <w:r w:rsidR="00C37912" w:rsidRPr="0055149C">
        <w:t xml:space="preserve"> inntrykk av at kapitalkostnadene har lav korrelasjon med indeks for beregnet utgiftsbehov, </w:t>
      </w:r>
      <w:r w:rsidR="00A63BE0" w:rsidRPr="0055149C">
        <w:t>riktignok</w:t>
      </w:r>
      <w:r w:rsidR="00CD61A7" w:rsidRPr="0055149C">
        <w:t xml:space="preserve"> uten at</w:t>
      </w:r>
      <w:r w:rsidR="00C37912" w:rsidRPr="0055149C">
        <w:t xml:space="preserve"> korrelasjonskoeffisientene </w:t>
      </w:r>
      <w:r w:rsidR="00CD61A7" w:rsidRPr="0055149C">
        <w:t>oppgis</w:t>
      </w:r>
      <w:r w:rsidR="00C37912" w:rsidRPr="0055149C">
        <w:t>.</w:t>
      </w:r>
    </w:p>
    <w:p w14:paraId="53D4D5C8" w14:textId="76F110C8" w:rsidR="008B0896" w:rsidRPr="0055149C" w:rsidRDefault="00C37912" w:rsidP="00CD61A7">
      <w:pPr>
        <w:rPr>
          <w:lang w:eastAsia="nb-NO"/>
        </w:rPr>
      </w:pPr>
      <w:r w:rsidRPr="0055149C">
        <w:t xml:space="preserve">I den andre rapporten fra Telemarksforsking, Thorstensen, Lie og Lunder (2021) </w:t>
      </w:r>
      <w:r w:rsidR="00CD61A7" w:rsidRPr="0055149C">
        <w:t>er</w:t>
      </w:r>
      <w:r w:rsidRPr="0055149C">
        <w:t xml:space="preserve"> problemstillingen «</w:t>
      </w:r>
      <w:r w:rsidR="008C37AB" w:rsidRPr="0055149C">
        <w:rPr>
          <w:i/>
          <w:iCs/>
        </w:rPr>
        <w:t xml:space="preserve">… </w:t>
      </w:r>
      <w:r w:rsidRPr="0055149C">
        <w:rPr>
          <w:i/>
          <w:iCs/>
        </w:rPr>
        <w:t xml:space="preserve">om </w:t>
      </w:r>
      <w:r w:rsidR="00E5312B">
        <w:rPr>
          <w:i/>
          <w:iCs/>
        </w:rPr>
        <w:t>avskrivning</w:t>
      </w:r>
      <w:r w:rsidRPr="0055149C">
        <w:rPr>
          <w:i/>
          <w:iCs/>
        </w:rPr>
        <w:t xml:space="preserve">ene i </w:t>
      </w:r>
      <w:r w:rsidR="008E7E43">
        <w:rPr>
          <w:i/>
          <w:iCs/>
        </w:rPr>
        <w:t>KOSTRA</w:t>
      </w:r>
      <w:r w:rsidRPr="0055149C">
        <w:rPr>
          <w:i/>
          <w:iCs/>
        </w:rPr>
        <w:t xml:space="preserve"> gir et godt anslag på kommunenes kapitalkostnader, slik at disse kan benyttes i beregningsgrunnlaget for inntektssystemet</w:t>
      </w:r>
      <w:r w:rsidRPr="0055149C">
        <w:t>»</w:t>
      </w:r>
      <w:r w:rsidR="009F6014">
        <w:t xml:space="preserve"> (se side 2, 3, 6 eller 8 i </w:t>
      </w:r>
      <w:r w:rsidR="009F6014" w:rsidRPr="0055149C">
        <w:t>Thorstensen, Lie og Lunder 2021</w:t>
      </w:r>
      <w:r w:rsidR="009F6014">
        <w:t>).</w:t>
      </w:r>
      <w:r w:rsidRPr="0055149C">
        <w:t xml:space="preserve"> </w:t>
      </w:r>
      <w:r w:rsidR="008B0896" w:rsidRPr="0055149C">
        <w:rPr>
          <w:lang w:eastAsia="nb-NO"/>
        </w:rPr>
        <w:t>I s</w:t>
      </w:r>
      <w:r w:rsidR="004D174F" w:rsidRPr="0055149C">
        <w:rPr>
          <w:lang w:eastAsia="nb-NO"/>
        </w:rPr>
        <w:t>in rapport</w:t>
      </w:r>
      <w:r w:rsidR="008B0896" w:rsidRPr="0055149C">
        <w:rPr>
          <w:lang w:eastAsia="nb-NO"/>
        </w:rPr>
        <w:t xml:space="preserve"> </w:t>
      </w:r>
      <w:r w:rsidR="00CD61A7" w:rsidRPr="0055149C">
        <w:rPr>
          <w:lang w:eastAsia="nb-NO"/>
        </w:rPr>
        <w:t>tar</w:t>
      </w:r>
      <w:r w:rsidR="008B0896" w:rsidRPr="0055149C">
        <w:rPr>
          <w:lang w:eastAsia="nb-NO"/>
        </w:rPr>
        <w:t xml:space="preserve"> </w:t>
      </w:r>
      <w:r w:rsidR="00E4743E" w:rsidRPr="0055149C">
        <w:rPr>
          <w:lang w:eastAsia="nb-NO"/>
        </w:rPr>
        <w:t>forfatterne</w:t>
      </w:r>
      <w:r w:rsidR="008B0896" w:rsidRPr="0055149C">
        <w:rPr>
          <w:lang w:eastAsia="nb-NO"/>
        </w:rPr>
        <w:t xml:space="preserve"> utgangspunkt i retningslinjene for beregning av selvkost</w:t>
      </w:r>
      <w:r w:rsidR="00CD61A7" w:rsidRPr="0055149C">
        <w:t xml:space="preserve"> (</w:t>
      </w:r>
      <w:r w:rsidR="00CD61A7" w:rsidRPr="0055149C">
        <w:rPr>
          <w:lang w:eastAsia="nb-NO"/>
        </w:rPr>
        <w:t>Kommunal- og moderniseringsdepartementet, BDO og Telemark</w:t>
      </w:r>
      <w:r w:rsidR="00221C03">
        <w:rPr>
          <w:lang w:eastAsia="nb-NO"/>
        </w:rPr>
        <w:t>s</w:t>
      </w:r>
      <w:r w:rsidR="00CD61A7" w:rsidRPr="0055149C">
        <w:rPr>
          <w:lang w:eastAsia="nb-NO"/>
        </w:rPr>
        <w:t>forsking</w:t>
      </w:r>
      <w:r w:rsidR="00415C11">
        <w:rPr>
          <w:lang w:eastAsia="nb-NO"/>
        </w:rPr>
        <w:t xml:space="preserve"> 2014</w:t>
      </w:r>
      <w:r w:rsidR="00CD61A7" w:rsidRPr="0055149C">
        <w:rPr>
          <w:lang w:eastAsia="nb-NO"/>
        </w:rPr>
        <w:t>)</w:t>
      </w:r>
      <w:r w:rsidR="008B0896" w:rsidRPr="0055149C">
        <w:rPr>
          <w:lang w:eastAsia="nb-NO"/>
        </w:rPr>
        <w:t>, der årlige kapitalkostnader defineres som bestående av to elementer</w:t>
      </w:r>
      <w:r w:rsidR="00CD61A7" w:rsidRPr="0055149C">
        <w:rPr>
          <w:lang w:eastAsia="nb-NO"/>
        </w:rPr>
        <w:t xml:space="preserve">. </w:t>
      </w:r>
      <w:r w:rsidR="00CD61A7" w:rsidRPr="0055149C">
        <w:t>Det første elementet er a</w:t>
      </w:r>
      <w:r w:rsidR="008B0896" w:rsidRPr="0055149C">
        <w:t>vskrivningskostnader</w:t>
      </w:r>
      <w:r w:rsidR="00E126DF" w:rsidRPr="0055149C">
        <w:t xml:space="preserve"> i form av</w:t>
      </w:r>
      <w:r w:rsidR="008B0896" w:rsidRPr="0055149C">
        <w:t xml:space="preserve"> kostnadsfordeling av anskaffelseskost over brukstiden</w:t>
      </w:r>
      <w:r w:rsidR="00CD61A7" w:rsidRPr="0055149C">
        <w:t>. Det andre elementet er a</w:t>
      </w:r>
      <w:r w:rsidR="008B0896" w:rsidRPr="0055149C">
        <w:t>lternativkostnaden</w:t>
      </w:r>
      <w:r w:rsidR="00E126DF" w:rsidRPr="0055149C">
        <w:t xml:space="preserve"> målt ved</w:t>
      </w:r>
      <w:r w:rsidR="008B0896" w:rsidRPr="0055149C">
        <w:t xml:space="preserve"> kalkulatorisk rentekostnad</w:t>
      </w:r>
      <w:r w:rsidR="00CD61A7" w:rsidRPr="0055149C">
        <w:t>. D</w:t>
      </w:r>
      <w:r w:rsidR="0041725E" w:rsidRPr="0055149C">
        <w:t>et</w:t>
      </w:r>
      <w:r w:rsidR="00CD61A7" w:rsidRPr="0055149C">
        <w:t xml:space="preserve">te </w:t>
      </w:r>
      <w:r w:rsidR="0041725E" w:rsidRPr="0055149C">
        <w:t>vil si</w:t>
      </w:r>
      <w:r w:rsidR="008B0896" w:rsidRPr="0055149C">
        <w:t xml:space="preserve"> den avkastning kommunen alternativt kunne oppnå</w:t>
      </w:r>
      <w:r w:rsidR="00E126DF" w:rsidRPr="0055149C">
        <w:t xml:space="preserve">dd i markedet </w:t>
      </w:r>
      <w:r w:rsidR="008B0896" w:rsidRPr="0055149C">
        <w:t xml:space="preserve">ved </w:t>
      </w:r>
      <w:r w:rsidR="00E126DF" w:rsidRPr="0055149C">
        <w:t xml:space="preserve">isteden </w:t>
      </w:r>
      <w:r w:rsidR="008B0896" w:rsidRPr="0055149C">
        <w:t>å plassere penger tilsvarende investeringsbeløpet</w:t>
      </w:r>
      <w:r w:rsidR="00E126DF" w:rsidRPr="0055149C">
        <w:t xml:space="preserve"> i netto</w:t>
      </w:r>
      <w:r w:rsidR="008B0896" w:rsidRPr="0055149C">
        <w:t xml:space="preserve"> etter avskrivninger. I et fungerende marked vil </w:t>
      </w:r>
      <w:r w:rsidR="00A11E72">
        <w:t>renten</w:t>
      </w:r>
      <w:r w:rsidR="008B0896" w:rsidRPr="0055149C">
        <w:t xml:space="preserve"> angi alternativkostnaden.</w:t>
      </w:r>
    </w:p>
    <w:p w14:paraId="5D95B0CB" w14:textId="03C10742" w:rsidR="00A22B61" w:rsidRPr="0055149C" w:rsidRDefault="002520AF" w:rsidP="008B0896">
      <w:pPr>
        <w:rPr>
          <w:lang w:eastAsia="nb-NO"/>
        </w:rPr>
      </w:pPr>
      <w:r w:rsidRPr="0055149C">
        <w:rPr>
          <w:lang w:eastAsia="nb-NO"/>
        </w:rPr>
        <w:t>Thorstensen, Lie og Lunder (2021) anbefaler at det generelt ikke skilles mellom lånefinansiering og egenkapitalfinansiering.</w:t>
      </w:r>
      <w:r w:rsidR="008B0896" w:rsidRPr="0055149C">
        <w:rPr>
          <w:lang w:eastAsia="nb-NO"/>
        </w:rPr>
        <w:t xml:space="preserve"> Forskerne viser til at selv om det ved egenkapitalfinansiering ikke påløper ordinære finanskostnader, lider kommunen «</w:t>
      </w:r>
      <w:r w:rsidR="00E126DF" w:rsidRPr="0055149C">
        <w:rPr>
          <w:lang w:eastAsia="nb-NO"/>
        </w:rPr>
        <w:t xml:space="preserve">… </w:t>
      </w:r>
      <w:r w:rsidR="008B0896" w:rsidRPr="0055149C">
        <w:rPr>
          <w:i/>
          <w:iCs/>
          <w:lang w:eastAsia="nb-NO"/>
        </w:rPr>
        <w:t>et tap ved at den går glipp av den avkastning en alternativ bruk av midlene ville gitt</w:t>
      </w:r>
      <w:r w:rsidR="008B0896" w:rsidRPr="0055149C">
        <w:rPr>
          <w:lang w:eastAsia="nb-NO"/>
        </w:rPr>
        <w:t>»</w:t>
      </w:r>
      <w:r w:rsidR="00CA433E">
        <w:rPr>
          <w:lang w:eastAsia="nb-NO"/>
        </w:rPr>
        <w:t xml:space="preserve"> (</w:t>
      </w:r>
      <w:r w:rsidR="002401E8">
        <w:rPr>
          <w:lang w:eastAsia="nb-NO"/>
        </w:rPr>
        <w:t xml:space="preserve">side 14, </w:t>
      </w:r>
      <w:r w:rsidR="00CA433E" w:rsidRPr="0055149C">
        <w:rPr>
          <w:lang w:eastAsia="nb-NO"/>
        </w:rPr>
        <w:t>Thorstensen, Lie og Lunder 2021)</w:t>
      </w:r>
      <w:r w:rsidR="008B0896" w:rsidRPr="0055149C">
        <w:rPr>
          <w:lang w:eastAsia="nb-NO"/>
        </w:rPr>
        <w:t xml:space="preserve">. </w:t>
      </w:r>
      <w:r w:rsidR="00CD61A7" w:rsidRPr="0055149C">
        <w:rPr>
          <w:lang w:eastAsia="nb-NO"/>
        </w:rPr>
        <w:t>Tapet beregnes</w:t>
      </w:r>
      <w:r w:rsidR="008B0896" w:rsidRPr="0055149C">
        <w:rPr>
          <w:lang w:eastAsia="nb-NO"/>
        </w:rPr>
        <w:t xml:space="preserve"> som en kalkulatorisk rentekostnad, ettersom det ikke synliggjøres i kommuneregnskapet. </w:t>
      </w:r>
      <w:r w:rsidR="00E126DF" w:rsidRPr="0055149C">
        <w:rPr>
          <w:lang w:eastAsia="nb-NO"/>
        </w:rPr>
        <w:t xml:space="preserve">Thorstensen, Lie og Lunder </w:t>
      </w:r>
      <w:r w:rsidR="00CD61A7" w:rsidRPr="0055149C">
        <w:rPr>
          <w:lang w:eastAsia="nb-NO"/>
        </w:rPr>
        <w:t>viser</w:t>
      </w:r>
      <w:r w:rsidR="008B0896" w:rsidRPr="0055149C">
        <w:rPr>
          <w:lang w:eastAsia="nb-NO"/>
        </w:rPr>
        <w:t xml:space="preserve"> til at det i selvkostberegninger benyttes en kalkylerente framfor den faktiske </w:t>
      </w:r>
      <w:r w:rsidR="00A11E72">
        <w:rPr>
          <w:lang w:eastAsia="nb-NO"/>
        </w:rPr>
        <w:t>renten</w:t>
      </w:r>
      <w:r w:rsidR="008B0896" w:rsidRPr="0055149C">
        <w:rPr>
          <w:lang w:eastAsia="nb-NO"/>
        </w:rPr>
        <w:t xml:space="preserve"> som kommunen står overfor. </w:t>
      </w:r>
      <w:r w:rsidR="00A22B61" w:rsidRPr="0055149C">
        <w:rPr>
          <w:lang w:eastAsia="nb-NO"/>
        </w:rPr>
        <w:t xml:space="preserve">Videre </w:t>
      </w:r>
      <w:r w:rsidR="00E126DF" w:rsidRPr="0055149C">
        <w:rPr>
          <w:lang w:eastAsia="nb-NO"/>
        </w:rPr>
        <w:t>fastsl</w:t>
      </w:r>
      <w:r w:rsidR="00CD61A7" w:rsidRPr="0055149C">
        <w:rPr>
          <w:lang w:eastAsia="nb-NO"/>
        </w:rPr>
        <w:t>år</w:t>
      </w:r>
      <w:r w:rsidR="00A22B61" w:rsidRPr="0055149C">
        <w:rPr>
          <w:lang w:eastAsia="nb-NO"/>
        </w:rPr>
        <w:t xml:space="preserve"> </w:t>
      </w:r>
      <w:r w:rsidR="00E126DF" w:rsidRPr="0055149C">
        <w:rPr>
          <w:lang w:eastAsia="nb-NO"/>
        </w:rPr>
        <w:t>forfatterne</w:t>
      </w:r>
      <w:r w:rsidR="00A22B61" w:rsidRPr="0055149C">
        <w:rPr>
          <w:lang w:eastAsia="nb-NO"/>
        </w:rPr>
        <w:t xml:space="preserve"> at rentekostnader kun delvis blir fanget opp i </w:t>
      </w:r>
      <w:r w:rsidR="008E7E43">
        <w:rPr>
          <w:lang w:eastAsia="nb-NO"/>
        </w:rPr>
        <w:t>KOSTRA</w:t>
      </w:r>
      <w:r w:rsidR="00E126DF" w:rsidRPr="0055149C">
        <w:rPr>
          <w:lang w:eastAsia="nb-NO"/>
        </w:rPr>
        <w:t>.</w:t>
      </w:r>
      <w:r w:rsidR="00A22B61" w:rsidRPr="0055149C">
        <w:rPr>
          <w:rStyle w:val="Fotnotereferanse"/>
          <w:lang w:eastAsia="nb-NO"/>
        </w:rPr>
        <w:footnoteReference w:id="6"/>
      </w:r>
      <w:r w:rsidR="00A22B61" w:rsidRPr="0055149C">
        <w:rPr>
          <w:lang w:eastAsia="nb-NO"/>
        </w:rPr>
        <w:t xml:space="preserve"> </w:t>
      </w:r>
      <w:r w:rsidR="00E126DF" w:rsidRPr="0055149C">
        <w:rPr>
          <w:lang w:eastAsia="nb-NO"/>
        </w:rPr>
        <w:t>I tillegg påpeke</w:t>
      </w:r>
      <w:r w:rsidR="00CD61A7" w:rsidRPr="0055149C">
        <w:rPr>
          <w:lang w:eastAsia="nb-NO"/>
        </w:rPr>
        <w:t>r</w:t>
      </w:r>
      <w:r w:rsidR="00E126DF" w:rsidRPr="0055149C">
        <w:rPr>
          <w:lang w:eastAsia="nb-NO"/>
        </w:rPr>
        <w:t xml:space="preserve"> de</w:t>
      </w:r>
      <w:r w:rsidR="00A22B61" w:rsidRPr="0055149C">
        <w:rPr>
          <w:lang w:eastAsia="nb-NO"/>
        </w:rPr>
        <w:t xml:space="preserve"> at rentekostnader vil bli overvurdert</w:t>
      </w:r>
      <w:r w:rsidR="00E126DF" w:rsidRPr="0055149C">
        <w:rPr>
          <w:lang w:eastAsia="nb-NO"/>
        </w:rPr>
        <w:t>,</w:t>
      </w:r>
      <w:r w:rsidR="00A22B61" w:rsidRPr="0055149C">
        <w:rPr>
          <w:lang w:eastAsia="nb-NO"/>
        </w:rPr>
        <w:t xml:space="preserve"> </w:t>
      </w:r>
      <w:r w:rsidR="00CD61A7" w:rsidRPr="0055149C">
        <w:rPr>
          <w:lang w:eastAsia="nb-NO"/>
        </w:rPr>
        <w:t xml:space="preserve">dersom </w:t>
      </w:r>
      <w:r w:rsidR="00A22B61" w:rsidRPr="0055149C">
        <w:rPr>
          <w:lang w:eastAsia="nb-NO"/>
        </w:rPr>
        <w:t>de beregnes ut fra varige driftsmidler basert på brutto</w:t>
      </w:r>
      <w:r w:rsidR="00E126DF" w:rsidRPr="0055149C">
        <w:rPr>
          <w:lang w:eastAsia="nb-NO"/>
        </w:rPr>
        <w:t>investeringsutgifter</w:t>
      </w:r>
      <w:r w:rsidR="00A22B61" w:rsidRPr="0055149C">
        <w:rPr>
          <w:lang w:eastAsia="nb-NO"/>
        </w:rPr>
        <w:t xml:space="preserve"> og ikke nettoinvesteringsutgifter</w:t>
      </w:r>
      <w:r w:rsidR="00E126DF" w:rsidRPr="0055149C">
        <w:rPr>
          <w:lang w:eastAsia="nb-NO"/>
        </w:rPr>
        <w:t>.</w:t>
      </w:r>
      <w:r w:rsidR="00A22B61" w:rsidRPr="0055149C">
        <w:rPr>
          <w:rStyle w:val="Fotnotereferanse"/>
          <w:lang w:eastAsia="nb-NO"/>
        </w:rPr>
        <w:footnoteReference w:id="7"/>
      </w:r>
    </w:p>
    <w:p w14:paraId="4DF9A102" w14:textId="37DE8A5F" w:rsidR="00944338" w:rsidRPr="0055149C" w:rsidRDefault="00E126DF" w:rsidP="00944338">
      <w:r w:rsidRPr="0055149C">
        <w:t xml:space="preserve">Arbeidet til </w:t>
      </w:r>
      <w:r w:rsidRPr="0055149C">
        <w:rPr>
          <w:lang w:eastAsia="nb-NO"/>
        </w:rPr>
        <w:t>Thorstensen, Lie og Lunder (2021)</w:t>
      </w:r>
      <w:r w:rsidR="00970818" w:rsidRPr="0055149C">
        <w:t xml:space="preserve"> </w:t>
      </w:r>
      <w:r w:rsidR="00CD61A7" w:rsidRPr="0055149C">
        <w:t>bygger</w:t>
      </w:r>
      <w:r w:rsidR="00970818" w:rsidRPr="0055149C">
        <w:t xml:space="preserve"> i betydelig grad </w:t>
      </w:r>
      <w:r w:rsidR="00CF0BCA" w:rsidRPr="0055149C">
        <w:t xml:space="preserve">videre </w:t>
      </w:r>
      <w:r w:rsidR="00970818" w:rsidRPr="0055149C">
        <w:t xml:space="preserve">på Håkonsen, </w:t>
      </w:r>
      <w:r w:rsidR="00E3483B">
        <w:t>Kallager</w:t>
      </w:r>
      <w:r w:rsidR="00970818" w:rsidRPr="0055149C">
        <w:t xml:space="preserve"> og Lunder (2017)</w:t>
      </w:r>
      <w:r w:rsidRPr="0055149C">
        <w:t>. Forfatterne</w:t>
      </w:r>
      <w:r w:rsidR="00970818" w:rsidRPr="0055149C">
        <w:t xml:space="preserve"> </w:t>
      </w:r>
      <w:r w:rsidR="00CD61A7" w:rsidRPr="0055149C">
        <w:t>trekker</w:t>
      </w:r>
      <w:r w:rsidR="00CF0BCA" w:rsidRPr="0055149C">
        <w:t xml:space="preserve"> også</w:t>
      </w:r>
      <w:r w:rsidR="00970818" w:rsidRPr="0055149C">
        <w:t xml:space="preserve"> de samme konklusjonene om utfordringer med </w:t>
      </w:r>
      <w:r w:rsidR="008E7E43">
        <w:t>KOSTRA</w:t>
      </w:r>
      <w:r w:rsidR="00970818" w:rsidRPr="0055149C">
        <w:t xml:space="preserve">-tallene og mangelen på gevinst ved å trekke ulike anslag for kapitalkostnader fra den tidligere rapporten inn i inntektsutjevningen. </w:t>
      </w:r>
      <w:r w:rsidR="00CF0BCA" w:rsidRPr="0055149C">
        <w:t>De</w:t>
      </w:r>
      <w:r w:rsidR="00970818" w:rsidRPr="0055149C">
        <w:t xml:space="preserve"> konkluder</w:t>
      </w:r>
      <w:r w:rsidR="00CF0BCA" w:rsidRPr="0055149C">
        <w:t>e</w:t>
      </w:r>
      <w:r w:rsidR="00CD61A7" w:rsidRPr="0055149C">
        <w:t>r</w:t>
      </w:r>
      <w:r w:rsidR="00970818" w:rsidRPr="0055149C">
        <w:t xml:space="preserve"> med at en ressursfordeling med en lik fordeling per innbygger </w:t>
      </w:r>
      <w:r w:rsidR="00CF0BCA" w:rsidRPr="0055149C">
        <w:t xml:space="preserve">– </w:t>
      </w:r>
      <w:r w:rsidR="00970818" w:rsidRPr="0055149C">
        <w:t>som for kommunene i dag</w:t>
      </w:r>
      <w:r w:rsidR="00CF0BCA" w:rsidRPr="0055149C">
        <w:t xml:space="preserve"> –</w:t>
      </w:r>
      <w:r w:rsidR="00970818" w:rsidRPr="0055149C">
        <w:t xml:space="preserve"> fr</w:t>
      </w:r>
      <w:r w:rsidR="00CF0BCA" w:rsidRPr="0055149C">
        <w:t>a</w:t>
      </w:r>
      <w:r w:rsidR="00970818" w:rsidRPr="0055149C">
        <w:t>mstår som en akseptabel løsning i en situasjon</w:t>
      </w:r>
      <w:r w:rsidR="000E37BB">
        <w:t>,</w:t>
      </w:r>
      <w:r w:rsidR="00970818" w:rsidRPr="0055149C">
        <w:t xml:space="preserve"> der det fortsatt er svakheter i tallmaterialet.</w:t>
      </w:r>
      <w:bookmarkStart w:id="32" w:name="_Toc528920966"/>
      <w:bookmarkStart w:id="33" w:name="_Toc46235772"/>
      <w:bookmarkStart w:id="34" w:name="_Toc58410152"/>
      <w:bookmarkStart w:id="35" w:name="_Toc79414761"/>
    </w:p>
    <w:p w14:paraId="2C8378DD" w14:textId="5DBFF07D" w:rsidR="00A9543E" w:rsidRPr="0055149C" w:rsidRDefault="00A9543E" w:rsidP="00045ADC">
      <w:r w:rsidRPr="0055149C">
        <w:lastRenderedPageBreak/>
        <w:t xml:space="preserve">Tidligere studier </w:t>
      </w:r>
      <w:r w:rsidR="00CF0BCA" w:rsidRPr="0055149C">
        <w:t>har i mindre</w:t>
      </w:r>
      <w:r w:rsidRPr="0055149C">
        <w:t xml:space="preserve"> grad </w:t>
      </w:r>
      <w:r w:rsidR="00CF0BCA" w:rsidRPr="0055149C">
        <w:t xml:space="preserve">diskutert </w:t>
      </w:r>
      <w:r w:rsidRPr="0055149C">
        <w:t>betydningen av heterogenitet i kapitalkostnadene eller problematiser</w:t>
      </w:r>
      <w:r w:rsidR="00CF0BCA" w:rsidRPr="0055149C">
        <w:t>t</w:t>
      </w:r>
      <w:r w:rsidRPr="0055149C">
        <w:t xml:space="preserve"> eventuell deflatering av kapitalslitet. Et unntak </w:t>
      </w:r>
      <w:r w:rsidR="0044165A">
        <w:t xml:space="preserve">er </w:t>
      </w:r>
      <w:r w:rsidRPr="0055149C">
        <w:t>Rødseth med flere (2022b) som diskuterer denne tematikken kort i rapportens tredje kapittel.</w:t>
      </w:r>
      <w:r w:rsidR="00B42CC2" w:rsidRPr="00B42CC2">
        <w:t xml:space="preserve"> </w:t>
      </w:r>
      <w:r w:rsidR="00B42CC2">
        <w:t xml:space="preserve">Kraftmarkedet er et eksempel på en næring, der reguleringsmyndighetene i sin tid valgte å vekte kapitalestimatene fra DM og PIM likt </w:t>
      </w:r>
      <w:r w:rsidR="00BD41D6">
        <w:t xml:space="preserve">i en sektorregulering </w:t>
      </w:r>
      <w:r w:rsidR="00B42CC2">
        <w:t>(Kittelsen 1994).</w:t>
      </w:r>
    </w:p>
    <w:p w14:paraId="03201B25" w14:textId="3557C648" w:rsidR="00045ADC" w:rsidRPr="0055149C" w:rsidRDefault="00045ADC" w:rsidP="00045ADC">
      <w:pPr>
        <w:rPr>
          <w:lang w:eastAsia="nb-NO"/>
        </w:rPr>
      </w:pPr>
      <w:r w:rsidRPr="0055149C">
        <w:rPr>
          <w:lang w:eastAsia="nb-NO"/>
        </w:rPr>
        <w:t xml:space="preserve">I forbindelse med utarbeidelsen av Statistisk sentralbyrås kapitaldatabase på foretaksnivå benyttes </w:t>
      </w:r>
      <w:r w:rsidR="00A5417D">
        <w:rPr>
          <w:lang w:eastAsia="nb-NO"/>
        </w:rPr>
        <w:t>«</w:t>
      </w:r>
      <w:r w:rsidR="00A5417D">
        <w:rPr>
          <w:b/>
          <w:bCs/>
          <w:color w:val="3672B0" w:themeColor="accent2"/>
          <w:lang w:eastAsia="nb-NO"/>
        </w:rPr>
        <w:t>D</w:t>
      </w:r>
      <w:r w:rsidRPr="0055149C">
        <w:rPr>
          <w:b/>
          <w:bCs/>
          <w:color w:val="3672B0" w:themeColor="accent2"/>
          <w:lang w:eastAsia="nb-NO"/>
        </w:rPr>
        <w:t xml:space="preserve">irekte </w:t>
      </w:r>
      <w:r w:rsidR="00A5417D">
        <w:rPr>
          <w:b/>
          <w:bCs/>
          <w:color w:val="3672B0" w:themeColor="accent2"/>
          <w:lang w:eastAsia="nb-NO"/>
        </w:rPr>
        <w:t>M</w:t>
      </w:r>
      <w:r w:rsidRPr="0055149C">
        <w:rPr>
          <w:b/>
          <w:bCs/>
          <w:color w:val="3672B0" w:themeColor="accent2"/>
          <w:lang w:eastAsia="nb-NO"/>
        </w:rPr>
        <w:t>etode</w:t>
      </w:r>
      <w:r w:rsidR="00A5417D" w:rsidRPr="00A5417D">
        <w:rPr>
          <w:color w:val="auto"/>
          <w:lang w:eastAsia="nb-NO"/>
        </w:rPr>
        <w:t>»</w:t>
      </w:r>
      <w:r w:rsidRPr="00A5417D">
        <w:rPr>
          <w:color w:val="auto"/>
          <w:lang w:eastAsia="nb-NO"/>
        </w:rPr>
        <w:t xml:space="preserve"> (</w:t>
      </w:r>
      <w:r w:rsidRPr="0055149C">
        <w:rPr>
          <w:color w:val="3672B0" w:themeColor="accent2"/>
          <w:lang w:eastAsia="nb-NO"/>
        </w:rPr>
        <w:t>DM</w:t>
      </w:r>
      <w:r w:rsidRPr="00A5417D">
        <w:rPr>
          <w:color w:val="auto"/>
          <w:lang w:eastAsia="nb-NO"/>
        </w:rPr>
        <w:t>)</w:t>
      </w:r>
      <w:r w:rsidRPr="0055149C">
        <w:rPr>
          <w:color w:val="3672B0" w:themeColor="accent2"/>
          <w:lang w:eastAsia="nb-NO"/>
        </w:rPr>
        <w:t xml:space="preserve"> </w:t>
      </w:r>
      <w:r w:rsidRPr="0055149C">
        <w:rPr>
          <w:lang w:eastAsia="nb-NO"/>
        </w:rPr>
        <w:t>for å måle kapitalbeholdninger basert på bokførte verdier fr</w:t>
      </w:r>
      <w:r w:rsidR="00EA6503">
        <w:rPr>
          <w:lang w:eastAsia="nb-NO"/>
        </w:rPr>
        <w:t>a</w:t>
      </w:r>
      <w:r w:rsidRPr="0055149C">
        <w:rPr>
          <w:lang w:eastAsia="nb-NO"/>
        </w:rPr>
        <w:t>mfor summering av investerings</w:t>
      </w:r>
      <w:r w:rsidR="00EA5451">
        <w:rPr>
          <w:lang w:eastAsia="nb-NO"/>
        </w:rPr>
        <w:t>volum</w:t>
      </w:r>
      <w:r w:rsidR="00D31295">
        <w:rPr>
          <w:lang w:eastAsia="nb-NO"/>
        </w:rPr>
        <w:t xml:space="preserve"> etter kapitalslit</w:t>
      </w:r>
      <w:r w:rsidR="00754448">
        <w:rPr>
          <w:lang w:eastAsia="nb-NO"/>
        </w:rPr>
        <w:t>, slik det gjøres ved bruk av</w:t>
      </w:r>
      <w:r w:rsidR="00A5417D">
        <w:rPr>
          <w:lang w:eastAsia="nb-NO"/>
        </w:rPr>
        <w:t xml:space="preserve"> «</w:t>
      </w:r>
      <w:r w:rsidR="00A5417D">
        <w:rPr>
          <w:b/>
          <w:bCs/>
          <w:color w:val="3672B0" w:themeColor="accent2"/>
          <w:lang w:eastAsia="nb-NO"/>
        </w:rPr>
        <w:t>P</w:t>
      </w:r>
      <w:r w:rsidRPr="0055149C">
        <w:rPr>
          <w:b/>
          <w:bCs/>
          <w:color w:val="3672B0" w:themeColor="accent2"/>
          <w:lang w:eastAsia="nb-NO"/>
        </w:rPr>
        <w:t xml:space="preserve">erpetual </w:t>
      </w:r>
      <w:r w:rsidR="00A5417D">
        <w:rPr>
          <w:b/>
          <w:bCs/>
          <w:color w:val="3672B0" w:themeColor="accent2"/>
          <w:lang w:eastAsia="nb-NO"/>
        </w:rPr>
        <w:t>I</w:t>
      </w:r>
      <w:r w:rsidRPr="0055149C">
        <w:rPr>
          <w:b/>
          <w:bCs/>
          <w:color w:val="3672B0" w:themeColor="accent2"/>
          <w:lang w:eastAsia="nb-NO"/>
        </w:rPr>
        <w:t xml:space="preserve">nventory </w:t>
      </w:r>
      <w:r w:rsidR="00A5417D">
        <w:rPr>
          <w:b/>
          <w:bCs/>
          <w:color w:val="3672B0" w:themeColor="accent2"/>
          <w:lang w:eastAsia="nb-NO"/>
        </w:rPr>
        <w:t>M</w:t>
      </w:r>
      <w:r w:rsidRPr="0055149C">
        <w:rPr>
          <w:b/>
          <w:bCs/>
          <w:color w:val="3672B0" w:themeColor="accent2"/>
          <w:lang w:eastAsia="nb-NO"/>
        </w:rPr>
        <w:t>ethod</w:t>
      </w:r>
      <w:r w:rsidR="00A5417D" w:rsidRPr="00A5417D">
        <w:rPr>
          <w:color w:val="auto"/>
          <w:lang w:eastAsia="nb-NO"/>
        </w:rPr>
        <w:t xml:space="preserve">» </w:t>
      </w:r>
      <w:r w:rsidRPr="00A5417D">
        <w:rPr>
          <w:color w:val="auto"/>
          <w:lang w:eastAsia="nb-NO"/>
        </w:rPr>
        <w:t>(</w:t>
      </w:r>
      <w:r w:rsidRPr="0055149C">
        <w:rPr>
          <w:color w:val="3672B0" w:themeColor="accent2"/>
          <w:lang w:eastAsia="nb-NO"/>
        </w:rPr>
        <w:t>PIM</w:t>
      </w:r>
      <w:r w:rsidRPr="00A5417D">
        <w:rPr>
          <w:color w:val="auto"/>
          <w:lang w:eastAsia="nb-NO"/>
        </w:rPr>
        <w:t>)</w:t>
      </w:r>
      <w:r w:rsidRPr="0055149C">
        <w:rPr>
          <w:lang w:eastAsia="nb-NO"/>
        </w:rPr>
        <w:t xml:space="preserve">. De begrunner dette med </w:t>
      </w:r>
      <w:r w:rsidR="00B67A7C">
        <w:rPr>
          <w:lang w:eastAsia="nb-NO"/>
        </w:rPr>
        <w:t xml:space="preserve">at </w:t>
      </w:r>
      <w:r w:rsidRPr="0055149C">
        <w:rPr>
          <w:lang w:eastAsia="nb-NO"/>
        </w:rPr>
        <w:t>PIM-estimatene basert på Foretaks- og virksomhets</w:t>
      </w:r>
      <w:r w:rsidR="00534FB8" w:rsidRPr="0055149C">
        <w:rPr>
          <w:lang w:eastAsia="nb-NO"/>
        </w:rPr>
        <w:t>registren</w:t>
      </w:r>
      <w:r w:rsidR="00534FB8">
        <w:rPr>
          <w:lang w:eastAsia="nb-NO"/>
        </w:rPr>
        <w:t>e ved Brønnøysund</w:t>
      </w:r>
      <w:r w:rsidRPr="0055149C">
        <w:rPr>
          <w:lang w:eastAsia="nb-NO"/>
        </w:rPr>
        <w:t xml:space="preserve"> og Statistisk sentralbyrås investeringsundersøkelse blir for usikre og ikke utnytter informasjonen fra regnskapene godt nok (Raknerud med flere 2007).</w:t>
      </w:r>
    </w:p>
    <w:p w14:paraId="5F8138F2" w14:textId="18C45068" w:rsidR="00944338" w:rsidRPr="0055149C" w:rsidRDefault="00045ADC" w:rsidP="00E14E20">
      <w:pPr>
        <w:rPr>
          <w:lang w:eastAsia="nb-NO"/>
        </w:rPr>
      </w:pPr>
      <w:r w:rsidRPr="0055149C">
        <w:rPr>
          <w:lang w:eastAsia="nb-NO"/>
        </w:rPr>
        <w:t>Holmen (2022</w:t>
      </w:r>
      <w:r w:rsidR="007E0471">
        <w:rPr>
          <w:lang w:eastAsia="nb-NO"/>
        </w:rPr>
        <w:t>a</w:t>
      </w:r>
      <w:r w:rsidRPr="0055149C">
        <w:rPr>
          <w:lang w:eastAsia="nb-NO"/>
        </w:rPr>
        <w:t xml:space="preserve">) viser at estimering av disaggregerte kapitaltall med disaggregerte kapitalformer er mulig både ved PIM og DM ved bruk av norske foretaks- og virksomhetsdata, inkludert foretak og virksomheter som faller inn under kommunal sektor. Datagrunnlaget for å foreta kapitalestimeringer er imidlertid vesentlig svakere og mer aggregert i </w:t>
      </w:r>
      <w:r w:rsidR="008E7E43">
        <w:rPr>
          <w:lang w:eastAsia="nb-NO"/>
        </w:rPr>
        <w:t>KOSTRA</w:t>
      </w:r>
      <w:r w:rsidRPr="0055149C">
        <w:rPr>
          <w:lang w:eastAsia="nb-NO"/>
        </w:rPr>
        <w:t xml:space="preserve">. </w:t>
      </w:r>
      <w:r w:rsidR="002520AF" w:rsidRPr="0055149C">
        <w:rPr>
          <w:lang w:eastAsia="nb-NO"/>
        </w:rPr>
        <w:t>Dette innebærer at estimater med PIM vil være enda mer utsatt for måleproblem</w:t>
      </w:r>
      <w:r w:rsidR="001F69F9">
        <w:rPr>
          <w:lang w:eastAsia="nb-NO"/>
        </w:rPr>
        <w:t xml:space="preserve">atikk </w:t>
      </w:r>
      <w:r w:rsidR="002520AF" w:rsidRPr="0055149C">
        <w:rPr>
          <w:lang w:eastAsia="nb-NO"/>
        </w:rPr>
        <w:t>forbundet med sammensetningseffekter og heterogeniteten i kapitalens egenskaper.</w:t>
      </w:r>
      <w:r w:rsidRPr="0055149C">
        <w:rPr>
          <w:lang w:eastAsia="nb-NO"/>
        </w:rPr>
        <w:t xml:space="preserve"> Merk at PIM er mer avhengig av disaggregerte gode kapitaltall enn DM, fordi DM utnytter den spesifikke informasjonen knyttet til hver observasjonsenhet (</w:t>
      </w:r>
      <w:r w:rsidR="002520AF" w:rsidRPr="0055149C">
        <w:rPr>
          <w:lang w:eastAsia="nb-NO"/>
        </w:rPr>
        <w:t xml:space="preserve">typisk </w:t>
      </w:r>
      <w:r w:rsidR="00CD61A7" w:rsidRPr="0055149C">
        <w:rPr>
          <w:lang w:eastAsia="nb-NO"/>
        </w:rPr>
        <w:t>foretak</w:t>
      </w:r>
      <w:r w:rsidRPr="0055149C">
        <w:rPr>
          <w:lang w:eastAsia="nb-NO"/>
        </w:rPr>
        <w:t xml:space="preserve"> eller kommune) mer direkte.</w:t>
      </w:r>
    </w:p>
    <w:p w14:paraId="2B3154F1" w14:textId="2D2F1380" w:rsidR="00A9543E" w:rsidRPr="0055149C" w:rsidRDefault="00A9543E" w:rsidP="00E14E20">
      <w:r w:rsidRPr="0055149C">
        <w:t>Den eksisterende litteraturen på kapitalkostnader og inntektssystemet fokuserer primært på historiske kostnader</w:t>
      </w:r>
      <w:r w:rsidR="00FB741C">
        <w:t>,</w:t>
      </w:r>
      <w:r w:rsidR="007D2C53" w:rsidRPr="0055149C">
        <w:t xml:space="preserve"> til dels med unntak av Langørgen og Rønningen (2002)</w:t>
      </w:r>
      <w:r w:rsidRPr="0055149C">
        <w:t xml:space="preserve">. Flere studier </w:t>
      </w:r>
      <w:r w:rsidR="007D2C53" w:rsidRPr="0055149C">
        <w:t>kaster</w:t>
      </w:r>
      <w:r w:rsidRPr="0055149C">
        <w:t xml:space="preserve"> imidlertid også </w:t>
      </w:r>
      <w:r w:rsidR="007D2C53" w:rsidRPr="0055149C">
        <w:t xml:space="preserve">lys over </w:t>
      </w:r>
      <w:r w:rsidRPr="0055149C">
        <w:t>kommunenes framtidige kapitalbehov (Medby og Karlstad 2008</w:t>
      </w:r>
      <w:r w:rsidR="00525C01" w:rsidRPr="0055149C">
        <w:t xml:space="preserve">, Aalen, Grimsby og Grünfeld 2017, </w:t>
      </w:r>
      <w:r w:rsidRPr="0055149C">
        <w:t>Haraldsvik</w:t>
      </w:r>
      <w:r w:rsidR="00AF486B" w:rsidRPr="0055149C">
        <w:t>,</w:t>
      </w:r>
      <w:r w:rsidRPr="0055149C">
        <w:t xml:space="preserve"> </w:t>
      </w:r>
      <w:r w:rsidR="00AF486B" w:rsidRPr="0055149C">
        <w:t>Hopland</w:t>
      </w:r>
      <w:r w:rsidR="000B1055">
        <w:t xml:space="preserve"> og</w:t>
      </w:r>
      <w:r w:rsidR="00AF486B" w:rsidRPr="0055149C">
        <w:t xml:space="preserve"> Kvamsdal </w:t>
      </w:r>
      <w:r w:rsidRPr="0055149C">
        <w:t>2020</w:t>
      </w:r>
      <w:r w:rsidR="00FB741C">
        <w:t>,</w:t>
      </w:r>
      <w:r w:rsidRPr="0055149C">
        <w:t xml:space="preserve"> </w:t>
      </w:r>
      <w:r w:rsidR="00525C01" w:rsidRPr="0055149C">
        <w:t>Bruaset med flere 2021</w:t>
      </w:r>
      <w:r w:rsidR="00FB741C">
        <w:t>,</w:t>
      </w:r>
      <w:r w:rsidR="00525C01" w:rsidRPr="0055149C">
        <w:t xml:space="preserve"> </w:t>
      </w:r>
      <w:r w:rsidRPr="0055149C">
        <w:t>og Vennemo, Bjørkås og Mariussen 2022).</w:t>
      </w:r>
      <w:r w:rsidR="00967F48" w:rsidRPr="0055149C">
        <w:t xml:space="preserve"> Borge og Lindset (2022) finner utst</w:t>
      </w:r>
      <w:r w:rsidR="00FB741C">
        <w:t>r</w:t>
      </w:r>
      <w:r w:rsidR="00967F48" w:rsidRPr="0055149C">
        <w:t>akt bruk av kort</w:t>
      </w:r>
      <w:r w:rsidR="001F69F9">
        <w:t xml:space="preserve">siktig </w:t>
      </w:r>
      <w:r w:rsidR="00967F48" w:rsidRPr="0055149C">
        <w:t>finansiering blant primærkommunene, som er økende i partifragmentering og avtakende i disposisjonsfond. Deres funn indikerer videre at de samlede lånene er positivt korrelert med frie inntekter, partifragmentering og sosialistandel og negativt korrelert med antall innbyggere.</w:t>
      </w:r>
    </w:p>
    <w:p w14:paraId="74A8944B" w14:textId="38AF3880" w:rsidR="009A77EE" w:rsidRPr="0055149C" w:rsidRDefault="00093703" w:rsidP="00A8286E">
      <w:pPr>
        <w:pStyle w:val="Overskrift1"/>
      </w:pPr>
      <w:bookmarkStart w:id="36" w:name="_Ref167437328"/>
      <w:bookmarkStart w:id="37" w:name="_Toc182321008"/>
      <w:r w:rsidRPr="0055149C">
        <w:lastRenderedPageBreak/>
        <w:t xml:space="preserve">Prinsipielle vurderinger </w:t>
      </w:r>
      <w:r w:rsidR="00D219C6" w:rsidRPr="0055149C">
        <w:t>av</w:t>
      </w:r>
      <w:r w:rsidR="00873B6E" w:rsidRPr="0055149C">
        <w:t xml:space="preserve"> m</w:t>
      </w:r>
      <w:r w:rsidR="00736829" w:rsidRPr="0055149C">
        <w:t>åling</w:t>
      </w:r>
      <w:r w:rsidRPr="0055149C">
        <w:t>en</w:t>
      </w:r>
      <w:r w:rsidR="00736829" w:rsidRPr="0055149C">
        <w:t xml:space="preserve"> av kapitalkostnader</w:t>
      </w:r>
      <w:bookmarkEnd w:id="36"/>
      <w:bookmarkEnd w:id="37"/>
    </w:p>
    <w:p w14:paraId="122739D2" w14:textId="77CE9D76" w:rsidR="007B003D" w:rsidRPr="0055149C" w:rsidRDefault="00EF2409" w:rsidP="002A6BEE">
      <w:r w:rsidRPr="0055149C">
        <w:t xml:space="preserve">I </w:t>
      </w:r>
      <w:r w:rsidR="008B5436" w:rsidRPr="0055149C">
        <w:t>det følgende</w:t>
      </w:r>
      <w:r w:rsidRPr="0055149C">
        <w:t xml:space="preserve"> </w:t>
      </w:r>
      <w:r w:rsidR="00FE60A4" w:rsidRPr="0055149C">
        <w:t>gjennomgår vi relevant metodikk for måling av kapitalkostnade</w:t>
      </w:r>
      <w:r w:rsidR="00350F63">
        <w:t>r</w:t>
      </w:r>
      <w:r w:rsidR="00FE60A4" w:rsidRPr="0055149C">
        <w:t xml:space="preserve"> </w:t>
      </w:r>
      <w:r w:rsidR="00541283" w:rsidRPr="0055149C">
        <w:t xml:space="preserve">med vekt på </w:t>
      </w:r>
      <w:r w:rsidR="00B7787D">
        <w:t>kapitalslitet</w:t>
      </w:r>
      <w:r w:rsidR="00194AD6" w:rsidRPr="0055149C">
        <w:t xml:space="preserve"> og rentekostnader</w:t>
      </w:r>
      <w:r w:rsidR="00541283" w:rsidRPr="0055149C">
        <w:t xml:space="preserve">. </w:t>
      </w:r>
      <w:r w:rsidR="000664A5" w:rsidRPr="0055149C">
        <w:t xml:space="preserve">I </w:t>
      </w:r>
      <w:r w:rsidR="00071970" w:rsidRPr="0055149C">
        <w:t>tillegg kommer vi inn på betydningen av k</w:t>
      </w:r>
      <w:r w:rsidR="008B5436" w:rsidRPr="0055149C">
        <w:t>apitalens prisutvikling</w:t>
      </w:r>
      <w:r w:rsidR="00671432" w:rsidRPr="0055149C">
        <w:t xml:space="preserve"> og </w:t>
      </w:r>
      <w:r w:rsidR="00B0674D">
        <w:t xml:space="preserve">konseptet kapitaltjenester, som sammenfatter </w:t>
      </w:r>
      <w:r w:rsidR="005E297B">
        <w:t>kapitalkostnadene</w:t>
      </w:r>
      <w:r w:rsidR="00B0674D">
        <w:t>.</w:t>
      </w:r>
      <w:r w:rsidR="00A818BE">
        <w:t xml:space="preserve"> </w:t>
      </w:r>
      <w:r w:rsidR="00542DDA">
        <w:t>Med dette gir kapittelet en innføring i hvordan kommunenes kapitalkostnader kan og bør måles fra et prinsipielt ståsted.</w:t>
      </w:r>
    </w:p>
    <w:p w14:paraId="2AAFFBEE" w14:textId="0C666F32" w:rsidR="00736829" w:rsidRPr="0055149C" w:rsidRDefault="00345731" w:rsidP="007B003D">
      <w:pPr>
        <w:pStyle w:val="Overskrift2"/>
      </w:pPr>
      <w:bookmarkStart w:id="38" w:name="_Toc182321009"/>
      <w:r w:rsidRPr="0055149C">
        <w:t xml:space="preserve">Håndtering av </w:t>
      </w:r>
      <w:r w:rsidR="00B7787D">
        <w:t>realkapitalen</w:t>
      </w:r>
      <w:bookmarkEnd w:id="38"/>
    </w:p>
    <w:p w14:paraId="2C711A4A" w14:textId="25F109F7" w:rsidR="00A818BE" w:rsidRPr="0055149C" w:rsidRDefault="007D1FB5" w:rsidP="00A818BE">
      <w:pPr>
        <w:rPr>
          <w:lang w:eastAsia="nb-NO"/>
        </w:rPr>
      </w:pPr>
      <w:r w:rsidRPr="0055149C">
        <w:t>For å sikre en adekvat måling av realkapitalbasen bør dens heterogenitet adresseres. Målingen av realkapitalbasen vil igjen være bestemmende for målingen av kapitalslitet.</w:t>
      </w:r>
      <w:r w:rsidR="008B5436" w:rsidRPr="0055149C">
        <w:t xml:space="preserve"> Vi vil </w:t>
      </w:r>
      <w:r w:rsidR="00140D4B">
        <w:t>i dette kapittelet</w:t>
      </w:r>
      <w:r w:rsidR="002E22BF" w:rsidRPr="0055149C">
        <w:rPr>
          <w:lang w:eastAsia="nb-NO"/>
        </w:rPr>
        <w:t xml:space="preserve"> redegjøre kort for hva realkapitalen består av</w:t>
      </w:r>
      <w:r w:rsidR="00DE2C1F" w:rsidRPr="0055149C">
        <w:rPr>
          <w:lang w:eastAsia="nb-NO"/>
        </w:rPr>
        <w:t>,</w:t>
      </w:r>
      <w:r w:rsidR="002E22BF" w:rsidRPr="0055149C">
        <w:rPr>
          <w:lang w:eastAsia="nb-NO"/>
        </w:rPr>
        <w:t xml:space="preserve"> og hvordan det spiller inn på målingen av kapitalslitet.</w:t>
      </w:r>
      <w:r w:rsidR="00140D4B">
        <w:rPr>
          <w:lang w:eastAsia="nb-NO"/>
        </w:rPr>
        <w:t xml:space="preserve"> I tillegg kommer vi inn på måling av bruttoinvesteringene og </w:t>
      </w:r>
      <w:r w:rsidR="00A818BE" w:rsidRPr="0055149C">
        <w:t xml:space="preserve">håndteringen av ulike aggregeringsnivåer i </w:t>
      </w:r>
      <w:r w:rsidR="001F6CEC">
        <w:t>grunnlagsdataene</w:t>
      </w:r>
      <w:r w:rsidR="00A818BE" w:rsidRPr="0055149C">
        <w:t>.</w:t>
      </w:r>
    </w:p>
    <w:p w14:paraId="45D0F5BF" w14:textId="5248CC0D" w:rsidR="004011B5" w:rsidRDefault="0099407E" w:rsidP="0099407E">
      <w:pPr>
        <w:pStyle w:val="Overskrift3"/>
      </w:pPr>
      <w:r>
        <w:t>Måling av bruttoinvesteringer</w:t>
      </w:r>
    </w:p>
    <w:p w14:paraId="11084882" w14:textId="2AA2F74A" w:rsidR="00357D8A" w:rsidRDefault="004011B5" w:rsidP="004011B5">
      <w:r>
        <w:t xml:space="preserve">Bruttoinvesteringer </w:t>
      </w:r>
      <w:r w:rsidR="00D3086C">
        <w:t>– også kjent som b</w:t>
      </w:r>
      <w:r w:rsidR="00D3086C" w:rsidRPr="00D3086C">
        <w:t>rutto kapitaldannelse</w:t>
      </w:r>
      <w:r w:rsidR="00D3086C">
        <w:t xml:space="preserve"> – </w:t>
      </w:r>
      <w:r>
        <w:t>innebærer anskaffelser og nedleggelse av ressursinnsats i realkapital</w:t>
      </w:r>
      <w:r w:rsidR="005C7B91">
        <w:t>,</w:t>
      </w:r>
      <w:r>
        <w:t xml:space="preserve"> varer</w:t>
      </w:r>
      <w:r w:rsidR="005C7B91">
        <w:t xml:space="preserve"> eller verdigjenstander</w:t>
      </w:r>
      <w:r>
        <w:t xml:space="preserve"> som vedvarer over tid, fratrukket avhendinger. </w:t>
      </w:r>
      <w:r w:rsidR="00AC7986">
        <w:t>På aggregert nivå har k</w:t>
      </w:r>
      <w:r w:rsidR="00433AAA">
        <w:t>ons</w:t>
      </w:r>
      <w:r w:rsidR="000F7008">
        <w:t>ept</w:t>
      </w:r>
      <w:r w:rsidR="004E7EDC">
        <w:t>e</w:t>
      </w:r>
      <w:r w:rsidR="00433AAA">
        <w:t xml:space="preserve">t </w:t>
      </w:r>
      <w:r w:rsidR="00AC7986">
        <w:t>røtter tilbake til</w:t>
      </w:r>
      <w:r w:rsidR="00AE15F1">
        <w:t xml:space="preserve"> utviklingen av</w:t>
      </w:r>
      <w:r w:rsidR="004E7EDC">
        <w:t xml:space="preserve"> vestlig</w:t>
      </w:r>
      <w:r w:rsidR="00AE15F1">
        <w:t xml:space="preserve"> nasjonalregnskaps</w:t>
      </w:r>
      <w:r w:rsidR="004E7EDC">
        <w:t>metodikk på 1930-tallet (se for eksempel</w:t>
      </w:r>
      <w:r w:rsidR="001F7E21">
        <w:t xml:space="preserve"> </w:t>
      </w:r>
      <w:r w:rsidR="001F7E21" w:rsidRPr="0055149C">
        <w:t>Kuznets 1934</w:t>
      </w:r>
      <w:r w:rsidR="001F7E21">
        <w:t>).</w:t>
      </w:r>
      <w:r w:rsidR="004E7EDC">
        <w:t xml:space="preserve"> Merk at bruttoinvesteringer </w:t>
      </w:r>
      <w:r w:rsidR="00541D36">
        <w:t xml:space="preserve">er et mål for realinvesteringer og </w:t>
      </w:r>
      <w:r w:rsidR="00CA1B32">
        <w:t>ekskluderer finansielle investeringer, idet d</w:t>
      </w:r>
      <w:r w:rsidR="00541D36">
        <w:t>isse</w:t>
      </w:r>
      <w:r w:rsidR="00CA1B32">
        <w:t xml:space="preserve"> ikke kan knyttes til driften.</w:t>
      </w:r>
    </w:p>
    <w:p w14:paraId="5A7C4170" w14:textId="06290A08" w:rsidR="004011B5" w:rsidRDefault="004011B5" w:rsidP="004011B5">
      <w:r>
        <w:t>Eksempler på former for anskaffet realkapital er bygg, anlegg, tomter, maskiner, transportmidler, utstyr, kultiverte biologiske ressurser og patenter. Realkapital opparbeidet av gjennom egen ressursinnsats vil typisk være forskning og utvikling, men det kan også dreie seg</w:t>
      </w:r>
      <w:r w:rsidR="001606A3">
        <w:t xml:space="preserve"> om</w:t>
      </w:r>
      <w:r>
        <w:t xml:space="preserve"> egne patenteringer eller opparbeidede fysiske realkapitalvarer til egen bruk. Varelageret består derimot av varer som forbrukes forløpende, der beholdningen endres over tid avhengig av tilførsel eller forbruk.</w:t>
      </w:r>
      <w:r w:rsidRPr="000A6CB4">
        <w:t xml:space="preserve"> </w:t>
      </w:r>
      <w:r w:rsidR="00B44F0E">
        <w:t>Videre er n</w:t>
      </w:r>
      <w:r w:rsidR="005C7B91" w:rsidRPr="005C7B91">
        <w:t>ettoanskaffelser av verdigjenstander</w:t>
      </w:r>
      <w:r w:rsidR="00B44F0E">
        <w:t xml:space="preserve"> </w:t>
      </w:r>
      <w:r w:rsidR="00880667">
        <w:t>lite</w:t>
      </w:r>
      <w:r w:rsidR="00B44F0E">
        <w:t xml:space="preserve"> relevant når man ser på </w:t>
      </w:r>
      <w:r w:rsidR="00880667">
        <w:t>produksjons</w:t>
      </w:r>
      <w:r w:rsidR="002558CC">
        <w:t>enheter</w:t>
      </w:r>
      <w:r w:rsidR="00880667">
        <w:t xml:space="preserve"> </w:t>
      </w:r>
      <w:r w:rsidR="002558CC">
        <w:t>som</w:t>
      </w:r>
      <w:r w:rsidR="00880667">
        <w:t xml:space="preserve"> kommunal sektor.</w:t>
      </w:r>
      <w:r w:rsidR="002558CC">
        <w:t xml:space="preserve"> </w:t>
      </w:r>
      <w:r>
        <w:t>I vår kontekst vil vi kun være interessert i bruttoinvesteringer i fast realkapital, som også vil dominere de samlede bruttoinvesteringene i de fleste sammenhenger. Vi referer</w:t>
      </w:r>
      <w:r w:rsidR="00FF3511">
        <w:t>er</w:t>
      </w:r>
      <w:r>
        <w:t xml:space="preserve"> til seksjon </w:t>
      </w:r>
      <w:r w:rsidR="0039405E">
        <w:rPr>
          <w:highlight w:val="yellow"/>
        </w:rPr>
        <w:fldChar w:fldCharType="begin"/>
      </w:r>
      <w:r w:rsidR="0039405E">
        <w:instrText xml:space="preserve"> REF _Ref178638784 \r \h </w:instrText>
      </w:r>
      <w:r w:rsidR="0039405E">
        <w:rPr>
          <w:highlight w:val="yellow"/>
        </w:rPr>
      </w:r>
      <w:r w:rsidR="0039405E">
        <w:rPr>
          <w:highlight w:val="yellow"/>
        </w:rPr>
        <w:fldChar w:fldCharType="separate"/>
      </w:r>
      <w:r w:rsidR="009B1DA8">
        <w:t>2.1.3</w:t>
      </w:r>
      <w:r w:rsidR="0039405E">
        <w:rPr>
          <w:highlight w:val="yellow"/>
        </w:rPr>
        <w:fldChar w:fldCharType="end"/>
      </w:r>
      <w:r>
        <w:t xml:space="preserve"> for en nærmere konseptuell diskusjon av realkapitalkonseptet og seksjon</w:t>
      </w:r>
      <w:r w:rsidR="00495A75">
        <w:t xml:space="preserve"> </w:t>
      </w:r>
      <w:r w:rsidR="00495A75">
        <w:rPr>
          <w:highlight w:val="yellow"/>
        </w:rPr>
        <w:fldChar w:fldCharType="begin"/>
      </w:r>
      <w:r w:rsidR="00495A75">
        <w:instrText xml:space="preserve"> REF _Ref166249059 \r \h </w:instrText>
      </w:r>
      <w:r w:rsidR="00495A75">
        <w:rPr>
          <w:highlight w:val="yellow"/>
        </w:rPr>
      </w:r>
      <w:r w:rsidR="00495A75">
        <w:rPr>
          <w:highlight w:val="yellow"/>
        </w:rPr>
        <w:fldChar w:fldCharType="separate"/>
      </w:r>
      <w:r w:rsidR="009B1DA8">
        <w:t>3.1.1</w:t>
      </w:r>
      <w:r w:rsidR="00495A75">
        <w:rPr>
          <w:highlight w:val="yellow"/>
        </w:rPr>
        <w:fldChar w:fldCharType="end"/>
      </w:r>
      <w:r w:rsidR="00495A75">
        <w:t xml:space="preserve"> </w:t>
      </w:r>
      <w:r>
        <w:t>for den operative definisjon</w:t>
      </w:r>
      <w:r w:rsidR="0079201F">
        <w:t>en</w:t>
      </w:r>
      <w:r w:rsidR="00495A75">
        <w:t xml:space="preserve"> i vår</w:t>
      </w:r>
      <w:r w:rsidR="0079201F">
        <w:t>t</w:t>
      </w:r>
      <w:r w:rsidR="00495A75">
        <w:t xml:space="preserve"> datagrunnlag, som ligger til grunn for</w:t>
      </w:r>
      <w:r>
        <w:t xml:space="preserve"> våre empiriske undersøkelser.</w:t>
      </w:r>
      <w:r w:rsidR="00704F3D" w:rsidRPr="00704F3D">
        <w:t xml:space="preserve"> </w:t>
      </w:r>
      <w:r w:rsidR="00704F3D">
        <w:t xml:space="preserve">For gitt tilpasningskostnader justerer beslutningsenheter sine kapitalbeholdninger gradvis i retning av ønskede nivåer gjennom investeringer (Haavelmo 1954 og Tobin </w:t>
      </w:r>
      <w:r w:rsidR="00725CB4">
        <w:t xml:space="preserve">og Brainard </w:t>
      </w:r>
      <w:r w:rsidR="00704F3D">
        <w:t>1977).</w:t>
      </w:r>
    </w:p>
    <w:p w14:paraId="2437704A" w14:textId="1AC1086D" w:rsidR="004011B5" w:rsidRDefault="004011B5" w:rsidP="004011B5">
      <w:r>
        <w:t>Bruttoinvesteringene i en periode kan avledes fra regnskapet som endringen i kapitalbeholdningen fratrukket av- og nedskrivninger.</w:t>
      </w:r>
      <w:r w:rsidR="00C1536C">
        <w:t xml:space="preserve"> Ved tradisjonelle regnskapsstandarder </w:t>
      </w:r>
      <w:r w:rsidR="00A3657A">
        <w:t>der</w:t>
      </w:r>
      <w:r w:rsidR="00EB2AD4">
        <w:t xml:space="preserve"> </w:t>
      </w:r>
      <w:r w:rsidR="00771155">
        <w:t>balanserefør</w:t>
      </w:r>
      <w:r w:rsidR="00A3657A">
        <w:t>ingen skjer</w:t>
      </w:r>
      <w:r w:rsidR="00771155">
        <w:t xml:space="preserve"> til historiske kostnader – </w:t>
      </w:r>
      <w:r w:rsidR="00771155" w:rsidRPr="002F5EAC">
        <w:t>herunder</w:t>
      </w:r>
      <w:r w:rsidR="00D30148" w:rsidRPr="002F5EAC">
        <w:t xml:space="preserve"> «</w:t>
      </w:r>
      <w:r w:rsidR="00574171" w:rsidRPr="002F5EAC">
        <w:rPr>
          <w:b/>
          <w:bCs/>
          <w:color w:val="3672B0" w:themeColor="accent2"/>
          <w:lang w:eastAsia="nb-NO"/>
        </w:rPr>
        <w:t>God kommunal regnskapsskikk</w:t>
      </w:r>
      <w:r w:rsidR="00D30148" w:rsidRPr="002F5EAC">
        <w:rPr>
          <w:color w:val="auto"/>
          <w:lang w:eastAsia="nb-NO"/>
        </w:rPr>
        <w:t>»</w:t>
      </w:r>
      <w:r w:rsidR="00D30148" w:rsidRPr="002F5EAC">
        <w:rPr>
          <w:color w:val="3672B0" w:themeColor="accent2"/>
          <w:lang w:eastAsia="nb-NO"/>
        </w:rPr>
        <w:t xml:space="preserve"> </w:t>
      </w:r>
      <w:r w:rsidR="00C1536C" w:rsidRPr="0055149C">
        <w:rPr>
          <w:lang w:eastAsia="nb-NO"/>
        </w:rPr>
        <w:t>(</w:t>
      </w:r>
      <w:r w:rsidR="00C1536C" w:rsidRPr="0055149C">
        <w:rPr>
          <w:color w:val="3672B0" w:themeColor="accent2"/>
          <w:lang w:eastAsia="nb-NO"/>
        </w:rPr>
        <w:t>GKRS</w:t>
      </w:r>
      <w:r w:rsidR="00C1536C" w:rsidRPr="0055149C">
        <w:rPr>
          <w:lang w:eastAsia="nb-NO"/>
        </w:rPr>
        <w:t>)</w:t>
      </w:r>
      <w:r w:rsidR="00771155">
        <w:rPr>
          <w:lang w:eastAsia="nb-NO"/>
        </w:rPr>
        <w:t xml:space="preserve"> – </w:t>
      </w:r>
      <w:r w:rsidR="00C1536C">
        <w:rPr>
          <w:lang w:eastAsia="nb-NO"/>
        </w:rPr>
        <w:t>bør denne utregningen skje i løpende priser</w:t>
      </w:r>
      <w:r w:rsidR="006B75FA">
        <w:rPr>
          <w:lang w:eastAsia="nb-NO"/>
        </w:rPr>
        <w:t xml:space="preserve"> (se seksjon </w:t>
      </w:r>
      <w:r w:rsidR="006B75FA">
        <w:rPr>
          <w:lang w:eastAsia="nb-NO"/>
        </w:rPr>
        <w:fldChar w:fldCharType="begin"/>
      </w:r>
      <w:r w:rsidR="006B75FA">
        <w:rPr>
          <w:lang w:eastAsia="nb-NO"/>
        </w:rPr>
        <w:instrText xml:space="preserve"> REF _Ref179367368 \r \h </w:instrText>
      </w:r>
      <w:r w:rsidR="006B75FA">
        <w:rPr>
          <w:lang w:eastAsia="nb-NO"/>
        </w:rPr>
      </w:r>
      <w:r w:rsidR="006B75FA">
        <w:rPr>
          <w:lang w:eastAsia="nb-NO"/>
        </w:rPr>
        <w:fldChar w:fldCharType="separate"/>
      </w:r>
      <w:r w:rsidR="009B1DA8">
        <w:rPr>
          <w:lang w:eastAsia="nb-NO"/>
        </w:rPr>
        <w:t>2.1.2</w:t>
      </w:r>
      <w:r w:rsidR="006B75FA">
        <w:rPr>
          <w:lang w:eastAsia="nb-NO"/>
        </w:rPr>
        <w:fldChar w:fldCharType="end"/>
      </w:r>
      <w:r w:rsidR="006B75FA">
        <w:rPr>
          <w:lang w:eastAsia="nb-NO"/>
        </w:rPr>
        <w:t xml:space="preserve"> for mer om </w:t>
      </w:r>
      <w:r w:rsidR="006B75FA">
        <w:rPr>
          <w:lang w:eastAsia="nb-NO"/>
        </w:rPr>
        <w:lastRenderedPageBreak/>
        <w:t>regnskapsstandarder)</w:t>
      </w:r>
      <w:r w:rsidR="008D579C">
        <w:rPr>
          <w:lang w:eastAsia="nb-NO"/>
        </w:rPr>
        <w:t>.</w:t>
      </w:r>
      <w:r w:rsidR="00D712E1" w:rsidRPr="00D712E1">
        <w:t xml:space="preserve"> </w:t>
      </w:r>
      <w:r w:rsidR="008D579C" w:rsidRPr="008D579C">
        <w:t>Ved regnskapsstandarder der balanseføringen skjer til oppdaterte priser – hvilket i praksis vil være tilfellet for «</w:t>
      </w:r>
      <w:r w:rsidR="008D579C" w:rsidRPr="008D579C">
        <w:rPr>
          <w:b/>
          <w:bCs/>
          <w:color w:val="3672B0" w:themeColor="accent2"/>
        </w:rPr>
        <w:t>International Financial Reporting Standards</w:t>
      </w:r>
      <w:r w:rsidR="008D579C" w:rsidRPr="008D579C">
        <w:t>» (</w:t>
      </w:r>
      <w:r w:rsidR="008D579C" w:rsidRPr="008D579C">
        <w:rPr>
          <w:color w:val="3672B0" w:themeColor="accent2"/>
        </w:rPr>
        <w:t>IFRS</w:t>
      </w:r>
      <w:r w:rsidR="008D579C" w:rsidRPr="008D579C">
        <w:t xml:space="preserve">) – bør man derimot regne ut investeringssammenhengen i faste priser (se Holmen 2022a </w:t>
      </w:r>
      <w:r w:rsidR="00C77FC5">
        <w:t xml:space="preserve">og </w:t>
      </w:r>
      <w:r w:rsidR="003E421D" w:rsidRPr="003E421D">
        <w:t>Callao</w:t>
      </w:r>
      <w:r w:rsidR="00C77FC5">
        <w:t>,</w:t>
      </w:r>
      <w:r w:rsidR="003E421D" w:rsidRPr="003E421D">
        <w:t xml:space="preserve"> Jarne</w:t>
      </w:r>
      <w:r w:rsidR="00C77FC5">
        <w:t xml:space="preserve"> og</w:t>
      </w:r>
      <w:r w:rsidR="003E421D" w:rsidRPr="003E421D">
        <w:t xml:space="preserve"> Laínez 2007</w:t>
      </w:r>
      <w:r w:rsidR="00C77FC5">
        <w:t xml:space="preserve"> </w:t>
      </w:r>
      <w:r w:rsidR="008D579C" w:rsidRPr="008D579C">
        <w:t>for detaljer).</w:t>
      </w:r>
      <w:r w:rsidR="008D579C">
        <w:t xml:space="preserve"> </w:t>
      </w:r>
      <w:r w:rsidR="007C7094">
        <w:t>Videre oppgis b</w:t>
      </w:r>
      <w:r w:rsidR="00D712E1" w:rsidRPr="00AF029B">
        <w:t>ruttoinvesteringer med fradrag for inngående merverdiavgift</w:t>
      </w:r>
      <w:r w:rsidR="00D712E1">
        <w:t>.</w:t>
      </w:r>
      <w:r w:rsidR="005E7A9F" w:rsidRPr="005E7A9F">
        <w:t xml:space="preserve"> </w:t>
      </w:r>
      <w:r w:rsidR="005E7A9F">
        <w:t>I</w:t>
      </w:r>
      <w:r w:rsidR="00A3122C">
        <w:t xml:space="preserve"> utarbeidelsen av nasjonalregnskapet </w:t>
      </w:r>
      <w:r w:rsidR="00A235B0">
        <w:t xml:space="preserve">benytter Statistisk sentralbyrå </w:t>
      </w:r>
      <w:r w:rsidR="00A3122C">
        <w:t>i tillegg</w:t>
      </w:r>
      <w:r w:rsidR="003B2607" w:rsidRPr="003B2607">
        <w:t xml:space="preserve"> </w:t>
      </w:r>
      <w:r w:rsidR="003B2607">
        <w:t>egne investeringsundersøkelser</w:t>
      </w:r>
      <w:r w:rsidR="005E7A9F">
        <w:t xml:space="preserve"> (se </w:t>
      </w:r>
      <w:r w:rsidR="005E7A9F" w:rsidRPr="0055149C">
        <w:t>Todsen 1997a og 1997b</w:t>
      </w:r>
      <w:r w:rsidR="005E7A9F">
        <w:t xml:space="preserve">, og </w:t>
      </w:r>
      <w:r w:rsidR="005E7A9F" w:rsidRPr="0055149C">
        <w:t>Amdal med flere 2016</w:t>
      </w:r>
      <w:r w:rsidR="005E7A9F">
        <w:t>).</w:t>
      </w:r>
    </w:p>
    <w:p w14:paraId="450E8996" w14:textId="267128B2" w:rsidR="001B5F5E" w:rsidRDefault="007D491D" w:rsidP="001B5F5E">
      <w:pPr>
        <w:rPr>
          <w:lang w:eastAsia="nb-NO"/>
        </w:rPr>
      </w:pPr>
      <w:r>
        <w:t xml:space="preserve">Bruttoinvesteringer innebærer en strøm av investeringer, altså </w:t>
      </w:r>
      <w:r w:rsidR="00155E97">
        <w:t>differansen</w:t>
      </w:r>
      <w:r w:rsidR="001E0FF3">
        <w:t xml:space="preserve"> mellom</w:t>
      </w:r>
      <w:r w:rsidR="00D705ED">
        <w:t xml:space="preserve"> </w:t>
      </w:r>
      <w:r w:rsidR="001A0579">
        <w:t>investeringer</w:t>
      </w:r>
      <w:r w:rsidR="00F3326D">
        <w:t xml:space="preserve"> i kapital</w:t>
      </w:r>
      <w:r w:rsidR="001A0579">
        <w:t xml:space="preserve"> </w:t>
      </w:r>
      <w:r w:rsidR="001E0FF3">
        <w:t>og avhendinger.</w:t>
      </w:r>
      <w:r w:rsidR="00BE518A">
        <w:t xml:space="preserve"> </w:t>
      </w:r>
      <w:r w:rsidR="00F64AFA">
        <w:t>Ordet «brutto» referer</w:t>
      </w:r>
      <w:r w:rsidR="002F0AE2">
        <w:t>er</w:t>
      </w:r>
      <w:r w:rsidR="00F64AFA">
        <w:t xml:space="preserve"> dermed ikke til at man kun s</w:t>
      </w:r>
      <w:r w:rsidR="00F3326D">
        <w:t>er på selskapets</w:t>
      </w:r>
      <w:r w:rsidR="00AE276C">
        <w:t xml:space="preserve"> realinvesteringer som øker kapitalmassen</w:t>
      </w:r>
      <w:r w:rsidR="002941D8">
        <w:t>.</w:t>
      </w:r>
      <w:r w:rsidR="00691B2B">
        <w:t xml:space="preserve"> </w:t>
      </w:r>
      <w:r w:rsidR="002941D8">
        <w:t xml:space="preserve">Isteden </w:t>
      </w:r>
      <w:r w:rsidR="00ED1016">
        <w:t xml:space="preserve">refererer </w:t>
      </w:r>
      <w:r w:rsidR="002941D8">
        <w:t xml:space="preserve">det til at man betrakter investeringen, før man har tatt hensyn til </w:t>
      </w:r>
      <w:r w:rsidR="005C38AF">
        <w:t xml:space="preserve">kapitalslitet. Nettoinvesteringer </w:t>
      </w:r>
      <w:r w:rsidR="00916CE4">
        <w:t>tilsvarer derimot realinvesteringene</w:t>
      </w:r>
      <w:r w:rsidR="005C38AF">
        <w:t xml:space="preserve"> etter at kapitalslitet er trukket fra</w:t>
      </w:r>
      <w:r w:rsidR="00BE518A">
        <w:t>.</w:t>
      </w:r>
      <w:r w:rsidR="00F958D4">
        <w:t xml:space="preserve"> </w:t>
      </w:r>
      <w:r w:rsidR="002B37A9">
        <w:t>Ettersom kommuneregnskape</w:t>
      </w:r>
      <w:r w:rsidR="00590E20">
        <w:t>ne rapportert inn til</w:t>
      </w:r>
      <w:r w:rsidR="00BE518A">
        <w:t xml:space="preserve"> </w:t>
      </w:r>
      <w:r w:rsidR="00590E20" w:rsidRPr="00863B53">
        <w:rPr>
          <w:b/>
          <w:bCs/>
          <w:color w:val="3672B0" w:themeColor="accent2"/>
          <w:lang w:eastAsia="nb-NO"/>
        </w:rPr>
        <w:t>KOSTRA</w:t>
      </w:r>
      <w:r w:rsidR="00590E20" w:rsidRPr="00863B53">
        <w:rPr>
          <w:lang w:eastAsia="nb-NO"/>
        </w:rPr>
        <w:t xml:space="preserve"> (</w:t>
      </w:r>
      <w:r w:rsidR="007B60ED" w:rsidRPr="00863B53">
        <w:rPr>
          <w:lang w:eastAsia="nb-NO"/>
        </w:rPr>
        <w:t>«</w:t>
      </w:r>
      <w:r w:rsidR="00590E20" w:rsidRPr="002B49AE">
        <w:rPr>
          <w:i/>
          <w:iCs/>
          <w:color w:val="3672B0" w:themeColor="accent2"/>
          <w:lang w:eastAsia="nb-NO"/>
        </w:rPr>
        <w:t>KOmmune-STat-Rapportering</w:t>
      </w:r>
      <w:r w:rsidR="007B60ED" w:rsidRPr="00863B53">
        <w:rPr>
          <w:lang w:eastAsia="nb-NO"/>
        </w:rPr>
        <w:t>»)</w:t>
      </w:r>
      <w:r w:rsidR="00D778AA" w:rsidRPr="00863B53">
        <w:rPr>
          <w:lang w:eastAsia="nb-NO"/>
        </w:rPr>
        <w:t xml:space="preserve"> er</w:t>
      </w:r>
      <w:r w:rsidR="00D778AA">
        <w:rPr>
          <w:lang w:eastAsia="nb-NO"/>
        </w:rPr>
        <w:t xml:space="preserve"> ført etter kontantprinsippet snarere enn</w:t>
      </w:r>
      <w:r w:rsidR="00F958D4">
        <w:rPr>
          <w:lang w:eastAsia="nb-NO"/>
        </w:rPr>
        <w:t xml:space="preserve"> p</w:t>
      </w:r>
      <w:r w:rsidR="00F958D4" w:rsidRPr="00F958D4">
        <w:rPr>
          <w:lang w:eastAsia="nb-NO"/>
        </w:rPr>
        <w:t>eriodiseringsprinsippet</w:t>
      </w:r>
      <w:r w:rsidR="000E01CD">
        <w:rPr>
          <w:lang w:eastAsia="nb-NO"/>
        </w:rPr>
        <w:t xml:space="preserve"> (</w:t>
      </w:r>
      <w:r w:rsidR="00792FE1">
        <w:rPr>
          <w:lang w:eastAsia="nb-NO"/>
        </w:rPr>
        <w:t xml:space="preserve">se </w:t>
      </w:r>
      <w:r w:rsidR="00792FE1" w:rsidRPr="00792FE1">
        <w:rPr>
          <w:lang w:eastAsia="nb-NO"/>
        </w:rPr>
        <w:t>Kommunal- og moderniseringsdepartementet 2019b og 2021b</w:t>
      </w:r>
      <w:r w:rsidR="000E01CD">
        <w:rPr>
          <w:lang w:eastAsia="nb-NO"/>
        </w:rPr>
        <w:t>)</w:t>
      </w:r>
      <w:r w:rsidR="00F958D4">
        <w:rPr>
          <w:lang w:eastAsia="nb-NO"/>
        </w:rPr>
        <w:t xml:space="preserve">, er det i kommunal sektor snakk om bruttoinvesteringsutgifter </w:t>
      </w:r>
      <w:r w:rsidR="001B5F5E">
        <w:rPr>
          <w:lang w:eastAsia="nb-NO"/>
        </w:rPr>
        <w:t>heller</w:t>
      </w:r>
      <w:r w:rsidR="00F958D4">
        <w:rPr>
          <w:lang w:eastAsia="nb-NO"/>
        </w:rPr>
        <w:t xml:space="preserve"> enn </w:t>
      </w:r>
      <w:r w:rsidR="000E01CD">
        <w:rPr>
          <w:lang w:eastAsia="nb-NO"/>
        </w:rPr>
        <w:t>bruttoinvesteringer. De</w:t>
      </w:r>
      <w:r w:rsidR="002D77C3">
        <w:rPr>
          <w:lang w:eastAsia="nb-NO"/>
        </w:rPr>
        <w:t>t</w:t>
      </w:r>
      <w:r w:rsidR="000E01CD">
        <w:rPr>
          <w:lang w:eastAsia="nb-NO"/>
        </w:rPr>
        <w:t xml:space="preserve"> innebærer at vi må trekke avhending av fast realkapital </w:t>
      </w:r>
      <w:r w:rsidR="00DC4433">
        <w:rPr>
          <w:lang w:eastAsia="nb-NO"/>
        </w:rPr>
        <w:t xml:space="preserve">fra bruttodriftsutgiftene </w:t>
      </w:r>
      <w:r w:rsidR="000E01CD">
        <w:rPr>
          <w:lang w:eastAsia="nb-NO"/>
        </w:rPr>
        <w:t xml:space="preserve">for å </w:t>
      </w:r>
      <w:r w:rsidR="002D77C3">
        <w:rPr>
          <w:lang w:eastAsia="nb-NO"/>
        </w:rPr>
        <w:t>finne</w:t>
      </w:r>
      <w:r w:rsidR="000E01CD">
        <w:rPr>
          <w:lang w:eastAsia="nb-NO"/>
        </w:rPr>
        <w:t xml:space="preserve"> bruttoinvesteringene. For å klargjøre skillet mellom bruttoinvesteringene og bruttoinvesteringsutgiftene vil vi videre referere til </w:t>
      </w:r>
      <w:r w:rsidR="00D51CA3">
        <w:rPr>
          <w:lang w:eastAsia="nb-NO"/>
        </w:rPr>
        <w:t xml:space="preserve">bruttoinvesteringene som </w:t>
      </w:r>
      <w:r w:rsidR="000E01CD">
        <w:rPr>
          <w:lang w:eastAsia="nb-NO"/>
        </w:rPr>
        <w:t>bruttoinvesterin</w:t>
      </w:r>
      <w:r w:rsidR="00D51CA3">
        <w:rPr>
          <w:lang w:eastAsia="nb-NO"/>
        </w:rPr>
        <w:t xml:space="preserve">gsstrømmer, </w:t>
      </w:r>
      <w:r w:rsidR="00160E79">
        <w:rPr>
          <w:lang w:eastAsia="nb-NO"/>
        </w:rPr>
        <w:t>men</w:t>
      </w:r>
      <w:r w:rsidR="00D51CA3">
        <w:rPr>
          <w:lang w:eastAsia="nb-NO"/>
        </w:rPr>
        <w:t xml:space="preserve"> meningsinnholdet </w:t>
      </w:r>
      <w:r w:rsidR="00D1072B">
        <w:rPr>
          <w:lang w:eastAsia="nb-NO"/>
        </w:rPr>
        <w:t>for</w:t>
      </w:r>
      <w:r w:rsidR="00160E79">
        <w:rPr>
          <w:lang w:eastAsia="nb-NO"/>
        </w:rPr>
        <w:t>blir det samme</w:t>
      </w:r>
      <w:r w:rsidR="00D51CA3">
        <w:rPr>
          <w:lang w:eastAsia="nb-NO"/>
        </w:rPr>
        <w:t>.</w:t>
      </w:r>
    </w:p>
    <w:p w14:paraId="75C4F835" w14:textId="73948C9F" w:rsidR="000D32DE" w:rsidRPr="0055149C" w:rsidRDefault="001D7942" w:rsidP="001D198E">
      <w:pPr>
        <w:pStyle w:val="Overskrift3"/>
      </w:pPr>
      <w:bookmarkStart w:id="39" w:name="_Ref179367368"/>
      <w:r w:rsidRPr="0055149C">
        <w:t>Bokføring av regnskapsmessig</w:t>
      </w:r>
      <w:r w:rsidR="005A7FA3" w:rsidRPr="0055149C">
        <w:t xml:space="preserve"> kapitalslit</w:t>
      </w:r>
      <w:bookmarkEnd w:id="39"/>
    </w:p>
    <w:p w14:paraId="7BD76D97" w14:textId="5500EB8F" w:rsidR="008C2368" w:rsidRPr="0055149C" w:rsidRDefault="008C2368" w:rsidP="008C2368">
      <w:pPr>
        <w:rPr>
          <w:lang w:eastAsia="nb-NO"/>
        </w:rPr>
      </w:pPr>
      <w:r w:rsidRPr="0055149C">
        <w:rPr>
          <w:lang w:eastAsia="nb-NO"/>
        </w:rPr>
        <w:t xml:space="preserve">I regnskapssammenheng kan kostnader enten kostnadsføres med en gang eller kapitaliseres i form av investeringer som kostnadsføres over tid </w:t>
      </w:r>
      <w:r w:rsidR="007D1FB5" w:rsidRPr="0055149C">
        <w:rPr>
          <w:lang w:eastAsia="nb-NO"/>
        </w:rPr>
        <w:t>gjennom</w:t>
      </w:r>
      <w:r w:rsidRPr="0055149C">
        <w:rPr>
          <w:lang w:eastAsia="nb-NO"/>
        </w:rPr>
        <w:t xml:space="preserve"> av</w:t>
      </w:r>
      <w:r w:rsidR="00071970" w:rsidRPr="0055149C">
        <w:rPr>
          <w:lang w:eastAsia="nb-NO"/>
        </w:rPr>
        <w:t>skrivninger</w:t>
      </w:r>
      <w:r w:rsidRPr="0055149C">
        <w:rPr>
          <w:lang w:eastAsia="nb-NO"/>
        </w:rPr>
        <w:t xml:space="preserve"> og nedskrivninger. Denne formen for regnskapsmessig kapitalslit reflekterer at kapitalvarenes økonomiske verdi forvitres over tid gjennom reelt kapitalslit</w:t>
      </w:r>
      <w:r w:rsidR="009D7125" w:rsidRPr="0055149C">
        <w:rPr>
          <w:lang w:eastAsia="nb-NO"/>
        </w:rPr>
        <w:t>.</w:t>
      </w:r>
    </w:p>
    <w:p w14:paraId="129432CB" w14:textId="10A451B6" w:rsidR="008C2368" w:rsidRPr="0055149C" w:rsidRDefault="008C2368" w:rsidP="008C2368">
      <w:pPr>
        <w:rPr>
          <w:lang w:eastAsia="nb-NO"/>
        </w:rPr>
      </w:pPr>
      <w:r w:rsidRPr="0055149C">
        <w:rPr>
          <w:lang w:eastAsia="nb-NO"/>
        </w:rPr>
        <w:t>Prinsipielt er det liten grunn til å forskjellsbehandle kostnader som kostnadsføres med en gang og kostnader som kostnadsføres over tid i utgiftsutjevningen i inntektssystemet</w:t>
      </w:r>
      <w:r w:rsidR="00EB0705" w:rsidRPr="0055149C">
        <w:rPr>
          <w:lang w:eastAsia="nb-NO"/>
        </w:rPr>
        <w:t xml:space="preserve">. </w:t>
      </w:r>
      <w:r w:rsidR="007D1FB5" w:rsidRPr="0055149C">
        <w:rPr>
          <w:lang w:eastAsia="nb-NO"/>
        </w:rPr>
        <w:t>Timingen for kompensasjonen og samsvar mellom kostnader, utgifter og kompensasjon kan like fullt ha en viss betydning</w:t>
      </w:r>
      <w:r w:rsidRPr="0055149C">
        <w:rPr>
          <w:lang w:eastAsia="nb-NO"/>
        </w:rPr>
        <w:t xml:space="preserve">. </w:t>
      </w:r>
      <w:r w:rsidR="00FC2BEB" w:rsidRPr="0055149C">
        <w:rPr>
          <w:lang w:eastAsia="nb-NO"/>
        </w:rPr>
        <w:t xml:space="preserve">En del av denne problematikken vil vi komme tilbake til </w:t>
      </w:r>
      <w:r w:rsidR="00B67A7C">
        <w:rPr>
          <w:lang w:eastAsia="nb-NO"/>
        </w:rPr>
        <w:t xml:space="preserve">i </w:t>
      </w:r>
      <w:r w:rsidR="00FC2BEB" w:rsidRPr="0055149C">
        <w:rPr>
          <w:lang w:eastAsia="nb-NO"/>
        </w:rPr>
        <w:t xml:space="preserve">delkapittel </w:t>
      </w:r>
      <w:r w:rsidR="00FC2BEB" w:rsidRPr="0055149C">
        <w:rPr>
          <w:lang w:eastAsia="nb-NO"/>
        </w:rPr>
        <w:fldChar w:fldCharType="begin"/>
      </w:r>
      <w:r w:rsidR="00FC2BEB" w:rsidRPr="0055149C">
        <w:rPr>
          <w:lang w:eastAsia="nb-NO"/>
        </w:rPr>
        <w:instrText xml:space="preserve"> REF _Ref166241324 \r \h </w:instrText>
      </w:r>
      <w:r w:rsidR="00F37C3B" w:rsidRPr="0055149C">
        <w:rPr>
          <w:lang w:eastAsia="nb-NO"/>
        </w:rPr>
        <w:instrText xml:space="preserve"> \* MERGEFORMAT </w:instrText>
      </w:r>
      <w:r w:rsidR="00FC2BEB" w:rsidRPr="0055149C">
        <w:rPr>
          <w:lang w:eastAsia="nb-NO"/>
        </w:rPr>
      </w:r>
      <w:r w:rsidR="00FC2BEB" w:rsidRPr="0055149C">
        <w:rPr>
          <w:lang w:eastAsia="nb-NO"/>
        </w:rPr>
        <w:fldChar w:fldCharType="separate"/>
      </w:r>
      <w:r w:rsidR="009B1DA8">
        <w:rPr>
          <w:lang w:eastAsia="nb-NO"/>
        </w:rPr>
        <w:t>2.1.6</w:t>
      </w:r>
      <w:r w:rsidR="00FC2BEB" w:rsidRPr="0055149C">
        <w:rPr>
          <w:lang w:eastAsia="nb-NO"/>
        </w:rPr>
        <w:fldChar w:fldCharType="end"/>
      </w:r>
      <w:r w:rsidR="00FC2BEB" w:rsidRPr="0055149C">
        <w:rPr>
          <w:lang w:eastAsia="nb-NO"/>
        </w:rPr>
        <w:t xml:space="preserve"> om rentekostnader. Når det gjelder realkapitalkostnadene</w:t>
      </w:r>
      <w:r w:rsidRPr="0055149C">
        <w:rPr>
          <w:lang w:eastAsia="nb-NO"/>
        </w:rPr>
        <w:t xml:space="preserve"> innebærer imidlertid måleproblematikk</w:t>
      </w:r>
      <w:r w:rsidR="000F3B0A" w:rsidRPr="0055149C">
        <w:rPr>
          <w:lang w:eastAsia="nb-NO"/>
        </w:rPr>
        <w:t>en</w:t>
      </w:r>
      <w:r w:rsidRPr="0055149C">
        <w:rPr>
          <w:lang w:eastAsia="nb-NO"/>
        </w:rPr>
        <w:t xml:space="preserve"> </w:t>
      </w:r>
      <w:r w:rsidR="00FC2BEB" w:rsidRPr="0055149C">
        <w:rPr>
          <w:lang w:eastAsia="nb-NO"/>
        </w:rPr>
        <w:t xml:space="preserve">i praksis </w:t>
      </w:r>
      <w:r w:rsidRPr="0055149C">
        <w:rPr>
          <w:lang w:eastAsia="nb-NO"/>
        </w:rPr>
        <w:t>argumenter mot å inkludere kapitalslitet i</w:t>
      </w:r>
      <w:r w:rsidR="00FC2BEB" w:rsidRPr="0055149C">
        <w:rPr>
          <w:lang w:eastAsia="nb-NO"/>
        </w:rPr>
        <w:t xml:space="preserve"> inntektssystemet</w:t>
      </w:r>
      <w:r w:rsidRPr="0055149C">
        <w:rPr>
          <w:lang w:eastAsia="nb-NO"/>
        </w:rPr>
        <w:t>. I det følgende vil vi redegjøre nærmere for hva disse måleproblemene består i, og hvordan de kan løses.</w:t>
      </w:r>
    </w:p>
    <w:p w14:paraId="0C47C18D" w14:textId="0B1782CF" w:rsidR="001D198E" w:rsidRPr="0055149C" w:rsidRDefault="001D198E" w:rsidP="001D198E">
      <w:r w:rsidRPr="0055149C">
        <w:rPr>
          <w:lang w:eastAsia="nb-NO"/>
        </w:rPr>
        <w:t xml:space="preserve">Kommuner og fylkeskommuner fører avskrivninger i regnskapet i tråd med Forskrift om økonomiplan, årsbudsjett, årsregnskap og årsberetning for kommuner og fylkeskommuner </w:t>
      </w:r>
      <w:r w:rsidR="002E4587" w:rsidRPr="0055149C">
        <w:rPr>
          <w:lang w:eastAsia="nb-NO"/>
        </w:rPr>
        <w:t xml:space="preserve">(Kommunal- og </w:t>
      </w:r>
      <w:r w:rsidR="00804736" w:rsidRPr="0055149C">
        <w:rPr>
          <w:lang w:eastAsia="nb-NO"/>
        </w:rPr>
        <w:t>moderniserings</w:t>
      </w:r>
      <w:r w:rsidR="002E4587" w:rsidRPr="0055149C">
        <w:rPr>
          <w:lang w:eastAsia="nb-NO"/>
        </w:rPr>
        <w:t>departementet 2019</w:t>
      </w:r>
      <w:r w:rsidR="008B18B5">
        <w:rPr>
          <w:lang w:eastAsia="nb-NO"/>
        </w:rPr>
        <w:t>b</w:t>
      </w:r>
      <w:r w:rsidR="007D1FB5" w:rsidRPr="0055149C">
        <w:rPr>
          <w:lang w:eastAsia="nb-NO"/>
        </w:rPr>
        <w:t>), samt tilsvarende lovverk for interkommunale selskaper</w:t>
      </w:r>
      <w:r w:rsidR="002E4587" w:rsidRPr="0055149C">
        <w:rPr>
          <w:lang w:eastAsia="nb-NO"/>
        </w:rPr>
        <w:t xml:space="preserve"> </w:t>
      </w:r>
      <w:r w:rsidR="007D1FB5" w:rsidRPr="0055149C">
        <w:rPr>
          <w:lang w:eastAsia="nb-NO"/>
        </w:rPr>
        <w:t>(</w:t>
      </w:r>
      <w:r w:rsidR="002E4587" w:rsidRPr="0055149C">
        <w:rPr>
          <w:lang w:eastAsia="nb-NO"/>
        </w:rPr>
        <w:t>Kommunal- og distriktsdepartementet 2023a)</w:t>
      </w:r>
      <w:r w:rsidRPr="0055149C">
        <w:rPr>
          <w:lang w:eastAsia="nb-NO"/>
        </w:rPr>
        <w:t xml:space="preserve">. Disse tallene publiseres i </w:t>
      </w:r>
      <w:r w:rsidR="008E7E43">
        <w:rPr>
          <w:lang w:eastAsia="nb-NO"/>
        </w:rPr>
        <w:t>KOSTRA</w:t>
      </w:r>
      <w:r w:rsidRPr="0055149C">
        <w:rPr>
          <w:lang w:eastAsia="nb-NO"/>
        </w:rPr>
        <w:t>, men er prisgitt regnskapsføringen i kommunal sektor. Selvkostveilederen til Kommunal- og distriktsdepartementet tilsier at kapitalslitet måles gjennom avskrivninger, det vil si periodisering av anskaffelseskostnaden over brukstiden (Kommunal- og moderniseringsdepartementet, BDO og Telemark</w:t>
      </w:r>
      <w:r w:rsidR="00221C03">
        <w:rPr>
          <w:lang w:eastAsia="nb-NO"/>
        </w:rPr>
        <w:t>s</w:t>
      </w:r>
      <w:r w:rsidRPr="0055149C">
        <w:rPr>
          <w:lang w:eastAsia="nb-NO"/>
        </w:rPr>
        <w:t>forsking 2014).</w:t>
      </w:r>
      <w:r w:rsidR="00F84098" w:rsidRPr="0055149C">
        <w:t xml:space="preserve"> Merk at regnskapspraksisen i kommunal sektor gjennomgås av Kommunal- og moderniseringsdepartementet (2021</w:t>
      </w:r>
      <w:r w:rsidR="0070064D">
        <w:t>b</w:t>
      </w:r>
      <w:r w:rsidR="00F84098" w:rsidRPr="0055149C">
        <w:t>).</w:t>
      </w:r>
    </w:p>
    <w:p w14:paraId="37D8F658" w14:textId="2AD7C807" w:rsidR="001D198E" w:rsidRPr="0055149C" w:rsidRDefault="001D198E" w:rsidP="001D198E">
      <w:pPr>
        <w:rPr>
          <w:lang w:eastAsia="nb-NO"/>
        </w:rPr>
      </w:pPr>
      <w:r w:rsidRPr="0055149C">
        <w:rPr>
          <w:lang w:eastAsia="nb-NO"/>
        </w:rPr>
        <w:t xml:space="preserve">Kapitalslitet varierer betydelig over kapitalformer og </w:t>
      </w:r>
      <w:r w:rsidR="00A26F1C" w:rsidRPr="0055149C">
        <w:rPr>
          <w:lang w:eastAsia="nb-NO"/>
        </w:rPr>
        <w:t>delsektorer, der delsektorer gjerne omtales som funksjoner</w:t>
      </w:r>
      <w:r w:rsidRPr="0055149C">
        <w:rPr>
          <w:lang w:eastAsia="nb-NO"/>
        </w:rPr>
        <w:t xml:space="preserve">. </w:t>
      </w:r>
      <w:r w:rsidR="003B5B5C" w:rsidRPr="0055149C">
        <w:rPr>
          <w:lang w:eastAsia="nb-NO"/>
        </w:rPr>
        <w:t xml:space="preserve">Samtidig oppgis kun det samlede kapitalslitet i </w:t>
      </w:r>
      <w:r w:rsidR="008E7E43">
        <w:rPr>
          <w:lang w:eastAsia="nb-NO"/>
        </w:rPr>
        <w:t>KOSTRA</w:t>
      </w:r>
      <w:r w:rsidR="003B5B5C" w:rsidRPr="0055149C">
        <w:rPr>
          <w:lang w:eastAsia="nb-NO"/>
        </w:rPr>
        <w:t xml:space="preserve"> (i selve kommunen/</w:t>
      </w:r>
      <w:r w:rsidR="003B5B5C" w:rsidRPr="00FA7CB7">
        <w:rPr>
          <w:lang w:eastAsia="nb-NO"/>
        </w:rPr>
        <w:t>fylkeskommunen eller hele konsernet).</w:t>
      </w:r>
      <w:r w:rsidR="00A90597" w:rsidRPr="00FA7CB7">
        <w:rPr>
          <w:lang w:eastAsia="nb-NO"/>
        </w:rPr>
        <w:t xml:space="preserve"> «</w:t>
      </w:r>
      <w:r w:rsidR="00574171" w:rsidRPr="00FA7CB7">
        <w:rPr>
          <w:b/>
          <w:bCs/>
          <w:color w:val="3672B0" w:themeColor="accent2"/>
          <w:lang w:eastAsia="nb-NO"/>
        </w:rPr>
        <w:t>God kommunal regnskapsskikk</w:t>
      </w:r>
      <w:r w:rsidR="00A90597" w:rsidRPr="00FA7CB7">
        <w:rPr>
          <w:color w:val="auto"/>
          <w:lang w:eastAsia="nb-NO"/>
        </w:rPr>
        <w:t>»</w:t>
      </w:r>
      <w:r w:rsidR="00691B2B" w:rsidRPr="00FA7CB7">
        <w:rPr>
          <w:b/>
          <w:bCs/>
          <w:color w:val="3672B0" w:themeColor="accent2"/>
          <w:lang w:eastAsia="nb-NO"/>
        </w:rPr>
        <w:t xml:space="preserve"> </w:t>
      </w:r>
      <w:r w:rsidRPr="00FA7CB7">
        <w:rPr>
          <w:lang w:eastAsia="nb-NO"/>
        </w:rPr>
        <w:t>(</w:t>
      </w:r>
      <w:r w:rsidRPr="00FA7CB7">
        <w:rPr>
          <w:color w:val="3672B0" w:themeColor="accent2"/>
          <w:lang w:eastAsia="nb-NO"/>
        </w:rPr>
        <w:t>GKRS</w:t>
      </w:r>
      <w:r w:rsidRPr="00FA7CB7">
        <w:rPr>
          <w:lang w:eastAsia="nb-NO"/>
        </w:rPr>
        <w:t xml:space="preserve">) er </w:t>
      </w:r>
      <w:r w:rsidRPr="00FA7CB7">
        <w:rPr>
          <w:lang w:eastAsia="nb-NO"/>
        </w:rPr>
        <w:lastRenderedPageBreak/>
        <w:t>beslektet med</w:t>
      </w:r>
      <w:r w:rsidR="00A90597" w:rsidRPr="00FA7CB7">
        <w:rPr>
          <w:lang w:eastAsia="nb-NO"/>
        </w:rPr>
        <w:t xml:space="preserve"> «</w:t>
      </w:r>
      <w:r w:rsidRPr="00FA7CB7">
        <w:rPr>
          <w:b/>
          <w:bCs/>
          <w:color w:val="3672B0" w:themeColor="accent2"/>
          <w:lang w:eastAsia="nb-NO"/>
        </w:rPr>
        <w:t>God regnskapsskikk</w:t>
      </w:r>
      <w:r w:rsidR="00A90597" w:rsidRPr="00FA7CB7">
        <w:rPr>
          <w:color w:val="auto"/>
          <w:lang w:eastAsia="nb-NO"/>
        </w:rPr>
        <w:t xml:space="preserve">» </w:t>
      </w:r>
      <w:r w:rsidRPr="00FA7CB7">
        <w:rPr>
          <w:lang w:eastAsia="nb-NO"/>
        </w:rPr>
        <w:t>(</w:t>
      </w:r>
      <w:r w:rsidRPr="00FA7CB7">
        <w:rPr>
          <w:color w:val="3672B0" w:themeColor="accent2"/>
          <w:lang w:eastAsia="nb-NO"/>
        </w:rPr>
        <w:t>GRS</w:t>
      </w:r>
      <w:r w:rsidRPr="00FA7CB7">
        <w:rPr>
          <w:lang w:eastAsia="nb-NO"/>
        </w:rPr>
        <w:t>) som benyttes av norske foretak og er en slags avart av regnskapssystemet som er kjent som</w:t>
      </w:r>
      <w:r w:rsidR="00A90597" w:rsidRPr="00FA7CB7">
        <w:rPr>
          <w:lang w:eastAsia="nb-NO"/>
        </w:rPr>
        <w:t xml:space="preserve"> «</w:t>
      </w:r>
      <w:r w:rsidRPr="00FA7CB7">
        <w:rPr>
          <w:b/>
          <w:bCs/>
          <w:color w:val="3672B0" w:themeColor="accent2"/>
          <w:lang w:eastAsia="nb-NO"/>
        </w:rPr>
        <w:t>GAAP</w:t>
      </w:r>
      <w:r w:rsidR="00A90597" w:rsidRPr="00FA7CB7">
        <w:rPr>
          <w:color w:val="auto"/>
          <w:lang w:eastAsia="nb-NO"/>
        </w:rPr>
        <w:t>»</w:t>
      </w:r>
      <w:r w:rsidRPr="00FA7CB7">
        <w:rPr>
          <w:b/>
          <w:bCs/>
          <w:color w:val="auto"/>
          <w:lang w:eastAsia="nb-NO"/>
        </w:rPr>
        <w:t>-</w:t>
      </w:r>
      <w:r w:rsidRPr="00FA7CB7">
        <w:rPr>
          <w:color w:val="auto"/>
          <w:lang w:eastAsia="nb-NO"/>
        </w:rPr>
        <w:t>regnskapsstandarde</w:t>
      </w:r>
      <w:r w:rsidR="002C74C6" w:rsidRPr="00FA7CB7">
        <w:rPr>
          <w:color w:val="auto"/>
          <w:lang w:eastAsia="nb-NO"/>
        </w:rPr>
        <w:t>r</w:t>
      </w:r>
      <w:r w:rsidR="00A90597" w:rsidRPr="00FA7CB7">
        <w:rPr>
          <w:color w:val="auto"/>
          <w:lang w:eastAsia="nb-NO"/>
        </w:rPr>
        <w:t xml:space="preserve"> </w:t>
      </w:r>
      <w:r w:rsidR="0025772F" w:rsidRPr="00FA7CB7">
        <w:rPr>
          <w:color w:val="auto"/>
          <w:lang w:eastAsia="nb-NO"/>
        </w:rPr>
        <w:t>(</w:t>
      </w:r>
      <w:r w:rsidR="003C3233" w:rsidRPr="00FA7CB7">
        <w:t>«</w:t>
      </w:r>
      <w:r w:rsidR="003C3233" w:rsidRPr="002B49AE">
        <w:rPr>
          <w:i/>
          <w:iCs/>
          <w:color w:val="3672B0" w:themeColor="accent2"/>
        </w:rPr>
        <w:t>Generally Accepted Accounting Principles</w:t>
      </w:r>
      <w:r w:rsidR="003C3233" w:rsidRPr="00FA7CB7">
        <w:t>»</w:t>
      </w:r>
      <w:r w:rsidR="0025772F" w:rsidRPr="00FA7CB7">
        <w:rPr>
          <w:color w:val="auto"/>
          <w:lang w:eastAsia="nb-NO"/>
        </w:rPr>
        <w:t xml:space="preserve">) </w:t>
      </w:r>
      <w:r w:rsidRPr="00FA7CB7">
        <w:rPr>
          <w:lang w:eastAsia="nb-NO"/>
        </w:rPr>
        <w:t>internasjonalt</w:t>
      </w:r>
      <w:r w:rsidRPr="0055149C">
        <w:rPr>
          <w:lang w:eastAsia="nb-NO"/>
        </w:rPr>
        <w:t>. Kapital</w:t>
      </w:r>
      <w:r w:rsidR="00873A6D" w:rsidRPr="0055149C">
        <w:rPr>
          <w:lang w:eastAsia="nb-NO"/>
        </w:rPr>
        <w:t>beholdning</w:t>
      </w:r>
      <w:r w:rsidRPr="0055149C">
        <w:rPr>
          <w:lang w:eastAsia="nb-NO"/>
        </w:rPr>
        <w:t>en og kapitalslitet er oppført i regnskapet til historisk kost, hvilket innebærer at det ikke tas hensyn til prisutviklingen i kapitalmassen. D</w:t>
      </w:r>
      <w:r w:rsidR="009B57B8">
        <w:rPr>
          <w:lang w:eastAsia="nb-NO"/>
        </w:rPr>
        <w:t>isse</w:t>
      </w:r>
      <w:r w:rsidRPr="0055149C">
        <w:rPr>
          <w:lang w:eastAsia="nb-NO"/>
        </w:rPr>
        <w:t xml:space="preserve"> standarde</w:t>
      </w:r>
      <w:r w:rsidR="009B57B8">
        <w:rPr>
          <w:lang w:eastAsia="nb-NO"/>
        </w:rPr>
        <w:t>ne</w:t>
      </w:r>
      <w:r w:rsidRPr="0055149C">
        <w:rPr>
          <w:lang w:eastAsia="nb-NO"/>
        </w:rPr>
        <w:t xml:space="preserve"> </w:t>
      </w:r>
      <w:r w:rsidR="009B57B8">
        <w:rPr>
          <w:lang w:eastAsia="nb-NO"/>
        </w:rPr>
        <w:t>vektlegger</w:t>
      </w:r>
      <w:r w:rsidRPr="0055149C">
        <w:rPr>
          <w:lang w:eastAsia="nb-NO"/>
        </w:rPr>
        <w:t xml:space="preserve"> å rapportere </w:t>
      </w:r>
      <w:r w:rsidR="00845EB1" w:rsidRPr="0055149C">
        <w:rPr>
          <w:lang w:eastAsia="nb-NO"/>
        </w:rPr>
        <w:t>resultat</w:t>
      </w:r>
      <w:r w:rsidR="00845EB1">
        <w:rPr>
          <w:lang w:eastAsia="nb-NO"/>
        </w:rPr>
        <w:t>regnskapet</w:t>
      </w:r>
      <w:r w:rsidRPr="0055149C">
        <w:rPr>
          <w:lang w:eastAsia="nb-NO"/>
        </w:rPr>
        <w:t xml:space="preserve"> riktig, snarere enn balanse</w:t>
      </w:r>
      <w:r w:rsidR="004C1B7A">
        <w:rPr>
          <w:lang w:eastAsia="nb-NO"/>
        </w:rPr>
        <w:t>regnskapet</w:t>
      </w:r>
      <w:r w:rsidRPr="0055149C">
        <w:rPr>
          <w:lang w:eastAsia="nb-NO"/>
        </w:rPr>
        <w:t>.</w:t>
      </w:r>
      <w:r w:rsidR="003D4D9B" w:rsidRPr="0055149C">
        <w:rPr>
          <w:rStyle w:val="Fotnotereferanse"/>
          <w:lang w:eastAsia="nb-NO"/>
        </w:rPr>
        <w:footnoteReference w:id="8"/>
      </w:r>
    </w:p>
    <w:p w14:paraId="196F69AF" w14:textId="7915B26D" w:rsidR="001D198E" w:rsidRPr="0055149C" w:rsidRDefault="001D198E" w:rsidP="001D198E">
      <w:pPr>
        <w:rPr>
          <w:lang w:eastAsia="nb-NO"/>
        </w:rPr>
      </w:pPr>
      <w:r w:rsidRPr="0055149C">
        <w:rPr>
          <w:lang w:eastAsia="nb-NO"/>
        </w:rPr>
        <w:t>Siden de regnskapsmessige av</w:t>
      </w:r>
      <w:r w:rsidR="003B5B5C" w:rsidRPr="0055149C">
        <w:rPr>
          <w:lang w:eastAsia="nb-NO"/>
        </w:rPr>
        <w:t>skrivningene</w:t>
      </w:r>
      <w:r w:rsidRPr="0055149C">
        <w:rPr>
          <w:lang w:eastAsia="nb-NO"/>
        </w:rPr>
        <w:t xml:space="preserve"> og nedskrivningene kommer fra ulike kapitalformer, vil det </w:t>
      </w:r>
      <w:r w:rsidR="00017FEB">
        <w:rPr>
          <w:lang w:eastAsia="nb-NO"/>
        </w:rPr>
        <w:t xml:space="preserve">strengt tatt </w:t>
      </w:r>
      <w:r w:rsidRPr="0055149C">
        <w:rPr>
          <w:lang w:eastAsia="nb-NO"/>
        </w:rPr>
        <w:t xml:space="preserve">ikke være tilstrekkelig å bruke </w:t>
      </w:r>
      <w:r w:rsidR="00205E72" w:rsidRPr="0055149C">
        <w:rPr>
          <w:lang w:eastAsia="nb-NO"/>
        </w:rPr>
        <w:t xml:space="preserve">én </w:t>
      </w:r>
      <w:r w:rsidRPr="0055149C">
        <w:rPr>
          <w:lang w:eastAsia="nb-NO"/>
        </w:rPr>
        <w:t xml:space="preserve">deflator </w:t>
      </w:r>
      <w:r w:rsidR="00EB0705" w:rsidRPr="0055149C">
        <w:rPr>
          <w:lang w:eastAsia="nb-NO"/>
        </w:rPr>
        <w:t xml:space="preserve">– også kjent som én </w:t>
      </w:r>
      <w:r w:rsidRPr="0055149C">
        <w:rPr>
          <w:lang w:eastAsia="nb-NO"/>
        </w:rPr>
        <w:t>prisindeks</w:t>
      </w:r>
      <w:r w:rsidR="00EB0705" w:rsidRPr="0055149C">
        <w:rPr>
          <w:lang w:eastAsia="nb-NO"/>
        </w:rPr>
        <w:t xml:space="preserve"> –</w:t>
      </w:r>
      <w:r w:rsidRPr="0055149C">
        <w:rPr>
          <w:lang w:eastAsia="nb-NO"/>
        </w:rPr>
        <w:t xml:space="preserve"> til å omregne kapitalslitet i løpende priser. </w:t>
      </w:r>
      <w:r w:rsidR="003B5B5C" w:rsidRPr="0055149C">
        <w:rPr>
          <w:lang w:eastAsia="nb-NO"/>
        </w:rPr>
        <w:t xml:space="preserve">Dersom man skal kunne tilskrive andeler av de samlede regnskapsmessige avskrivningene og nedskrivningene til spesifikke kapitalformer, vil man dessuten trenge </w:t>
      </w:r>
      <w:r w:rsidR="00885A25">
        <w:rPr>
          <w:lang w:eastAsia="nb-NO"/>
        </w:rPr>
        <w:t xml:space="preserve">opplysninger om </w:t>
      </w:r>
      <w:r w:rsidR="003B5B5C" w:rsidRPr="0055149C">
        <w:rPr>
          <w:lang w:eastAsia="nb-NO"/>
        </w:rPr>
        <w:t>størrelsesforholdet på kapitalformene og de tilhørende depresieringsratene</w:t>
      </w:r>
      <w:r w:rsidRPr="0055149C">
        <w:rPr>
          <w:lang w:eastAsia="nb-NO"/>
        </w:rPr>
        <w:t>.</w:t>
      </w:r>
    </w:p>
    <w:p w14:paraId="53B32BEF" w14:textId="1465824E" w:rsidR="00505D7E" w:rsidRDefault="003B5B5C" w:rsidP="001D198E">
      <w:r w:rsidRPr="0055149C">
        <w:t>Bruttoføring og</w:t>
      </w:r>
      <w:r w:rsidR="00783EE1" w:rsidRPr="0055149C">
        <w:t xml:space="preserve"> mangel på en post for </w:t>
      </w:r>
      <w:r w:rsidRPr="0055149C">
        <w:t xml:space="preserve">nedskrivninger av kapitalen kan føre til utilsiktede skjevheter </w:t>
      </w:r>
      <w:r w:rsidR="00A321F3">
        <w:t>primær</w:t>
      </w:r>
      <w:r w:rsidRPr="0055149C">
        <w:t xml:space="preserve">kommunene imellom og fylkeskommunene imellom. Avskrivningene beregnes brutto i den forstand at de ikke korrigeres for investeringstilskudd med videre, </w:t>
      </w:r>
      <w:r w:rsidR="001B5F5E">
        <w:t>hvilket</w:t>
      </w:r>
      <w:r w:rsidRPr="0055149C">
        <w:t xml:space="preserve"> innebærer at de kan inneholde merverdiavgift, som kompenseres gjennom momskompensasjonsordningen. I tillegg gjelder egne regler for </w:t>
      </w:r>
      <w:r w:rsidR="001A63B6">
        <w:t>av</w:t>
      </w:r>
      <w:r w:rsidRPr="0055149C">
        <w:t>skrivninger</w:t>
      </w:r>
      <w:r w:rsidR="001A63B6">
        <w:t xml:space="preserve"> i kommuneregnskapene</w:t>
      </w:r>
      <w:r w:rsidRPr="0055149C">
        <w:t xml:space="preserve">, blant annet ved at de forsvinner ved nedleggelse av et tjenestetilbud. </w:t>
      </w:r>
      <w:r w:rsidR="00390FB3">
        <w:t>Videre inngår ikke n</w:t>
      </w:r>
      <w:r w:rsidR="00B35272">
        <w:t>edskrivninger inngår som en egen regnskapspost</w:t>
      </w:r>
      <w:r w:rsidR="00390FB3">
        <w:t xml:space="preserve"> i KOSTRA</w:t>
      </w:r>
      <w:r w:rsidR="00B35272">
        <w:t xml:space="preserve">. Disse </w:t>
      </w:r>
      <w:r w:rsidR="00390FB3">
        <w:t xml:space="preserve">forholdene </w:t>
      </w:r>
      <w:r w:rsidR="00390FB3" w:rsidRPr="0055149C">
        <w:t>trekker</w:t>
      </w:r>
      <w:r w:rsidRPr="0055149C">
        <w:t xml:space="preserve"> i re</w:t>
      </w:r>
      <w:r w:rsidR="00966B48">
        <w:t>t</w:t>
      </w:r>
      <w:r w:rsidRPr="0055149C">
        <w:t xml:space="preserve">ning </w:t>
      </w:r>
      <w:r w:rsidR="00966B48">
        <w:t>av</w:t>
      </w:r>
      <w:r w:rsidRPr="0055149C">
        <w:t xml:space="preserve"> at avskrivningene tenderer til å </w:t>
      </w:r>
      <w:r w:rsidR="00505D7E">
        <w:t>under</w:t>
      </w:r>
      <w:r w:rsidRPr="0055149C">
        <w:t>vurderes noe</w:t>
      </w:r>
      <w:r w:rsidR="00791F8F">
        <w:t>.</w:t>
      </w:r>
    </w:p>
    <w:p w14:paraId="663B4DF1" w14:textId="6E9B532F" w:rsidR="00874DF5" w:rsidRPr="0055149C" w:rsidRDefault="00874DF5" w:rsidP="00874DF5">
      <w:pPr>
        <w:pStyle w:val="Overskrift3"/>
      </w:pPr>
      <w:bookmarkStart w:id="40" w:name="_Ref178638784"/>
      <w:r w:rsidRPr="0055149C">
        <w:t>Estimeringsprosedyre for kapitalbeholdningen</w:t>
      </w:r>
      <w:bookmarkEnd w:id="40"/>
    </w:p>
    <w:p w14:paraId="0AB821DD" w14:textId="0B7F9D5D" w:rsidR="00AC6EFD" w:rsidRPr="0055149C" w:rsidRDefault="008C2842" w:rsidP="00AC6EFD">
      <w:pPr>
        <w:rPr>
          <w:lang w:eastAsia="nb-NO"/>
        </w:rPr>
      </w:pPr>
      <w:r>
        <w:t>M</w:t>
      </w:r>
      <w:r w:rsidR="00962AF3" w:rsidRPr="0055149C">
        <w:t xml:space="preserve">ålingen </w:t>
      </w:r>
      <w:r>
        <w:t xml:space="preserve">av </w:t>
      </w:r>
      <w:r w:rsidRPr="00FA7CB7">
        <w:t xml:space="preserve">kapitalbeholdningen </w:t>
      </w:r>
      <w:r w:rsidR="00962AF3" w:rsidRPr="00FA7CB7">
        <w:t xml:space="preserve">påvirker målingen av kapitalslitet. Måten beholdningsstørrelsene måles på i </w:t>
      </w:r>
      <w:r w:rsidR="008E7E43" w:rsidRPr="00FA7CB7">
        <w:t>KOSTRA</w:t>
      </w:r>
      <w:r w:rsidR="00874DF5" w:rsidRPr="00FA7CB7">
        <w:t xml:space="preserve"> vil være ekvivalent </w:t>
      </w:r>
      <w:r w:rsidR="007639FA" w:rsidRPr="00FA7CB7">
        <w:t>med</w:t>
      </w:r>
      <w:r w:rsidR="00874DF5" w:rsidRPr="00FA7CB7">
        <w:t xml:space="preserve"> </w:t>
      </w:r>
      <w:r w:rsidR="0016650D" w:rsidRPr="00FA7CB7">
        <w:t>«</w:t>
      </w:r>
      <w:r w:rsidR="003569C4" w:rsidRPr="00FA7CB7">
        <w:rPr>
          <w:b/>
          <w:bCs/>
          <w:color w:val="3672B0" w:themeColor="accent2"/>
        </w:rPr>
        <w:t>D</w:t>
      </w:r>
      <w:r w:rsidR="00874DF5" w:rsidRPr="00FA7CB7">
        <w:rPr>
          <w:b/>
          <w:bCs/>
          <w:color w:val="3672B0" w:themeColor="accent2"/>
        </w:rPr>
        <w:t xml:space="preserve">irekte </w:t>
      </w:r>
      <w:r w:rsidR="003569C4" w:rsidRPr="00FA7CB7">
        <w:rPr>
          <w:b/>
          <w:bCs/>
          <w:color w:val="3672B0" w:themeColor="accent2"/>
        </w:rPr>
        <w:t>M</w:t>
      </w:r>
      <w:r w:rsidR="00874DF5" w:rsidRPr="00FA7CB7">
        <w:rPr>
          <w:b/>
          <w:bCs/>
          <w:color w:val="3672B0" w:themeColor="accent2"/>
        </w:rPr>
        <w:t>etod</w:t>
      </w:r>
      <w:r w:rsidR="0037345C" w:rsidRPr="00FA7CB7">
        <w:rPr>
          <w:b/>
          <w:bCs/>
          <w:color w:val="3672B0" w:themeColor="accent2"/>
        </w:rPr>
        <w:t>e</w:t>
      </w:r>
      <w:r w:rsidR="0016650D" w:rsidRPr="00FA7CB7">
        <w:rPr>
          <w:color w:val="auto"/>
        </w:rPr>
        <w:t>»</w:t>
      </w:r>
      <w:r w:rsidR="00874DF5" w:rsidRPr="00FA7CB7">
        <w:rPr>
          <w:color w:val="3672B0" w:themeColor="accent2"/>
        </w:rPr>
        <w:t xml:space="preserve"> </w:t>
      </w:r>
      <w:r w:rsidR="00874DF5" w:rsidRPr="00FA7CB7">
        <w:rPr>
          <w:color w:val="auto"/>
        </w:rPr>
        <w:t>(</w:t>
      </w:r>
      <w:r w:rsidR="00874DF5" w:rsidRPr="00FA7CB7">
        <w:rPr>
          <w:color w:val="3672B0" w:themeColor="accent2"/>
        </w:rPr>
        <w:t>DM</w:t>
      </w:r>
      <w:r w:rsidR="00874DF5" w:rsidRPr="00FA7CB7">
        <w:rPr>
          <w:color w:val="auto"/>
        </w:rPr>
        <w:t>)</w:t>
      </w:r>
      <w:r w:rsidR="00874DF5" w:rsidRPr="00FA7CB7">
        <w:rPr>
          <w:color w:val="3672B0" w:themeColor="accent2"/>
        </w:rPr>
        <w:t xml:space="preserve"> </w:t>
      </w:r>
      <w:r w:rsidR="00874DF5" w:rsidRPr="00FA7CB7">
        <w:t>(se for eksempel Kuznets 1934, Callao med flere 2007, Raknerud med flere 2007 og Holmen 2022</w:t>
      </w:r>
      <w:r w:rsidR="007E0471" w:rsidRPr="00FA7CB7">
        <w:t>a</w:t>
      </w:r>
      <w:r w:rsidR="00874DF5" w:rsidRPr="00FA7CB7">
        <w:t xml:space="preserve">), men mange forfattere argumenterer for at summering av investeringstall </w:t>
      </w:r>
      <w:r w:rsidR="00D31295" w:rsidRPr="00FA7CB7">
        <w:t xml:space="preserve">etter kapitalslit </w:t>
      </w:r>
      <w:r w:rsidR="00874DF5" w:rsidRPr="00FA7CB7">
        <w:t>gjennom den såkalte</w:t>
      </w:r>
      <w:r w:rsidR="000B1844" w:rsidRPr="00FA7CB7">
        <w:t xml:space="preserve"> «</w:t>
      </w:r>
      <w:r w:rsidR="003569C4" w:rsidRPr="00FA7CB7">
        <w:rPr>
          <w:b/>
          <w:bCs/>
          <w:color w:val="3672B0" w:themeColor="accent2"/>
        </w:rPr>
        <w:t>P</w:t>
      </w:r>
      <w:r w:rsidR="00874DF5" w:rsidRPr="00FA7CB7">
        <w:rPr>
          <w:b/>
          <w:bCs/>
          <w:color w:val="3672B0" w:themeColor="accent2"/>
        </w:rPr>
        <w:t xml:space="preserve">erpetual </w:t>
      </w:r>
      <w:r w:rsidR="003569C4" w:rsidRPr="00FA7CB7">
        <w:rPr>
          <w:b/>
          <w:bCs/>
          <w:color w:val="3672B0" w:themeColor="accent2"/>
        </w:rPr>
        <w:t>I</w:t>
      </w:r>
      <w:r w:rsidR="00874DF5" w:rsidRPr="00FA7CB7">
        <w:rPr>
          <w:b/>
          <w:bCs/>
          <w:color w:val="3672B0" w:themeColor="accent2"/>
        </w:rPr>
        <w:t xml:space="preserve">nventory </w:t>
      </w:r>
      <w:r w:rsidR="003569C4" w:rsidRPr="00FA7CB7">
        <w:rPr>
          <w:b/>
          <w:bCs/>
          <w:color w:val="3672B0" w:themeColor="accent2"/>
        </w:rPr>
        <w:t>M</w:t>
      </w:r>
      <w:r w:rsidR="00874DF5" w:rsidRPr="00FA7CB7">
        <w:rPr>
          <w:b/>
          <w:bCs/>
          <w:color w:val="3672B0" w:themeColor="accent2"/>
        </w:rPr>
        <w:t>ethod</w:t>
      </w:r>
      <w:r w:rsidR="000B1844" w:rsidRPr="00FA7CB7">
        <w:t>»</w:t>
      </w:r>
      <w:r w:rsidR="000B1844">
        <w:t xml:space="preserve"> </w:t>
      </w:r>
      <w:r w:rsidR="00874DF5" w:rsidRPr="000B1844">
        <w:rPr>
          <w:color w:val="auto"/>
        </w:rPr>
        <w:t>(</w:t>
      </w:r>
      <w:r w:rsidR="00874DF5" w:rsidRPr="0055149C">
        <w:rPr>
          <w:color w:val="3672B0" w:themeColor="accent2"/>
        </w:rPr>
        <w:t>PIM</w:t>
      </w:r>
      <w:r w:rsidR="00874DF5" w:rsidRPr="00930340">
        <w:rPr>
          <w:color w:val="auto"/>
        </w:rPr>
        <w:t>)</w:t>
      </w:r>
      <w:r w:rsidR="00874DF5" w:rsidRPr="0055149C">
        <w:t xml:space="preserve"> er en mer nøyaktig metode (se for eksempel Goldsmith 1951, Ringstad og Griliches 1968, Todsen 1997a og 1997b, Kalvarskaia og Langørgen 2004, Mueller 2008, Berlemann og Wesselhöft 2014, Amdal med flere 2016 og Holmen 2022</w:t>
      </w:r>
      <w:r w:rsidR="007E0471">
        <w:t>a</w:t>
      </w:r>
      <w:r w:rsidR="00874DF5" w:rsidRPr="0055149C">
        <w:t>).</w:t>
      </w:r>
      <w:r w:rsidR="00AC6EFD" w:rsidRPr="0055149C">
        <w:rPr>
          <w:lang w:eastAsia="nb-NO"/>
        </w:rPr>
        <w:t xml:space="preserve"> Oversikter over kapitalmåling inkludert </w:t>
      </w:r>
      <w:r w:rsidR="00962AF3" w:rsidRPr="0055149C">
        <w:rPr>
          <w:lang w:eastAsia="nb-NO"/>
        </w:rPr>
        <w:t xml:space="preserve">depresieringer </w:t>
      </w:r>
      <w:r w:rsidR="00AC6EFD" w:rsidRPr="0055149C">
        <w:rPr>
          <w:lang w:eastAsia="nb-NO"/>
        </w:rPr>
        <w:t>gis blant annet av Diewert (1980 og 2005), Hulten (1991) og OECD (2001 og 2009).</w:t>
      </w:r>
      <w:r w:rsidR="00210BE4">
        <w:rPr>
          <w:rStyle w:val="Fotnotereferanse"/>
          <w:lang w:eastAsia="nb-NO"/>
        </w:rPr>
        <w:footnoteReference w:id="9"/>
      </w:r>
    </w:p>
    <w:p w14:paraId="40E97323" w14:textId="31117493" w:rsidR="00874DF5" w:rsidRPr="0055149C" w:rsidRDefault="00874DF5" w:rsidP="00874DF5">
      <w:pPr>
        <w:rPr>
          <w:lang w:eastAsia="nb-NO"/>
        </w:rPr>
      </w:pPr>
      <w:r w:rsidRPr="0055149C">
        <w:rPr>
          <w:lang w:eastAsia="nb-NO"/>
        </w:rPr>
        <w:t>Statistisk sentralbyrås kapitaldatabase på foretaksnivå er basert på den direkte metode</w:t>
      </w:r>
      <w:r w:rsidR="00962AF3" w:rsidRPr="0055149C">
        <w:rPr>
          <w:lang w:eastAsia="nb-NO"/>
        </w:rPr>
        <w:t>n</w:t>
      </w:r>
      <w:r w:rsidRPr="0055149C">
        <w:rPr>
          <w:lang w:eastAsia="nb-NO"/>
        </w:rPr>
        <w:t xml:space="preserve"> (DM) for å måle kapitalbeholdninger basert på bokførte verdier</w:t>
      </w:r>
      <w:r w:rsidR="00C9726D" w:rsidRPr="0055149C">
        <w:rPr>
          <w:lang w:eastAsia="nb-NO"/>
        </w:rPr>
        <w:t>,</w:t>
      </w:r>
      <w:r w:rsidRPr="0055149C">
        <w:rPr>
          <w:lang w:eastAsia="nb-NO"/>
        </w:rPr>
        <w:t xml:space="preserve"> fr</w:t>
      </w:r>
      <w:r w:rsidR="00EA6503">
        <w:rPr>
          <w:lang w:eastAsia="nb-NO"/>
        </w:rPr>
        <w:t>a</w:t>
      </w:r>
      <w:r w:rsidRPr="0055149C">
        <w:rPr>
          <w:lang w:eastAsia="nb-NO"/>
        </w:rPr>
        <w:t>mfor bruk av PIM. Raknerud</w:t>
      </w:r>
      <w:r w:rsidR="001F69F9">
        <w:rPr>
          <w:lang w:eastAsia="nb-NO"/>
        </w:rPr>
        <w:t>,</w:t>
      </w:r>
      <w:r w:rsidRPr="0055149C">
        <w:rPr>
          <w:lang w:eastAsia="nb-NO"/>
        </w:rPr>
        <w:t xml:space="preserve"> </w:t>
      </w:r>
      <w:r w:rsidR="001F69F9" w:rsidRPr="0055149C">
        <w:rPr>
          <w:color w:val="auto"/>
        </w:rPr>
        <w:t xml:space="preserve">Rønningen </w:t>
      </w:r>
      <w:r w:rsidR="001F69F9">
        <w:rPr>
          <w:color w:val="auto"/>
        </w:rPr>
        <w:t>og</w:t>
      </w:r>
      <w:r w:rsidR="001F69F9" w:rsidRPr="0055149C">
        <w:rPr>
          <w:color w:val="auto"/>
        </w:rPr>
        <w:t xml:space="preserve"> Skjerpen</w:t>
      </w:r>
      <w:r w:rsidR="001F69F9" w:rsidRPr="0055149C">
        <w:rPr>
          <w:lang w:eastAsia="nb-NO"/>
        </w:rPr>
        <w:t xml:space="preserve"> </w:t>
      </w:r>
      <w:r w:rsidRPr="0055149C">
        <w:rPr>
          <w:lang w:eastAsia="nb-NO"/>
        </w:rPr>
        <w:t xml:space="preserve">(2007) begrunner dette med at PIM-estimatene basert </w:t>
      </w:r>
      <w:r w:rsidR="00C9726D" w:rsidRPr="0055149C">
        <w:rPr>
          <w:lang w:eastAsia="nb-NO"/>
        </w:rPr>
        <w:t xml:space="preserve">på </w:t>
      </w:r>
      <w:r w:rsidR="00962AF3" w:rsidRPr="0055149C">
        <w:rPr>
          <w:lang w:eastAsia="nb-NO"/>
        </w:rPr>
        <w:t xml:space="preserve">Foretaks- og </w:t>
      </w:r>
      <w:r w:rsidR="00962AF3" w:rsidRPr="0055149C">
        <w:rPr>
          <w:lang w:eastAsia="nb-NO"/>
        </w:rPr>
        <w:lastRenderedPageBreak/>
        <w:t>virksomhetsregistrene</w:t>
      </w:r>
      <w:r w:rsidRPr="0055149C">
        <w:rPr>
          <w:lang w:eastAsia="nb-NO"/>
        </w:rPr>
        <w:t xml:space="preserve"> og Statistisk sentralbyrås investeringsundersøkelse blir for usikre og ikke utnytter informasjonen i regnskapene godt nok.</w:t>
      </w:r>
      <w:r w:rsidR="001F69F9">
        <w:rPr>
          <w:lang w:eastAsia="nb-NO"/>
        </w:rPr>
        <w:t xml:space="preserve"> Deres poeng er at de enkelte regnskapene bygger på langt </w:t>
      </w:r>
      <w:r w:rsidR="001F69F9" w:rsidRPr="001F69F9">
        <w:rPr>
          <w:lang w:eastAsia="nb-NO"/>
        </w:rPr>
        <w:t>mer disaggregert informasjon enn det man har i regnskapsstatistikken</w:t>
      </w:r>
      <w:r w:rsidR="001F69F9">
        <w:rPr>
          <w:lang w:eastAsia="nb-NO"/>
        </w:rPr>
        <w:t xml:space="preserve"> og at en del av denne informasjon går tapt når man bruker aggregert regnskapsinformasjon. Denne utfordringen kan ventes å være større i </w:t>
      </w:r>
      <w:r w:rsidR="008E7E43">
        <w:rPr>
          <w:lang w:eastAsia="nb-NO"/>
        </w:rPr>
        <w:t>KOSTRA</w:t>
      </w:r>
      <w:r w:rsidR="001F69F9">
        <w:rPr>
          <w:lang w:eastAsia="nb-NO"/>
        </w:rPr>
        <w:t xml:space="preserve"> enn i </w:t>
      </w:r>
      <w:r w:rsidR="00EC3600">
        <w:rPr>
          <w:lang w:eastAsia="nb-NO"/>
        </w:rPr>
        <w:t>F</w:t>
      </w:r>
      <w:r w:rsidR="001F69F9">
        <w:rPr>
          <w:lang w:eastAsia="nb-NO"/>
        </w:rPr>
        <w:t>oretaks- og virksomhets</w:t>
      </w:r>
      <w:r w:rsidR="00534FB8">
        <w:rPr>
          <w:lang w:eastAsia="nb-NO"/>
        </w:rPr>
        <w:t>registrene</w:t>
      </w:r>
      <w:r w:rsidR="001F69F9">
        <w:rPr>
          <w:lang w:eastAsia="nb-NO"/>
        </w:rPr>
        <w:t xml:space="preserve">, som forfatterne benytter, ettersom </w:t>
      </w:r>
      <w:r w:rsidR="008E7E43">
        <w:rPr>
          <w:lang w:eastAsia="nb-NO"/>
        </w:rPr>
        <w:t>KOSTRA</w:t>
      </w:r>
      <w:r w:rsidR="001F69F9">
        <w:rPr>
          <w:lang w:eastAsia="nb-NO"/>
        </w:rPr>
        <w:t xml:space="preserve"> er </w:t>
      </w:r>
      <w:r w:rsidR="00EC3600">
        <w:rPr>
          <w:lang w:eastAsia="nb-NO"/>
        </w:rPr>
        <w:t xml:space="preserve">enda </w:t>
      </w:r>
      <w:r w:rsidR="001F69F9">
        <w:rPr>
          <w:lang w:eastAsia="nb-NO"/>
        </w:rPr>
        <w:t xml:space="preserve">mer aggregert. </w:t>
      </w:r>
      <w:r w:rsidRPr="0055149C">
        <w:rPr>
          <w:lang w:eastAsia="nb-NO"/>
        </w:rPr>
        <w:t>Holmen (2022</w:t>
      </w:r>
      <w:r w:rsidR="007E0471">
        <w:rPr>
          <w:lang w:eastAsia="nb-NO"/>
        </w:rPr>
        <w:t>a</w:t>
      </w:r>
      <w:r w:rsidRPr="0055149C">
        <w:rPr>
          <w:lang w:eastAsia="nb-NO"/>
        </w:rPr>
        <w:t xml:space="preserve">) viser at estimering av disaggregerte kapitaltall med disaggregerte kapitalformer er mulig både ved PIM og DM ved bruk av norske foretaks- og virksomhetsdata, inkludert ni kapitalformer for foretak og virksomheter som faller inn under ulike kommunale </w:t>
      </w:r>
      <w:r w:rsidR="00A26F1C" w:rsidRPr="0055149C">
        <w:rPr>
          <w:lang w:eastAsia="nb-NO"/>
        </w:rPr>
        <w:t>funksjoner</w:t>
      </w:r>
      <w:r w:rsidRPr="0055149C">
        <w:rPr>
          <w:lang w:eastAsia="nb-NO"/>
        </w:rPr>
        <w:t>.</w:t>
      </w:r>
      <w:r w:rsidRPr="0055149C">
        <w:rPr>
          <w:rStyle w:val="Fotnotereferanse"/>
          <w:lang w:eastAsia="nb-NO"/>
        </w:rPr>
        <w:footnoteReference w:id="10"/>
      </w:r>
    </w:p>
    <w:p w14:paraId="10330790" w14:textId="3991CE52" w:rsidR="00BA6B7E" w:rsidRPr="0055149C" w:rsidRDefault="008E7E43" w:rsidP="00874DF5">
      <w:r>
        <w:rPr>
          <w:lang w:eastAsia="nb-NO"/>
        </w:rPr>
        <w:t>KOSTRA</w:t>
      </w:r>
      <w:r w:rsidR="00417D63" w:rsidRPr="0055149C">
        <w:rPr>
          <w:lang w:eastAsia="nb-NO"/>
        </w:rPr>
        <w:t xml:space="preserve"> danner imidlertid et vesentlig svakere datagrunnlag for å foreta kapitalestimeringer enn Foretaks- og virksomhets</w:t>
      </w:r>
      <w:r w:rsidR="00534FB8" w:rsidRPr="0055149C">
        <w:rPr>
          <w:lang w:eastAsia="nb-NO"/>
        </w:rPr>
        <w:t>registren</w:t>
      </w:r>
      <w:r w:rsidR="00534FB8">
        <w:rPr>
          <w:lang w:eastAsia="nb-NO"/>
        </w:rPr>
        <w:t>e</w:t>
      </w:r>
      <w:r w:rsidR="00417D63" w:rsidRPr="0055149C">
        <w:rPr>
          <w:lang w:eastAsia="nb-NO"/>
        </w:rPr>
        <w:t>, slik at måleproblematikk forbundet med sammensetningseffekter og disaggregerte kapitalegenskaper blir enda mer problematisk. Blant annet vil variasjoner i depresieringen på kommunenivå innad i en kapitalform ikke tas hensyn til ved bruk av PIM, som er mer avhengig av homogene kapitalformer enn DM.</w:t>
      </w:r>
      <w:r w:rsidR="00874DF5" w:rsidRPr="0055149C">
        <w:rPr>
          <w:lang w:eastAsia="nb-NO"/>
        </w:rPr>
        <w:t xml:space="preserve"> </w:t>
      </w:r>
      <w:r w:rsidR="00417D63" w:rsidRPr="0055149C">
        <w:rPr>
          <w:lang w:eastAsia="nb-NO"/>
        </w:rPr>
        <w:t xml:space="preserve">Merk at PIM er mer avhengig av disaggregerte gode kapitaltall enn DM, fordi DM utnytter spesifikk informasjon </w:t>
      </w:r>
      <w:r w:rsidR="004850F6">
        <w:rPr>
          <w:lang w:eastAsia="nb-NO"/>
        </w:rPr>
        <w:t xml:space="preserve">om </w:t>
      </w:r>
      <w:r w:rsidR="00417D63" w:rsidRPr="0055149C">
        <w:rPr>
          <w:lang w:eastAsia="nb-NO"/>
        </w:rPr>
        <w:t>hver observasjonsenhets depresieringer.</w:t>
      </w:r>
      <w:r w:rsidR="009066D7" w:rsidRPr="009066D7">
        <w:t xml:space="preserve"> </w:t>
      </w:r>
      <w:r w:rsidR="009066D7" w:rsidRPr="009066D7">
        <w:rPr>
          <w:lang w:eastAsia="nb-NO"/>
        </w:rPr>
        <w:t>Tallenes gjenkjennelighet og dermed aksept kan isolert sett være et argument i favør DM.</w:t>
      </w:r>
      <w:r w:rsidR="009066D7">
        <w:rPr>
          <w:lang w:eastAsia="nb-NO"/>
        </w:rPr>
        <w:t xml:space="preserve"> </w:t>
      </w:r>
      <w:r w:rsidR="00CF7529">
        <w:rPr>
          <w:lang w:eastAsia="nb-NO"/>
        </w:rPr>
        <w:t>Realismen i b</w:t>
      </w:r>
      <w:r w:rsidR="009066D7">
        <w:rPr>
          <w:lang w:eastAsia="nb-NO"/>
        </w:rPr>
        <w:t>eholdningenes størrelse</w:t>
      </w:r>
      <w:r w:rsidR="00CF7529">
        <w:rPr>
          <w:lang w:eastAsia="nb-NO"/>
        </w:rPr>
        <w:t xml:space="preserve"> er derimot et argument i favør PIM. </w:t>
      </w:r>
      <w:r w:rsidR="00A957E8">
        <w:rPr>
          <w:lang w:eastAsia="nb-NO"/>
        </w:rPr>
        <w:t>F</w:t>
      </w:r>
      <w:r w:rsidR="00A957E8" w:rsidRPr="00A957E8">
        <w:rPr>
          <w:lang w:eastAsia="nb-NO"/>
        </w:rPr>
        <w:t xml:space="preserve">lere andre argumenter for PIM og DM blant annet relatert til prisjusteringen av kapitalslitet og kapitalens alternative anvendelser behandles i seksjon </w:t>
      </w:r>
      <w:r w:rsidR="00A957E8">
        <w:rPr>
          <w:lang w:eastAsia="nb-NO"/>
        </w:rPr>
        <w:fldChar w:fldCharType="begin"/>
      </w:r>
      <w:r w:rsidR="00A957E8">
        <w:rPr>
          <w:lang w:eastAsia="nb-NO"/>
        </w:rPr>
        <w:instrText xml:space="preserve"> REF _Ref165384869 \r \h </w:instrText>
      </w:r>
      <w:r w:rsidR="00A957E8">
        <w:rPr>
          <w:lang w:eastAsia="nb-NO"/>
        </w:rPr>
      </w:r>
      <w:r w:rsidR="00A957E8">
        <w:rPr>
          <w:lang w:eastAsia="nb-NO"/>
        </w:rPr>
        <w:fldChar w:fldCharType="separate"/>
      </w:r>
      <w:r w:rsidR="009B1DA8">
        <w:rPr>
          <w:lang w:eastAsia="nb-NO"/>
        </w:rPr>
        <w:t>2.1.5</w:t>
      </w:r>
      <w:r w:rsidR="00A957E8">
        <w:rPr>
          <w:lang w:eastAsia="nb-NO"/>
        </w:rPr>
        <w:fldChar w:fldCharType="end"/>
      </w:r>
      <w:r w:rsidR="00791F8F">
        <w:rPr>
          <w:lang w:eastAsia="nb-NO"/>
        </w:rPr>
        <w:t xml:space="preserve">. </w:t>
      </w:r>
    </w:p>
    <w:p w14:paraId="6B97D48D" w14:textId="1144D809" w:rsidR="00874DF5" w:rsidRPr="0055149C" w:rsidRDefault="00874DF5" w:rsidP="00874DF5">
      <w:pPr>
        <w:pStyle w:val="Overskrift3"/>
      </w:pPr>
      <w:r w:rsidRPr="0055149C">
        <w:t>Estimeringsprosedyre for depresieringene</w:t>
      </w:r>
    </w:p>
    <w:p w14:paraId="2DF51123" w14:textId="610021DF" w:rsidR="00417D63" w:rsidRPr="0055149C" w:rsidRDefault="00874DF5" w:rsidP="00874DF5">
      <w:r w:rsidRPr="0055149C">
        <w:t xml:space="preserve">I kommuneregnskapene føres kapitalslitet ved </w:t>
      </w:r>
      <w:r w:rsidR="0098157F">
        <w:t>«</w:t>
      </w:r>
      <w:r w:rsidRPr="0055149C">
        <w:rPr>
          <w:b/>
          <w:bCs/>
          <w:color w:val="3672B0" w:themeColor="accent2"/>
        </w:rPr>
        <w:t>lineær depresiering</w:t>
      </w:r>
      <w:r w:rsidR="0098157F">
        <w:t>»</w:t>
      </w:r>
      <w:r w:rsidRPr="0055149C">
        <w:t>, altså med fratrekk av en fast depresieringsandel av den opprinnelig</w:t>
      </w:r>
      <w:r w:rsidR="00417D63" w:rsidRPr="0055149C">
        <w:t>e</w:t>
      </w:r>
      <w:r w:rsidRPr="0055149C">
        <w:t xml:space="preserve"> kapitalbeholdning</w:t>
      </w:r>
      <w:r w:rsidR="00417D63" w:rsidRPr="0055149C">
        <w:t>en</w:t>
      </w:r>
      <w:r w:rsidR="001606A3">
        <w:t xml:space="preserve"> over tid</w:t>
      </w:r>
      <w:r w:rsidRPr="0055149C">
        <w:t xml:space="preserve">. Lineære depresieringsbaner har en fordel ved at de er relativt transparente, men andre baner vil i praksis ofte stemme bedre med </w:t>
      </w:r>
      <w:r w:rsidR="00417D63" w:rsidRPr="0055149C">
        <w:t>virkeligheten</w:t>
      </w:r>
      <w:r w:rsidRPr="0055149C">
        <w:t xml:space="preserve">. Det mest brukte alternativet i internregnskap og kapitalestimering er trolig </w:t>
      </w:r>
      <w:r w:rsidR="0098157F">
        <w:t>«</w:t>
      </w:r>
      <w:r w:rsidRPr="0055149C">
        <w:rPr>
          <w:b/>
          <w:bCs/>
          <w:color w:val="3672B0" w:themeColor="accent2"/>
        </w:rPr>
        <w:t>geometrisk depresiering</w:t>
      </w:r>
      <w:r w:rsidR="0098157F">
        <w:t>»</w:t>
      </w:r>
      <w:r w:rsidRPr="0055149C">
        <w:t xml:space="preserve">, også kjent som </w:t>
      </w:r>
      <w:r w:rsidR="0098157F">
        <w:t>«</w:t>
      </w:r>
      <w:r w:rsidRPr="0055149C">
        <w:rPr>
          <w:b/>
          <w:bCs/>
          <w:color w:val="3672B0" w:themeColor="accent2"/>
        </w:rPr>
        <w:t>saldoavskrivning</w:t>
      </w:r>
      <w:r w:rsidR="0098157F">
        <w:t>»</w:t>
      </w:r>
      <w:r w:rsidRPr="0055149C">
        <w:t xml:space="preserve">, som innebærer fratrekk av en fast </w:t>
      </w:r>
      <w:r w:rsidR="00417D63" w:rsidRPr="0055149C">
        <w:t xml:space="preserve">depresieringsandel </w:t>
      </w:r>
      <w:r w:rsidRPr="0055149C">
        <w:t>av hver periodes inngående kapitalbeholdning.</w:t>
      </w:r>
    </w:p>
    <w:p w14:paraId="450BB536" w14:textId="07CD3D64" w:rsidR="00874DF5" w:rsidRPr="0055149C" w:rsidRDefault="00874DF5" w:rsidP="00874DF5">
      <w:r w:rsidRPr="0055149C">
        <w:t xml:space="preserve">Andre varianter er </w:t>
      </w:r>
      <w:r w:rsidR="0098157F">
        <w:t>«</w:t>
      </w:r>
      <w:r w:rsidRPr="0055149C">
        <w:rPr>
          <w:b/>
          <w:bCs/>
          <w:color w:val="3672B0" w:themeColor="accent2"/>
        </w:rPr>
        <w:t>hyperbolsk depresiering</w:t>
      </w:r>
      <w:r w:rsidR="0098157F">
        <w:t>»</w:t>
      </w:r>
      <w:r w:rsidRPr="0055149C">
        <w:rPr>
          <w:color w:val="3672B0" w:themeColor="accent2"/>
        </w:rPr>
        <w:t xml:space="preserve"> </w:t>
      </w:r>
      <w:r w:rsidRPr="0055149C">
        <w:t xml:space="preserve">med gradvis reduksjon i depresieringssatsen og </w:t>
      </w:r>
      <w:r w:rsidR="0098157F">
        <w:t>«</w:t>
      </w:r>
      <w:r w:rsidRPr="0055149C">
        <w:rPr>
          <w:b/>
          <w:bCs/>
          <w:color w:val="3672B0" w:themeColor="accent2"/>
        </w:rPr>
        <w:t>logistisk depresiering</w:t>
      </w:r>
      <w:r w:rsidR="0098157F">
        <w:t>»</w:t>
      </w:r>
      <w:r w:rsidRPr="0055149C">
        <w:rPr>
          <w:b/>
          <w:bCs/>
          <w:color w:val="3672B0" w:themeColor="accent2"/>
        </w:rPr>
        <w:t xml:space="preserve"> </w:t>
      </w:r>
      <w:r w:rsidRPr="00FF1124">
        <w:t>med</w:t>
      </w:r>
      <w:r w:rsidRPr="0055149C">
        <w:rPr>
          <w:b/>
          <w:bCs/>
          <w:color w:val="3672B0" w:themeColor="accent2"/>
        </w:rPr>
        <w:t xml:space="preserve"> </w:t>
      </w:r>
      <w:r w:rsidRPr="0055149C">
        <w:t xml:space="preserve">gradvis økning i depresieringssats. Geometrisk depresiering og hyperbolsk depresiering er begge eksempler på </w:t>
      </w:r>
      <w:r w:rsidR="0098157F">
        <w:t>«</w:t>
      </w:r>
      <w:r w:rsidRPr="0055149C">
        <w:rPr>
          <w:b/>
          <w:bCs/>
          <w:color w:val="3672B0" w:themeColor="accent2"/>
        </w:rPr>
        <w:t>degressiv depresiering</w:t>
      </w:r>
      <w:r w:rsidR="0098157F">
        <w:t>»</w:t>
      </w:r>
      <w:r w:rsidRPr="0055149C">
        <w:t xml:space="preserve">. </w:t>
      </w:r>
      <w:r w:rsidR="00380588" w:rsidRPr="00380588">
        <w:t xml:space="preserve">Dette står i motsetning til </w:t>
      </w:r>
      <w:r w:rsidR="0098157F">
        <w:t>«</w:t>
      </w:r>
      <w:r w:rsidR="00380588" w:rsidRPr="00A64D12">
        <w:rPr>
          <w:b/>
          <w:bCs/>
          <w:color w:val="3672B0" w:themeColor="accent2"/>
        </w:rPr>
        <w:t>progressive depresieringer</w:t>
      </w:r>
      <w:r w:rsidR="0098157F">
        <w:t>»</w:t>
      </w:r>
      <w:r w:rsidR="00380588" w:rsidRPr="00380588">
        <w:t>, der depresieringene</w:t>
      </w:r>
      <w:r w:rsidR="00A64D12">
        <w:t>s omfang</w:t>
      </w:r>
      <w:r w:rsidR="00380588" w:rsidRPr="00380588">
        <w:t xml:space="preserve"> øker over tid.</w:t>
      </w:r>
      <w:r w:rsidR="00A64D12">
        <w:t xml:space="preserve"> </w:t>
      </w:r>
      <w:r w:rsidRPr="0055149C">
        <w:t>Sammenliknet med lineær avskrivning fører bruk av geometrisk</w:t>
      </w:r>
      <w:r w:rsidR="00B65DA3" w:rsidRPr="0055149C">
        <w:t xml:space="preserve"> </w:t>
      </w:r>
      <w:r w:rsidR="00E5312B">
        <w:t>avskrivning</w:t>
      </w:r>
      <w:r w:rsidR="00B65DA3" w:rsidRPr="0055149C">
        <w:t xml:space="preserve"> til at </w:t>
      </w:r>
      <w:r w:rsidR="00837010" w:rsidRPr="0055149C">
        <w:t xml:space="preserve">en </w:t>
      </w:r>
      <w:r w:rsidRPr="0055149C">
        <w:t xml:space="preserve">større andel av kapitalkostnadene påløper tidlig i levetiden til kapitalen. </w:t>
      </w:r>
      <w:r w:rsidR="00426845" w:rsidRPr="0055149C">
        <w:t xml:space="preserve">Endelig finner </w:t>
      </w:r>
      <w:r w:rsidR="00417D63" w:rsidRPr="0055149C">
        <w:t>man</w:t>
      </w:r>
      <w:r w:rsidR="00426845" w:rsidRPr="0055149C">
        <w:t xml:space="preserve"> eksempler på </w:t>
      </w:r>
      <w:r w:rsidR="0098157F">
        <w:t>«</w:t>
      </w:r>
      <w:r w:rsidR="005B31CD" w:rsidRPr="0055149C">
        <w:rPr>
          <w:b/>
          <w:bCs/>
          <w:color w:val="3672B0" w:themeColor="accent2"/>
        </w:rPr>
        <w:t>lyspæredepresiering</w:t>
      </w:r>
      <w:r w:rsidR="0098157F">
        <w:t>»</w:t>
      </w:r>
      <w:r w:rsidR="002A6BEE" w:rsidRPr="0055149C">
        <w:t>,</w:t>
      </w:r>
      <w:r w:rsidR="005B31CD" w:rsidRPr="0055149C">
        <w:t xml:space="preserve"> </w:t>
      </w:r>
      <w:r w:rsidR="005F0C75" w:rsidRPr="0055149C">
        <w:t>d</w:t>
      </w:r>
      <w:r w:rsidR="005B31CD" w:rsidRPr="0055149C">
        <w:t xml:space="preserve">er en kapitalgjenstand har full </w:t>
      </w:r>
      <w:r w:rsidR="005F0C75" w:rsidRPr="0055149C">
        <w:t>virkningsgrad</w:t>
      </w:r>
      <w:r w:rsidR="00144D3A" w:rsidRPr="0055149C">
        <w:t xml:space="preserve"> inntil den plutselig ikke virker lenger.</w:t>
      </w:r>
      <w:r w:rsidR="00144D3A" w:rsidRPr="0055149C">
        <w:rPr>
          <w:rStyle w:val="Fotnotereferanse"/>
        </w:rPr>
        <w:footnoteReference w:id="11"/>
      </w:r>
    </w:p>
    <w:p w14:paraId="6D33C530" w14:textId="6987A252" w:rsidR="00874DF5" w:rsidRPr="0055149C" w:rsidRDefault="00874DF5" w:rsidP="00874DF5">
      <w:r w:rsidRPr="0055149C">
        <w:t xml:space="preserve">Hulten og Wykoff (1981a og 1981b) argumenterer for at geometriske depresieringsrater er mer i tråd med virkeligheten enn lineære depresieringsrater, samtidig som ratene forblir konstante over tid, i motsetning til hyperbolske </w:t>
      </w:r>
      <w:r w:rsidR="00DD5819" w:rsidRPr="0055149C">
        <w:t xml:space="preserve">og logistiske </w:t>
      </w:r>
      <w:r w:rsidRPr="0055149C">
        <w:t xml:space="preserve">depresieringsrater. I flere andre studier argumenteres det for </w:t>
      </w:r>
      <w:r w:rsidR="00417D63" w:rsidRPr="0055149C">
        <w:t>andre depresieringsbaner enn de</w:t>
      </w:r>
      <w:r w:rsidR="003E59D5">
        <w:t>n</w:t>
      </w:r>
      <w:r w:rsidR="00417D63" w:rsidRPr="0055149C">
        <w:t xml:space="preserve"> lineære </w:t>
      </w:r>
      <w:r w:rsidRPr="0055149C">
        <w:t>(se for eksempel Harper 1999 og Biatour</w:t>
      </w:r>
      <w:r w:rsidR="00C464CC" w:rsidRPr="0055149C">
        <w:t>,</w:t>
      </w:r>
      <w:r w:rsidRPr="0055149C">
        <w:t xml:space="preserve"> </w:t>
      </w:r>
      <w:r w:rsidR="00C464CC" w:rsidRPr="0055149C">
        <w:t xml:space="preserve">Bryon og Kegels </w:t>
      </w:r>
      <w:r w:rsidRPr="0055149C">
        <w:t>2007). I Barth</w:t>
      </w:r>
      <w:r w:rsidR="00C464CC" w:rsidRPr="0055149C">
        <w:t xml:space="preserve"> med flere </w:t>
      </w:r>
      <w:r w:rsidRPr="0055149C">
        <w:t>(2015</w:t>
      </w:r>
      <w:r w:rsidR="00C464CC" w:rsidRPr="0055149C">
        <w:t xml:space="preserve"> og 2016</w:t>
      </w:r>
      <w:r w:rsidRPr="0055149C">
        <w:t xml:space="preserve">) sin survey av depresieringer </w:t>
      </w:r>
      <w:r w:rsidRPr="0055149C">
        <w:lastRenderedPageBreak/>
        <w:t>i Norge svarer derimot mange av respondentene at lineære depresieringer med utgangspunkt i kapitalverdien i løpende priser framstår mest realistisk</w:t>
      </w:r>
      <w:r w:rsidR="00417D63" w:rsidRPr="0055149C">
        <w:t>e</w:t>
      </w:r>
      <w:r w:rsidRPr="0055149C">
        <w:t xml:space="preserve">, skjønt mange også mener at </w:t>
      </w:r>
      <w:r w:rsidR="009A5C51">
        <w:t xml:space="preserve">bruk av </w:t>
      </w:r>
      <w:r w:rsidRPr="0055149C">
        <w:t>geometrisk</w:t>
      </w:r>
      <w:r w:rsidR="00466EFC">
        <w:t>e</w:t>
      </w:r>
      <w:r w:rsidRPr="0055149C">
        <w:t xml:space="preserve"> depresieringsrater </w:t>
      </w:r>
      <w:r w:rsidR="003E59D5">
        <w:t>er</w:t>
      </w:r>
      <w:r w:rsidRPr="0055149C">
        <w:t xml:space="preserve"> </w:t>
      </w:r>
      <w:r w:rsidR="006D2FE1" w:rsidRPr="0055149C">
        <w:t>mer realistisk</w:t>
      </w:r>
      <w:r w:rsidRPr="0055149C">
        <w:t>. Dersom kapitalmassen står overfor prisstigning, impliserer imidlertid lineære depresieringer i løpende priser i realiteten fallende depresieringer i faste priser, hvilket samsvarer med en geometrisk depresieringsprofil for kapitalvolum</w:t>
      </w:r>
      <w:r w:rsidR="008B6D1C">
        <w:t>et</w:t>
      </w:r>
      <w:r w:rsidRPr="0055149C">
        <w:t>.</w:t>
      </w:r>
    </w:p>
    <w:p w14:paraId="7B0FAEDE" w14:textId="46585949" w:rsidR="00874DF5" w:rsidRPr="0055149C" w:rsidRDefault="00874DF5" w:rsidP="00874DF5">
      <w:r w:rsidRPr="0055149C">
        <w:t>Valget av fr</w:t>
      </w:r>
      <w:r w:rsidR="00EA6503">
        <w:t>a</w:t>
      </w:r>
      <w:r w:rsidRPr="0055149C">
        <w:t>mgangsmåter for å estimere depresieringer er et sentralt tema innenfor den neoklassiske litteraturen om kapitalestimering (se for eksempel Jorgenson 1996 og Hulten og Wykoff 1996 for detaljerte gjennomganger av metoder). Forskning indikerer også at depresieringsrater ofte er medsykliske (Albonico</w:t>
      </w:r>
      <w:r w:rsidR="00E578AA" w:rsidRPr="0055149C">
        <w:t xml:space="preserve">, </w:t>
      </w:r>
      <w:r w:rsidR="00E578AA" w:rsidRPr="0055149C">
        <w:rPr>
          <w:color w:val="auto"/>
          <w:lang w:eastAsia="nb-NO"/>
        </w:rPr>
        <w:t>Kalyvitis</w:t>
      </w:r>
      <w:r w:rsidR="00E578AA" w:rsidRPr="0055149C">
        <w:t xml:space="preserve"> og </w:t>
      </w:r>
      <w:r w:rsidR="009C061D" w:rsidRPr="0055149C">
        <w:t>P</w:t>
      </w:r>
      <w:r w:rsidR="00E578AA" w:rsidRPr="0055149C">
        <w:t>appa</w:t>
      </w:r>
      <w:r w:rsidRPr="0055149C">
        <w:t xml:space="preserve"> 2014) og avhengige av det teknologiske utviklingsstadiet (Peles 1988).</w:t>
      </w:r>
      <w:r w:rsidR="00CB5C43" w:rsidRPr="0055149C">
        <w:rPr>
          <w:rStyle w:val="Fotnotereferanse"/>
        </w:rPr>
        <w:footnoteReference w:id="12"/>
      </w:r>
    </w:p>
    <w:p w14:paraId="50E1E4A0" w14:textId="369C8318" w:rsidR="00AC6EFD" w:rsidRPr="0055149C" w:rsidRDefault="00AC6EFD" w:rsidP="00874DF5">
      <w:r w:rsidRPr="0055149C">
        <w:t>De reelle levetidene på kapitalmassen varierer i realiteten fra om lag 3 til 100 år, hvilket også reflekteres av avskrivningstiden</w:t>
      </w:r>
      <w:r w:rsidR="009542F4" w:rsidRPr="0055149C">
        <w:t>e</w:t>
      </w:r>
      <w:r w:rsidRPr="0055149C">
        <w:t xml:space="preserve"> i regnskapet. Typisk er levetidene lengst for bygg og anlegg, og lavere for mobil </w:t>
      </w:r>
      <w:r w:rsidR="005A1F73">
        <w:t>real</w:t>
      </w:r>
      <w:r w:rsidRPr="0055149C">
        <w:t>kapital som immateriell kapital, maskiner, transportmidler og utstyr. For tomter er det ikke noe kapitalslit utenom eventuel</w:t>
      </w:r>
      <w:r w:rsidR="00CB5C43" w:rsidRPr="0055149C">
        <w:t>t</w:t>
      </w:r>
      <w:r w:rsidRPr="0055149C">
        <w:t xml:space="preserve"> en anleggsbit som vedrører opparbeiding. Vi kommer tilbake til de konkrete levetidene i regnskapene i </w:t>
      </w:r>
      <w:r w:rsidR="00CB5C43" w:rsidRPr="0055149C">
        <w:t>seksjon</w:t>
      </w:r>
      <w:r w:rsidR="00501124" w:rsidRPr="0055149C">
        <w:t xml:space="preserve"> </w:t>
      </w:r>
      <w:r w:rsidRPr="0055149C">
        <w:fldChar w:fldCharType="begin"/>
      </w:r>
      <w:r w:rsidRPr="0055149C">
        <w:instrText xml:space="preserve"> REF _Ref166249059 \r \h </w:instrText>
      </w:r>
      <w:r w:rsidRPr="0055149C">
        <w:fldChar w:fldCharType="separate"/>
      </w:r>
      <w:r w:rsidR="009B1DA8">
        <w:t>3.1.1</w:t>
      </w:r>
      <w:r w:rsidRPr="0055149C">
        <w:fldChar w:fldCharType="end"/>
      </w:r>
      <w:r w:rsidRPr="0055149C">
        <w:t>.</w:t>
      </w:r>
      <w:r w:rsidR="002A6BEE" w:rsidRPr="0055149C">
        <w:rPr>
          <w:rStyle w:val="Fotnotereferanse"/>
        </w:rPr>
        <w:footnoteReference w:id="13"/>
      </w:r>
    </w:p>
    <w:p w14:paraId="20CBB0CB" w14:textId="26396544" w:rsidR="00250F93" w:rsidRPr="0055149C" w:rsidRDefault="00250F93" w:rsidP="00250F93">
      <w:r w:rsidRPr="0055149C">
        <w:t>I kapittel 10 i Scheel-utvalgets rapport (NOU 2014:13) gjennomgås satsene i avskrivningssystemet</w:t>
      </w:r>
      <w:r w:rsidR="00C31D08">
        <w:t xml:space="preserve">. </w:t>
      </w:r>
      <w:r w:rsidR="00052F19">
        <w:t>S</w:t>
      </w:r>
      <w:r w:rsidR="00F2236E">
        <w:t xml:space="preserve">tatistisk sentralbyrå ved </w:t>
      </w:r>
      <w:r w:rsidR="00F2236E" w:rsidRPr="0055149C">
        <w:t>Barth med flere (2015</w:t>
      </w:r>
      <w:r w:rsidR="00F2236E">
        <w:t xml:space="preserve"> og 2016</w:t>
      </w:r>
      <w:r w:rsidR="00F2236E" w:rsidRPr="0055149C">
        <w:t>)</w:t>
      </w:r>
      <w:r w:rsidR="00F2236E">
        <w:t xml:space="preserve"> oppdaterer kunnskapsgrunnlaget med</w:t>
      </w:r>
      <w:r w:rsidRPr="0055149C">
        <w:t xml:space="preserve"> en empirisk kartlegging og</w:t>
      </w:r>
      <w:r w:rsidR="00D31295">
        <w:t xml:space="preserve"> </w:t>
      </w:r>
      <w:r w:rsidR="00F2236E">
        <w:t>en</w:t>
      </w:r>
      <w:r w:rsidRPr="0055149C">
        <w:t xml:space="preserve"> litteraturkartlegging. Både subsidiebehov og overens</w:t>
      </w:r>
      <w:r w:rsidR="007056BC">
        <w:t>s</w:t>
      </w:r>
      <w:r w:rsidRPr="0055149C">
        <w:t>temmelse mellom regnskapsmessige og realøkonomiske satser har blitt fremmet i debatten om fastsettelsen av anleggsmidlers avskrivningssatser (se også Finansdepartementet 2001, 2015 og 2016, Finanskomiteen ved Stortinget 2012, 2016 og 2017, og NOU 2022:20 for mer om denne diskusjonen). Hvordan regnskapsføringen praktiseres har ikke reell betydning for kapitalslitets verdi, men uoverensstemmelser vil ofte kunne ledsages av større målefeil i kapitalmålingen.</w:t>
      </w:r>
    </w:p>
    <w:p w14:paraId="6E57D456" w14:textId="1FEA0FB2" w:rsidR="007026CC" w:rsidRPr="0055149C" w:rsidRDefault="007026CC" w:rsidP="001D198E">
      <w:pPr>
        <w:pStyle w:val="Overskrift3"/>
      </w:pPr>
      <w:bookmarkStart w:id="41" w:name="_Ref165384869"/>
      <w:r w:rsidRPr="0055149C">
        <w:t xml:space="preserve">Prisjustering av </w:t>
      </w:r>
      <w:r w:rsidR="00FC66A4" w:rsidRPr="0055149C">
        <w:t>kapitalslitet</w:t>
      </w:r>
      <w:bookmarkEnd w:id="41"/>
    </w:p>
    <w:p w14:paraId="385128F9" w14:textId="0CBB37F3" w:rsidR="00ED2C0F" w:rsidRDefault="00ED2C0F" w:rsidP="00ED2C0F">
      <w:pPr>
        <w:rPr>
          <w:lang w:eastAsia="nb-NO"/>
        </w:rPr>
      </w:pPr>
      <w:r>
        <w:rPr>
          <w:lang w:eastAsia="nb-NO"/>
        </w:rPr>
        <w:t>Det reelle kapitalslitet skjer i volum (anslått ved faste priser) og ikke verdi (det vil si i løpende priser). Prisutviklingen på realkapitalen generelt er diskutert i delkapittel 2.4, mens vi her behandler hvordan den påvirker målingen av kapitalslitet spesifikt</w:t>
      </w:r>
      <w:r w:rsidR="00B932CB">
        <w:rPr>
          <w:lang w:eastAsia="nb-NO"/>
        </w:rPr>
        <w:t xml:space="preserve"> (se </w:t>
      </w:r>
      <w:r w:rsidR="002609EC">
        <w:rPr>
          <w:lang w:eastAsia="nb-NO"/>
        </w:rPr>
        <w:t xml:space="preserve">delkapittel </w:t>
      </w:r>
      <w:r w:rsidR="002609EC">
        <w:rPr>
          <w:lang w:eastAsia="nb-NO"/>
        </w:rPr>
        <w:fldChar w:fldCharType="begin"/>
      </w:r>
      <w:r w:rsidR="002609EC">
        <w:rPr>
          <w:lang w:eastAsia="nb-NO"/>
        </w:rPr>
        <w:instrText xml:space="preserve"> REF _Ref178521930 \r \h </w:instrText>
      </w:r>
      <w:r w:rsidR="002609EC">
        <w:rPr>
          <w:lang w:eastAsia="nb-NO"/>
        </w:rPr>
      </w:r>
      <w:r w:rsidR="002609EC">
        <w:rPr>
          <w:lang w:eastAsia="nb-NO"/>
        </w:rPr>
        <w:fldChar w:fldCharType="separate"/>
      </w:r>
      <w:r w:rsidR="009B1DA8">
        <w:rPr>
          <w:lang w:eastAsia="nb-NO"/>
        </w:rPr>
        <w:t>3.1</w:t>
      </w:r>
      <w:r w:rsidR="002609EC">
        <w:rPr>
          <w:lang w:eastAsia="nb-NO"/>
        </w:rPr>
        <w:fldChar w:fldCharType="end"/>
      </w:r>
      <w:r w:rsidR="00B932CB">
        <w:rPr>
          <w:lang w:eastAsia="nb-NO"/>
        </w:rPr>
        <w:t xml:space="preserve"> for detaljer om målingen)</w:t>
      </w:r>
      <w:r>
        <w:rPr>
          <w:lang w:eastAsia="nb-NO"/>
        </w:rPr>
        <w:t xml:space="preserve">. Typisk vil den gjennomsnittlige årlige prisutviklingen på kapitalmassen variere fra oppgang på over seks prosent for eiendom til nedgang på rundt to prosent for enkelte maskiner. </w:t>
      </w:r>
      <w:r>
        <w:rPr>
          <w:lang w:eastAsia="nb-NO"/>
        </w:rPr>
        <w:lastRenderedPageBreak/>
        <w:t>En del prisindekser tar ikke fullt ut høyde for kvalitetsforbedringer i den respektive kapitalvaren, hvilket innebærer at prisutviklingen i realiteten vil være svakere for de berørte kapitalartene.</w:t>
      </w:r>
    </w:p>
    <w:p w14:paraId="1C9DB66B" w14:textId="04A8FC9B" w:rsidR="00ED2C0F" w:rsidRDefault="00ED2C0F" w:rsidP="00ED2C0F">
      <w:pPr>
        <w:rPr>
          <w:lang w:eastAsia="nb-NO"/>
        </w:rPr>
      </w:pPr>
      <w:r>
        <w:rPr>
          <w:lang w:eastAsia="nb-NO"/>
        </w:rPr>
        <w:t xml:space="preserve">Flere har påpekt at mangel på prisjustering innebærer at avskrivningstallene i KOSTRA undervurderer kapitalslitstallene (se for eksempel Kalvarskaia og Langørgen 2004 og Thorstensen, Lie og Lunder 2021). Mer presist er det prisutviklingen knyttet til faste eiendommer og anlegg som forårsaker dette. Dersom man ønsker å måle det faktiske kapitalslitet, vil det imidlertid være kapitalgevinster forbundet med prisutviklingen på kapitalen. Det gjelder særlig for fast eiendom og anlegg, der tomtekomponenten er buntet med den øvrige kapitalen. </w:t>
      </w:r>
      <w:r w:rsidR="007863ED">
        <w:rPr>
          <w:lang w:eastAsia="nb-NO"/>
        </w:rPr>
        <w:t>Ut fra e</w:t>
      </w:r>
      <w:r w:rsidR="00F7215A">
        <w:rPr>
          <w:lang w:eastAsia="nb-NO"/>
        </w:rPr>
        <w:t>n</w:t>
      </w:r>
      <w:r w:rsidR="007863ED">
        <w:rPr>
          <w:lang w:eastAsia="nb-NO"/>
        </w:rPr>
        <w:t xml:space="preserve"> alternativkostnads</w:t>
      </w:r>
      <w:r w:rsidR="00F7215A">
        <w:rPr>
          <w:lang w:eastAsia="nb-NO"/>
        </w:rPr>
        <w:t>betraktning</w:t>
      </w:r>
      <w:r w:rsidR="007863ED">
        <w:rPr>
          <w:lang w:eastAsia="nb-NO"/>
        </w:rPr>
        <w:t xml:space="preserve"> kan k</w:t>
      </w:r>
      <w:r>
        <w:rPr>
          <w:lang w:eastAsia="nb-NO"/>
        </w:rPr>
        <w:t xml:space="preserve">apitalartsspesifikk deflatering av kapitalslitet være fordelaktig, men henger </w:t>
      </w:r>
      <w:r w:rsidR="003768A9">
        <w:rPr>
          <w:lang w:eastAsia="nb-NO"/>
        </w:rPr>
        <w:t>like fullt</w:t>
      </w:r>
      <w:r>
        <w:rPr>
          <w:lang w:eastAsia="nb-NO"/>
        </w:rPr>
        <w:t xml:space="preserve"> ikke direkte sammen med kommunenes utgiftsutvikling.</w:t>
      </w:r>
    </w:p>
    <w:p w14:paraId="696BF82B" w14:textId="088ED745" w:rsidR="00ED2C0F" w:rsidRDefault="00ED2C0F" w:rsidP="00ED2C0F">
      <w:pPr>
        <w:rPr>
          <w:lang w:eastAsia="nb-NO"/>
        </w:rPr>
      </w:pPr>
      <w:r>
        <w:rPr>
          <w:lang w:eastAsia="nb-NO"/>
        </w:rPr>
        <w:t xml:space="preserve">Prisen på fast eiendom og anlegg øker betydelig over tid, særlig i sentrale strøk. Dessuten er den konjunkturutsatt. Kapitalarten dominerer kapitalmassen og består av to grunnkomponenter – tomten og bygg- og anleggsmassen. Merk at tomter ikke er utskilt i grunndataene. I praksis tenderer tomter </w:t>
      </w:r>
      <w:r w:rsidR="00F96D00">
        <w:rPr>
          <w:lang w:eastAsia="nb-NO"/>
        </w:rPr>
        <w:t>–</w:t>
      </w:r>
      <w:r w:rsidR="00210D11">
        <w:rPr>
          <w:lang w:eastAsia="nb-NO"/>
        </w:rPr>
        <w:t xml:space="preserve"> s</w:t>
      </w:r>
      <w:r w:rsidR="00F96D00">
        <w:rPr>
          <w:lang w:eastAsia="nb-NO"/>
        </w:rPr>
        <w:t>ærlig i sentrale strøk –</w:t>
      </w:r>
      <w:r>
        <w:rPr>
          <w:lang w:eastAsia="nb-NO"/>
        </w:rPr>
        <w:t xml:space="preserve"> </w:t>
      </w:r>
      <w:r w:rsidR="000E2874">
        <w:rPr>
          <w:lang w:eastAsia="nb-NO"/>
        </w:rPr>
        <w:t xml:space="preserve">til </w:t>
      </w:r>
      <w:r>
        <w:rPr>
          <w:lang w:eastAsia="nb-NO"/>
        </w:rPr>
        <w:t>å ha større prisvekst enn bygg og anlegg. Det går i teorien an å avlede egne prisindekser for tomter basert på prisindekser for eiendom og bygg og anlegg, me</w:t>
      </w:r>
      <w:r w:rsidR="00677F18">
        <w:rPr>
          <w:lang w:eastAsia="nb-NO"/>
        </w:rPr>
        <w:t>n</w:t>
      </w:r>
      <w:r>
        <w:rPr>
          <w:lang w:eastAsia="nb-NO"/>
        </w:rPr>
        <w:t xml:space="preserve"> disse vil etter alt å dømme være beheftet med stor usikkerhet. En av grunnene til dette er at de avhenger av tomteandeler, som </w:t>
      </w:r>
      <w:r w:rsidR="00487DED">
        <w:rPr>
          <w:lang w:eastAsia="nb-NO"/>
        </w:rPr>
        <w:t xml:space="preserve">varierer </w:t>
      </w:r>
      <w:r>
        <w:rPr>
          <w:lang w:eastAsia="nb-NO"/>
        </w:rPr>
        <w:t xml:space="preserve">betydelig over kommuner og til og med innad i kommuner (se seksjon </w:t>
      </w:r>
      <w:r w:rsidR="00353704">
        <w:rPr>
          <w:lang w:eastAsia="nb-NO"/>
        </w:rPr>
        <w:fldChar w:fldCharType="begin"/>
      </w:r>
      <w:r w:rsidR="00353704">
        <w:rPr>
          <w:lang w:eastAsia="nb-NO"/>
        </w:rPr>
        <w:instrText xml:space="preserve"> REF _Ref176556372 \r \h </w:instrText>
      </w:r>
      <w:r w:rsidR="00353704">
        <w:rPr>
          <w:lang w:eastAsia="nb-NO"/>
        </w:rPr>
      </w:r>
      <w:r w:rsidR="00353704">
        <w:rPr>
          <w:lang w:eastAsia="nb-NO"/>
        </w:rPr>
        <w:fldChar w:fldCharType="separate"/>
      </w:r>
      <w:r w:rsidR="009B1DA8">
        <w:rPr>
          <w:lang w:eastAsia="nb-NO"/>
        </w:rPr>
        <w:t>3.1.2</w:t>
      </w:r>
      <w:r w:rsidR="00353704">
        <w:rPr>
          <w:lang w:eastAsia="nb-NO"/>
        </w:rPr>
        <w:fldChar w:fldCharType="end"/>
      </w:r>
      <w:r w:rsidR="00353704">
        <w:rPr>
          <w:lang w:eastAsia="nb-NO"/>
        </w:rPr>
        <w:t xml:space="preserve"> </w:t>
      </w:r>
      <w:r>
        <w:rPr>
          <w:lang w:eastAsia="nb-NO"/>
        </w:rPr>
        <w:t xml:space="preserve">for nærmere diskusjoner om datamulighetene knyttet til slike analyser). Dersom tomten ikke har noen utsikter for salg, stiller det seg imidlertid </w:t>
      </w:r>
      <w:r w:rsidR="00A911D4">
        <w:rPr>
          <w:lang w:eastAsia="nb-NO"/>
        </w:rPr>
        <w:t>litt</w:t>
      </w:r>
      <w:r>
        <w:rPr>
          <w:lang w:eastAsia="nb-NO"/>
        </w:rPr>
        <w:t xml:space="preserve"> annerledes. Bruttoinvesteringene vil i så tilfelle tendere til å innbefatte en overvekt av reinvesteringer i bygg og anlegg framfor nyinvesteringer i både bygg og anlegg og tomter.</w:t>
      </w:r>
    </w:p>
    <w:p w14:paraId="6E1C6688" w14:textId="21AA1067" w:rsidR="00ED2C0F" w:rsidRDefault="00ED2C0F" w:rsidP="00ED2C0F">
      <w:pPr>
        <w:rPr>
          <w:lang w:eastAsia="nb-NO"/>
        </w:rPr>
      </w:pPr>
      <w:r>
        <w:rPr>
          <w:lang w:eastAsia="nb-NO"/>
        </w:rPr>
        <w:t xml:space="preserve">Dersom kapitalslitet måles i oppdaterte priser, typisk ved PIM, vil det dermed bli høyere over tid i områder med høy vekst i eiendomspriser, hvilket ikke nødvendigvis vil være ønskelig å inkludere i utgiftsutjevningen. Hvis det foretas en jevn strøm av nyinvesteringer i både bygg og tomter over tid, kan måling av depresieringer til oppdaterte priser bidra til at kapitalslitet blir mer riktig sett fra en betraktning om alternative anvendelser. Dersom det derimot i stor utstrekning er snakk om reinvesteringer av bygningskomponenten av eiendommene, sammenhengen mellom historiske og nye investeringer er svak, og utsiktene for omsetning av tomtene er relativt begrensede, kan kompensasjon til historiske kostnader som gjenspeiler faktiske utgifter være mer nærliggende. </w:t>
      </w:r>
      <w:r w:rsidR="00A911D4">
        <w:rPr>
          <w:lang w:eastAsia="nb-NO"/>
        </w:rPr>
        <w:t>Fravær av utsikter for salg eller leie</w:t>
      </w:r>
      <w:r>
        <w:rPr>
          <w:lang w:eastAsia="nb-NO"/>
        </w:rPr>
        <w:t xml:space="preserve"> taler for å måle depresieringene ved DM.</w:t>
      </w:r>
    </w:p>
    <w:p w14:paraId="5296523C" w14:textId="2B6D00EF" w:rsidR="00ED2C0F" w:rsidRDefault="00ED2C0F" w:rsidP="00ED2C0F">
      <w:pPr>
        <w:rPr>
          <w:lang w:eastAsia="nb-NO"/>
        </w:rPr>
      </w:pPr>
      <w:r>
        <w:rPr>
          <w:lang w:eastAsia="nb-NO"/>
        </w:rPr>
        <w:t>Et historisk argument mot å inkludere avskrivningene i inntektssystemet er at de kommunale eiendomsverdiene ble satt nokså ad hoc ved opprettelsen av KOSTRA i begynnelsen av 2000-tallet. Nå har det imidlertid gått over 20 år siden omleggingen og mange eiendommer har også vekslet hender. Dermed blir betydningen av disse målefeilene mindre betydelig enn tidligere, selv om levetiden på et bygg anslås til å være om lag 40 år. Et annet</w:t>
      </w:r>
      <w:r w:rsidR="008340FB">
        <w:rPr>
          <w:lang w:eastAsia="nb-NO"/>
        </w:rPr>
        <w:t>,</w:t>
      </w:r>
      <w:r>
        <w:rPr>
          <w:lang w:eastAsia="nb-NO"/>
        </w:rPr>
        <w:t xml:space="preserve"> relatert argument er at de bokførte kapitalverdiene i KOSTRA er mer gjenkjennelige og har relativt bred aksept blant kommunene. I tillegg bygger de bokførte kapitalbeholdningene og de regnskapsmessige avskrivningene på mer disaggregert informasjon enn det som ellers er synlig i KOSTRA.</w:t>
      </w:r>
    </w:p>
    <w:p w14:paraId="6BDDB81D" w14:textId="216DE9EA" w:rsidR="00ED2C0F" w:rsidRDefault="00ED2C0F" w:rsidP="00ED2C0F">
      <w:pPr>
        <w:rPr>
          <w:lang w:eastAsia="nb-NO"/>
        </w:rPr>
      </w:pPr>
      <w:r>
        <w:rPr>
          <w:lang w:eastAsia="nb-NO"/>
        </w:rPr>
        <w:t xml:space="preserve">En del av begrunnelsen for å kompensere kommunene for kapitalkostnadene som beregnes i </w:t>
      </w:r>
      <w:r w:rsidR="00353704">
        <w:rPr>
          <w:lang w:eastAsia="nb-NO"/>
        </w:rPr>
        <w:fldChar w:fldCharType="begin"/>
      </w:r>
      <w:r w:rsidR="00353704">
        <w:rPr>
          <w:lang w:eastAsia="nb-NO"/>
        </w:rPr>
        <w:instrText xml:space="preserve"> REF _Ref176425310 \h </w:instrText>
      </w:r>
      <w:r w:rsidR="00353704">
        <w:rPr>
          <w:lang w:eastAsia="nb-NO"/>
        </w:rPr>
      </w:r>
      <w:r w:rsidR="00353704">
        <w:rPr>
          <w:lang w:eastAsia="nb-NO"/>
        </w:rPr>
        <w:fldChar w:fldCharType="separate"/>
      </w:r>
      <w:r w:rsidR="009B1DA8" w:rsidRPr="0055149C">
        <w:t xml:space="preserve">Tekstboks </w:t>
      </w:r>
      <w:r w:rsidR="009B1DA8">
        <w:rPr>
          <w:noProof/>
        </w:rPr>
        <w:t>1</w:t>
      </w:r>
      <w:r w:rsidR="009B1DA8" w:rsidRPr="0055149C">
        <w:t>.</w:t>
      </w:r>
      <w:r w:rsidR="009B1DA8">
        <w:rPr>
          <w:noProof/>
        </w:rPr>
        <w:t>1</w:t>
      </w:r>
      <w:r w:rsidR="00353704">
        <w:rPr>
          <w:lang w:eastAsia="nb-NO"/>
        </w:rPr>
        <w:fldChar w:fldCharType="end"/>
      </w:r>
      <w:r w:rsidR="00353704">
        <w:rPr>
          <w:lang w:eastAsia="nb-NO"/>
        </w:rPr>
        <w:t xml:space="preserve"> </w:t>
      </w:r>
      <w:r>
        <w:rPr>
          <w:lang w:eastAsia="nb-NO"/>
        </w:rPr>
        <w:t xml:space="preserve">i delkapittel </w:t>
      </w:r>
      <w:r w:rsidR="00353704">
        <w:rPr>
          <w:lang w:eastAsia="nb-NO"/>
        </w:rPr>
        <w:fldChar w:fldCharType="begin"/>
      </w:r>
      <w:r w:rsidR="00353704">
        <w:rPr>
          <w:lang w:eastAsia="nb-NO"/>
        </w:rPr>
        <w:instrText xml:space="preserve"> REF _Ref167283495 \r \h </w:instrText>
      </w:r>
      <w:r w:rsidR="00353704">
        <w:rPr>
          <w:lang w:eastAsia="nb-NO"/>
        </w:rPr>
      </w:r>
      <w:r w:rsidR="00353704">
        <w:rPr>
          <w:lang w:eastAsia="nb-NO"/>
        </w:rPr>
        <w:fldChar w:fldCharType="separate"/>
      </w:r>
      <w:r w:rsidR="009B1DA8">
        <w:rPr>
          <w:lang w:eastAsia="nb-NO"/>
        </w:rPr>
        <w:t>1.3</w:t>
      </w:r>
      <w:r w:rsidR="00353704">
        <w:rPr>
          <w:lang w:eastAsia="nb-NO"/>
        </w:rPr>
        <w:fldChar w:fldCharType="end"/>
      </w:r>
      <w:r>
        <w:rPr>
          <w:lang w:eastAsia="nb-NO"/>
        </w:rPr>
        <w:t>, er at kostnadenes nåverdi blir den samme, dersom man antar en betalingsstrøm med stabile egenskaper når det kommer til sammensetning</w:t>
      </w:r>
      <w:r w:rsidR="00C3265F">
        <w:rPr>
          <w:lang w:eastAsia="nb-NO"/>
        </w:rPr>
        <w:t>en</w:t>
      </w:r>
      <w:r w:rsidR="00691B2B">
        <w:rPr>
          <w:lang w:eastAsia="nb-NO"/>
        </w:rPr>
        <w:t xml:space="preserve"> </w:t>
      </w:r>
      <w:r>
        <w:rPr>
          <w:lang w:eastAsia="nb-NO"/>
        </w:rPr>
        <w:t xml:space="preserve">(se også delkapittel </w:t>
      </w:r>
      <w:r w:rsidR="00353704">
        <w:rPr>
          <w:lang w:eastAsia="nb-NO"/>
        </w:rPr>
        <w:fldChar w:fldCharType="begin"/>
      </w:r>
      <w:r w:rsidR="00353704">
        <w:rPr>
          <w:lang w:eastAsia="nb-NO"/>
        </w:rPr>
        <w:instrText xml:space="preserve"> REF _Ref179204671 \r \h </w:instrText>
      </w:r>
      <w:r w:rsidR="00353704">
        <w:rPr>
          <w:lang w:eastAsia="nb-NO"/>
        </w:rPr>
      </w:r>
      <w:r w:rsidR="00353704">
        <w:rPr>
          <w:lang w:eastAsia="nb-NO"/>
        </w:rPr>
        <w:fldChar w:fldCharType="separate"/>
      </w:r>
      <w:r w:rsidR="009B1DA8">
        <w:rPr>
          <w:lang w:eastAsia="nb-NO"/>
        </w:rPr>
        <w:t>2.3</w:t>
      </w:r>
      <w:r w:rsidR="00353704">
        <w:rPr>
          <w:lang w:eastAsia="nb-NO"/>
        </w:rPr>
        <w:fldChar w:fldCharType="end"/>
      </w:r>
      <w:r>
        <w:rPr>
          <w:lang w:eastAsia="nb-NO"/>
        </w:rPr>
        <w:t xml:space="preserve">). En slik utledning vil også i større grad kunne gjenspeile brukerprisen ved å spre </w:t>
      </w:r>
      <w:r>
        <w:rPr>
          <w:lang w:eastAsia="nb-NO"/>
        </w:rPr>
        <w:lastRenderedPageBreak/>
        <w:t>kompensasjonen over tid i form av en brukerpris på en beregnet samlet kapitalbeholdning, selv om asymmetrisk prisutvikling mellom tomter og bygg- og anleggsmassen kompliserer bildet.</w:t>
      </w:r>
    </w:p>
    <w:p w14:paraId="33ED1517" w14:textId="11D6A602" w:rsidR="00ED2C0F" w:rsidRDefault="00ED2C0F" w:rsidP="00ED2C0F">
      <w:pPr>
        <w:rPr>
          <w:lang w:eastAsia="nb-NO"/>
        </w:rPr>
      </w:pPr>
      <w:r>
        <w:rPr>
          <w:lang w:eastAsia="nb-NO"/>
        </w:rPr>
        <w:t>Kombinasjonen av prisvekst på realkapitalen og regnskapsføring ved standarden for norske kommuner (GKRS) kan gi feil bedømming av kapitalverdien over tid ved at prisstigningen ikke er med. PIM blander ikke sammen prisnivåer fra ulike perioder, slik som DM gjør. DM reflekterer hva som var den opprinnelige utgiften, men ulike prisnivåer er blandet sammen.</w:t>
      </w:r>
      <w:r w:rsidR="000E4DFC">
        <w:rPr>
          <w:lang w:eastAsia="nb-NO"/>
        </w:rPr>
        <w:t xml:space="preserve"> </w:t>
      </w:r>
      <w:r w:rsidR="00737DC7" w:rsidRPr="00737DC7">
        <w:rPr>
          <w:lang w:eastAsia="nb-NO"/>
        </w:rPr>
        <w:t>En ting er at den kapitalartsspesifikke prisutviklingen ikke er tatt hensyn til, men DM-estimatene tar heller ikke høyde for den generelle inflasjonen.</w:t>
      </w:r>
      <w:r w:rsidR="00737DC7">
        <w:rPr>
          <w:lang w:eastAsia="nb-NO"/>
        </w:rPr>
        <w:t xml:space="preserve"> </w:t>
      </w:r>
      <w:r>
        <w:rPr>
          <w:lang w:eastAsia="nb-NO"/>
        </w:rPr>
        <w:t xml:space="preserve">I tillegg kan det være eksempler på at kapitalen er helt fullstendig kostnadsført </w:t>
      </w:r>
      <w:r w:rsidR="002B7110">
        <w:rPr>
          <w:lang w:eastAsia="nb-NO"/>
        </w:rPr>
        <w:t xml:space="preserve">i årsregnskapet </w:t>
      </w:r>
      <w:r>
        <w:rPr>
          <w:lang w:eastAsia="nb-NO"/>
        </w:rPr>
        <w:t>i form av avskrivninger, men fremdeles har en reell verdi. Dette forholdet går imidlertid på ti</w:t>
      </w:r>
      <w:r w:rsidR="00A911D4">
        <w:rPr>
          <w:lang w:eastAsia="nb-NO"/>
        </w:rPr>
        <w:t>dspunktet</w:t>
      </w:r>
      <w:r>
        <w:rPr>
          <w:lang w:eastAsia="nb-NO"/>
        </w:rPr>
        <w:t xml:space="preserve"> </w:t>
      </w:r>
      <w:r w:rsidR="00A911D4">
        <w:rPr>
          <w:lang w:eastAsia="nb-NO"/>
        </w:rPr>
        <w:t>for</w:t>
      </w:r>
      <w:r>
        <w:rPr>
          <w:lang w:eastAsia="nb-NO"/>
        </w:rPr>
        <w:t xml:space="preserve"> kostnadsføringen og ikke kapitalslitets verdi.</w:t>
      </w:r>
    </w:p>
    <w:p w14:paraId="294EE434" w14:textId="77777777" w:rsidR="00ED2C0F" w:rsidRDefault="00ED2C0F" w:rsidP="00ED2C0F">
      <w:pPr>
        <w:rPr>
          <w:lang w:eastAsia="nb-NO"/>
        </w:rPr>
      </w:pPr>
      <w:r>
        <w:rPr>
          <w:lang w:eastAsia="nb-NO"/>
        </w:rPr>
        <w:t>Når det gjelder mobil realkapital, blir dynamikken noe annerledes med generelt kortere levetid og svakere enn for eiendomskapitalen. Utstyr, maskiner og immateriell kapital vil ofte ikke ha noen utsikter for salg eller innleie, slik at prisutviklingen etter kjøpstidspunktene ikke vil ha noe videre betydning. For transportmidler vil derimot videresalg og innleie være mer aktuelt.</w:t>
      </w:r>
    </w:p>
    <w:p w14:paraId="610226EF" w14:textId="4DC4F713" w:rsidR="000D750A" w:rsidRPr="0055149C" w:rsidRDefault="00ED2C0F" w:rsidP="00ED2C0F">
      <w:r>
        <w:rPr>
          <w:lang w:eastAsia="nb-NO"/>
        </w:rPr>
        <w:t xml:space="preserve">Samlet sett er det ikke helt opplagt til hvilke priser man ønsker å måle kapitalkostnadene i utgiftsutjevningen, dersom kapitalkostnader inkluderes. Disse avveiningene kunne etter vårt skjønn med fordel </w:t>
      </w:r>
      <w:r w:rsidR="003770BF">
        <w:rPr>
          <w:lang w:eastAsia="nb-NO"/>
        </w:rPr>
        <w:t xml:space="preserve">ha </w:t>
      </w:r>
      <w:r>
        <w:rPr>
          <w:lang w:eastAsia="nb-NO"/>
        </w:rPr>
        <w:t>blitt viet større fokus tidligere.</w:t>
      </w:r>
    </w:p>
    <w:p w14:paraId="5C5AE114" w14:textId="45DC43D0" w:rsidR="0099407E" w:rsidRPr="0055149C" w:rsidRDefault="0099407E" w:rsidP="0099407E">
      <w:pPr>
        <w:pStyle w:val="Overskrift3"/>
      </w:pPr>
      <w:bookmarkStart w:id="42" w:name="_Ref182213929"/>
      <w:bookmarkStart w:id="43" w:name="_Ref166241324"/>
      <w:r w:rsidRPr="0055149C">
        <w:t>Håndtering av ulike aggregeringsnivåer i dataene</w:t>
      </w:r>
      <w:bookmarkEnd w:id="42"/>
    </w:p>
    <w:p w14:paraId="25799DD3" w14:textId="0813EB8C" w:rsidR="0099407E" w:rsidRPr="0055149C" w:rsidRDefault="0099407E" w:rsidP="0099407E">
      <w:pPr>
        <w:rPr>
          <w:lang w:eastAsia="nb-NO"/>
        </w:rPr>
      </w:pPr>
      <w:r w:rsidRPr="0055149C">
        <w:rPr>
          <w:lang w:eastAsia="nb-NO"/>
        </w:rPr>
        <w:t>Næringssammenlikninger av realkapitalen mellom kapitalformer viser at depresieringsratene (</w:t>
      </w:r>
      <w:r w:rsidR="000C655F">
        <w:rPr>
          <w:lang w:eastAsia="nb-NO"/>
        </w:rPr>
        <w:t xml:space="preserve">og </w:t>
      </w:r>
      <w:r w:rsidR="00A66981">
        <w:rPr>
          <w:lang w:eastAsia="nb-NO"/>
        </w:rPr>
        <w:t xml:space="preserve">derved </w:t>
      </w:r>
      <w:r w:rsidRPr="0055149C">
        <w:rPr>
          <w:lang w:eastAsia="nb-NO"/>
        </w:rPr>
        <w:t>l</w:t>
      </w:r>
      <w:r>
        <w:rPr>
          <w:lang w:eastAsia="nb-NO"/>
        </w:rPr>
        <w:t>e</w:t>
      </w:r>
      <w:r w:rsidRPr="0055149C">
        <w:rPr>
          <w:lang w:eastAsia="nb-NO"/>
        </w:rPr>
        <w:t>vetider) og prisutvikling ofte er relativt like for samme kapitalform på tvers av funksjoner, skjønt vesentlig unntak forekommer både på grunn av forskjeller i bruk og innhold (se for eksempel Todsen 1997b</w:t>
      </w:r>
      <w:r w:rsidRPr="0055149C">
        <w:t xml:space="preserve">, Barth med flere </w:t>
      </w:r>
      <w:r>
        <w:t xml:space="preserve">2015 og </w:t>
      </w:r>
      <w:r w:rsidRPr="0055149C">
        <w:t>2016</w:t>
      </w:r>
      <w:r>
        <w:t>,</w:t>
      </w:r>
      <w:r w:rsidRPr="0055149C">
        <w:t xml:space="preserve"> og Holmen 2022</w:t>
      </w:r>
      <w:r>
        <w:t>a</w:t>
      </w:r>
      <w:r w:rsidRPr="0055149C">
        <w:t>)</w:t>
      </w:r>
      <w:r w:rsidRPr="0055149C">
        <w:rPr>
          <w:lang w:eastAsia="nb-NO"/>
        </w:rPr>
        <w:t>. Det går også an å avlede d</w:t>
      </w:r>
      <w:r>
        <w:rPr>
          <w:lang w:eastAsia="nb-NO"/>
        </w:rPr>
        <w:t>i</w:t>
      </w:r>
      <w:r w:rsidRPr="0055149C">
        <w:rPr>
          <w:lang w:eastAsia="nb-NO"/>
        </w:rPr>
        <w:t>saggregerte deflatorer fra nasjonalregnskapet (se Holmen 2022</w:t>
      </w:r>
      <w:r>
        <w:rPr>
          <w:lang w:eastAsia="nb-NO"/>
        </w:rPr>
        <w:t>a</w:t>
      </w:r>
      <w:r w:rsidRPr="0055149C">
        <w:rPr>
          <w:lang w:eastAsia="nb-NO"/>
        </w:rPr>
        <w:t xml:space="preserve">). Med såpass aggregerte kapitalformer som det er i </w:t>
      </w:r>
      <w:r>
        <w:rPr>
          <w:lang w:eastAsia="nb-NO"/>
        </w:rPr>
        <w:t>KOSTRA</w:t>
      </w:r>
      <w:r w:rsidR="0079790D">
        <w:rPr>
          <w:lang w:eastAsia="nb-NO"/>
        </w:rPr>
        <w:t>,</w:t>
      </w:r>
      <w:r w:rsidRPr="0055149C">
        <w:rPr>
          <w:lang w:eastAsia="nb-NO"/>
        </w:rPr>
        <w:t xml:space="preserve"> vil likevel sammensetningseffekter kunne gi utslag i vesentlige forskjeller i depresieringsrater (med tilhørende impliserte levetider) og prisutvikling for de aggregerte kapitalformene på tvers av funksjoner.</w:t>
      </w:r>
    </w:p>
    <w:p w14:paraId="45A86E29" w14:textId="44740904" w:rsidR="0099407E" w:rsidRPr="0055149C" w:rsidRDefault="0099407E" w:rsidP="0099407E">
      <w:pPr>
        <w:rPr>
          <w:lang w:eastAsia="nb-NO"/>
        </w:rPr>
      </w:pPr>
      <w:r w:rsidRPr="0055149C">
        <w:rPr>
          <w:lang w:eastAsia="nb-NO"/>
        </w:rPr>
        <w:t xml:space="preserve">I praksis er særlig kapitalartene og til en viss grad funksjonene i </w:t>
      </w:r>
      <w:r>
        <w:rPr>
          <w:lang w:eastAsia="nb-NO"/>
        </w:rPr>
        <w:t>KOSTRA</w:t>
      </w:r>
      <w:r w:rsidRPr="0055149C">
        <w:rPr>
          <w:lang w:eastAsia="nb-NO"/>
        </w:rPr>
        <w:t xml:space="preserve"> relativt aggregerte, slik at det ofte vil være flere tilgjengelige underliggende kapitaldeflatorer og depresieringsrater på en gang. Problematikken er særlig aktuell i forbindelse med skillet mellom bygg og anlegg, og tomter, men også når det gjelder skiller mellom maskiner og utstyr og transportmidler. For å u</w:t>
      </w:r>
      <w:r>
        <w:rPr>
          <w:lang w:eastAsia="nb-NO"/>
        </w:rPr>
        <w:t>t</w:t>
      </w:r>
      <w:r w:rsidRPr="0055149C">
        <w:rPr>
          <w:lang w:eastAsia="nb-NO"/>
        </w:rPr>
        <w:t xml:space="preserve">nytte denne informasjonen </w:t>
      </w:r>
      <w:r>
        <w:rPr>
          <w:lang w:eastAsia="nb-NO"/>
        </w:rPr>
        <w:t>til fulle</w:t>
      </w:r>
      <w:r w:rsidRPr="0055149C">
        <w:rPr>
          <w:lang w:eastAsia="nb-NO"/>
        </w:rPr>
        <w:t xml:space="preserve"> trenger man å anslå styrkeforholdet mellom de underliggende kapital</w:t>
      </w:r>
      <w:r w:rsidR="00702779">
        <w:rPr>
          <w:lang w:eastAsia="nb-NO"/>
        </w:rPr>
        <w:t>artene</w:t>
      </w:r>
      <w:r w:rsidRPr="0055149C">
        <w:rPr>
          <w:lang w:eastAsia="nb-NO"/>
        </w:rPr>
        <w:t>, som igjen kan brukes til en form for vekting av kapital</w:t>
      </w:r>
      <w:r w:rsidR="00702779">
        <w:rPr>
          <w:lang w:eastAsia="nb-NO"/>
        </w:rPr>
        <w:t>artene</w:t>
      </w:r>
      <w:r w:rsidRPr="0055149C">
        <w:rPr>
          <w:lang w:eastAsia="nb-NO"/>
        </w:rPr>
        <w:t xml:space="preserve"> i avledning av kapitalparam</w:t>
      </w:r>
      <w:r>
        <w:rPr>
          <w:lang w:eastAsia="nb-NO"/>
        </w:rPr>
        <w:t>e</w:t>
      </w:r>
      <w:r w:rsidRPr="0055149C">
        <w:rPr>
          <w:lang w:eastAsia="nb-NO"/>
        </w:rPr>
        <w:t xml:space="preserve">tere. Dersom dataene gir god grunn til å tro at dette styrkeforholdet endrer seg vesentlig over tid, kan man anvende tidsspesifikke vekter. Generelt er imidlertid tidsinvariante vekter å anbefale, for å unngå støy i dataene. Vi kommer tilbake til hvordan dette gjøres i praksis for vår anvendelse i seksjon </w:t>
      </w:r>
      <w:r w:rsidRPr="0055149C">
        <w:rPr>
          <w:lang w:eastAsia="nb-NO"/>
        </w:rPr>
        <w:fldChar w:fldCharType="begin"/>
      </w:r>
      <w:r w:rsidRPr="0055149C">
        <w:rPr>
          <w:lang w:eastAsia="nb-NO"/>
        </w:rPr>
        <w:instrText xml:space="preserve"> REF _Ref174721107 \r \h </w:instrText>
      </w:r>
      <w:r w:rsidRPr="0055149C">
        <w:rPr>
          <w:lang w:eastAsia="nb-NO"/>
        </w:rPr>
      </w:r>
      <w:r w:rsidRPr="0055149C">
        <w:rPr>
          <w:lang w:eastAsia="nb-NO"/>
        </w:rPr>
        <w:fldChar w:fldCharType="separate"/>
      </w:r>
      <w:r w:rsidR="009B1DA8">
        <w:rPr>
          <w:lang w:eastAsia="nb-NO"/>
        </w:rPr>
        <w:t>4.1.1</w:t>
      </w:r>
      <w:r w:rsidRPr="0055149C">
        <w:rPr>
          <w:lang w:eastAsia="nb-NO"/>
        </w:rPr>
        <w:fldChar w:fldCharType="end"/>
      </w:r>
      <w:r w:rsidRPr="0055149C">
        <w:rPr>
          <w:lang w:eastAsia="nb-NO"/>
        </w:rPr>
        <w:t xml:space="preserve"> og referer</w:t>
      </w:r>
      <w:r>
        <w:rPr>
          <w:lang w:eastAsia="nb-NO"/>
        </w:rPr>
        <w:t>er</w:t>
      </w:r>
      <w:r w:rsidRPr="0055149C">
        <w:rPr>
          <w:lang w:eastAsia="nb-NO"/>
        </w:rPr>
        <w:t xml:space="preserve"> for øvrig til Holmen (2022</w:t>
      </w:r>
      <w:r>
        <w:rPr>
          <w:lang w:eastAsia="nb-NO"/>
        </w:rPr>
        <w:t>a</w:t>
      </w:r>
      <w:r w:rsidRPr="0055149C">
        <w:rPr>
          <w:lang w:eastAsia="nb-NO"/>
        </w:rPr>
        <w:t>).</w:t>
      </w:r>
    </w:p>
    <w:p w14:paraId="6996F1CF" w14:textId="1F003D39" w:rsidR="0099407E" w:rsidRPr="0055149C" w:rsidRDefault="0099407E" w:rsidP="0099407E">
      <w:pPr>
        <w:rPr>
          <w:lang w:eastAsia="nb-NO"/>
        </w:rPr>
      </w:pPr>
      <w:r w:rsidRPr="0055149C">
        <w:rPr>
          <w:lang w:eastAsia="nb-NO"/>
        </w:rPr>
        <w:t xml:space="preserve">Når implisitte parametere for depresieringsrater og kapitaldeflatorer skal avledes fra forskjellige datakilder som nasjonalregnskapet og </w:t>
      </w:r>
      <w:r>
        <w:rPr>
          <w:lang w:eastAsia="nb-NO"/>
        </w:rPr>
        <w:t>KOSTRA</w:t>
      </w:r>
      <w:r w:rsidRPr="0055149C">
        <w:rPr>
          <w:lang w:eastAsia="nb-NO"/>
        </w:rPr>
        <w:t xml:space="preserve">, vil det også være aktuelt å søke samsvar mellom disse datakildene. Igjen vil det være aktuelt å beregne samsvaret mellom kapitalformene i datakildene. Det bør imidlertid vurderes om implikasjonen av matchingen virker rimelig og i hvilken grad datakildene er sammenliknbare. Bruk av samsvarsparametere vil gjerne være </w:t>
      </w:r>
      <w:r w:rsidRPr="0055149C">
        <w:rPr>
          <w:lang w:eastAsia="nb-NO"/>
        </w:rPr>
        <w:lastRenderedPageBreak/>
        <w:t xml:space="preserve">imperfekt. Skulle man være heldig å treffe godt på makronivå, kan man likevel bomme på mikronivå. Derfor bør man foreta vurderinger </w:t>
      </w:r>
      <w:r>
        <w:rPr>
          <w:lang w:eastAsia="nb-NO"/>
        </w:rPr>
        <w:t xml:space="preserve">av </w:t>
      </w:r>
      <w:r w:rsidRPr="0055149C">
        <w:rPr>
          <w:lang w:eastAsia="nb-NO"/>
        </w:rPr>
        <w:t>om gevinstene fra mer presise depresieringsrater og kapitaldeflatorer overstiger kostnadene ved imperfekt matching av kapitalformene mellom datakilder.</w:t>
      </w:r>
    </w:p>
    <w:p w14:paraId="5EC78703" w14:textId="77777777" w:rsidR="0099407E" w:rsidRPr="0055149C" w:rsidRDefault="0099407E" w:rsidP="0099407E">
      <w:pPr>
        <w:rPr>
          <w:lang w:eastAsia="nb-NO"/>
        </w:rPr>
      </w:pPr>
      <w:r w:rsidRPr="0055149C">
        <w:rPr>
          <w:lang w:eastAsia="nb-NO"/>
        </w:rPr>
        <w:t xml:space="preserve">Når kapitalslitet skal spores tilbake til hver enkelt kapitalart, vil styrkeforholdene mellom produktene av </w:t>
      </w:r>
      <w:r w:rsidRPr="0004113A">
        <w:rPr>
          <w:lang w:eastAsia="nb-NO"/>
        </w:rPr>
        <w:t>depresieringsratene og kapitalbeholdningen for hver kapitalform kunne benyttes som fordelingsnøkler. Bruken av fordelingsnøkler for vekting skjer i utgangspunktet målt i faste priser ved regnskap med balanseføring til historisk kost (som for GKRS), men kan eventuelt omregnes til løpende priser med disaggregerte deflatorer ved regnskap med balanseføring til oppdaterte priser (som ved bruk av IFRS). Dette stiller krav til at deflatorene og depresieringsratene er av tilstrekkelig kvalitet til å kunne gi brukbare</w:t>
      </w:r>
      <w:r w:rsidRPr="0055149C">
        <w:rPr>
          <w:lang w:eastAsia="nb-NO"/>
        </w:rPr>
        <w:t xml:space="preserve"> estimater og oppfylle inntektssystemets krav til datakvalitet.</w:t>
      </w:r>
    </w:p>
    <w:p w14:paraId="27935EC0" w14:textId="7FF3A850" w:rsidR="0099407E" w:rsidRPr="0055149C" w:rsidRDefault="0099407E" w:rsidP="0099407E">
      <w:pPr>
        <w:rPr>
          <w:lang w:eastAsia="nb-NO"/>
        </w:rPr>
      </w:pPr>
      <w:r w:rsidRPr="0055149C">
        <w:rPr>
          <w:lang w:eastAsia="nb-NO"/>
        </w:rPr>
        <w:t xml:space="preserve">Dersom man vet hva den samlede depresieringsraten er i den ene datakilden, kan man skalere en eller flere av de underliggende depresieringsratene i den andre datakilden, slik at det samlede depresieringspresset blir det samme. Ideelt sett burde alle depresieringsrater justeres. Dersom en kapitalform dominerer, og depresieringsratene er beheftet med betydelig usikkerhet, kan det likevel være mer hensiktsmessig </w:t>
      </w:r>
      <w:r w:rsidR="006E75E4">
        <w:rPr>
          <w:lang w:eastAsia="nb-NO"/>
        </w:rPr>
        <w:t xml:space="preserve">kun </w:t>
      </w:r>
      <w:r w:rsidRPr="0055149C">
        <w:rPr>
          <w:lang w:eastAsia="nb-NO"/>
        </w:rPr>
        <w:t>å justere tallene for den aggregerte kapital</w:t>
      </w:r>
      <w:r w:rsidR="006E75E4">
        <w:rPr>
          <w:lang w:eastAsia="nb-NO"/>
        </w:rPr>
        <w:t>arten</w:t>
      </w:r>
      <w:r w:rsidRPr="0055149C">
        <w:rPr>
          <w:lang w:eastAsia="nb-NO"/>
        </w:rPr>
        <w:t>.</w:t>
      </w:r>
    </w:p>
    <w:p w14:paraId="7068C6B8" w14:textId="0E7CA404" w:rsidR="00576E94" w:rsidRPr="0055149C" w:rsidRDefault="006F2244" w:rsidP="00576E94">
      <w:pPr>
        <w:pStyle w:val="Overskrift2"/>
      </w:pPr>
      <w:bookmarkStart w:id="44" w:name="_Ref179732775"/>
      <w:bookmarkStart w:id="45" w:name="_Toc182321010"/>
      <w:r w:rsidRPr="0055149C">
        <w:t xml:space="preserve">Håndtering </w:t>
      </w:r>
      <w:r w:rsidR="00576E94" w:rsidRPr="0055149C">
        <w:t>av rentekostnader</w:t>
      </w:r>
      <w:bookmarkEnd w:id="43"/>
      <w:bookmarkEnd w:id="44"/>
      <w:bookmarkEnd w:id="45"/>
    </w:p>
    <w:p w14:paraId="343E33CC" w14:textId="31DC2E35" w:rsidR="00814A44" w:rsidRPr="00FD597D" w:rsidRDefault="00B7787D" w:rsidP="00B10D6E">
      <w:pPr>
        <w:rPr>
          <w:lang w:eastAsia="nb-NO"/>
        </w:rPr>
      </w:pPr>
      <w:r w:rsidRPr="00B7787D">
        <w:rPr>
          <w:lang w:eastAsia="nb-NO"/>
        </w:rPr>
        <w:t xml:space="preserve">I delkapittel </w:t>
      </w:r>
      <w:r w:rsidRPr="00B7787D">
        <w:rPr>
          <w:lang w:eastAsia="nb-NO"/>
        </w:rPr>
        <w:fldChar w:fldCharType="begin"/>
      </w:r>
      <w:r w:rsidRPr="00B7787D">
        <w:rPr>
          <w:lang w:eastAsia="nb-NO"/>
        </w:rPr>
        <w:instrText xml:space="preserve"> REF _Ref167283495 \r \h  \* MERGEFORMAT </w:instrText>
      </w:r>
      <w:r w:rsidRPr="00B7787D">
        <w:rPr>
          <w:lang w:eastAsia="nb-NO"/>
        </w:rPr>
      </w:r>
      <w:r w:rsidRPr="00B7787D">
        <w:rPr>
          <w:lang w:eastAsia="nb-NO"/>
        </w:rPr>
        <w:fldChar w:fldCharType="separate"/>
      </w:r>
      <w:r w:rsidR="009B1DA8">
        <w:rPr>
          <w:lang w:eastAsia="nb-NO"/>
        </w:rPr>
        <w:t>1.3</w:t>
      </w:r>
      <w:r w:rsidRPr="00B7787D">
        <w:rPr>
          <w:lang w:eastAsia="nb-NO"/>
        </w:rPr>
        <w:fldChar w:fldCharType="end"/>
      </w:r>
      <w:r w:rsidRPr="00B7787D">
        <w:rPr>
          <w:lang w:eastAsia="nb-NO"/>
        </w:rPr>
        <w:t xml:space="preserve"> klargjorde vi at rentekostnader ideelt sett skal inngå i kapitalutgiftene</w:t>
      </w:r>
      <w:r w:rsidR="00814A44" w:rsidRPr="00B7787D">
        <w:rPr>
          <w:lang w:eastAsia="nb-NO"/>
        </w:rPr>
        <w:t xml:space="preserve">. Dette er det </w:t>
      </w:r>
      <w:r w:rsidRPr="00B7787D">
        <w:rPr>
          <w:lang w:eastAsia="nb-NO"/>
        </w:rPr>
        <w:t xml:space="preserve">også bred </w:t>
      </w:r>
      <w:r w:rsidR="00814A44" w:rsidRPr="00B7787D">
        <w:rPr>
          <w:lang w:eastAsia="nb-NO"/>
        </w:rPr>
        <w:t xml:space="preserve">faglig enighet om, hvilket reflekteres av utredningene på området, jamfør delkapittel </w:t>
      </w:r>
      <w:r w:rsidR="00814A44" w:rsidRPr="00B7787D">
        <w:rPr>
          <w:lang w:eastAsia="nb-NO"/>
        </w:rPr>
        <w:fldChar w:fldCharType="begin"/>
      </w:r>
      <w:r w:rsidR="00814A44" w:rsidRPr="00B7787D">
        <w:rPr>
          <w:lang w:eastAsia="nb-NO"/>
        </w:rPr>
        <w:instrText xml:space="preserve"> REF _Ref167283660 \r \h </w:instrText>
      </w:r>
      <w:r w:rsidR="0058613A" w:rsidRPr="00B7787D">
        <w:rPr>
          <w:lang w:eastAsia="nb-NO"/>
        </w:rPr>
        <w:instrText xml:space="preserve"> \* MERGEFORMAT </w:instrText>
      </w:r>
      <w:r w:rsidR="00814A44" w:rsidRPr="00B7787D">
        <w:rPr>
          <w:lang w:eastAsia="nb-NO"/>
        </w:rPr>
      </w:r>
      <w:r w:rsidR="00814A44" w:rsidRPr="00B7787D">
        <w:rPr>
          <w:lang w:eastAsia="nb-NO"/>
        </w:rPr>
        <w:fldChar w:fldCharType="separate"/>
      </w:r>
      <w:r w:rsidR="009B1DA8">
        <w:rPr>
          <w:lang w:eastAsia="nb-NO"/>
        </w:rPr>
        <w:t>1.4</w:t>
      </w:r>
      <w:r w:rsidR="00814A44" w:rsidRPr="00B7787D">
        <w:rPr>
          <w:lang w:eastAsia="nb-NO"/>
        </w:rPr>
        <w:fldChar w:fldCharType="end"/>
      </w:r>
      <w:r w:rsidR="00814A44" w:rsidRPr="00B7787D">
        <w:rPr>
          <w:lang w:eastAsia="nb-NO"/>
        </w:rPr>
        <w:t>.</w:t>
      </w:r>
      <w:r w:rsidR="00187B9F">
        <w:rPr>
          <w:lang w:eastAsia="nb-NO"/>
        </w:rPr>
        <w:t xml:space="preserve"> </w:t>
      </w:r>
      <w:r w:rsidR="00814A44" w:rsidRPr="00187B9F">
        <w:rPr>
          <w:lang w:eastAsia="nb-NO"/>
        </w:rPr>
        <w:t xml:space="preserve">I dette </w:t>
      </w:r>
      <w:r w:rsidRPr="00187B9F">
        <w:rPr>
          <w:lang w:eastAsia="nb-NO"/>
        </w:rPr>
        <w:t>delkapittelet</w:t>
      </w:r>
      <w:r w:rsidR="00814A44" w:rsidRPr="00187B9F">
        <w:rPr>
          <w:lang w:eastAsia="nb-NO"/>
        </w:rPr>
        <w:t xml:space="preserve"> går vi gjennom prinsipielle spørsmål for hvordan rentekostnader bør inngå</w:t>
      </w:r>
      <w:r w:rsidR="00187B9F" w:rsidRPr="00187B9F">
        <w:rPr>
          <w:lang w:eastAsia="nb-NO"/>
        </w:rPr>
        <w:t>, herunder</w:t>
      </w:r>
      <w:r w:rsidR="00814A44" w:rsidRPr="00187B9F">
        <w:rPr>
          <w:lang w:eastAsia="nb-NO"/>
        </w:rPr>
        <w:t xml:space="preserve"> </w:t>
      </w:r>
      <w:r w:rsidRPr="00187B9F">
        <w:rPr>
          <w:lang w:eastAsia="nb-NO"/>
        </w:rPr>
        <w:t>renter og avkastningskra</w:t>
      </w:r>
      <w:r w:rsidR="00521AE1">
        <w:rPr>
          <w:lang w:eastAsia="nb-NO"/>
        </w:rPr>
        <w:t>v</w:t>
      </w:r>
      <w:r w:rsidRPr="00187B9F">
        <w:rPr>
          <w:lang w:eastAsia="nb-NO"/>
        </w:rPr>
        <w:t>, den samfunnsøkonomiske kalkulasjons</w:t>
      </w:r>
      <w:r w:rsidR="00A11E72">
        <w:rPr>
          <w:lang w:eastAsia="nb-NO"/>
        </w:rPr>
        <w:t>renten</w:t>
      </w:r>
      <w:r w:rsidRPr="00187B9F">
        <w:rPr>
          <w:lang w:eastAsia="nb-NO"/>
        </w:rPr>
        <w:t>, kal</w:t>
      </w:r>
      <w:r w:rsidR="00187B9F" w:rsidRPr="00187B9F">
        <w:rPr>
          <w:lang w:eastAsia="nb-NO"/>
        </w:rPr>
        <w:t>kyle</w:t>
      </w:r>
      <w:r w:rsidR="00A11E72">
        <w:rPr>
          <w:lang w:eastAsia="nb-NO"/>
        </w:rPr>
        <w:t>renten</w:t>
      </w:r>
      <w:r w:rsidR="00187B9F" w:rsidRPr="00187B9F">
        <w:rPr>
          <w:lang w:eastAsia="nb-NO"/>
        </w:rPr>
        <w:t xml:space="preserve"> for kommunale gebyrer, kommunale lånerenter, risikopåslag og grunnlaget for renteberegninger.</w:t>
      </w:r>
      <w:r w:rsidR="00B10D6E">
        <w:rPr>
          <w:lang w:eastAsia="nb-NO"/>
        </w:rPr>
        <w:t xml:space="preserve"> </w:t>
      </w:r>
      <w:r w:rsidR="00B2022A">
        <w:rPr>
          <w:lang w:eastAsia="nb-NO"/>
        </w:rPr>
        <w:t xml:space="preserve">I </w:t>
      </w:r>
      <w:r w:rsidR="00B2022A" w:rsidRPr="00B10D6E">
        <w:rPr>
          <w:lang w:eastAsia="nb-NO"/>
        </w:rPr>
        <w:t xml:space="preserve">seksjon </w:t>
      </w:r>
      <w:r w:rsidR="00B2022A" w:rsidRPr="00B10D6E">
        <w:rPr>
          <w:lang w:eastAsia="nb-NO"/>
        </w:rPr>
        <w:fldChar w:fldCharType="begin"/>
      </w:r>
      <w:r w:rsidR="00B2022A" w:rsidRPr="00B10D6E">
        <w:rPr>
          <w:lang w:eastAsia="nb-NO"/>
        </w:rPr>
        <w:instrText xml:space="preserve"> REF _Ref177896768 \r \h  \* MERGEFORMAT </w:instrText>
      </w:r>
      <w:r w:rsidR="00B2022A" w:rsidRPr="00B10D6E">
        <w:rPr>
          <w:lang w:eastAsia="nb-NO"/>
        </w:rPr>
      </w:r>
      <w:r w:rsidR="00B2022A" w:rsidRPr="00B10D6E">
        <w:rPr>
          <w:lang w:eastAsia="nb-NO"/>
        </w:rPr>
        <w:fldChar w:fldCharType="separate"/>
      </w:r>
      <w:r w:rsidR="009B1DA8">
        <w:rPr>
          <w:lang w:eastAsia="nb-NO"/>
        </w:rPr>
        <w:t>3.2.1</w:t>
      </w:r>
      <w:r w:rsidR="00B2022A" w:rsidRPr="00B10D6E">
        <w:rPr>
          <w:lang w:eastAsia="nb-NO"/>
        </w:rPr>
        <w:fldChar w:fldCharType="end"/>
      </w:r>
      <w:r w:rsidR="00B2022A">
        <w:rPr>
          <w:lang w:eastAsia="nb-NO"/>
        </w:rPr>
        <w:t xml:space="preserve"> </w:t>
      </w:r>
      <w:r w:rsidR="00B10D6E" w:rsidRPr="00B10D6E">
        <w:rPr>
          <w:lang w:eastAsia="nb-NO"/>
        </w:rPr>
        <w:t>komme</w:t>
      </w:r>
      <w:r w:rsidR="00393697">
        <w:rPr>
          <w:lang w:eastAsia="nb-NO"/>
        </w:rPr>
        <w:t>r</w:t>
      </w:r>
      <w:r w:rsidR="00B10D6E" w:rsidRPr="00B10D6E">
        <w:rPr>
          <w:lang w:eastAsia="nb-NO"/>
        </w:rPr>
        <w:t xml:space="preserve"> </w:t>
      </w:r>
      <w:r w:rsidR="00B2022A">
        <w:rPr>
          <w:lang w:eastAsia="nb-NO"/>
        </w:rPr>
        <w:t xml:space="preserve">vi </w:t>
      </w:r>
      <w:r w:rsidR="00B10D6E" w:rsidRPr="00B10D6E">
        <w:rPr>
          <w:lang w:eastAsia="nb-NO"/>
        </w:rPr>
        <w:t>tilbake til hvordan vi vil måle rentekostnadene i praksis</w:t>
      </w:r>
      <w:r w:rsidR="00814A44" w:rsidRPr="00B10D6E">
        <w:rPr>
          <w:lang w:eastAsia="nb-NO"/>
        </w:rPr>
        <w:t xml:space="preserve">, før diskusjonen konkluderes i forbindelse med den empiriske analysen av renter og avkastningskrav </w:t>
      </w:r>
      <w:r w:rsidR="00B2022A">
        <w:rPr>
          <w:lang w:eastAsia="nb-NO"/>
        </w:rPr>
        <w:t xml:space="preserve">i </w:t>
      </w:r>
      <w:r w:rsidR="00814A44" w:rsidRPr="00B10D6E">
        <w:rPr>
          <w:lang w:eastAsia="nb-NO"/>
        </w:rPr>
        <w:t xml:space="preserve">seksjon </w:t>
      </w:r>
      <w:r w:rsidR="00814A44" w:rsidRPr="00B10D6E">
        <w:rPr>
          <w:lang w:eastAsia="nb-NO"/>
        </w:rPr>
        <w:fldChar w:fldCharType="begin"/>
      </w:r>
      <w:r w:rsidR="00814A44" w:rsidRPr="00B10D6E">
        <w:rPr>
          <w:lang w:eastAsia="nb-NO"/>
        </w:rPr>
        <w:instrText xml:space="preserve"> REF _Ref174721107 \r \h </w:instrText>
      </w:r>
      <w:r w:rsidR="0058613A" w:rsidRPr="00B10D6E">
        <w:rPr>
          <w:lang w:eastAsia="nb-NO"/>
        </w:rPr>
        <w:instrText xml:space="preserve"> \* MERGEFORMAT </w:instrText>
      </w:r>
      <w:r w:rsidR="00814A44" w:rsidRPr="00B10D6E">
        <w:rPr>
          <w:lang w:eastAsia="nb-NO"/>
        </w:rPr>
      </w:r>
      <w:r w:rsidR="00814A44" w:rsidRPr="00B10D6E">
        <w:rPr>
          <w:lang w:eastAsia="nb-NO"/>
        </w:rPr>
        <w:fldChar w:fldCharType="separate"/>
      </w:r>
      <w:r w:rsidR="009B1DA8">
        <w:rPr>
          <w:lang w:eastAsia="nb-NO"/>
        </w:rPr>
        <w:t>4.1.1</w:t>
      </w:r>
      <w:r w:rsidR="00814A44" w:rsidRPr="00B10D6E">
        <w:rPr>
          <w:lang w:eastAsia="nb-NO"/>
        </w:rPr>
        <w:fldChar w:fldCharType="end"/>
      </w:r>
      <w:r w:rsidR="00814A44" w:rsidRPr="00B10D6E">
        <w:rPr>
          <w:lang w:eastAsia="nb-NO"/>
        </w:rPr>
        <w:t>.</w:t>
      </w:r>
      <w:r w:rsidR="00814A44" w:rsidRPr="00FD597D">
        <w:rPr>
          <w:lang w:eastAsia="nb-NO"/>
        </w:rPr>
        <w:t xml:space="preserve"> </w:t>
      </w:r>
    </w:p>
    <w:p w14:paraId="562A0AA6" w14:textId="6815E83F" w:rsidR="007B003D" w:rsidRPr="0055149C" w:rsidRDefault="0079388B" w:rsidP="007B003D">
      <w:pPr>
        <w:pStyle w:val="Overskrift3"/>
      </w:pPr>
      <w:bookmarkStart w:id="46" w:name="_Ref178623875"/>
      <w:r>
        <w:t>Rente</w:t>
      </w:r>
      <w:r w:rsidR="00B7787D">
        <w:t>r</w:t>
      </w:r>
      <w:r>
        <w:t xml:space="preserve"> og avkastningskrav</w:t>
      </w:r>
      <w:bookmarkEnd w:id="46"/>
    </w:p>
    <w:p w14:paraId="1B5B53FD" w14:textId="0D76A8D1" w:rsidR="00B81DD2" w:rsidRDefault="00A11E72" w:rsidP="00CE6DB6">
      <w:pPr>
        <w:rPr>
          <w:lang w:eastAsia="nb-NO"/>
        </w:rPr>
      </w:pPr>
      <w:r>
        <w:rPr>
          <w:lang w:eastAsia="nb-NO"/>
        </w:rPr>
        <w:t>Renten</w:t>
      </w:r>
      <w:r w:rsidR="00BA1AC7" w:rsidRPr="0055149C">
        <w:rPr>
          <w:lang w:eastAsia="nb-NO"/>
        </w:rPr>
        <w:t xml:space="preserve"> er både en regnskapsmessig størrelse og et uttrykk for </w:t>
      </w:r>
      <w:r w:rsidR="00025C19" w:rsidRPr="0055149C">
        <w:rPr>
          <w:lang w:eastAsia="nb-NO"/>
        </w:rPr>
        <w:t>investeringers alternativkostnad. I</w:t>
      </w:r>
      <w:r w:rsidR="00E27083">
        <w:rPr>
          <w:lang w:eastAsia="nb-NO"/>
        </w:rPr>
        <w:t xml:space="preserve"> </w:t>
      </w:r>
      <w:r w:rsidR="00025C19" w:rsidRPr="0055149C">
        <w:rPr>
          <w:lang w:eastAsia="nb-NO"/>
        </w:rPr>
        <w:t>en ideell verden er de to like</w:t>
      </w:r>
      <w:r w:rsidR="00B81DD2">
        <w:rPr>
          <w:lang w:eastAsia="nb-NO"/>
        </w:rPr>
        <w:t xml:space="preserve"> for gitt risikoeksponering</w:t>
      </w:r>
      <w:r w:rsidR="00025C19" w:rsidRPr="0055149C">
        <w:rPr>
          <w:lang w:eastAsia="nb-NO"/>
        </w:rPr>
        <w:t xml:space="preserve">, men i virkeligheten skiller de lag for kortere eller lengre perioder. </w:t>
      </w:r>
      <w:r w:rsidR="00BA6205" w:rsidRPr="0055149C">
        <w:rPr>
          <w:lang w:eastAsia="nb-NO"/>
        </w:rPr>
        <w:t xml:space="preserve">Som analytiker og </w:t>
      </w:r>
      <w:r w:rsidR="002E2C70" w:rsidRPr="0055149C">
        <w:rPr>
          <w:lang w:eastAsia="nb-NO"/>
        </w:rPr>
        <w:t xml:space="preserve">beslutningstaker må man </w:t>
      </w:r>
      <w:r w:rsidR="008D7678" w:rsidRPr="0055149C">
        <w:rPr>
          <w:lang w:eastAsia="nb-NO"/>
        </w:rPr>
        <w:t xml:space="preserve">velge </w:t>
      </w:r>
      <w:r w:rsidR="002E2C70" w:rsidRPr="0055149C">
        <w:rPr>
          <w:lang w:eastAsia="nb-NO"/>
        </w:rPr>
        <w:t>om det skal legges vekt på</w:t>
      </w:r>
      <w:r w:rsidR="004308A8" w:rsidRPr="0055149C">
        <w:rPr>
          <w:lang w:eastAsia="nb-NO"/>
        </w:rPr>
        <w:t xml:space="preserve"> en rente </w:t>
      </w:r>
      <w:r w:rsidR="00516FC6" w:rsidRPr="0055149C">
        <w:rPr>
          <w:lang w:eastAsia="nb-NO"/>
        </w:rPr>
        <w:t xml:space="preserve">som uttrykker alternativkostnad eller en som uttrykker </w:t>
      </w:r>
      <w:r w:rsidR="00D86198" w:rsidRPr="0055149C">
        <w:rPr>
          <w:lang w:eastAsia="nb-NO"/>
        </w:rPr>
        <w:t>regnskapsmessige forhold</w:t>
      </w:r>
      <w:r w:rsidR="00B81DD2">
        <w:rPr>
          <w:lang w:eastAsia="nb-NO"/>
        </w:rPr>
        <w:t xml:space="preserve">. </w:t>
      </w:r>
      <w:r w:rsidR="00D86198" w:rsidRPr="0055149C">
        <w:rPr>
          <w:lang w:eastAsia="nb-NO"/>
        </w:rPr>
        <w:t xml:space="preserve">Vi kommer tilbake til dette </w:t>
      </w:r>
      <w:r w:rsidR="00B81DD2">
        <w:rPr>
          <w:lang w:eastAsia="nb-NO"/>
        </w:rPr>
        <w:t xml:space="preserve">utover i kapittelet og i seksjon </w:t>
      </w:r>
      <w:r w:rsidR="00B81DD2">
        <w:rPr>
          <w:lang w:eastAsia="nb-NO"/>
        </w:rPr>
        <w:fldChar w:fldCharType="begin"/>
      </w:r>
      <w:r w:rsidR="00B81DD2">
        <w:rPr>
          <w:lang w:eastAsia="nb-NO"/>
        </w:rPr>
        <w:instrText xml:space="preserve"> REF _Ref177896768 \r \h </w:instrText>
      </w:r>
      <w:r w:rsidR="00B81DD2">
        <w:rPr>
          <w:lang w:eastAsia="nb-NO"/>
        </w:rPr>
      </w:r>
      <w:r w:rsidR="00B81DD2">
        <w:rPr>
          <w:lang w:eastAsia="nb-NO"/>
        </w:rPr>
        <w:fldChar w:fldCharType="separate"/>
      </w:r>
      <w:r w:rsidR="009B1DA8">
        <w:rPr>
          <w:lang w:eastAsia="nb-NO"/>
        </w:rPr>
        <w:t>3.2.1</w:t>
      </w:r>
      <w:r w:rsidR="00B81DD2">
        <w:rPr>
          <w:lang w:eastAsia="nb-NO"/>
        </w:rPr>
        <w:fldChar w:fldCharType="end"/>
      </w:r>
      <w:r w:rsidR="00B81DD2">
        <w:rPr>
          <w:lang w:eastAsia="nb-NO"/>
        </w:rPr>
        <w:t xml:space="preserve"> om målingen i praksis.</w:t>
      </w:r>
    </w:p>
    <w:p w14:paraId="587760A1" w14:textId="4100A4F9" w:rsidR="00EB7BF1" w:rsidRPr="0055149C" w:rsidRDefault="001115D7" w:rsidP="00CE6DB6">
      <w:pPr>
        <w:rPr>
          <w:lang w:eastAsia="nb-NO"/>
        </w:rPr>
      </w:pPr>
      <w:r w:rsidRPr="0055149C">
        <w:rPr>
          <w:lang w:eastAsia="nb-NO"/>
        </w:rPr>
        <w:t>Beslektet med de</w:t>
      </w:r>
      <w:r w:rsidR="00814A44">
        <w:rPr>
          <w:lang w:eastAsia="nb-NO"/>
        </w:rPr>
        <w:t>nne diskusjonen</w:t>
      </w:r>
      <w:r w:rsidRPr="0055149C">
        <w:rPr>
          <w:lang w:eastAsia="nb-NO"/>
        </w:rPr>
        <w:t xml:space="preserve"> er temaet</w:t>
      </w:r>
      <w:r w:rsidR="00814A44">
        <w:rPr>
          <w:lang w:eastAsia="nb-NO"/>
        </w:rPr>
        <w:t xml:space="preserve"> </w:t>
      </w:r>
      <w:r w:rsidRPr="0055149C">
        <w:rPr>
          <w:lang w:eastAsia="nb-NO"/>
        </w:rPr>
        <w:t xml:space="preserve">volatilitet. En rente </w:t>
      </w:r>
      <w:r w:rsidR="00D11B53" w:rsidRPr="0055149C">
        <w:rPr>
          <w:lang w:eastAsia="nb-NO"/>
        </w:rPr>
        <w:t xml:space="preserve">tolket som alternativkostnad </w:t>
      </w:r>
      <w:r w:rsidR="00B2022A">
        <w:rPr>
          <w:lang w:eastAsia="nb-NO"/>
        </w:rPr>
        <w:t xml:space="preserve">for investeringer over mange år </w:t>
      </w:r>
      <w:r w:rsidR="00D11B53" w:rsidRPr="0055149C">
        <w:rPr>
          <w:lang w:eastAsia="nb-NO"/>
        </w:rPr>
        <w:t xml:space="preserve">er </w:t>
      </w:r>
      <w:r w:rsidR="009E1EF9" w:rsidRPr="0055149C">
        <w:rPr>
          <w:lang w:eastAsia="nb-NO"/>
        </w:rPr>
        <w:t>stabil over lange tidsrom, typisk mange år, men</w:t>
      </w:r>
      <w:r w:rsidR="00497C55" w:rsidRPr="0055149C">
        <w:rPr>
          <w:lang w:eastAsia="nb-NO"/>
        </w:rPr>
        <w:t>s en rente</w:t>
      </w:r>
      <w:r w:rsidR="00BB7851" w:rsidRPr="0055149C">
        <w:rPr>
          <w:lang w:eastAsia="nb-NO"/>
        </w:rPr>
        <w:t>kostnad</w:t>
      </w:r>
      <w:r w:rsidR="00497C55" w:rsidRPr="0055149C">
        <w:rPr>
          <w:lang w:eastAsia="nb-NO"/>
        </w:rPr>
        <w:t xml:space="preserve"> i regnskapet </w:t>
      </w:r>
      <w:r w:rsidR="004F2477" w:rsidRPr="0055149C">
        <w:rPr>
          <w:lang w:eastAsia="nb-NO"/>
        </w:rPr>
        <w:t xml:space="preserve">gjerne er </w:t>
      </w:r>
      <w:r w:rsidR="00BB7851" w:rsidRPr="0055149C">
        <w:rPr>
          <w:lang w:eastAsia="nb-NO"/>
        </w:rPr>
        <w:t>gitt av</w:t>
      </w:r>
      <w:r w:rsidR="004F2477" w:rsidRPr="0055149C">
        <w:rPr>
          <w:lang w:eastAsia="nb-NO"/>
        </w:rPr>
        <w:t xml:space="preserve"> en </w:t>
      </w:r>
      <w:r w:rsidR="000A7117" w:rsidRPr="0055149C">
        <w:rPr>
          <w:lang w:eastAsia="nb-NO"/>
        </w:rPr>
        <w:t xml:space="preserve">løpende </w:t>
      </w:r>
      <w:r w:rsidR="004F2477" w:rsidRPr="0055149C">
        <w:rPr>
          <w:lang w:eastAsia="nb-NO"/>
        </w:rPr>
        <w:t>markedsrente</w:t>
      </w:r>
      <w:r w:rsidR="00D225F6" w:rsidRPr="0055149C">
        <w:rPr>
          <w:lang w:eastAsia="nb-NO"/>
        </w:rPr>
        <w:t xml:space="preserve">, som </w:t>
      </w:r>
      <w:r w:rsidR="007325EF" w:rsidRPr="0055149C">
        <w:rPr>
          <w:lang w:eastAsia="nb-NO"/>
        </w:rPr>
        <w:t>kan svinge fra år til år. Alt annet lik</w:t>
      </w:r>
      <w:r w:rsidR="00702A79">
        <w:rPr>
          <w:lang w:eastAsia="nb-NO"/>
        </w:rPr>
        <w:t>t</w:t>
      </w:r>
      <w:r w:rsidR="007325EF" w:rsidRPr="0055149C">
        <w:rPr>
          <w:lang w:eastAsia="nb-NO"/>
        </w:rPr>
        <w:t xml:space="preserve"> er det en </w:t>
      </w:r>
      <w:r w:rsidR="00466D5A" w:rsidRPr="0055149C">
        <w:rPr>
          <w:lang w:eastAsia="nb-NO"/>
        </w:rPr>
        <w:t xml:space="preserve">betydelig </w:t>
      </w:r>
      <w:r w:rsidR="007325EF" w:rsidRPr="0055149C">
        <w:rPr>
          <w:lang w:eastAsia="nb-NO"/>
        </w:rPr>
        <w:t xml:space="preserve">ulempe </w:t>
      </w:r>
      <w:r w:rsidR="0069705E" w:rsidRPr="0055149C">
        <w:rPr>
          <w:lang w:eastAsia="nb-NO"/>
        </w:rPr>
        <w:t>å ha et</w:t>
      </w:r>
      <w:r w:rsidR="00905D78" w:rsidRPr="0055149C">
        <w:rPr>
          <w:lang w:eastAsia="nb-NO"/>
        </w:rPr>
        <w:t xml:space="preserve"> kompensasjonssystem som må omberegnes jevnlig </w:t>
      </w:r>
      <w:r w:rsidR="00946057" w:rsidRPr="0055149C">
        <w:rPr>
          <w:lang w:eastAsia="nb-NO"/>
        </w:rPr>
        <w:t xml:space="preserve">av hensyn til volatile markedsrenter. </w:t>
      </w:r>
    </w:p>
    <w:p w14:paraId="3F3C935C" w14:textId="778BAFC9" w:rsidR="006A4058" w:rsidRPr="0055149C" w:rsidRDefault="00B03BA9" w:rsidP="00CE6DB6">
      <w:pPr>
        <w:rPr>
          <w:lang w:eastAsia="nb-NO"/>
        </w:rPr>
      </w:pPr>
      <w:r w:rsidRPr="0055149C">
        <w:rPr>
          <w:lang w:eastAsia="nb-NO"/>
        </w:rPr>
        <w:t xml:space="preserve">Kommunale investeringer finansieres </w:t>
      </w:r>
      <w:r w:rsidR="00B53755" w:rsidRPr="0055149C">
        <w:rPr>
          <w:lang w:eastAsia="nb-NO"/>
        </w:rPr>
        <w:t>av egenkapital og gjeld. Gjeld</w:t>
      </w:r>
      <w:r w:rsidR="00FD6435" w:rsidRPr="0055149C">
        <w:rPr>
          <w:lang w:eastAsia="nb-NO"/>
        </w:rPr>
        <w:t xml:space="preserve"> </w:t>
      </w:r>
      <w:r w:rsidR="007D15B7" w:rsidRPr="0055149C">
        <w:rPr>
          <w:lang w:eastAsia="nb-NO"/>
        </w:rPr>
        <w:t xml:space="preserve">har </w:t>
      </w:r>
      <w:r w:rsidR="00477998" w:rsidRPr="0055149C">
        <w:rPr>
          <w:lang w:eastAsia="nb-NO"/>
        </w:rPr>
        <w:t xml:space="preserve">en pris, nemlig gjeldsrente. </w:t>
      </w:r>
      <w:r w:rsidR="00BB7851" w:rsidRPr="0055149C">
        <w:rPr>
          <w:lang w:eastAsia="nb-NO"/>
        </w:rPr>
        <w:t xml:space="preserve">Egenkapital har også en </w:t>
      </w:r>
      <w:r w:rsidR="00A03260" w:rsidRPr="0055149C">
        <w:rPr>
          <w:lang w:eastAsia="nb-NO"/>
        </w:rPr>
        <w:t>form for pris i form av avkastnin</w:t>
      </w:r>
      <w:r w:rsidR="00814A44">
        <w:rPr>
          <w:lang w:eastAsia="nb-NO"/>
        </w:rPr>
        <w:t>gskravet</w:t>
      </w:r>
      <w:r w:rsidR="004663C1">
        <w:rPr>
          <w:lang w:eastAsia="nb-NO"/>
        </w:rPr>
        <w:t xml:space="preserve">, som eierne </w:t>
      </w:r>
      <w:r w:rsidR="001E4CDB">
        <w:rPr>
          <w:lang w:eastAsia="nb-NO"/>
        </w:rPr>
        <w:t xml:space="preserve">krever </w:t>
      </w:r>
      <w:r w:rsidR="001E4CDB">
        <w:rPr>
          <w:lang w:eastAsia="nb-NO"/>
        </w:rPr>
        <w:lastRenderedPageBreak/>
        <w:t>av kapitalen og alternativt kunne oppnådd for gitt risiko fr</w:t>
      </w:r>
      <w:r w:rsidR="00EA6503">
        <w:rPr>
          <w:lang w:eastAsia="nb-NO"/>
        </w:rPr>
        <w:t>a</w:t>
      </w:r>
      <w:r w:rsidR="001E4CDB">
        <w:rPr>
          <w:lang w:eastAsia="nb-NO"/>
        </w:rPr>
        <w:t>mfor å nedbetale</w:t>
      </w:r>
      <w:r w:rsidR="00A03260" w:rsidRPr="0055149C">
        <w:rPr>
          <w:lang w:eastAsia="nb-NO"/>
        </w:rPr>
        <w:t xml:space="preserve"> gjeld. </w:t>
      </w:r>
      <w:r w:rsidR="00477998" w:rsidRPr="0055149C">
        <w:rPr>
          <w:lang w:eastAsia="nb-NO"/>
        </w:rPr>
        <w:t xml:space="preserve">Det er vanlig å </w:t>
      </w:r>
      <w:r w:rsidR="00222055" w:rsidRPr="0055149C">
        <w:rPr>
          <w:lang w:eastAsia="nb-NO"/>
        </w:rPr>
        <w:t xml:space="preserve">legge til grunn at </w:t>
      </w:r>
      <w:r w:rsidR="00317EBF" w:rsidRPr="0055149C">
        <w:rPr>
          <w:lang w:eastAsia="nb-NO"/>
        </w:rPr>
        <w:t>kravet til a</w:t>
      </w:r>
      <w:r w:rsidR="00222055" w:rsidRPr="0055149C">
        <w:rPr>
          <w:lang w:eastAsia="nb-NO"/>
        </w:rPr>
        <w:t xml:space="preserve">vkastning på egenkapital </w:t>
      </w:r>
      <w:r w:rsidR="00A03260" w:rsidRPr="0055149C">
        <w:rPr>
          <w:lang w:eastAsia="nb-NO"/>
        </w:rPr>
        <w:t xml:space="preserve">som </w:t>
      </w:r>
      <w:r w:rsidR="006548A7" w:rsidRPr="0055149C">
        <w:rPr>
          <w:lang w:eastAsia="nb-NO"/>
        </w:rPr>
        <w:t>brukes til å finansiere investeringer</w:t>
      </w:r>
      <w:r w:rsidR="00A53C51">
        <w:rPr>
          <w:lang w:eastAsia="nb-NO"/>
        </w:rPr>
        <w:t>,</w:t>
      </w:r>
      <w:r w:rsidR="006548A7" w:rsidRPr="0055149C">
        <w:rPr>
          <w:lang w:eastAsia="nb-NO"/>
        </w:rPr>
        <w:t xml:space="preserve"> </w:t>
      </w:r>
      <w:r w:rsidR="00CC48FA" w:rsidRPr="0055149C">
        <w:rPr>
          <w:lang w:eastAsia="nb-NO"/>
        </w:rPr>
        <w:t>vil</w:t>
      </w:r>
      <w:r w:rsidR="00222055" w:rsidRPr="0055149C">
        <w:rPr>
          <w:lang w:eastAsia="nb-NO"/>
        </w:rPr>
        <w:t xml:space="preserve"> være høyere enn</w:t>
      </w:r>
      <w:r w:rsidR="00317EBF" w:rsidRPr="0055149C">
        <w:rPr>
          <w:lang w:eastAsia="nb-NO"/>
        </w:rPr>
        <w:t xml:space="preserve"> </w:t>
      </w:r>
      <w:r w:rsidR="00D04AB5" w:rsidRPr="0055149C">
        <w:rPr>
          <w:lang w:eastAsia="nb-NO"/>
        </w:rPr>
        <w:t>g</w:t>
      </w:r>
      <w:r w:rsidR="00317EBF" w:rsidRPr="0055149C">
        <w:rPr>
          <w:lang w:eastAsia="nb-NO"/>
        </w:rPr>
        <w:t>jelds</w:t>
      </w:r>
      <w:r w:rsidR="00A11E72">
        <w:rPr>
          <w:lang w:eastAsia="nb-NO"/>
        </w:rPr>
        <w:t>renten</w:t>
      </w:r>
      <w:r w:rsidR="00317EBF" w:rsidRPr="0055149C">
        <w:rPr>
          <w:lang w:eastAsia="nb-NO"/>
        </w:rPr>
        <w:t>.</w:t>
      </w:r>
      <w:r w:rsidR="00CC48FA" w:rsidRPr="0055149C">
        <w:rPr>
          <w:lang w:eastAsia="nb-NO"/>
        </w:rPr>
        <w:t xml:space="preserve"> Grunnen er at </w:t>
      </w:r>
      <w:r w:rsidR="00034996" w:rsidRPr="0055149C">
        <w:rPr>
          <w:lang w:eastAsia="nb-NO"/>
        </w:rPr>
        <w:t>investeringer i realkapital er beheftet med usikkerhet, men</w:t>
      </w:r>
      <w:r w:rsidR="00402E55" w:rsidRPr="0055149C">
        <w:rPr>
          <w:lang w:eastAsia="nb-NO"/>
        </w:rPr>
        <w:t>s</w:t>
      </w:r>
      <w:r w:rsidR="00034996" w:rsidRPr="0055149C">
        <w:rPr>
          <w:lang w:eastAsia="nb-NO"/>
        </w:rPr>
        <w:t xml:space="preserve"> </w:t>
      </w:r>
      <w:r w:rsidR="006548A7" w:rsidRPr="0055149C">
        <w:rPr>
          <w:lang w:eastAsia="nb-NO"/>
        </w:rPr>
        <w:t>nedbetaling av</w:t>
      </w:r>
      <w:r w:rsidR="00034996" w:rsidRPr="0055149C">
        <w:rPr>
          <w:lang w:eastAsia="nb-NO"/>
        </w:rPr>
        <w:t xml:space="preserve"> lån gir en sikker avkastning</w:t>
      </w:r>
      <w:r w:rsidR="00402E55" w:rsidRPr="0055149C">
        <w:rPr>
          <w:lang w:eastAsia="nb-NO"/>
        </w:rPr>
        <w:t>.</w:t>
      </w:r>
      <w:r w:rsidR="00034996" w:rsidRPr="0055149C">
        <w:rPr>
          <w:lang w:eastAsia="nb-NO"/>
        </w:rPr>
        <w:t xml:space="preserve"> </w:t>
      </w:r>
      <w:r w:rsidR="00B41A60" w:rsidRPr="0055149C">
        <w:rPr>
          <w:lang w:eastAsia="nb-NO"/>
        </w:rPr>
        <w:t xml:space="preserve">Man </w:t>
      </w:r>
      <w:r w:rsidR="00023FED" w:rsidRPr="0055149C">
        <w:rPr>
          <w:lang w:eastAsia="nb-NO"/>
        </w:rPr>
        <w:t xml:space="preserve">krever en risikopremie for å investere i realkapital. </w:t>
      </w:r>
      <w:r w:rsidR="00F15690" w:rsidRPr="0055149C">
        <w:rPr>
          <w:lang w:eastAsia="nb-NO"/>
        </w:rPr>
        <w:t xml:space="preserve">Kommunale investeringer gir ofte avkastning som ikke måles i markedet, enten det er skolebygg eller </w:t>
      </w:r>
      <w:r w:rsidR="00CA362D" w:rsidRPr="0055149C">
        <w:rPr>
          <w:lang w:eastAsia="nb-NO"/>
        </w:rPr>
        <w:t>sosiale institusjoner eller noe annet. Dette berører ikke det prinsipielle i situasjonen</w:t>
      </w:r>
      <w:r w:rsidR="001E4CDB">
        <w:rPr>
          <w:lang w:eastAsia="nb-NO"/>
        </w:rPr>
        <w:t>. R</w:t>
      </w:r>
      <w:r w:rsidR="004A0176" w:rsidRPr="0055149C">
        <w:rPr>
          <w:lang w:eastAsia="nb-NO"/>
        </w:rPr>
        <w:t>isikopremien</w:t>
      </w:r>
      <w:r w:rsidR="001E4CDB">
        <w:rPr>
          <w:lang w:eastAsia="nb-NO"/>
        </w:rPr>
        <w:t xml:space="preserve"> – det vil si </w:t>
      </w:r>
      <w:r w:rsidR="004A0176" w:rsidRPr="0055149C">
        <w:rPr>
          <w:lang w:eastAsia="nb-NO"/>
        </w:rPr>
        <w:t>forskjellen mellom avkastningskrav</w:t>
      </w:r>
      <w:r w:rsidR="001E4CDB">
        <w:rPr>
          <w:lang w:eastAsia="nb-NO"/>
        </w:rPr>
        <w:t>ene</w:t>
      </w:r>
      <w:r w:rsidR="004A0176" w:rsidRPr="0055149C">
        <w:rPr>
          <w:lang w:eastAsia="nb-NO"/>
        </w:rPr>
        <w:t xml:space="preserve"> for </w:t>
      </w:r>
      <w:r w:rsidR="001E4CDB">
        <w:rPr>
          <w:lang w:eastAsia="nb-NO"/>
        </w:rPr>
        <w:t xml:space="preserve">en </w:t>
      </w:r>
      <w:r w:rsidR="004A0176" w:rsidRPr="0055149C">
        <w:rPr>
          <w:lang w:eastAsia="nb-NO"/>
        </w:rPr>
        <w:t xml:space="preserve">usikker og </w:t>
      </w:r>
      <w:r w:rsidR="001E4CDB">
        <w:rPr>
          <w:lang w:eastAsia="nb-NO"/>
        </w:rPr>
        <w:t xml:space="preserve">en </w:t>
      </w:r>
      <w:r w:rsidR="004A0176" w:rsidRPr="0055149C">
        <w:rPr>
          <w:lang w:eastAsia="nb-NO"/>
        </w:rPr>
        <w:t>sikker investering</w:t>
      </w:r>
      <w:r w:rsidR="001E4CDB">
        <w:rPr>
          <w:lang w:eastAsia="nb-NO"/>
        </w:rPr>
        <w:t xml:space="preserve"> –</w:t>
      </w:r>
      <w:r w:rsidR="004A0176" w:rsidRPr="0055149C">
        <w:rPr>
          <w:lang w:eastAsia="nb-NO"/>
        </w:rPr>
        <w:t xml:space="preserve"> </w:t>
      </w:r>
      <w:r w:rsidR="009B5713" w:rsidRPr="0055149C">
        <w:rPr>
          <w:lang w:eastAsia="nb-NO"/>
        </w:rPr>
        <w:t xml:space="preserve">kan ikke </w:t>
      </w:r>
      <w:r w:rsidR="001E4CDB">
        <w:rPr>
          <w:lang w:eastAsia="nb-NO"/>
        </w:rPr>
        <w:t xml:space="preserve">uten videre </w:t>
      </w:r>
      <w:r w:rsidR="009B5713" w:rsidRPr="0055149C">
        <w:rPr>
          <w:lang w:eastAsia="nb-NO"/>
        </w:rPr>
        <w:t xml:space="preserve">beregnes </w:t>
      </w:r>
      <w:r w:rsidR="00702A79">
        <w:rPr>
          <w:lang w:eastAsia="nb-NO"/>
        </w:rPr>
        <w:t xml:space="preserve">for kommunal </w:t>
      </w:r>
      <w:r w:rsidR="009B5713" w:rsidRPr="0055149C">
        <w:rPr>
          <w:lang w:eastAsia="nb-NO"/>
        </w:rPr>
        <w:t>sektor.</w:t>
      </w:r>
    </w:p>
    <w:p w14:paraId="2F8212AA" w14:textId="4BF42919" w:rsidR="001E4CDB" w:rsidRDefault="003850AC" w:rsidP="00CE6DB6">
      <w:pPr>
        <w:rPr>
          <w:lang w:eastAsia="nb-NO"/>
        </w:rPr>
      </w:pPr>
      <w:r w:rsidRPr="0055149C">
        <w:rPr>
          <w:lang w:eastAsia="nb-NO"/>
        </w:rPr>
        <w:t>Kommuner har ulik sammensetning av gjeld og egenkapital</w:t>
      </w:r>
      <w:r w:rsidR="00C8256E" w:rsidRPr="0055149C">
        <w:rPr>
          <w:lang w:eastAsia="nb-NO"/>
        </w:rPr>
        <w:t xml:space="preserve">. Noen finansierer i stor grad med gjeld, andre gjør det i mindre grad. </w:t>
      </w:r>
      <w:r w:rsidR="00D96168" w:rsidRPr="0055149C">
        <w:rPr>
          <w:lang w:eastAsia="nb-NO"/>
        </w:rPr>
        <w:t>Sammensetningen kan også endre seg over tid.</w:t>
      </w:r>
      <w:r w:rsidR="002E30A0" w:rsidRPr="0055149C">
        <w:rPr>
          <w:lang w:eastAsia="nb-NO"/>
        </w:rPr>
        <w:t xml:space="preserve"> Kommuner med høy gjeldsgrad står ofte overfor en høyere lånerente enn </w:t>
      </w:r>
      <w:r w:rsidR="00204C43" w:rsidRPr="0055149C">
        <w:rPr>
          <w:lang w:eastAsia="nb-NO"/>
        </w:rPr>
        <w:t xml:space="preserve">kommuner med lav gjeldsgrad. </w:t>
      </w:r>
      <w:r w:rsidR="00941414" w:rsidRPr="0055149C">
        <w:rPr>
          <w:lang w:eastAsia="nb-NO"/>
        </w:rPr>
        <w:t xml:space="preserve">Det kan argumenteres for at </w:t>
      </w:r>
      <w:r w:rsidR="001C005D" w:rsidRPr="0055149C">
        <w:rPr>
          <w:lang w:eastAsia="nb-NO"/>
        </w:rPr>
        <w:t xml:space="preserve">en </w:t>
      </w:r>
      <w:r w:rsidR="00A3069C" w:rsidRPr="0055149C">
        <w:rPr>
          <w:lang w:eastAsia="nb-NO"/>
        </w:rPr>
        <w:t xml:space="preserve">bør </w:t>
      </w:r>
      <w:r w:rsidR="001C005D" w:rsidRPr="0055149C">
        <w:rPr>
          <w:lang w:eastAsia="nb-NO"/>
        </w:rPr>
        <w:t xml:space="preserve">ta hensyn til </w:t>
      </w:r>
      <w:r w:rsidR="00204C43" w:rsidRPr="0055149C">
        <w:rPr>
          <w:lang w:eastAsia="nb-NO"/>
        </w:rPr>
        <w:t xml:space="preserve">alt </w:t>
      </w:r>
      <w:r w:rsidR="001C005D" w:rsidRPr="0055149C">
        <w:rPr>
          <w:lang w:eastAsia="nb-NO"/>
        </w:rPr>
        <w:t>dette når en regner ut gjennomsnitt</w:t>
      </w:r>
      <w:r w:rsidR="00EE169C" w:rsidRPr="0055149C">
        <w:rPr>
          <w:lang w:eastAsia="nb-NO"/>
        </w:rPr>
        <w:t xml:space="preserve">. Andre vil si det er et selvstendig poeng at </w:t>
      </w:r>
      <w:r w:rsidR="00E518BD" w:rsidRPr="0055149C">
        <w:rPr>
          <w:lang w:eastAsia="nb-NO"/>
        </w:rPr>
        <w:t>utgifts</w:t>
      </w:r>
      <w:r w:rsidR="0002557B">
        <w:rPr>
          <w:lang w:eastAsia="nb-NO"/>
        </w:rPr>
        <w:t>utjevningen</w:t>
      </w:r>
      <w:r w:rsidR="00E518BD" w:rsidRPr="0055149C">
        <w:rPr>
          <w:lang w:eastAsia="nb-NO"/>
        </w:rPr>
        <w:t xml:space="preserve"> er finansieringsnøytral.</w:t>
      </w:r>
      <w:r w:rsidR="00C81843">
        <w:rPr>
          <w:rStyle w:val="Fotnotereferanse"/>
          <w:lang w:eastAsia="nb-NO"/>
        </w:rPr>
        <w:footnoteReference w:id="14"/>
      </w:r>
    </w:p>
    <w:p w14:paraId="423ACFAB" w14:textId="08040ED8" w:rsidR="0057655C" w:rsidRDefault="00AF2C91" w:rsidP="00CC5096">
      <w:pPr>
        <w:rPr>
          <w:lang w:eastAsia="nb-NO"/>
        </w:rPr>
      </w:pPr>
      <w:r w:rsidRPr="000F50C9">
        <w:rPr>
          <w:lang w:eastAsia="nb-NO"/>
        </w:rPr>
        <w:t>I</w:t>
      </w:r>
      <w:r w:rsidR="002F47DD" w:rsidRPr="000F50C9">
        <w:rPr>
          <w:lang w:eastAsia="nb-NO"/>
        </w:rPr>
        <w:t xml:space="preserve"> praksis</w:t>
      </w:r>
      <w:r w:rsidR="001E4CDB" w:rsidRPr="000F50C9">
        <w:rPr>
          <w:lang w:eastAsia="nb-NO"/>
        </w:rPr>
        <w:t xml:space="preserve"> vil</w:t>
      </w:r>
      <w:r w:rsidR="002F47DD" w:rsidRPr="000F50C9">
        <w:rPr>
          <w:lang w:eastAsia="nb-NO"/>
        </w:rPr>
        <w:t xml:space="preserve"> </w:t>
      </w:r>
      <w:r w:rsidRPr="000F50C9">
        <w:rPr>
          <w:lang w:eastAsia="nb-NO"/>
        </w:rPr>
        <w:t xml:space="preserve">det </w:t>
      </w:r>
      <w:r w:rsidR="001E4CDB" w:rsidRPr="000F50C9">
        <w:rPr>
          <w:lang w:eastAsia="nb-NO"/>
        </w:rPr>
        <w:t>være utfordrende empirisk</w:t>
      </w:r>
      <w:r w:rsidRPr="000F50C9">
        <w:rPr>
          <w:lang w:eastAsia="nb-NO"/>
        </w:rPr>
        <w:t xml:space="preserve"> å ta hensyn til forskjeller i gjeldsgrad</w:t>
      </w:r>
      <w:r w:rsidR="00A3069C" w:rsidRPr="000F50C9">
        <w:rPr>
          <w:lang w:eastAsia="nb-NO"/>
        </w:rPr>
        <w:t xml:space="preserve"> mellom kommuner</w:t>
      </w:r>
      <w:r w:rsidR="002F47DD" w:rsidRPr="000F50C9">
        <w:rPr>
          <w:lang w:eastAsia="nb-NO"/>
        </w:rPr>
        <w:t xml:space="preserve">. Spørsmålet blir </w:t>
      </w:r>
      <w:r w:rsidR="002F47DD" w:rsidRPr="00F57C92">
        <w:rPr>
          <w:lang w:eastAsia="nb-NO"/>
        </w:rPr>
        <w:t xml:space="preserve">da hva som er mest riktig </w:t>
      </w:r>
      <w:r w:rsidR="00F9143E" w:rsidRPr="00F57C92">
        <w:rPr>
          <w:lang w:eastAsia="nb-NO"/>
        </w:rPr>
        <w:t xml:space="preserve">– og </w:t>
      </w:r>
      <w:r w:rsidR="00832670" w:rsidRPr="00F57C92">
        <w:rPr>
          <w:lang w:eastAsia="nb-NO"/>
        </w:rPr>
        <w:t>minst feil</w:t>
      </w:r>
      <w:r w:rsidR="00F9143E" w:rsidRPr="00F57C92">
        <w:rPr>
          <w:lang w:eastAsia="nb-NO"/>
        </w:rPr>
        <w:t xml:space="preserve"> –</w:t>
      </w:r>
      <w:r w:rsidR="00832670" w:rsidRPr="00F57C92">
        <w:rPr>
          <w:lang w:eastAsia="nb-NO"/>
        </w:rPr>
        <w:t xml:space="preserve"> </w:t>
      </w:r>
      <w:r w:rsidR="002F47DD" w:rsidRPr="00F57C92">
        <w:rPr>
          <w:lang w:eastAsia="nb-NO"/>
        </w:rPr>
        <w:t xml:space="preserve">av å regne ett gjennomsnitt, eller </w:t>
      </w:r>
      <w:r w:rsidR="00C54DE0" w:rsidRPr="00F57C92">
        <w:rPr>
          <w:lang w:eastAsia="nb-NO"/>
        </w:rPr>
        <w:t>for eksempel bruk</w:t>
      </w:r>
      <w:r w:rsidR="003E5192" w:rsidRPr="00F57C92">
        <w:rPr>
          <w:lang w:eastAsia="nb-NO"/>
        </w:rPr>
        <w:t>e</w:t>
      </w:r>
      <w:r w:rsidR="00C54DE0" w:rsidRPr="00F57C92">
        <w:rPr>
          <w:lang w:eastAsia="nb-NO"/>
        </w:rPr>
        <w:t xml:space="preserve"> </w:t>
      </w:r>
      <w:r w:rsidR="003E5192" w:rsidRPr="00F57C92">
        <w:rPr>
          <w:lang w:eastAsia="nb-NO"/>
        </w:rPr>
        <w:t>é</w:t>
      </w:r>
      <w:r w:rsidR="00C54DE0" w:rsidRPr="00F57C92">
        <w:rPr>
          <w:lang w:eastAsia="nb-NO"/>
        </w:rPr>
        <w:t>n kalkylerente inspirert av rente på gjeld</w:t>
      </w:r>
      <w:r w:rsidR="000F50C9" w:rsidRPr="00F57C92">
        <w:rPr>
          <w:lang w:eastAsia="nb-NO"/>
        </w:rPr>
        <w:t>, hvilket vi vi</w:t>
      </w:r>
      <w:r w:rsidR="00F57C92" w:rsidRPr="00F57C92">
        <w:rPr>
          <w:lang w:eastAsia="nb-NO"/>
        </w:rPr>
        <w:t>l</w:t>
      </w:r>
      <w:r w:rsidR="000F50C9" w:rsidRPr="00F57C92">
        <w:rPr>
          <w:lang w:eastAsia="nb-NO"/>
        </w:rPr>
        <w:t xml:space="preserve"> drøfte videre</w:t>
      </w:r>
      <w:r w:rsidR="00F57C92" w:rsidRPr="00F57C92">
        <w:rPr>
          <w:lang w:eastAsia="nb-NO"/>
        </w:rPr>
        <w:t xml:space="preserve"> utover</w:t>
      </w:r>
      <w:r w:rsidR="000F50C9" w:rsidRPr="00F57C92">
        <w:rPr>
          <w:lang w:eastAsia="nb-NO"/>
        </w:rPr>
        <w:t xml:space="preserve"> i </w:t>
      </w:r>
      <w:r w:rsidR="00F57C92" w:rsidRPr="00F57C92">
        <w:rPr>
          <w:lang w:eastAsia="nb-NO"/>
        </w:rPr>
        <w:t>dette delkapittelet</w:t>
      </w:r>
      <w:r w:rsidR="000F50C9" w:rsidRPr="00F57C92">
        <w:rPr>
          <w:lang w:eastAsia="nb-NO"/>
        </w:rPr>
        <w:t xml:space="preserve">. </w:t>
      </w:r>
      <w:r w:rsidR="00B81DD2" w:rsidRPr="00F57C92">
        <w:rPr>
          <w:lang w:eastAsia="nb-NO"/>
        </w:rPr>
        <w:t>I og med at gjeld og egenkapital har forskjellige avkastningskrav, er det nærliggende å bruke gjennomsnittet i beregninger, slik vi antydet</w:t>
      </w:r>
      <w:r w:rsidR="00B81DD2" w:rsidRPr="000F50C9">
        <w:rPr>
          <w:lang w:eastAsia="nb-NO"/>
        </w:rPr>
        <w:t xml:space="preserve"> i delkapittel </w:t>
      </w:r>
      <w:r w:rsidR="000F50C9">
        <w:rPr>
          <w:lang w:eastAsia="nb-NO"/>
        </w:rPr>
        <w:fldChar w:fldCharType="begin"/>
      </w:r>
      <w:r w:rsidR="000F50C9">
        <w:rPr>
          <w:lang w:eastAsia="nb-NO"/>
        </w:rPr>
        <w:instrText xml:space="preserve"> REF _Ref167283495 \r \h </w:instrText>
      </w:r>
      <w:r w:rsidR="000F50C9">
        <w:rPr>
          <w:lang w:eastAsia="nb-NO"/>
        </w:rPr>
      </w:r>
      <w:r w:rsidR="000F50C9">
        <w:rPr>
          <w:lang w:eastAsia="nb-NO"/>
        </w:rPr>
        <w:fldChar w:fldCharType="separate"/>
      </w:r>
      <w:r w:rsidR="009B1DA8">
        <w:rPr>
          <w:lang w:eastAsia="nb-NO"/>
        </w:rPr>
        <w:t>1.3</w:t>
      </w:r>
      <w:r w:rsidR="000F50C9">
        <w:rPr>
          <w:lang w:eastAsia="nb-NO"/>
        </w:rPr>
        <w:fldChar w:fldCharType="end"/>
      </w:r>
      <w:r w:rsidR="00B81DD2" w:rsidRPr="000F50C9">
        <w:rPr>
          <w:lang w:eastAsia="nb-NO"/>
        </w:rPr>
        <w:t xml:space="preserve">. </w:t>
      </w:r>
      <w:r w:rsidR="000F50C9">
        <w:rPr>
          <w:lang w:eastAsia="nb-NO"/>
        </w:rPr>
        <w:t xml:space="preserve">Dette målet er kjent som gjennomsnittlig vektet kapitalkostnad, </w:t>
      </w:r>
      <w:r w:rsidR="000F50C9" w:rsidRPr="00560640">
        <w:rPr>
          <w:lang w:eastAsia="nb-NO"/>
        </w:rPr>
        <w:t xml:space="preserve">populært kalt </w:t>
      </w:r>
      <w:r w:rsidR="004C1B7A">
        <w:rPr>
          <w:lang w:eastAsia="nb-NO"/>
        </w:rPr>
        <w:t>«</w:t>
      </w:r>
      <w:r w:rsidR="000F50C9" w:rsidRPr="00560640">
        <w:rPr>
          <w:b/>
          <w:bCs/>
          <w:color w:val="3672B0" w:themeColor="accent2"/>
          <w:lang w:eastAsia="nb-NO"/>
        </w:rPr>
        <w:t>WACC</w:t>
      </w:r>
      <w:r w:rsidR="004C1B7A">
        <w:rPr>
          <w:lang w:eastAsia="nb-NO"/>
        </w:rPr>
        <w:t>» e</w:t>
      </w:r>
      <w:r w:rsidR="000F50C9" w:rsidRPr="00560640">
        <w:rPr>
          <w:lang w:eastAsia="nb-NO"/>
        </w:rPr>
        <w:t>tter det engelske</w:t>
      </w:r>
      <w:r w:rsidR="000F50C9">
        <w:rPr>
          <w:lang w:eastAsia="nb-NO"/>
        </w:rPr>
        <w:t xml:space="preserve"> begrepet «</w:t>
      </w:r>
      <w:r w:rsidR="000F50C9" w:rsidRPr="002B49AE">
        <w:rPr>
          <w:i/>
          <w:iCs/>
          <w:color w:val="3672B0" w:themeColor="accent2"/>
          <w:lang w:eastAsia="nb-NO"/>
        </w:rPr>
        <w:t xml:space="preserve">Weighted </w:t>
      </w:r>
      <w:r w:rsidR="009A418C" w:rsidRPr="002B49AE">
        <w:rPr>
          <w:i/>
          <w:iCs/>
          <w:color w:val="3672B0" w:themeColor="accent2"/>
          <w:lang w:eastAsia="nb-NO"/>
        </w:rPr>
        <w:t>A</w:t>
      </w:r>
      <w:r w:rsidR="000F50C9" w:rsidRPr="002B49AE">
        <w:rPr>
          <w:i/>
          <w:iCs/>
          <w:color w:val="3672B0" w:themeColor="accent2"/>
          <w:lang w:eastAsia="nb-NO"/>
        </w:rPr>
        <w:t xml:space="preserve">verage </w:t>
      </w:r>
      <w:r w:rsidR="009A418C" w:rsidRPr="002B49AE">
        <w:rPr>
          <w:i/>
          <w:iCs/>
          <w:color w:val="3672B0" w:themeColor="accent2"/>
          <w:lang w:eastAsia="nb-NO"/>
        </w:rPr>
        <w:t>Co</w:t>
      </w:r>
      <w:r w:rsidR="000F50C9" w:rsidRPr="002B49AE">
        <w:rPr>
          <w:i/>
          <w:iCs/>
          <w:color w:val="3672B0" w:themeColor="accent2"/>
          <w:lang w:eastAsia="nb-NO"/>
        </w:rPr>
        <w:t xml:space="preserve">st of </w:t>
      </w:r>
      <w:r w:rsidR="009A418C" w:rsidRPr="002B49AE">
        <w:rPr>
          <w:i/>
          <w:iCs/>
          <w:color w:val="3672B0" w:themeColor="accent2"/>
          <w:lang w:eastAsia="nb-NO"/>
        </w:rPr>
        <w:t>C</w:t>
      </w:r>
      <w:r w:rsidR="000F50C9" w:rsidRPr="002B49AE">
        <w:rPr>
          <w:i/>
          <w:iCs/>
          <w:color w:val="3672B0" w:themeColor="accent2"/>
          <w:lang w:eastAsia="nb-NO"/>
        </w:rPr>
        <w:t>apital</w:t>
      </w:r>
      <w:r w:rsidR="000F50C9" w:rsidRPr="000F50C9">
        <w:rPr>
          <w:lang w:eastAsia="nb-NO"/>
        </w:rPr>
        <w:t>»</w:t>
      </w:r>
      <w:r w:rsidR="00574DF3">
        <w:rPr>
          <w:lang w:eastAsia="nb-NO"/>
        </w:rPr>
        <w:t xml:space="preserve"> (se </w:t>
      </w:r>
      <w:r w:rsidR="00574DF3" w:rsidRPr="00F97085">
        <w:rPr>
          <w:color w:val="auto"/>
        </w:rPr>
        <w:t>Modigliani</w:t>
      </w:r>
      <w:r w:rsidR="00574DF3">
        <w:rPr>
          <w:color w:val="auto"/>
        </w:rPr>
        <w:t xml:space="preserve"> og Miller 1958 og 1963</w:t>
      </w:r>
      <w:r w:rsidR="00574DF3">
        <w:rPr>
          <w:lang w:eastAsia="nb-NO"/>
        </w:rPr>
        <w:t>)</w:t>
      </w:r>
      <w:r w:rsidR="000F50C9">
        <w:rPr>
          <w:lang w:eastAsia="nb-NO"/>
        </w:rPr>
        <w:t xml:space="preserve">. </w:t>
      </w:r>
      <w:r w:rsidR="00B81DD2" w:rsidRPr="000F50C9">
        <w:rPr>
          <w:lang w:eastAsia="nb-NO"/>
        </w:rPr>
        <w:t>Siden kommunal risikopremie ikke er kjent, må anslag hentes fra andre sektorer</w:t>
      </w:r>
      <w:r w:rsidR="000F50C9">
        <w:rPr>
          <w:lang w:eastAsia="nb-NO"/>
        </w:rPr>
        <w:t xml:space="preserve"> eller fra offentlige utredninger</w:t>
      </w:r>
      <w:r w:rsidR="00B25EE4">
        <w:rPr>
          <w:lang w:eastAsia="nb-NO"/>
        </w:rPr>
        <w:t>,</w:t>
      </w:r>
      <w:r w:rsidR="00B81DD2" w:rsidRPr="000F50C9">
        <w:rPr>
          <w:lang w:eastAsia="nb-NO"/>
        </w:rPr>
        <w:t xml:space="preserve"> dersom man vil forfølge dette sporet.</w:t>
      </w:r>
    </w:p>
    <w:p w14:paraId="43B150D5" w14:textId="648D3840" w:rsidR="00B10D6E" w:rsidRDefault="000D5DFA" w:rsidP="00A12018">
      <w:pPr>
        <w:rPr>
          <w:lang w:eastAsia="nb-NO"/>
        </w:rPr>
      </w:pPr>
      <w:r>
        <w:rPr>
          <w:lang w:eastAsia="nb-NO"/>
        </w:rPr>
        <w:t xml:space="preserve">I Norge anslår flere sektormyndigheter WACC, deriblant </w:t>
      </w:r>
      <w:r w:rsidRPr="00560640">
        <w:rPr>
          <w:lang w:eastAsia="nb-NO"/>
        </w:rPr>
        <w:t>Reguleringsmyndigheten for energi</w:t>
      </w:r>
      <w:r>
        <w:rPr>
          <w:lang w:eastAsia="nb-NO"/>
        </w:rPr>
        <w:t xml:space="preserve"> ved </w:t>
      </w:r>
      <w:r w:rsidRPr="00560640">
        <w:rPr>
          <w:lang w:eastAsia="nb-NO"/>
        </w:rPr>
        <w:t>Norges vassdrags- og energidirektorat</w:t>
      </w:r>
      <w:r>
        <w:rPr>
          <w:lang w:eastAsia="nb-NO"/>
        </w:rPr>
        <w:t xml:space="preserve"> (2021) i elektrisitetsmarkedet og Nasjonal</w:t>
      </w:r>
      <w:r w:rsidR="00393697">
        <w:rPr>
          <w:lang w:eastAsia="nb-NO"/>
        </w:rPr>
        <w:t xml:space="preserve"> </w:t>
      </w:r>
      <w:r>
        <w:rPr>
          <w:lang w:eastAsia="nb-NO"/>
        </w:rPr>
        <w:t xml:space="preserve">kommunikasjonsmyndighet (2023) i markedene for elektronisk kommunikasjon. </w:t>
      </w:r>
      <w:r w:rsidR="00A12018">
        <w:rPr>
          <w:lang w:eastAsia="nb-NO"/>
        </w:rPr>
        <w:t xml:space="preserve">I sitt arbeid med Statistisk sentralbyrås kapitaldatabase antar </w:t>
      </w:r>
      <w:r w:rsidR="00A12018" w:rsidRPr="00A12018">
        <w:rPr>
          <w:lang w:eastAsia="nb-NO"/>
        </w:rPr>
        <w:t xml:space="preserve">Raknerud, Rønningen og Skjerpen </w:t>
      </w:r>
      <w:r w:rsidR="00393697">
        <w:rPr>
          <w:lang w:eastAsia="nb-NO"/>
        </w:rPr>
        <w:t>(</w:t>
      </w:r>
      <w:r w:rsidR="00A12018" w:rsidRPr="00A12018">
        <w:rPr>
          <w:lang w:eastAsia="nb-NO"/>
        </w:rPr>
        <w:t>2007)</w:t>
      </w:r>
      <w:r w:rsidR="00A12018">
        <w:rPr>
          <w:lang w:eastAsia="nb-NO"/>
        </w:rPr>
        <w:t xml:space="preserve"> et avkastningskrav tilsvarende </w:t>
      </w:r>
      <w:r w:rsidR="00A11E72">
        <w:rPr>
          <w:lang w:eastAsia="nb-NO"/>
        </w:rPr>
        <w:t>renten</w:t>
      </w:r>
      <w:r w:rsidR="00A12018">
        <w:rPr>
          <w:lang w:eastAsia="nb-NO"/>
        </w:rPr>
        <w:t xml:space="preserve"> på </w:t>
      </w:r>
      <w:r w:rsidR="00A12018" w:rsidRPr="00A12018">
        <w:rPr>
          <w:lang w:eastAsia="nb-NO"/>
        </w:rPr>
        <w:t>statsobligasjoner</w:t>
      </w:r>
      <w:r w:rsidR="00A12018">
        <w:rPr>
          <w:lang w:eastAsia="nb-NO"/>
        </w:rPr>
        <w:t>. Holmen (2022</w:t>
      </w:r>
      <w:r w:rsidR="007E0471">
        <w:rPr>
          <w:lang w:eastAsia="nb-NO"/>
        </w:rPr>
        <w:t>a</w:t>
      </w:r>
      <w:r w:rsidR="00A12018">
        <w:rPr>
          <w:lang w:eastAsia="nb-NO"/>
        </w:rPr>
        <w:t xml:space="preserve">) anslår faktisk avkastning over tid for norske aksjeselskaper med både PIM og DM, og antar at avkastningskravet sammenfaller med dette. </w:t>
      </w:r>
      <w:r w:rsidR="00560640">
        <w:rPr>
          <w:lang w:eastAsia="nb-NO"/>
        </w:rPr>
        <w:t>Eller</w:t>
      </w:r>
      <w:r>
        <w:rPr>
          <w:lang w:eastAsia="nb-NO"/>
        </w:rPr>
        <w:t>s</w:t>
      </w:r>
      <w:r w:rsidR="00560640">
        <w:rPr>
          <w:lang w:eastAsia="nb-NO"/>
        </w:rPr>
        <w:t xml:space="preserve"> analyserer en rekke</w:t>
      </w:r>
      <w:r w:rsidR="00B10D6E">
        <w:rPr>
          <w:lang w:eastAsia="nb-NO"/>
        </w:rPr>
        <w:t xml:space="preserve"> empiriske studier faktisk og forventet avkastningskrav</w:t>
      </w:r>
      <w:r w:rsidR="00560640">
        <w:rPr>
          <w:lang w:eastAsia="nb-NO"/>
        </w:rPr>
        <w:t xml:space="preserve"> </w:t>
      </w:r>
      <w:r w:rsidR="00A12018">
        <w:rPr>
          <w:lang w:eastAsia="nb-NO"/>
        </w:rPr>
        <w:t xml:space="preserve">internasjonalt </w:t>
      </w:r>
      <w:r w:rsidR="00B10D6E">
        <w:rPr>
          <w:lang w:eastAsia="nb-NO"/>
        </w:rPr>
        <w:t xml:space="preserve">(se for eksempel </w:t>
      </w:r>
      <w:r w:rsidR="00B10D6E" w:rsidRPr="00B10D6E">
        <w:rPr>
          <w:lang w:eastAsia="nb-NO"/>
        </w:rPr>
        <w:t>Oulton</w:t>
      </w:r>
      <w:r w:rsidR="00B10D6E">
        <w:rPr>
          <w:lang w:eastAsia="nb-NO"/>
        </w:rPr>
        <w:t xml:space="preserve"> 2007 for ex-post og ex-ante beregninger av enhetsbrukerprisen på kapital</w:t>
      </w:r>
      <w:r w:rsidR="00127CB2">
        <w:rPr>
          <w:lang w:eastAsia="nb-NO"/>
        </w:rPr>
        <w:t xml:space="preserve"> og</w:t>
      </w:r>
      <w:r w:rsidR="00560640">
        <w:rPr>
          <w:lang w:eastAsia="nb-NO"/>
        </w:rPr>
        <w:t xml:space="preserve"> </w:t>
      </w:r>
      <w:r w:rsidR="00B10D6E" w:rsidRPr="00B10D6E">
        <w:rPr>
          <w:lang w:eastAsia="nb-NO"/>
        </w:rPr>
        <w:t>Damodaran 2023</w:t>
      </w:r>
      <w:r w:rsidR="00560640">
        <w:rPr>
          <w:lang w:eastAsia="nb-NO"/>
        </w:rPr>
        <w:t xml:space="preserve"> for WACC-estimater</w:t>
      </w:r>
      <w:r w:rsidR="00A12018">
        <w:rPr>
          <w:lang w:eastAsia="nb-NO"/>
        </w:rPr>
        <w:t>). Vi referer</w:t>
      </w:r>
      <w:r w:rsidR="00393697">
        <w:rPr>
          <w:lang w:eastAsia="nb-NO"/>
        </w:rPr>
        <w:t>er</w:t>
      </w:r>
      <w:r w:rsidR="00A12018">
        <w:rPr>
          <w:lang w:eastAsia="nb-NO"/>
        </w:rPr>
        <w:t xml:space="preserve"> ellers til seksjon </w:t>
      </w:r>
      <w:r w:rsidR="00A12018">
        <w:rPr>
          <w:lang w:eastAsia="nb-NO"/>
        </w:rPr>
        <w:fldChar w:fldCharType="begin"/>
      </w:r>
      <w:r w:rsidR="00A12018">
        <w:rPr>
          <w:lang w:eastAsia="nb-NO"/>
        </w:rPr>
        <w:instrText xml:space="preserve"> REF _Ref178616717 \r \h </w:instrText>
      </w:r>
      <w:r w:rsidR="00A12018">
        <w:rPr>
          <w:lang w:eastAsia="nb-NO"/>
        </w:rPr>
      </w:r>
      <w:r w:rsidR="00A12018">
        <w:rPr>
          <w:lang w:eastAsia="nb-NO"/>
        </w:rPr>
        <w:fldChar w:fldCharType="separate"/>
      </w:r>
      <w:r w:rsidR="009B1DA8">
        <w:rPr>
          <w:lang w:eastAsia="nb-NO"/>
        </w:rPr>
        <w:t>2.2.5</w:t>
      </w:r>
      <w:r w:rsidR="00A12018">
        <w:rPr>
          <w:lang w:eastAsia="nb-NO"/>
        </w:rPr>
        <w:fldChar w:fldCharType="end"/>
      </w:r>
      <w:r w:rsidR="00A12018">
        <w:rPr>
          <w:lang w:eastAsia="nb-NO"/>
        </w:rPr>
        <w:t xml:space="preserve"> for flere referanser om</w:t>
      </w:r>
      <w:r w:rsidR="00B10D6E">
        <w:rPr>
          <w:lang w:eastAsia="nb-NO"/>
        </w:rPr>
        <w:t xml:space="preserve"> avkastningskrav </w:t>
      </w:r>
      <w:r w:rsidR="00A12018">
        <w:rPr>
          <w:lang w:eastAsia="nb-NO"/>
        </w:rPr>
        <w:t>for</w:t>
      </w:r>
      <w:r w:rsidR="00B10D6E">
        <w:rPr>
          <w:lang w:eastAsia="nb-NO"/>
        </w:rPr>
        <w:t xml:space="preserve"> egenkapitalen.</w:t>
      </w:r>
    </w:p>
    <w:p w14:paraId="2BD51097" w14:textId="77777777" w:rsidR="007B003D" w:rsidRPr="0055149C" w:rsidRDefault="007B003D" w:rsidP="007B003D">
      <w:pPr>
        <w:pStyle w:val="Overskrift3"/>
      </w:pPr>
      <w:bookmarkStart w:id="47" w:name="_Ref167368253"/>
      <w:bookmarkStart w:id="48" w:name="_Ref166250068"/>
      <w:r w:rsidRPr="0055149C">
        <w:t>Samfunnsøkonomisk kalkulasjonsrente</w:t>
      </w:r>
      <w:bookmarkEnd w:id="47"/>
    </w:p>
    <w:p w14:paraId="32611ECF" w14:textId="2B3A74B1" w:rsidR="00127C74" w:rsidRDefault="007B003D" w:rsidP="007B003D">
      <w:pPr>
        <w:rPr>
          <w:lang w:eastAsia="nb-NO"/>
        </w:rPr>
      </w:pPr>
      <w:r w:rsidRPr="0055149C">
        <w:rPr>
          <w:lang w:eastAsia="nb-NO"/>
        </w:rPr>
        <w:t xml:space="preserve">Siden midten av 1960-tallet har Norge operert med en samfunnsøkonomisk kalkulasjonsrente som uttrykker alternativkostnaden av offentlige investeringer. </w:t>
      </w:r>
      <w:r w:rsidR="00E90C4B">
        <w:rPr>
          <w:lang w:eastAsia="nb-NO"/>
        </w:rPr>
        <w:t>I kraft av å være</w:t>
      </w:r>
      <w:r w:rsidRPr="0055149C">
        <w:rPr>
          <w:lang w:eastAsia="nb-NO"/>
        </w:rPr>
        <w:t xml:space="preserve"> kandidat til beregningene av utgiftskompensasjon er den samfunnsøkonomiske kalkulasjonsrenten klart plassert i kategorien alternativkostnad. Tanken bak den samfunnsøkonomiske kalkulasjonsrenten har alltid vært å bidra til mer lik avkastning av offentlige investeringer. Hvis man ikke hadde en </w:t>
      </w:r>
      <w:r w:rsidRPr="0055149C">
        <w:rPr>
          <w:lang w:eastAsia="nb-NO"/>
        </w:rPr>
        <w:lastRenderedPageBreak/>
        <w:t>kalkulasjonsrente, eller hvis man hadde flere, så kunne man risikert at avkastningen i én del av offentlig sektor systematisk lå lavere enn avkastningen i en annen del.</w:t>
      </w:r>
    </w:p>
    <w:p w14:paraId="62744EDB" w14:textId="0077FA84" w:rsidR="0057655C" w:rsidRPr="0055149C" w:rsidRDefault="004A42B8" w:rsidP="0057655C">
      <w:pPr>
        <w:rPr>
          <w:lang w:eastAsia="nb-NO"/>
        </w:rPr>
      </w:pPr>
      <w:r w:rsidRPr="0055149C">
        <w:rPr>
          <w:lang w:eastAsia="nb-NO"/>
        </w:rPr>
        <w:t>Denne observasjonen har implikasjoner for kommunal sektor. Kommunal sektor er en del av offentlig sektor og «</w:t>
      </w:r>
      <w:r w:rsidR="00C06767">
        <w:rPr>
          <w:lang w:eastAsia="nb-NO"/>
        </w:rPr>
        <w:t>kjemper</w:t>
      </w:r>
      <w:r w:rsidRPr="0055149C">
        <w:rPr>
          <w:lang w:eastAsia="nb-NO"/>
        </w:rPr>
        <w:t>» om de samme</w:t>
      </w:r>
      <w:r w:rsidR="00EB0D7F">
        <w:rPr>
          <w:lang w:eastAsia="nb-NO"/>
        </w:rPr>
        <w:t xml:space="preserve"> </w:t>
      </w:r>
      <w:r w:rsidRPr="0055149C">
        <w:rPr>
          <w:lang w:eastAsia="nb-NO"/>
        </w:rPr>
        <w:t>midlene som resten av offentlig sektor</w:t>
      </w:r>
      <w:r w:rsidR="00812BDB">
        <w:rPr>
          <w:lang w:eastAsia="nb-NO"/>
        </w:rPr>
        <w:t>,</w:t>
      </w:r>
      <w:r w:rsidRPr="0055149C">
        <w:rPr>
          <w:lang w:eastAsia="nb-NO"/>
        </w:rPr>
        <w:t xml:space="preserve"> og</w:t>
      </w:r>
      <w:r w:rsidR="007724DD">
        <w:rPr>
          <w:lang w:eastAsia="nb-NO"/>
        </w:rPr>
        <w:t xml:space="preserve"> indirekte,</w:t>
      </w:r>
      <w:r w:rsidRPr="0055149C">
        <w:rPr>
          <w:lang w:eastAsia="nb-NO"/>
        </w:rPr>
        <w:t xml:space="preserve"> resten av samfunnet. I arbeidet med å utarbeide anslaget for kalkulasjonsrenten er det å forvente at beslutningstagerne har sett hen til faktiske avkastningsmønstre, lånerenter og så videre i alle deler av offentlig sektor, og samfunnet ellers, før de har kommet fram til et akseptabelt gjennomsnitt.</w:t>
      </w:r>
      <w:r w:rsidR="0057655C">
        <w:rPr>
          <w:lang w:eastAsia="nb-NO"/>
        </w:rPr>
        <w:t xml:space="preserve"> </w:t>
      </w:r>
      <w:r w:rsidR="0057655C" w:rsidRPr="0055149C">
        <w:rPr>
          <w:lang w:eastAsia="nb-NO"/>
        </w:rPr>
        <w:t xml:space="preserve">Bruk av samfunnsøkonomisk kalkulasjonsrente for kommunale kapitalutgifter kan dermed begrunnes i at den som et gjennomsnitt treffer kommunale og andre offentlige investeringer ganske bra, og dessuten at kalkulasjonsrenten gir uttrykk for hva det i gjennomsnitt koster samfunnet i form av rentetap når en kommunal investering utøves. </w:t>
      </w:r>
    </w:p>
    <w:p w14:paraId="5B530DEE" w14:textId="0CE79C38" w:rsidR="0057655C" w:rsidRDefault="0057655C" w:rsidP="004A42B8">
      <w:pPr>
        <w:rPr>
          <w:lang w:eastAsia="nb-NO"/>
        </w:rPr>
      </w:pPr>
      <w:r>
        <w:rPr>
          <w:lang w:eastAsia="nb-NO"/>
        </w:rPr>
        <w:t>Kalkulasjonsrenten uttrykker den samfunnsøkonomiske alternativkostnaden ved å binde kapital til et prosjekt og viser til avkastningen kapitalen kunne ha fått i sin beste alternative anvendelse. Den bør i prinsippet inkludere en risikofri realrente</w:t>
      </w:r>
      <w:r w:rsidR="001B171E">
        <w:rPr>
          <w:lang w:eastAsia="nb-NO"/>
        </w:rPr>
        <w:t>,</w:t>
      </w:r>
      <w:r>
        <w:rPr>
          <w:lang w:eastAsia="nb-NO"/>
        </w:rPr>
        <w:t xml:space="preserve"> samt et tillegg som reflekterer blant annet tiltakets systematiske risiko. </w:t>
      </w:r>
      <w:r w:rsidR="001B171E">
        <w:rPr>
          <w:lang w:eastAsia="nb-NO"/>
        </w:rPr>
        <w:t>Samtidig</w:t>
      </w:r>
      <w:r>
        <w:rPr>
          <w:lang w:eastAsia="nb-NO"/>
        </w:rPr>
        <w:t xml:space="preserve"> er det ønskelig at kalkulasjons</w:t>
      </w:r>
      <w:r w:rsidR="00A11E72">
        <w:rPr>
          <w:lang w:eastAsia="nb-NO"/>
        </w:rPr>
        <w:t>renten</w:t>
      </w:r>
      <w:r>
        <w:rPr>
          <w:lang w:eastAsia="nb-NO"/>
        </w:rPr>
        <w:t xml:space="preserve"> som benyttes ved vurdering av offentlige tiltak </w:t>
      </w:r>
      <w:r w:rsidR="004D1083">
        <w:rPr>
          <w:lang w:eastAsia="nb-NO"/>
        </w:rPr>
        <w:t xml:space="preserve">er </w:t>
      </w:r>
      <w:r>
        <w:rPr>
          <w:lang w:eastAsia="nb-NO"/>
        </w:rPr>
        <w:t xml:space="preserve">basert på enkle retningslinjer. </w:t>
      </w:r>
    </w:p>
    <w:p w14:paraId="085878F4" w14:textId="311E3B80" w:rsidR="007B003D" w:rsidRPr="0055149C" w:rsidRDefault="007B003D" w:rsidP="007B003D">
      <w:pPr>
        <w:rPr>
          <w:lang w:eastAsia="nb-NO"/>
        </w:rPr>
      </w:pPr>
      <w:r w:rsidRPr="0055149C">
        <w:rPr>
          <w:lang w:eastAsia="nb-NO"/>
        </w:rPr>
        <w:t>Selv om kalkulasjons</w:t>
      </w:r>
      <w:r w:rsidR="00A11E72">
        <w:rPr>
          <w:lang w:eastAsia="nb-NO"/>
        </w:rPr>
        <w:t>renten</w:t>
      </w:r>
      <w:r w:rsidRPr="0055149C">
        <w:rPr>
          <w:lang w:eastAsia="nb-NO"/>
        </w:rPr>
        <w:t xml:space="preserve"> er stabil over tid, har den endret seg siden 1960-tallet. Den startet som en realrente på hele ti prosent</w:t>
      </w:r>
      <w:r w:rsidR="00574DF3">
        <w:rPr>
          <w:lang w:eastAsia="nb-NO"/>
        </w:rPr>
        <w:t xml:space="preserve"> (se Strøm </w:t>
      </w:r>
      <w:r w:rsidR="008F02AF">
        <w:rPr>
          <w:lang w:eastAsia="nb-NO"/>
        </w:rPr>
        <w:t xml:space="preserve">1967 </w:t>
      </w:r>
      <w:r w:rsidR="00B60ADA">
        <w:rPr>
          <w:lang w:eastAsia="nb-NO"/>
        </w:rPr>
        <w:t>og 1968</w:t>
      </w:r>
      <w:r w:rsidR="00574DF3">
        <w:rPr>
          <w:lang w:eastAsia="nb-NO"/>
        </w:rPr>
        <w:t>)</w:t>
      </w:r>
      <w:r w:rsidRPr="0055149C">
        <w:rPr>
          <w:lang w:eastAsia="nb-NO"/>
        </w:rPr>
        <w:t xml:space="preserve">, men gikk </w:t>
      </w:r>
      <w:r w:rsidR="00BD262E">
        <w:rPr>
          <w:lang w:eastAsia="nb-NO"/>
        </w:rPr>
        <w:t xml:space="preserve">etter hvert </w:t>
      </w:r>
      <w:r w:rsidRPr="0055149C">
        <w:rPr>
          <w:lang w:eastAsia="nb-NO"/>
        </w:rPr>
        <w:t xml:space="preserve">ned til </w:t>
      </w:r>
      <w:r w:rsidR="00574DF3">
        <w:rPr>
          <w:lang w:eastAsia="nb-NO"/>
        </w:rPr>
        <w:t>sju</w:t>
      </w:r>
      <w:r w:rsidR="00553002">
        <w:rPr>
          <w:lang w:eastAsia="nb-NO"/>
        </w:rPr>
        <w:t xml:space="preserve"> prosent</w:t>
      </w:r>
      <w:r w:rsidR="00BD262E">
        <w:rPr>
          <w:lang w:eastAsia="nb-NO"/>
        </w:rPr>
        <w:t xml:space="preserve"> (</w:t>
      </w:r>
      <w:r w:rsidR="00BD262E" w:rsidRPr="00BD262E">
        <w:rPr>
          <w:lang w:eastAsia="nb-NO"/>
        </w:rPr>
        <w:t>Strøm</w:t>
      </w:r>
      <w:r w:rsidR="00BD262E">
        <w:rPr>
          <w:lang w:eastAsia="nb-NO"/>
        </w:rPr>
        <w:t xml:space="preserve">, </w:t>
      </w:r>
      <w:r w:rsidR="00BD262E" w:rsidRPr="00BD262E">
        <w:rPr>
          <w:lang w:eastAsia="nb-NO"/>
        </w:rPr>
        <w:t>Kartevoll</w:t>
      </w:r>
      <w:r w:rsidR="00BD262E">
        <w:rPr>
          <w:lang w:eastAsia="nb-NO"/>
        </w:rPr>
        <w:t xml:space="preserve"> og </w:t>
      </w:r>
      <w:r w:rsidR="00BD262E" w:rsidRPr="00BD262E">
        <w:rPr>
          <w:lang w:eastAsia="nb-NO"/>
        </w:rPr>
        <w:t>Lorentsen</w:t>
      </w:r>
      <w:r w:rsidR="00BD262E">
        <w:rPr>
          <w:lang w:eastAsia="nb-NO"/>
        </w:rPr>
        <w:t xml:space="preserve"> 1980)</w:t>
      </w:r>
      <w:r w:rsidRPr="0055149C">
        <w:rPr>
          <w:lang w:eastAsia="nb-NO"/>
        </w:rPr>
        <w:t xml:space="preserve">. Siden 2014 har den vært fire prosent realrente for investeringer med inntil 40 års levetid. Endringen og nedgangen over tid har blant bakgrunn i en diskusjon av hvor risikable offentlige investeringer er. </w:t>
      </w:r>
      <w:r w:rsidR="0057655C" w:rsidRPr="0057655C">
        <w:rPr>
          <w:lang w:eastAsia="nb-NO"/>
        </w:rPr>
        <w:t>Hagen-utvalget (NOU 2012:16)</w:t>
      </w:r>
      <w:r w:rsidR="0057655C">
        <w:rPr>
          <w:lang w:eastAsia="nb-NO"/>
        </w:rPr>
        <w:t xml:space="preserve"> </w:t>
      </w:r>
      <w:r w:rsidRPr="0055149C">
        <w:rPr>
          <w:lang w:eastAsia="nb-NO"/>
        </w:rPr>
        <w:t>fr</w:t>
      </w:r>
      <w:r w:rsidR="00290D1E">
        <w:rPr>
          <w:lang w:eastAsia="nb-NO"/>
        </w:rPr>
        <w:t>e</w:t>
      </w:r>
      <w:r w:rsidRPr="0055149C">
        <w:rPr>
          <w:lang w:eastAsia="nb-NO"/>
        </w:rPr>
        <w:t>mmet forslaget om fire prosent</w:t>
      </w:r>
      <w:r w:rsidR="008A14C0">
        <w:rPr>
          <w:lang w:eastAsia="nb-NO"/>
        </w:rPr>
        <w:t>. Det</w:t>
      </w:r>
      <w:r w:rsidRPr="0055149C">
        <w:rPr>
          <w:lang w:eastAsia="nb-NO"/>
        </w:rPr>
        <w:t xml:space="preserve"> knyttet </w:t>
      </w:r>
      <w:r w:rsidR="008A14C0">
        <w:rPr>
          <w:lang w:eastAsia="nb-NO"/>
        </w:rPr>
        <w:t>forslaget</w:t>
      </w:r>
      <w:r w:rsidRPr="0055149C">
        <w:rPr>
          <w:lang w:eastAsia="nb-NO"/>
        </w:rPr>
        <w:t xml:space="preserve"> til et resonnement</w:t>
      </w:r>
      <w:r w:rsidR="008A14C0">
        <w:rPr>
          <w:lang w:eastAsia="nb-NO"/>
        </w:rPr>
        <w:t>,</w:t>
      </w:r>
      <w:r w:rsidRPr="0055149C">
        <w:rPr>
          <w:lang w:eastAsia="nb-NO"/>
        </w:rPr>
        <w:t xml:space="preserve"> der 2,5 prosent reelt ble ansett som rente på sikre investeringer, og 1,5 prosent var risikopremien på et normalt risikabelt prosjekt, som et offentlig investeringsprosjekt i gjennomsnitt må sies å være.</w:t>
      </w:r>
      <w:r w:rsidR="0057655C" w:rsidRPr="0057655C">
        <w:rPr>
          <w:lang w:eastAsia="nb-NO"/>
        </w:rPr>
        <w:t xml:space="preserve"> </w:t>
      </w:r>
      <w:r w:rsidR="00E5700A">
        <w:rPr>
          <w:lang w:eastAsia="nb-NO"/>
        </w:rPr>
        <w:t>Dette var for øvrig på linje med det daværende anslaget for forventet realavkastning av plasseringene i Statens pensjonsfond</w:t>
      </w:r>
      <w:r w:rsidR="005F3130">
        <w:rPr>
          <w:lang w:eastAsia="nb-NO"/>
        </w:rPr>
        <w:t>,</w:t>
      </w:r>
      <w:r w:rsidR="00E5700A">
        <w:rPr>
          <w:lang w:eastAsia="nb-NO"/>
        </w:rPr>
        <w:t xml:space="preserve"> utland. </w:t>
      </w:r>
      <w:r w:rsidR="0057655C" w:rsidRPr="0057655C">
        <w:rPr>
          <w:lang w:eastAsia="nb-NO"/>
        </w:rPr>
        <w:t>Finansdepartementet (2021)</w:t>
      </w:r>
      <w:r w:rsidR="0057655C">
        <w:rPr>
          <w:lang w:eastAsia="nb-NO"/>
        </w:rPr>
        <w:t xml:space="preserve"> og </w:t>
      </w:r>
      <w:r w:rsidR="0057655C" w:rsidRPr="0057655C">
        <w:rPr>
          <w:lang w:eastAsia="nb-NO"/>
        </w:rPr>
        <w:t>Direktoratet for forvaltning og økonomistyring</w:t>
      </w:r>
      <w:r w:rsidR="0057655C">
        <w:rPr>
          <w:lang w:eastAsia="nb-NO"/>
        </w:rPr>
        <w:t xml:space="preserve"> (2023) anbefaler </w:t>
      </w:r>
      <w:r w:rsidR="00E5700A">
        <w:rPr>
          <w:lang w:eastAsia="nb-NO"/>
        </w:rPr>
        <w:t xml:space="preserve">i tråd med Hagen-utvalget </w:t>
      </w:r>
      <w:r w:rsidR="0057655C">
        <w:rPr>
          <w:lang w:eastAsia="nb-NO"/>
        </w:rPr>
        <w:t>at den samfunnsøkonomiske kalkulasjons</w:t>
      </w:r>
      <w:r w:rsidR="00A11E72">
        <w:rPr>
          <w:lang w:eastAsia="nb-NO"/>
        </w:rPr>
        <w:t>renten</w:t>
      </w:r>
      <w:r w:rsidR="0057655C">
        <w:rPr>
          <w:lang w:eastAsia="nb-NO"/>
        </w:rPr>
        <w:t xml:space="preserve"> settes til </w:t>
      </w:r>
      <w:r w:rsidR="006C6C79">
        <w:rPr>
          <w:lang w:eastAsia="nb-NO"/>
        </w:rPr>
        <w:t>fire</w:t>
      </w:r>
      <w:r w:rsidR="0057655C">
        <w:rPr>
          <w:lang w:eastAsia="nb-NO"/>
        </w:rPr>
        <w:t xml:space="preserve"> prosent</w:t>
      </w:r>
      <w:r w:rsidR="0057655C" w:rsidRPr="0057655C">
        <w:rPr>
          <w:lang w:eastAsia="nb-NO"/>
        </w:rPr>
        <w:t>.</w:t>
      </w:r>
    </w:p>
    <w:p w14:paraId="1D88E0A1" w14:textId="2F2BDF98" w:rsidR="0057655C" w:rsidRPr="0057655C" w:rsidRDefault="007B003D" w:rsidP="007B003D">
      <w:pPr>
        <w:rPr>
          <w:highlight w:val="magenta"/>
          <w:lang w:eastAsia="nb-NO"/>
        </w:rPr>
      </w:pPr>
      <w:r w:rsidRPr="0055149C">
        <w:rPr>
          <w:lang w:eastAsia="nb-NO"/>
        </w:rPr>
        <w:t xml:space="preserve">Selv om fire prosent er tallet som brukes for investeringer i offentlig sektor, så er det verdt å peke på at </w:t>
      </w:r>
      <w:r w:rsidR="00E5700A">
        <w:rPr>
          <w:lang w:eastAsia="nb-NO"/>
        </w:rPr>
        <w:t xml:space="preserve">anslaget for forventet </w:t>
      </w:r>
      <w:r w:rsidRPr="0055149C">
        <w:rPr>
          <w:lang w:eastAsia="nb-NO"/>
        </w:rPr>
        <w:t>realavkastning på petroleumsfondet</w:t>
      </w:r>
      <w:r w:rsidR="0057655C">
        <w:rPr>
          <w:lang w:eastAsia="nb-NO"/>
        </w:rPr>
        <w:t xml:space="preserve"> </w:t>
      </w:r>
      <w:r w:rsidR="00E5700A">
        <w:rPr>
          <w:lang w:eastAsia="nb-NO"/>
        </w:rPr>
        <w:t xml:space="preserve">ble </w:t>
      </w:r>
      <w:r w:rsidR="00AF7A59">
        <w:rPr>
          <w:lang w:eastAsia="nb-NO"/>
        </w:rPr>
        <w:t>satt ned</w:t>
      </w:r>
      <w:r w:rsidRPr="0055149C">
        <w:rPr>
          <w:lang w:eastAsia="nb-NO"/>
        </w:rPr>
        <w:t xml:space="preserve"> til tre prosent</w:t>
      </w:r>
      <w:r w:rsidR="00A069A9">
        <w:rPr>
          <w:lang w:eastAsia="nb-NO"/>
        </w:rPr>
        <w:t xml:space="preserve"> ved inngangen til</w:t>
      </w:r>
      <w:r w:rsidR="00E5700A">
        <w:rPr>
          <w:lang w:eastAsia="nb-NO"/>
        </w:rPr>
        <w:t xml:space="preserve"> 2018</w:t>
      </w:r>
      <w:r w:rsidR="00884F5E">
        <w:rPr>
          <w:lang w:eastAsia="nb-NO"/>
        </w:rPr>
        <w:t xml:space="preserve"> </w:t>
      </w:r>
      <w:r w:rsidR="009C581E">
        <w:rPr>
          <w:lang w:eastAsia="nb-NO"/>
        </w:rPr>
        <w:t>baser</w:t>
      </w:r>
      <w:r w:rsidR="002C4710">
        <w:rPr>
          <w:lang w:eastAsia="nb-NO"/>
        </w:rPr>
        <w:t>t</w:t>
      </w:r>
      <w:r w:rsidR="009C581E">
        <w:rPr>
          <w:lang w:eastAsia="nb-NO"/>
        </w:rPr>
        <w:t xml:space="preserve"> på </w:t>
      </w:r>
      <w:r w:rsidR="00B61AE6" w:rsidRPr="0057655C">
        <w:rPr>
          <w:lang w:eastAsia="nb-NO"/>
        </w:rPr>
        <w:t xml:space="preserve">Finansdepartementet </w:t>
      </w:r>
      <w:r w:rsidR="009C581E">
        <w:rPr>
          <w:lang w:eastAsia="nb-NO"/>
        </w:rPr>
        <w:t>(</w:t>
      </w:r>
      <w:r w:rsidR="00884F5E">
        <w:rPr>
          <w:lang w:eastAsia="nb-NO"/>
        </w:rPr>
        <w:t>201</w:t>
      </w:r>
      <w:r w:rsidR="00B61AE6">
        <w:rPr>
          <w:lang w:eastAsia="nb-NO"/>
        </w:rPr>
        <w:t>7</w:t>
      </w:r>
      <w:r w:rsidR="00884F5E">
        <w:rPr>
          <w:lang w:eastAsia="nb-NO"/>
        </w:rPr>
        <w:t>)</w:t>
      </w:r>
      <w:r w:rsidRPr="0055149C">
        <w:rPr>
          <w:lang w:eastAsia="nb-NO"/>
        </w:rPr>
        <w:t xml:space="preserve">. Dersom en offentlig investering finansieres av uttak fra fondet, er det med andre ord tre prosent avkastning man per forutsetning går glipp av. Handlingsregelen skal hindre at marginale offentlige investeringer finansieres av fondet. Med dagens anslag for avkastning hjemme og ute har en imidlertid prinsipielt sett laget seg en mulighet for arbitrasjegevinst </w:t>
      </w:r>
      <w:r w:rsidR="0057655C">
        <w:rPr>
          <w:lang w:eastAsia="nb-NO"/>
        </w:rPr>
        <w:t xml:space="preserve">ved å </w:t>
      </w:r>
      <w:r w:rsidRPr="0055149C">
        <w:rPr>
          <w:lang w:eastAsia="nb-NO"/>
        </w:rPr>
        <w:t>låne ute, invester</w:t>
      </w:r>
      <w:r w:rsidR="00AA0B7F">
        <w:rPr>
          <w:lang w:eastAsia="nb-NO"/>
        </w:rPr>
        <w:t>e</w:t>
      </w:r>
      <w:r w:rsidRPr="0055149C">
        <w:rPr>
          <w:lang w:eastAsia="nb-NO"/>
        </w:rPr>
        <w:t xml:space="preserve"> hjemme og få </w:t>
      </w:r>
      <w:r w:rsidR="0057655C">
        <w:rPr>
          <w:lang w:eastAsia="nb-NO"/>
        </w:rPr>
        <w:t>é</w:t>
      </w:r>
      <w:r w:rsidRPr="0055149C">
        <w:rPr>
          <w:lang w:eastAsia="nb-NO"/>
        </w:rPr>
        <w:t>n prosent meravkastning</w:t>
      </w:r>
      <w:r w:rsidR="0057655C">
        <w:rPr>
          <w:lang w:eastAsia="nb-NO"/>
        </w:rPr>
        <w:t>.</w:t>
      </w:r>
      <w:r w:rsidRPr="0055149C">
        <w:rPr>
          <w:lang w:eastAsia="nb-NO"/>
        </w:rPr>
        <w:t xml:space="preserve"> </w:t>
      </w:r>
      <w:r w:rsidR="0057655C">
        <w:rPr>
          <w:lang w:eastAsia="nb-NO"/>
        </w:rPr>
        <w:t xml:space="preserve">En slik mulighet kan neppe sies </w:t>
      </w:r>
      <w:r w:rsidRPr="0055149C">
        <w:rPr>
          <w:lang w:eastAsia="nb-NO"/>
        </w:rPr>
        <w:t>å være lite bærekraftig.</w:t>
      </w:r>
      <w:r w:rsidR="006069FC">
        <w:rPr>
          <w:lang w:eastAsia="nb-NO"/>
        </w:rPr>
        <w:t xml:space="preserve"> </w:t>
      </w:r>
      <w:r w:rsidR="00E5700A">
        <w:rPr>
          <w:lang w:eastAsia="nb-NO"/>
        </w:rPr>
        <w:t xml:space="preserve">Kalkulasjonsrenten </w:t>
      </w:r>
      <w:r w:rsidR="006069FC" w:rsidRPr="006069FC">
        <w:rPr>
          <w:lang w:eastAsia="nb-NO"/>
        </w:rPr>
        <w:t>på</w:t>
      </w:r>
      <w:r w:rsidR="0057655C" w:rsidRPr="006069FC">
        <w:rPr>
          <w:lang w:eastAsia="nb-NO"/>
        </w:rPr>
        <w:t xml:space="preserve"> fire prosent over tid</w:t>
      </w:r>
      <w:r w:rsidR="006069FC" w:rsidRPr="006069FC">
        <w:rPr>
          <w:lang w:eastAsia="nb-NO"/>
        </w:rPr>
        <w:t xml:space="preserve"> fr</w:t>
      </w:r>
      <w:r w:rsidR="00EA6503">
        <w:rPr>
          <w:lang w:eastAsia="nb-NO"/>
        </w:rPr>
        <w:t>a</w:t>
      </w:r>
      <w:r w:rsidR="006069FC" w:rsidRPr="006069FC">
        <w:rPr>
          <w:lang w:eastAsia="nb-NO"/>
        </w:rPr>
        <w:t>mstår like fullt</w:t>
      </w:r>
      <w:r w:rsidR="0057655C" w:rsidRPr="006069FC">
        <w:rPr>
          <w:lang w:eastAsia="nb-NO"/>
        </w:rPr>
        <w:t xml:space="preserve"> </w:t>
      </w:r>
      <w:r w:rsidR="00E5700A">
        <w:rPr>
          <w:lang w:eastAsia="nb-NO"/>
        </w:rPr>
        <w:t xml:space="preserve">som </w:t>
      </w:r>
      <w:r w:rsidR="0057655C" w:rsidRPr="006069FC">
        <w:rPr>
          <w:lang w:eastAsia="nb-NO"/>
        </w:rPr>
        <w:t>litt høy med tanke på hva man kan forvente i dagens finansmarked</w:t>
      </w:r>
      <w:r w:rsidR="00AF7A59">
        <w:rPr>
          <w:lang w:eastAsia="nb-NO"/>
        </w:rPr>
        <w:t xml:space="preserve"> og de nedjusterte forventningene om økonomisk vekst i den siste Perspektivmeldingen</w:t>
      </w:r>
      <w:r w:rsidR="00D37063">
        <w:rPr>
          <w:lang w:eastAsia="nb-NO"/>
        </w:rPr>
        <w:t xml:space="preserve"> (</w:t>
      </w:r>
      <w:r w:rsidR="00D37063">
        <w:t>Finansdepartementet 2024</w:t>
      </w:r>
      <w:r w:rsidR="00D37063">
        <w:rPr>
          <w:lang w:eastAsia="nb-NO"/>
        </w:rPr>
        <w:t>)</w:t>
      </w:r>
      <w:r w:rsidR="0057655C" w:rsidRPr="006069FC">
        <w:rPr>
          <w:lang w:eastAsia="nb-NO"/>
        </w:rPr>
        <w:t>.</w:t>
      </w:r>
      <w:r w:rsidR="00D37063">
        <w:rPr>
          <w:lang w:eastAsia="nb-NO"/>
        </w:rPr>
        <w:t xml:space="preserve"> </w:t>
      </w:r>
      <w:r w:rsidR="00AF7A59" w:rsidRPr="00AF7A59">
        <w:rPr>
          <w:lang w:eastAsia="nb-NO"/>
        </w:rPr>
        <w:t xml:space="preserve">Dessuten </w:t>
      </w:r>
      <w:r w:rsidR="00E5700A">
        <w:rPr>
          <w:lang w:eastAsia="nb-NO"/>
        </w:rPr>
        <w:t xml:space="preserve">har </w:t>
      </w:r>
      <w:r w:rsidR="00AF7A59" w:rsidRPr="00AF7A59">
        <w:rPr>
          <w:lang w:eastAsia="nb-NO"/>
        </w:rPr>
        <w:t>r</w:t>
      </w:r>
      <w:r w:rsidR="0057655C" w:rsidRPr="00AF7A59">
        <w:rPr>
          <w:lang w:eastAsia="nb-NO"/>
        </w:rPr>
        <w:t>eal</w:t>
      </w:r>
      <w:r w:rsidR="00A11E72">
        <w:rPr>
          <w:lang w:eastAsia="nb-NO"/>
        </w:rPr>
        <w:t>renten</w:t>
      </w:r>
      <w:r w:rsidR="0057655C" w:rsidRPr="00AF7A59">
        <w:rPr>
          <w:lang w:eastAsia="nb-NO"/>
        </w:rPr>
        <w:t xml:space="preserve"> i Norge i flere år vært lav og </w:t>
      </w:r>
      <w:r w:rsidR="00E5700A">
        <w:rPr>
          <w:lang w:eastAsia="nb-NO"/>
        </w:rPr>
        <w:t xml:space="preserve">til dels </w:t>
      </w:r>
      <w:r w:rsidR="0057655C" w:rsidRPr="00AF7A59">
        <w:rPr>
          <w:lang w:eastAsia="nb-NO"/>
        </w:rPr>
        <w:t xml:space="preserve">negativ, mens både inflasjonen og den nominelle </w:t>
      </w:r>
      <w:r w:rsidR="00A11E72">
        <w:rPr>
          <w:lang w:eastAsia="nb-NO"/>
        </w:rPr>
        <w:t>renten</w:t>
      </w:r>
      <w:r w:rsidR="0057655C" w:rsidRPr="00AF7A59">
        <w:rPr>
          <w:lang w:eastAsia="nb-NO"/>
        </w:rPr>
        <w:t xml:space="preserve"> har økt betydelig siden korona-pandemien.</w:t>
      </w:r>
    </w:p>
    <w:p w14:paraId="5E2FAA7B" w14:textId="6EBB8E44" w:rsidR="00F60F84" w:rsidRDefault="007B003D" w:rsidP="007B003D">
      <w:pPr>
        <w:rPr>
          <w:lang w:eastAsia="nb-NO"/>
        </w:rPr>
      </w:pPr>
      <w:r w:rsidRPr="00D37063">
        <w:rPr>
          <w:lang w:eastAsia="nb-NO"/>
        </w:rPr>
        <w:t>I tillegg til de</w:t>
      </w:r>
      <w:r w:rsidR="00F730F0" w:rsidRPr="00D37063">
        <w:rPr>
          <w:lang w:eastAsia="nb-NO"/>
        </w:rPr>
        <w:t>t</w:t>
      </w:r>
      <w:r w:rsidRPr="00D37063">
        <w:rPr>
          <w:lang w:eastAsia="nb-NO"/>
        </w:rPr>
        <w:t xml:space="preserve"> samfunnsøkonomiske </w:t>
      </w:r>
      <w:r w:rsidR="00F730F0" w:rsidRPr="00D37063">
        <w:rPr>
          <w:lang w:eastAsia="nb-NO"/>
        </w:rPr>
        <w:t>realavkastningskravet</w:t>
      </w:r>
      <w:r w:rsidRPr="00D37063">
        <w:rPr>
          <w:lang w:eastAsia="nb-NO"/>
        </w:rPr>
        <w:t xml:space="preserve"> kan en vurdere å legge til inflasjon</w:t>
      </w:r>
      <w:r w:rsidR="00127C74" w:rsidRPr="00D37063">
        <w:rPr>
          <w:lang w:eastAsia="nb-NO"/>
        </w:rPr>
        <w:t xml:space="preserve">, for eksempel </w:t>
      </w:r>
      <w:r w:rsidR="00F730F0" w:rsidRPr="00D37063">
        <w:rPr>
          <w:lang w:eastAsia="nb-NO"/>
        </w:rPr>
        <w:t>Norges Bank</w:t>
      </w:r>
      <w:r w:rsidR="00127C74" w:rsidRPr="00D37063">
        <w:rPr>
          <w:lang w:eastAsia="nb-NO"/>
        </w:rPr>
        <w:t xml:space="preserve">s inflasjonsmål </w:t>
      </w:r>
      <w:r w:rsidR="004A42B8" w:rsidRPr="00D37063">
        <w:rPr>
          <w:lang w:eastAsia="nb-NO"/>
        </w:rPr>
        <w:t xml:space="preserve">i pengepolitikken </w:t>
      </w:r>
      <w:r w:rsidR="00127C74" w:rsidRPr="00D37063">
        <w:rPr>
          <w:lang w:eastAsia="nb-NO"/>
        </w:rPr>
        <w:t>(Finansdepartementet 2018)</w:t>
      </w:r>
      <w:r w:rsidR="000B3EB7" w:rsidRPr="00D37063">
        <w:rPr>
          <w:lang w:eastAsia="nb-NO"/>
        </w:rPr>
        <w:t>.</w:t>
      </w:r>
      <w:r w:rsidR="00D37063">
        <w:rPr>
          <w:lang w:eastAsia="nb-NO"/>
        </w:rPr>
        <w:t xml:space="preserve"> Det faktum </w:t>
      </w:r>
      <w:r w:rsidR="00D37063">
        <w:rPr>
          <w:lang w:eastAsia="nb-NO"/>
        </w:rPr>
        <w:lastRenderedPageBreak/>
        <w:t xml:space="preserve">at vi i våre beregninger forholder oss til nominelle renter taler for en slik omregning. </w:t>
      </w:r>
      <w:r w:rsidR="004B19C7" w:rsidRPr="0055149C">
        <w:rPr>
          <w:lang w:eastAsia="nb-NO"/>
        </w:rPr>
        <w:t>Norge har som kjent et inflasjonsmål på to prosent</w:t>
      </w:r>
      <w:r w:rsidR="00A82B9B">
        <w:rPr>
          <w:lang w:eastAsia="nb-NO"/>
        </w:rPr>
        <w:t>. S</w:t>
      </w:r>
      <w:r w:rsidR="004B19C7" w:rsidRPr="0055149C">
        <w:rPr>
          <w:lang w:eastAsia="nb-NO"/>
        </w:rPr>
        <w:t xml:space="preserve">elv om inflasjonen </w:t>
      </w:r>
      <w:r w:rsidR="00A82B9B">
        <w:rPr>
          <w:lang w:eastAsia="nb-NO"/>
        </w:rPr>
        <w:t>for</w:t>
      </w:r>
      <w:r w:rsidR="004B19C7" w:rsidRPr="0055149C">
        <w:rPr>
          <w:lang w:eastAsia="nb-NO"/>
        </w:rPr>
        <w:t xml:space="preserve"> øyeblikket ligger over dette, er det fortsatt målet å komme ned på to prosent.</w:t>
      </w:r>
      <w:r w:rsidR="004B19C7">
        <w:rPr>
          <w:lang w:eastAsia="nb-NO"/>
        </w:rPr>
        <w:t xml:space="preserve"> </w:t>
      </w:r>
      <w:r w:rsidR="00D37063">
        <w:rPr>
          <w:lang w:eastAsia="nb-NO"/>
        </w:rPr>
        <w:t xml:space="preserve">Det er imidlertid flere faglige argumenter som taler for og imot dette, jamfør </w:t>
      </w:r>
      <w:r w:rsidR="0082141F">
        <w:rPr>
          <w:lang w:eastAsia="nb-NO"/>
        </w:rPr>
        <w:fldChar w:fldCharType="begin"/>
      </w:r>
      <w:r w:rsidR="0082141F">
        <w:rPr>
          <w:lang w:eastAsia="nb-NO"/>
        </w:rPr>
        <w:instrText xml:space="preserve"> REF _Ref176425310 \h </w:instrText>
      </w:r>
      <w:r w:rsidR="0082141F">
        <w:rPr>
          <w:lang w:eastAsia="nb-NO"/>
        </w:rPr>
      </w:r>
      <w:r w:rsidR="0082141F">
        <w:rPr>
          <w:lang w:eastAsia="nb-NO"/>
        </w:rPr>
        <w:fldChar w:fldCharType="separate"/>
      </w:r>
      <w:r w:rsidR="009B1DA8" w:rsidRPr="0055149C">
        <w:t xml:space="preserve">Tekstboks </w:t>
      </w:r>
      <w:r w:rsidR="009B1DA8">
        <w:rPr>
          <w:noProof/>
        </w:rPr>
        <w:t>1</w:t>
      </w:r>
      <w:r w:rsidR="009B1DA8" w:rsidRPr="0055149C">
        <w:t>.</w:t>
      </w:r>
      <w:r w:rsidR="009B1DA8">
        <w:rPr>
          <w:noProof/>
        </w:rPr>
        <w:t>1</w:t>
      </w:r>
      <w:r w:rsidR="0082141F">
        <w:rPr>
          <w:lang w:eastAsia="nb-NO"/>
        </w:rPr>
        <w:fldChar w:fldCharType="end"/>
      </w:r>
      <w:r w:rsidR="0082141F">
        <w:rPr>
          <w:lang w:eastAsia="nb-NO"/>
        </w:rPr>
        <w:t xml:space="preserve"> i delkapittel </w:t>
      </w:r>
      <w:r w:rsidR="0082141F">
        <w:rPr>
          <w:lang w:eastAsia="nb-NO"/>
        </w:rPr>
        <w:fldChar w:fldCharType="begin"/>
      </w:r>
      <w:r w:rsidR="0082141F">
        <w:rPr>
          <w:lang w:eastAsia="nb-NO"/>
        </w:rPr>
        <w:instrText xml:space="preserve"> REF _Ref167283495 \r \h </w:instrText>
      </w:r>
      <w:r w:rsidR="0082141F">
        <w:rPr>
          <w:lang w:eastAsia="nb-NO"/>
        </w:rPr>
      </w:r>
      <w:r w:rsidR="0082141F">
        <w:rPr>
          <w:lang w:eastAsia="nb-NO"/>
        </w:rPr>
        <w:fldChar w:fldCharType="separate"/>
      </w:r>
      <w:r w:rsidR="009B1DA8">
        <w:rPr>
          <w:lang w:eastAsia="nb-NO"/>
        </w:rPr>
        <w:t>1.3</w:t>
      </w:r>
      <w:r w:rsidR="0082141F">
        <w:rPr>
          <w:lang w:eastAsia="nb-NO"/>
        </w:rPr>
        <w:fldChar w:fldCharType="end"/>
      </w:r>
      <w:r w:rsidR="0082141F">
        <w:rPr>
          <w:lang w:eastAsia="nb-NO"/>
        </w:rPr>
        <w:t xml:space="preserve"> og den tilknyttede diskusjonen. </w:t>
      </w:r>
      <w:r w:rsidR="004B19C7">
        <w:rPr>
          <w:lang w:eastAsia="nb-NO"/>
        </w:rPr>
        <w:t>Særlig kan det være et poeng at man ikke tar hensyn til prisstigningen på realkapital i kompensasjon, om så er tilfellet.</w:t>
      </w:r>
      <w:r w:rsidR="00F23297">
        <w:rPr>
          <w:lang w:eastAsia="nb-NO"/>
        </w:rPr>
        <w:t xml:space="preserve"> Merk at d</w:t>
      </w:r>
      <w:r w:rsidR="00F60F84" w:rsidRPr="00F60F84">
        <w:rPr>
          <w:lang w:eastAsia="nb-NO"/>
        </w:rPr>
        <w:t xml:space="preserve">et er </w:t>
      </w:r>
      <w:r w:rsidR="00F60F84">
        <w:rPr>
          <w:lang w:eastAsia="nb-NO"/>
        </w:rPr>
        <w:t>i seg selv ikke et</w:t>
      </w:r>
      <w:r w:rsidR="00F60F84" w:rsidRPr="00F60F84">
        <w:rPr>
          <w:lang w:eastAsia="nb-NO"/>
        </w:rPr>
        <w:t xml:space="preserve"> problem å bruke en nominelle rente</w:t>
      </w:r>
      <w:r w:rsidR="00F60F84">
        <w:rPr>
          <w:lang w:eastAsia="nb-NO"/>
        </w:rPr>
        <w:t>,</w:t>
      </w:r>
      <w:r w:rsidR="00F60F84" w:rsidRPr="00F60F84">
        <w:rPr>
          <w:lang w:eastAsia="nb-NO"/>
        </w:rPr>
        <w:t xml:space="preserve"> hvis man diskonterer nominelle størrelser.</w:t>
      </w:r>
      <w:r w:rsidR="00691B2B">
        <w:rPr>
          <w:lang w:eastAsia="nb-NO"/>
        </w:rPr>
        <w:t xml:space="preserve"> </w:t>
      </w:r>
      <w:r w:rsidR="00F60F84" w:rsidRPr="00F60F84">
        <w:rPr>
          <w:lang w:eastAsia="nb-NO"/>
        </w:rPr>
        <w:t>Problemer oppstår imidlertid</w:t>
      </w:r>
      <w:r w:rsidR="00F23297">
        <w:rPr>
          <w:lang w:eastAsia="nb-NO"/>
        </w:rPr>
        <w:t>,</w:t>
      </w:r>
      <w:r w:rsidR="00F60F84" w:rsidRPr="00F60F84">
        <w:rPr>
          <w:lang w:eastAsia="nb-NO"/>
        </w:rPr>
        <w:t xml:space="preserve"> dersom man bruker en realrente til å di</w:t>
      </w:r>
      <w:r w:rsidR="00F23297">
        <w:rPr>
          <w:lang w:eastAsia="nb-NO"/>
        </w:rPr>
        <w:t>s</w:t>
      </w:r>
      <w:r w:rsidR="00F60F84" w:rsidRPr="00F60F84">
        <w:rPr>
          <w:lang w:eastAsia="nb-NO"/>
        </w:rPr>
        <w:t>kon</w:t>
      </w:r>
      <w:r w:rsidR="00F23297">
        <w:rPr>
          <w:lang w:eastAsia="nb-NO"/>
        </w:rPr>
        <w:t>t</w:t>
      </w:r>
      <w:r w:rsidR="00F60F84" w:rsidRPr="00F60F84">
        <w:rPr>
          <w:lang w:eastAsia="nb-NO"/>
        </w:rPr>
        <w:t>ere nominelle størrelser.</w:t>
      </w:r>
    </w:p>
    <w:p w14:paraId="2F90B9EE" w14:textId="144F02D2" w:rsidR="007B003D" w:rsidRDefault="007B003D" w:rsidP="00D37063">
      <w:pPr>
        <w:rPr>
          <w:lang w:eastAsia="nb-NO"/>
        </w:rPr>
      </w:pPr>
      <w:r w:rsidRPr="0055149C">
        <w:rPr>
          <w:lang w:eastAsia="nb-NO"/>
        </w:rPr>
        <w:t xml:space="preserve">Det </w:t>
      </w:r>
      <w:r w:rsidR="0082141F">
        <w:rPr>
          <w:lang w:eastAsia="nb-NO"/>
        </w:rPr>
        <w:t>kan dessuten argumenteres for at de</w:t>
      </w:r>
      <w:r w:rsidR="000A647F">
        <w:rPr>
          <w:lang w:eastAsia="nb-NO"/>
        </w:rPr>
        <w:t>t</w:t>
      </w:r>
      <w:r w:rsidR="0082141F">
        <w:rPr>
          <w:lang w:eastAsia="nb-NO"/>
        </w:rPr>
        <w:t xml:space="preserve"> </w:t>
      </w:r>
      <w:r w:rsidRPr="0055149C">
        <w:rPr>
          <w:lang w:eastAsia="nb-NO"/>
        </w:rPr>
        <w:t xml:space="preserve">relevante for beregninger i denne rapporten </w:t>
      </w:r>
      <w:r w:rsidR="0082141F">
        <w:rPr>
          <w:lang w:eastAsia="nb-NO"/>
        </w:rPr>
        <w:t>vil være hva</w:t>
      </w:r>
      <w:r w:rsidRPr="0055149C">
        <w:rPr>
          <w:lang w:eastAsia="nb-NO"/>
        </w:rPr>
        <w:t xml:space="preserve"> inflasjonen var i 2020 og 2022. Ifølge </w:t>
      </w:r>
      <w:r w:rsidR="00D37063">
        <w:rPr>
          <w:lang w:eastAsia="nb-NO"/>
        </w:rPr>
        <w:t>Statistisk sentralbyrå</w:t>
      </w:r>
      <w:r w:rsidRPr="0055149C">
        <w:rPr>
          <w:lang w:eastAsia="nb-NO"/>
        </w:rPr>
        <w:t xml:space="preserve"> var </w:t>
      </w:r>
      <w:r w:rsidR="00D37063">
        <w:rPr>
          <w:lang w:eastAsia="nb-NO"/>
        </w:rPr>
        <w:t xml:space="preserve">inflasjonen </w:t>
      </w:r>
      <w:r w:rsidRPr="0055149C">
        <w:rPr>
          <w:lang w:eastAsia="nb-NO"/>
        </w:rPr>
        <w:t>målt ved konsumprisindeksen 1,3 prosent i 2020 og 5,8 prosent i 2022</w:t>
      </w:r>
      <w:r w:rsidR="00D37063">
        <w:rPr>
          <w:lang w:eastAsia="nb-NO"/>
        </w:rPr>
        <w:t>. For Finansdepartement</w:t>
      </w:r>
      <w:r w:rsidR="00AA0B7F">
        <w:rPr>
          <w:lang w:eastAsia="nb-NO"/>
        </w:rPr>
        <w:t>et</w:t>
      </w:r>
      <w:r w:rsidR="00D37063">
        <w:rPr>
          <w:lang w:eastAsia="nb-NO"/>
        </w:rPr>
        <w:t xml:space="preserve">s Kommunal deflator – som tilsvarer </w:t>
      </w:r>
      <w:r w:rsidR="00D37063" w:rsidRPr="0055149C">
        <w:rPr>
          <w:lang w:eastAsia="nb-NO"/>
        </w:rPr>
        <w:t>konsumprisindeksen</w:t>
      </w:r>
      <w:r w:rsidR="00D37063">
        <w:rPr>
          <w:lang w:eastAsia="nb-NO"/>
        </w:rPr>
        <w:t xml:space="preserve"> </w:t>
      </w:r>
      <w:r w:rsidR="00D37063" w:rsidRPr="00D37063">
        <w:rPr>
          <w:lang w:eastAsia="nb-NO"/>
        </w:rPr>
        <w:t xml:space="preserve">tillagt 0,5 prosentpoeng og </w:t>
      </w:r>
      <w:r w:rsidR="00D37063">
        <w:rPr>
          <w:lang w:eastAsia="nb-NO"/>
        </w:rPr>
        <w:t xml:space="preserve">årets </w:t>
      </w:r>
      <w:r w:rsidR="00D37063" w:rsidRPr="00D37063">
        <w:rPr>
          <w:lang w:eastAsia="nb-NO"/>
        </w:rPr>
        <w:t>lønnsvekst i økonomien</w:t>
      </w:r>
      <w:r w:rsidR="00D37063">
        <w:rPr>
          <w:lang w:eastAsia="nb-NO"/>
        </w:rPr>
        <w:t xml:space="preserve"> samlet – lå inflasjonen på 1,0 prosent i 2020 og 6,7 prosent </w:t>
      </w:r>
      <w:r w:rsidR="00AA0B7F">
        <w:rPr>
          <w:lang w:eastAsia="nb-NO"/>
        </w:rPr>
        <w:t xml:space="preserve">i </w:t>
      </w:r>
      <w:r w:rsidR="00D37063">
        <w:rPr>
          <w:lang w:eastAsia="nb-NO"/>
        </w:rPr>
        <w:t>2022</w:t>
      </w:r>
      <w:r w:rsidR="0082141F">
        <w:rPr>
          <w:lang w:eastAsia="nb-NO"/>
        </w:rPr>
        <w:t>.</w:t>
      </w:r>
    </w:p>
    <w:p w14:paraId="3152C1F2" w14:textId="0B5750EC" w:rsidR="00B7787D" w:rsidRPr="00621F35" w:rsidRDefault="0082141F" w:rsidP="007B003D">
      <w:pPr>
        <w:rPr>
          <w:lang w:eastAsia="nb-NO"/>
        </w:rPr>
      </w:pPr>
      <w:r w:rsidRPr="00621F35">
        <w:rPr>
          <w:lang w:eastAsia="nb-NO"/>
        </w:rPr>
        <w:t>Samlet</w:t>
      </w:r>
      <w:r w:rsidRPr="00621F35">
        <w:t xml:space="preserve"> sett er det flere fordeler med </w:t>
      </w:r>
      <w:r w:rsidR="007B003D" w:rsidRPr="00621F35">
        <w:t>å bruke kalkulasjons</w:t>
      </w:r>
      <w:r w:rsidR="00A11E72">
        <w:t>renten</w:t>
      </w:r>
      <w:r w:rsidR="007B003D" w:rsidRPr="00621F35">
        <w:t xml:space="preserve"> i beregning av </w:t>
      </w:r>
      <w:r w:rsidRPr="00621F35">
        <w:t>utgifts</w:t>
      </w:r>
      <w:r w:rsidR="00004873">
        <w:t>utjevningen</w:t>
      </w:r>
      <w:r w:rsidRPr="00621F35">
        <w:t xml:space="preserve"> i det kommunale inntektssystemet. Denne </w:t>
      </w:r>
      <w:r w:rsidR="00A11E72">
        <w:t>renten</w:t>
      </w:r>
      <w:r w:rsidRPr="00621F35">
        <w:t xml:space="preserve"> har solid forankring i alternativkostnadstankegangen, er konsisten</w:t>
      </w:r>
      <w:r w:rsidR="00AA0B7F">
        <w:t>t</w:t>
      </w:r>
      <w:r w:rsidRPr="00621F35">
        <w:t xml:space="preserve"> med andre økonomiske vurderinger i offentlig sektor og innebærer en stabil rente over tid. </w:t>
      </w:r>
      <w:r w:rsidR="006C1947" w:rsidRPr="00621F35">
        <w:t xml:space="preserve">Det kan imidlertid også ses på som en ulempe at </w:t>
      </w:r>
      <w:r w:rsidR="00A11E72">
        <w:t>renten</w:t>
      </w:r>
      <w:r w:rsidR="006C1947" w:rsidRPr="00621F35">
        <w:t xml:space="preserve"> ikke tar hensyn til variasjoner over tid.</w:t>
      </w:r>
      <w:r w:rsidR="00621F35" w:rsidRPr="00621F35">
        <w:t xml:space="preserve"> </w:t>
      </w:r>
      <w:r w:rsidR="001A1CC9">
        <w:t>F</w:t>
      </w:r>
      <w:r w:rsidR="00621F35" w:rsidRPr="00621F35">
        <w:t xml:space="preserve">or eksempel </w:t>
      </w:r>
      <w:r w:rsidR="001A1CC9">
        <w:t xml:space="preserve">var </w:t>
      </w:r>
      <w:r w:rsidR="00621F35" w:rsidRPr="00621F35">
        <w:t>fire</w:t>
      </w:r>
      <w:r w:rsidR="007B003D" w:rsidRPr="00621F35">
        <w:rPr>
          <w:lang w:eastAsia="nb-NO"/>
        </w:rPr>
        <w:t xml:space="preserve"> prosent realrente høyere enn mange kommuners faktiske </w:t>
      </w:r>
      <w:r w:rsidR="00213EFD">
        <w:rPr>
          <w:lang w:eastAsia="nb-NO"/>
        </w:rPr>
        <w:t>gjelds</w:t>
      </w:r>
      <w:r w:rsidR="007B003D" w:rsidRPr="00621F35">
        <w:rPr>
          <w:lang w:eastAsia="nb-NO"/>
        </w:rPr>
        <w:t>kostnad</w:t>
      </w:r>
      <w:r w:rsidR="00213EFD">
        <w:rPr>
          <w:lang w:eastAsia="nb-NO"/>
        </w:rPr>
        <w:t>er</w:t>
      </w:r>
      <w:r w:rsidR="007B003D" w:rsidRPr="00621F35">
        <w:rPr>
          <w:lang w:eastAsia="nb-NO"/>
        </w:rPr>
        <w:t xml:space="preserve"> i 2020 og 2022</w:t>
      </w:r>
      <w:r w:rsidR="00213EFD">
        <w:rPr>
          <w:lang w:eastAsia="nb-NO"/>
        </w:rPr>
        <w:t>. Dermed kan det være en</w:t>
      </w:r>
      <w:r w:rsidR="007B003D" w:rsidRPr="00621F35">
        <w:rPr>
          <w:lang w:eastAsia="nb-NO"/>
        </w:rPr>
        <w:t xml:space="preserve"> overkompensasjon av kommuner som bruker mye kapital</w:t>
      </w:r>
      <w:r w:rsidR="00213EFD">
        <w:rPr>
          <w:lang w:eastAsia="nb-NO"/>
        </w:rPr>
        <w:t>, litt avhengig av hvilke</w:t>
      </w:r>
      <w:r w:rsidR="001A56DC">
        <w:rPr>
          <w:lang w:eastAsia="nb-NO"/>
        </w:rPr>
        <w:t>t avkastningskrav på egenkapitalen man legger til grunn</w:t>
      </w:r>
      <w:r w:rsidR="007B003D" w:rsidRPr="00621F35">
        <w:rPr>
          <w:lang w:eastAsia="nb-NO"/>
        </w:rPr>
        <w:t>.</w:t>
      </w:r>
    </w:p>
    <w:p w14:paraId="24E938EE" w14:textId="7789BAC4" w:rsidR="007B003D" w:rsidRPr="0055149C" w:rsidRDefault="007B003D" w:rsidP="007B003D">
      <w:pPr>
        <w:pStyle w:val="Overskrift3"/>
      </w:pPr>
      <w:bookmarkStart w:id="49" w:name="_Ref167350652"/>
      <w:r w:rsidRPr="0055149C">
        <w:t>Kalkyle</w:t>
      </w:r>
      <w:r w:rsidR="00A11E72">
        <w:t>renten</w:t>
      </w:r>
      <w:r w:rsidRPr="0055149C">
        <w:t xml:space="preserve"> for kommunale gebyrer</w:t>
      </w:r>
      <w:bookmarkEnd w:id="49"/>
    </w:p>
    <w:p w14:paraId="2239C440" w14:textId="15D86B68" w:rsidR="007B003D" w:rsidRPr="0055149C" w:rsidRDefault="007B003D" w:rsidP="007B003D">
      <w:r w:rsidRPr="0055149C">
        <w:t>Kommunale gebyrer skal dekke kostnadene ved å produsere de gebyrpålagte tjenestene. Det inkluderer kapitalkostnader</w:t>
      </w:r>
      <w:r w:rsidR="004238EA">
        <w:t>,</w:t>
      </w:r>
      <w:r w:rsidRPr="0055149C">
        <w:t xml:space="preserve"> og i </w:t>
      </w:r>
      <w:r w:rsidR="004238EA">
        <w:t xml:space="preserve">disse </w:t>
      </w:r>
      <w:r w:rsidRPr="0055149C">
        <w:t>inngår en kalkylerente. En mulighet i forbindelse med utgifts</w:t>
      </w:r>
      <w:r w:rsidR="009711D3">
        <w:t>utjevningen</w:t>
      </w:r>
      <w:r w:rsidRPr="0055149C">
        <w:t xml:space="preserve"> er å bruke kalkyle</w:t>
      </w:r>
      <w:r w:rsidR="00A11E72">
        <w:t>renten</w:t>
      </w:r>
      <w:r w:rsidRPr="0055149C">
        <w:t xml:space="preserve"> som uttrykk for rentedelen av kommunale kapitalkostnader også utenom de gebyrpålagte tjenestene. Begrunnelsen vil være at den </w:t>
      </w:r>
      <w:r w:rsidR="00A11E72">
        <w:t>renten</w:t>
      </w:r>
      <w:r w:rsidRPr="0055149C">
        <w:t xml:space="preserve"> som er relevant for kapitalkostnader knyttet til </w:t>
      </w:r>
      <w:r w:rsidR="00DE606D">
        <w:t>selvkost</w:t>
      </w:r>
      <w:r w:rsidR="00DE606D" w:rsidRPr="0055149C">
        <w:t>tjenester</w:t>
      </w:r>
      <w:r w:rsidR="00214A02">
        <w:t>,</w:t>
      </w:r>
      <w:r w:rsidR="00DE606D">
        <w:rPr>
          <w:rStyle w:val="Fotnotereferanse"/>
        </w:rPr>
        <w:footnoteReference w:id="15"/>
      </w:r>
      <w:r w:rsidR="00DE606D" w:rsidRPr="0055149C">
        <w:t xml:space="preserve"> også vil være relevant for øvrige kapitalkostnader i kommunal sektor</w:t>
      </w:r>
      <w:r w:rsidR="00DE606D">
        <w:t xml:space="preserve">. </w:t>
      </w:r>
      <w:r w:rsidRPr="0055149C">
        <w:t>Kalkyle</w:t>
      </w:r>
      <w:r w:rsidR="00A11E72">
        <w:t>renten</w:t>
      </w:r>
      <w:r w:rsidRPr="0055149C">
        <w:t xml:space="preserve"> er dessuten godt utredet og akseptert i kommunesektoren. </w:t>
      </w:r>
    </w:p>
    <w:p w14:paraId="4FBFF55A" w14:textId="2A27DD9D" w:rsidR="00651D8F" w:rsidRDefault="007B003D" w:rsidP="007B003D">
      <w:r w:rsidRPr="0055149C">
        <w:t>Kalkyle</w:t>
      </w:r>
      <w:r w:rsidR="00A11E72">
        <w:t>renten</w:t>
      </w:r>
      <w:r w:rsidRPr="0055149C">
        <w:t xml:space="preserve"> er i prinsippet et uttrykk for kommunal alternativkostnad, men i bestemmelsen av den har man sett hen til markedsrenter som inngår i kommunale regnskaper.</w:t>
      </w:r>
      <w:r w:rsidR="00833C6B">
        <w:t xml:space="preserve"> </w:t>
      </w:r>
      <w:r w:rsidR="00A11E72">
        <w:t>Renten</w:t>
      </w:r>
      <w:r w:rsidRPr="0055149C">
        <w:t xml:space="preserve"> på kommunale gebyrpålagte tjenester er regulert i </w:t>
      </w:r>
      <w:r w:rsidR="00833C6B">
        <w:t xml:space="preserve">selvkostforskriften, som angir beregningsmetodikk for samlet kommunale selvkosttjenester, altså kommunale tjenester som i prinsippet skal være selvfinansierte </w:t>
      </w:r>
      <w:r w:rsidR="00833C6B">
        <w:rPr>
          <w:lang w:eastAsia="nb-NO"/>
        </w:rPr>
        <w:t>(</w:t>
      </w:r>
      <w:r w:rsidR="00833C6B" w:rsidRPr="0055149C">
        <w:rPr>
          <w:lang w:eastAsia="nb-NO"/>
        </w:rPr>
        <w:t xml:space="preserve">Kommunal- og moderniseringsdepartementet </w:t>
      </w:r>
      <w:r w:rsidR="00833C6B">
        <w:rPr>
          <w:color w:val="auto"/>
        </w:rPr>
        <w:t>2019a).</w:t>
      </w:r>
      <w:r w:rsidR="00833C6B">
        <w:t xml:space="preserve"> </w:t>
      </w:r>
      <w:r w:rsidRPr="0055149C">
        <w:t xml:space="preserve">Den sier i </w:t>
      </w:r>
      <w:r w:rsidR="0020376C">
        <w:t xml:space="preserve">siste del av </w:t>
      </w:r>
      <w:r w:rsidRPr="0055149C">
        <w:t>§ 5</w:t>
      </w:r>
      <w:r w:rsidR="0020376C">
        <w:t xml:space="preserve"> fjerde ledd at</w:t>
      </w:r>
      <w:r w:rsidRPr="0055149C">
        <w:t xml:space="preserve"> «</w:t>
      </w:r>
      <w:r w:rsidR="00A63521" w:rsidRPr="00A63521">
        <w:rPr>
          <w:i/>
          <w:iCs/>
        </w:rPr>
        <w:t xml:space="preserve">... </w:t>
      </w:r>
      <w:r w:rsidRPr="0020376C">
        <w:rPr>
          <w:i/>
          <w:iCs/>
        </w:rPr>
        <w:t xml:space="preserve">kalkylerenten er likt årets gjennomsnittlige </w:t>
      </w:r>
      <w:r w:rsidR="0020376C">
        <w:rPr>
          <w:i/>
          <w:iCs/>
        </w:rPr>
        <w:t>fem</w:t>
      </w:r>
      <w:r w:rsidRPr="0020376C">
        <w:rPr>
          <w:i/>
          <w:iCs/>
        </w:rPr>
        <w:t xml:space="preserve">årige swap-rente med et tillegg på </w:t>
      </w:r>
      <w:r w:rsidR="0020376C" w:rsidRPr="0020376C">
        <w:rPr>
          <w:i/>
          <w:iCs/>
        </w:rPr>
        <w:t>et halvt</w:t>
      </w:r>
      <w:r w:rsidRPr="0020376C">
        <w:rPr>
          <w:i/>
          <w:iCs/>
        </w:rPr>
        <w:t xml:space="preserve"> prosentpoeng</w:t>
      </w:r>
      <w:r w:rsidRPr="0055149C">
        <w:t>»</w:t>
      </w:r>
      <w:r w:rsidR="0020376C">
        <w:t>.</w:t>
      </w:r>
      <w:r w:rsidRPr="0055149C">
        <w:t xml:space="preserve"> </w:t>
      </w:r>
      <w:r w:rsidR="0020376C">
        <w:t>Det er snakk om den femårige</w:t>
      </w:r>
      <w:r w:rsidR="0020376C" w:rsidRPr="0020376C">
        <w:t xml:space="preserve"> swap</w:t>
      </w:r>
      <w:r w:rsidR="0020376C">
        <w:t>-</w:t>
      </w:r>
      <w:r w:rsidR="00A11E72">
        <w:t>renten</w:t>
      </w:r>
      <w:r w:rsidR="0020376C">
        <w:t xml:space="preserve"> til </w:t>
      </w:r>
      <w:r w:rsidR="0020376C">
        <w:lastRenderedPageBreak/>
        <w:t xml:space="preserve">Norges Bank, som også er kjent som </w:t>
      </w:r>
      <w:r w:rsidR="0020376C" w:rsidRPr="0020376C">
        <w:t>nullkupong</w:t>
      </w:r>
      <w:r w:rsidR="00A11E72">
        <w:t>renten</w:t>
      </w:r>
      <w:r w:rsidR="0020376C">
        <w:t xml:space="preserve"> med en løpetid på fem år. Merk at swap-renter innebærer en rentebytteavtale om bytte av to kontantstrømmer, vanligvis – så vel som i dette tilfellet – mellom kontantstrømmer med fast og flytende rente. Rentederivatet innebærer en forsikring mot negativ renteutvikling for den ene kontraktsparten.</w:t>
      </w:r>
    </w:p>
    <w:p w14:paraId="1C72869F" w14:textId="6F0DF4D0" w:rsidR="00253CE6" w:rsidRDefault="007B003D" w:rsidP="00253CE6">
      <w:pPr>
        <w:rPr>
          <w:shd w:val="clear" w:color="auto" w:fill="FFFFFF"/>
        </w:rPr>
      </w:pPr>
      <w:r w:rsidRPr="0055149C">
        <w:t>Kalkyle</w:t>
      </w:r>
      <w:r w:rsidR="00A11E72">
        <w:t>renten</w:t>
      </w:r>
      <w:r w:rsidRPr="0055149C">
        <w:t xml:space="preserve"> har bakgrunn i en utredning fra </w:t>
      </w:r>
      <w:r w:rsidRPr="0055149C">
        <w:rPr>
          <w:lang w:eastAsia="nb-NO"/>
        </w:rPr>
        <w:t>Kommunal- og moderniseringsdepartementet, BDO og Telemarksforsking (201</w:t>
      </w:r>
      <w:r w:rsidR="00833C6B">
        <w:rPr>
          <w:lang w:eastAsia="nb-NO"/>
        </w:rPr>
        <w:t>4</w:t>
      </w:r>
      <w:r w:rsidRPr="0055149C">
        <w:rPr>
          <w:lang w:eastAsia="nb-NO"/>
        </w:rPr>
        <w:t>)</w:t>
      </w:r>
      <w:r w:rsidR="00651D8F">
        <w:rPr>
          <w:lang w:eastAsia="nb-NO"/>
        </w:rPr>
        <w:t>, som diskuterer hva den bør være</w:t>
      </w:r>
      <w:r w:rsidRPr="0055149C">
        <w:rPr>
          <w:lang w:eastAsia="nb-NO"/>
        </w:rPr>
        <w:t xml:space="preserve">. </w:t>
      </w:r>
      <w:r w:rsidR="00651D8F">
        <w:rPr>
          <w:shd w:val="clear" w:color="auto" w:fill="FFFFFF"/>
        </w:rPr>
        <w:t>Utredernes</w:t>
      </w:r>
      <w:r w:rsidRPr="0055149C">
        <w:rPr>
          <w:shd w:val="clear" w:color="auto" w:fill="FFFFFF"/>
        </w:rPr>
        <w:t xml:space="preserve"> utgangspunkt er at den </w:t>
      </w:r>
      <w:r w:rsidR="00A11E72">
        <w:rPr>
          <w:shd w:val="clear" w:color="auto" w:fill="FFFFFF"/>
        </w:rPr>
        <w:t>renten</w:t>
      </w:r>
      <w:r w:rsidRPr="0055149C">
        <w:rPr>
          <w:shd w:val="clear" w:color="auto" w:fill="FFFFFF"/>
        </w:rPr>
        <w:t xml:space="preserve"> som </w:t>
      </w:r>
      <w:r w:rsidRPr="0055149C">
        <w:t xml:space="preserve">benyttes som norm for beregningene av kalkulatorisk rentekostnad er dekkende for de </w:t>
      </w:r>
      <w:r w:rsidRPr="00666070">
        <w:t xml:space="preserve">kostnader kommunen står overfor. Det er altså </w:t>
      </w:r>
      <w:r w:rsidRPr="00666070">
        <w:rPr>
          <w:i/>
          <w:iCs/>
        </w:rPr>
        <w:t>kommunens</w:t>
      </w:r>
      <w:r w:rsidRPr="00666070">
        <w:t xml:space="preserve"> alternativkostnad som skal være førende. Utredningen </w:t>
      </w:r>
      <w:r w:rsidR="001A6D55">
        <w:t>uttrykker</w:t>
      </w:r>
      <w:r w:rsidRPr="00666070">
        <w:t xml:space="preserve"> videre at dersom en velger kortsiktig </w:t>
      </w:r>
      <w:r w:rsidR="00253CE6" w:rsidRPr="00666070">
        <w:t xml:space="preserve">og </w:t>
      </w:r>
      <w:r w:rsidRPr="00666070">
        <w:t>flytende rente i finansmarkedet, vil kalkyle</w:t>
      </w:r>
      <w:r w:rsidR="002503F5">
        <w:t>renten</w:t>
      </w:r>
      <w:r w:rsidRPr="00666070">
        <w:t xml:space="preserve"> variere betydelig fra år til år, og dermed kunne gi store svingninger i gebyrnivåene. </w:t>
      </w:r>
      <w:r w:rsidR="00666070">
        <w:t xml:space="preserve">Dette vil for eksempel være tilfellet for de norske pengemarkedsrentene, </w:t>
      </w:r>
      <w:r w:rsidR="0017343A">
        <w:t>«</w:t>
      </w:r>
      <w:r w:rsidR="00666070" w:rsidRPr="00E02672">
        <w:rPr>
          <w:b/>
          <w:bCs/>
          <w:color w:val="3672B0" w:themeColor="accent2"/>
        </w:rPr>
        <w:t>NIBOR</w:t>
      </w:r>
      <w:r w:rsidR="0017343A">
        <w:t>»</w:t>
      </w:r>
      <w:r w:rsidR="00666070" w:rsidRPr="00E02672">
        <w:rPr>
          <w:color w:val="3672B0" w:themeColor="accent2"/>
        </w:rPr>
        <w:t xml:space="preserve"> </w:t>
      </w:r>
      <w:r w:rsidR="00666070" w:rsidRPr="00666070">
        <w:rPr>
          <w:iCs/>
          <w:lang w:eastAsia="nb-NO"/>
        </w:rPr>
        <w:t>(«</w:t>
      </w:r>
      <w:r w:rsidR="00666070" w:rsidRPr="007B60ED">
        <w:rPr>
          <w:i/>
          <w:color w:val="3672B0" w:themeColor="accent2"/>
          <w:lang w:eastAsia="nb-NO"/>
        </w:rPr>
        <w:t>Norwegian Interbank Offered Rate</w:t>
      </w:r>
      <w:r w:rsidR="00666070" w:rsidRPr="00666070">
        <w:rPr>
          <w:iCs/>
          <w:lang w:eastAsia="nb-NO"/>
        </w:rPr>
        <w:t>»)</w:t>
      </w:r>
      <w:r w:rsidR="00666070">
        <w:rPr>
          <w:iCs/>
        </w:rPr>
        <w:t xml:space="preserve">. </w:t>
      </w:r>
      <w:r w:rsidR="00632BE7">
        <w:t>Svingningene</w:t>
      </w:r>
      <w:r w:rsidRPr="0055149C">
        <w:t xml:space="preserve"> kan unngås ved å basere kalkyle</w:t>
      </w:r>
      <w:r w:rsidR="002503F5">
        <w:t>renten</w:t>
      </w:r>
      <w:r w:rsidRPr="0055149C">
        <w:t xml:space="preserve"> på swap-</w:t>
      </w:r>
      <w:r w:rsidR="002503F5">
        <w:t>renten</w:t>
      </w:r>
      <w:r w:rsidRPr="0055149C">
        <w:t xml:space="preserve"> med </w:t>
      </w:r>
      <w:r w:rsidR="00C80DEE">
        <w:t>tre</w:t>
      </w:r>
      <w:r w:rsidRPr="0055149C">
        <w:t xml:space="preserve"> års gjenstående løpetid. For at kommunene om lag skal kunne få dekket sine faktiske kostnader, kan det i kalkyle</w:t>
      </w:r>
      <w:r w:rsidR="002503F5">
        <w:t>renten</w:t>
      </w:r>
      <w:r w:rsidRPr="0055149C">
        <w:t xml:space="preserve"> legges inn et tillegg på et halvt prosentpoeng</w:t>
      </w:r>
      <w:r w:rsidR="00DE606D">
        <w:t xml:space="preserve"> </w:t>
      </w:r>
      <w:r w:rsidR="00651D8F">
        <w:t>for at kommunene skal få dekket sine faktiske kostnader</w:t>
      </w:r>
      <w:r w:rsidRPr="0055149C">
        <w:t>. En</w:t>
      </w:r>
      <w:r w:rsidR="00253CE6">
        <w:t xml:space="preserve"> slik</w:t>
      </w:r>
      <w:r w:rsidRPr="0055149C">
        <w:t xml:space="preserve"> kalkylerente vil ikke nødvendigvis reflektere det faktiske rentenivået ett bestemt år, men vil over tid om lag dekke gjennomsnittlige rentekostnader for en kommune. </w:t>
      </w:r>
      <w:r w:rsidRPr="0055149C">
        <w:rPr>
          <w:lang w:eastAsia="nb-NO"/>
        </w:rPr>
        <w:t>Senere ble kalkyle</w:t>
      </w:r>
      <w:r w:rsidR="002503F5">
        <w:rPr>
          <w:lang w:eastAsia="nb-NO"/>
        </w:rPr>
        <w:t>renten</w:t>
      </w:r>
      <w:r w:rsidRPr="0055149C">
        <w:rPr>
          <w:lang w:eastAsia="nb-NO"/>
        </w:rPr>
        <w:t xml:space="preserve"> endret til </w:t>
      </w:r>
      <w:r w:rsidR="00DE606D">
        <w:rPr>
          <w:lang w:eastAsia="nb-NO"/>
        </w:rPr>
        <w:t>den fem</w:t>
      </w:r>
      <w:r w:rsidRPr="0055149C">
        <w:rPr>
          <w:lang w:eastAsia="nb-NO"/>
        </w:rPr>
        <w:t>årig swap-rente</w:t>
      </w:r>
      <w:r w:rsidR="0032547A">
        <w:rPr>
          <w:lang w:eastAsia="nb-NO"/>
        </w:rPr>
        <w:t>n</w:t>
      </w:r>
      <w:r w:rsidRPr="0055149C">
        <w:rPr>
          <w:lang w:eastAsia="nb-NO"/>
        </w:rPr>
        <w:t xml:space="preserve"> pluss 0,5 prosentpoeng påslag.</w:t>
      </w:r>
      <w:r w:rsidR="00253CE6" w:rsidRPr="00253CE6">
        <w:rPr>
          <w:shd w:val="clear" w:color="auto" w:fill="FFFFFF"/>
        </w:rPr>
        <w:t xml:space="preserve"> Tidligere ble regelverket tolket </w:t>
      </w:r>
      <w:r w:rsidR="0079297C">
        <w:rPr>
          <w:shd w:val="clear" w:color="auto" w:fill="FFFFFF"/>
        </w:rPr>
        <w:t>som</w:t>
      </w:r>
      <w:r w:rsidR="00253CE6" w:rsidRPr="00253CE6">
        <w:rPr>
          <w:shd w:val="clear" w:color="auto" w:fill="FFFFFF"/>
        </w:rPr>
        <w:t xml:space="preserve"> at faktisk lånerente kan legges til grunn når denne er høyere enn kalkyle</w:t>
      </w:r>
      <w:r w:rsidR="002503F5">
        <w:rPr>
          <w:shd w:val="clear" w:color="auto" w:fill="FFFFFF"/>
        </w:rPr>
        <w:t>renten</w:t>
      </w:r>
      <w:r w:rsidR="00253CE6" w:rsidRPr="00253CE6">
        <w:rPr>
          <w:shd w:val="clear" w:color="auto" w:fill="FFFFFF"/>
        </w:rPr>
        <w:t>. Den tidligere tolkningen har henvist til kravet om 100 prosent kostnadsdekning. Regelverket ble ved inngangen av 2020 strammet inn ved at kalkyle</w:t>
      </w:r>
      <w:r w:rsidR="002503F5">
        <w:rPr>
          <w:shd w:val="clear" w:color="auto" w:fill="FFFFFF"/>
        </w:rPr>
        <w:t>renten</w:t>
      </w:r>
      <w:r w:rsidR="00253CE6" w:rsidRPr="00253CE6">
        <w:rPr>
          <w:shd w:val="clear" w:color="auto" w:fill="FFFFFF"/>
        </w:rPr>
        <w:t xml:space="preserve"> heretter </w:t>
      </w:r>
      <w:r w:rsidR="00253CE6" w:rsidRPr="00253CE6">
        <w:rPr>
          <w:i/>
          <w:shd w:val="clear" w:color="auto" w:fill="FFFFFF"/>
        </w:rPr>
        <w:t>skal</w:t>
      </w:r>
      <w:r w:rsidR="00253CE6" w:rsidRPr="00253CE6">
        <w:rPr>
          <w:shd w:val="clear" w:color="auto" w:fill="FFFFFF"/>
        </w:rPr>
        <w:t xml:space="preserve"> benyttes.</w:t>
      </w:r>
    </w:p>
    <w:p w14:paraId="2EBD9427" w14:textId="527C7374" w:rsidR="00C8131E" w:rsidRDefault="00253CE6" w:rsidP="00C8131E">
      <w:pPr>
        <w:rPr>
          <w:color w:val="auto"/>
          <w:lang w:eastAsia="nb-NO"/>
        </w:rPr>
      </w:pPr>
      <w:r>
        <w:rPr>
          <w:lang w:eastAsia="nb-NO"/>
        </w:rPr>
        <w:t>Den kommunale k</w:t>
      </w:r>
      <w:r w:rsidR="00B86D81">
        <w:rPr>
          <w:lang w:eastAsia="nb-NO"/>
        </w:rPr>
        <w:t>alkyle</w:t>
      </w:r>
      <w:r w:rsidR="002503F5">
        <w:rPr>
          <w:lang w:eastAsia="nb-NO"/>
        </w:rPr>
        <w:t>renten</w:t>
      </w:r>
      <w:r w:rsidR="00B86D81">
        <w:rPr>
          <w:lang w:eastAsia="nb-NO"/>
        </w:rPr>
        <w:t xml:space="preserve"> </w:t>
      </w:r>
      <w:r w:rsidR="004238EA">
        <w:rPr>
          <w:lang w:eastAsia="nb-NO"/>
        </w:rPr>
        <w:t xml:space="preserve">er </w:t>
      </w:r>
      <w:r w:rsidR="007B003D" w:rsidRPr="0055149C">
        <w:rPr>
          <w:color w:val="auto"/>
          <w:lang w:eastAsia="nb-NO"/>
        </w:rPr>
        <w:t xml:space="preserve">en nominell rente. </w:t>
      </w:r>
      <w:r>
        <w:rPr>
          <w:color w:val="auto"/>
          <w:lang w:eastAsia="nb-NO"/>
        </w:rPr>
        <w:t>De</w:t>
      </w:r>
      <w:r w:rsidR="004238EA">
        <w:rPr>
          <w:color w:val="auto"/>
          <w:lang w:eastAsia="nb-NO"/>
        </w:rPr>
        <w:t xml:space="preserve">n svinger over tid </w:t>
      </w:r>
      <w:r>
        <w:rPr>
          <w:color w:val="auto"/>
          <w:lang w:eastAsia="nb-NO"/>
        </w:rPr>
        <w:t xml:space="preserve">og </w:t>
      </w:r>
      <w:r w:rsidR="004238EA">
        <w:rPr>
          <w:color w:val="auto"/>
          <w:lang w:eastAsia="nb-NO"/>
        </w:rPr>
        <w:t xml:space="preserve">kan </w:t>
      </w:r>
      <w:r>
        <w:rPr>
          <w:color w:val="auto"/>
          <w:lang w:eastAsia="nb-NO"/>
        </w:rPr>
        <w:t xml:space="preserve">til </w:t>
      </w:r>
      <w:r w:rsidR="004238EA">
        <w:rPr>
          <w:color w:val="auto"/>
          <w:lang w:eastAsia="nb-NO"/>
        </w:rPr>
        <w:t xml:space="preserve">tider </w:t>
      </w:r>
      <w:r w:rsidR="002F23E1">
        <w:rPr>
          <w:color w:val="auto"/>
          <w:lang w:eastAsia="nb-NO"/>
        </w:rPr>
        <w:t>implisere en</w:t>
      </w:r>
      <w:r w:rsidR="004238EA">
        <w:rPr>
          <w:color w:val="auto"/>
          <w:lang w:eastAsia="nb-NO"/>
        </w:rPr>
        <w:t xml:space="preserve"> </w:t>
      </w:r>
      <w:r>
        <w:rPr>
          <w:color w:val="auto"/>
          <w:lang w:eastAsia="nb-NO"/>
        </w:rPr>
        <w:t xml:space="preserve">negativ realrente. </w:t>
      </w:r>
      <w:r w:rsidR="009F0B52">
        <w:rPr>
          <w:color w:val="auto"/>
          <w:lang w:eastAsia="nb-NO"/>
        </w:rPr>
        <w:t>I den siste tiårsperioden har</w:t>
      </w:r>
      <w:r w:rsidR="007B003D" w:rsidRPr="0055149C">
        <w:rPr>
          <w:color w:val="auto"/>
          <w:lang w:eastAsia="nb-NO"/>
        </w:rPr>
        <w:t xml:space="preserve"> kalkyle</w:t>
      </w:r>
      <w:r w:rsidR="002503F5">
        <w:rPr>
          <w:color w:val="auto"/>
          <w:lang w:eastAsia="nb-NO"/>
        </w:rPr>
        <w:t>renten</w:t>
      </w:r>
      <w:r w:rsidR="007B003D" w:rsidRPr="0055149C">
        <w:rPr>
          <w:color w:val="auto"/>
          <w:lang w:eastAsia="nb-NO"/>
        </w:rPr>
        <w:t xml:space="preserve"> svært nær</w:t>
      </w:r>
      <w:r w:rsidR="002F23E1">
        <w:rPr>
          <w:color w:val="auto"/>
          <w:lang w:eastAsia="nb-NO"/>
        </w:rPr>
        <w:t xml:space="preserve"> </w:t>
      </w:r>
      <w:r w:rsidR="00A977C8">
        <w:rPr>
          <w:color w:val="auto"/>
          <w:lang w:eastAsia="nb-NO"/>
        </w:rPr>
        <w:t>null</w:t>
      </w:r>
      <w:r w:rsidR="007B003D" w:rsidRPr="0055149C">
        <w:rPr>
          <w:color w:val="auto"/>
          <w:lang w:eastAsia="nb-NO"/>
        </w:rPr>
        <w:t xml:space="preserve"> og til dels under inflasjonen, spesielt når man bruker den kommunale deflatoren til å beregne inflasjon. Det tilsier at realrentene var nær null og til dels under null. </w:t>
      </w:r>
      <w:r w:rsidR="001500F4">
        <w:rPr>
          <w:color w:val="auto"/>
          <w:lang w:eastAsia="nb-NO"/>
        </w:rPr>
        <w:t>Et slikt realrentenivå</w:t>
      </w:r>
      <w:r>
        <w:rPr>
          <w:color w:val="auto"/>
          <w:lang w:eastAsia="nb-NO"/>
        </w:rPr>
        <w:t xml:space="preserve"> innebærer i neste instans</w:t>
      </w:r>
      <w:r w:rsidR="007B003D" w:rsidRPr="0055149C">
        <w:rPr>
          <w:color w:val="auto"/>
          <w:lang w:eastAsia="nb-NO"/>
        </w:rPr>
        <w:t xml:space="preserve"> at en kommune som finansierte en investerin</w:t>
      </w:r>
      <w:r w:rsidR="00D21F88">
        <w:rPr>
          <w:color w:val="auto"/>
          <w:lang w:eastAsia="nb-NO"/>
        </w:rPr>
        <w:t>g –</w:t>
      </w:r>
      <w:r w:rsidR="007B003D" w:rsidRPr="0055149C">
        <w:rPr>
          <w:color w:val="auto"/>
          <w:lang w:eastAsia="nb-NO"/>
        </w:rPr>
        <w:t xml:space="preserve"> i denne perioden</w:t>
      </w:r>
      <w:r w:rsidR="00D21F88">
        <w:rPr>
          <w:color w:val="auto"/>
          <w:lang w:eastAsia="nb-NO"/>
        </w:rPr>
        <w:t xml:space="preserve"> – </w:t>
      </w:r>
      <w:r w:rsidR="007B003D" w:rsidRPr="0055149C">
        <w:rPr>
          <w:color w:val="auto"/>
          <w:lang w:eastAsia="nb-NO"/>
        </w:rPr>
        <w:t>ikke behøvde å betale tilbake hele investeringsbeløpet regnet i reelle kroner. Dermed reduseres også behovet for kompensasjon gjennom utgiftsutjevningen</w:t>
      </w:r>
      <w:r w:rsidR="00B86D81">
        <w:rPr>
          <w:color w:val="auto"/>
          <w:lang w:eastAsia="nb-NO"/>
        </w:rPr>
        <w:t>, uten at det blir borte</w:t>
      </w:r>
      <w:r w:rsidR="007B003D" w:rsidRPr="0055149C">
        <w:rPr>
          <w:color w:val="auto"/>
          <w:lang w:eastAsia="nb-NO"/>
        </w:rPr>
        <w:t>.</w:t>
      </w:r>
      <w:r w:rsidR="00A612E2" w:rsidRPr="0055149C">
        <w:rPr>
          <w:color w:val="auto"/>
          <w:lang w:eastAsia="nb-NO"/>
        </w:rPr>
        <w:t xml:space="preserve"> </w:t>
      </w:r>
    </w:p>
    <w:p w14:paraId="520550F0" w14:textId="26CF51F0" w:rsidR="00577965" w:rsidRDefault="00577965" w:rsidP="00C8131E">
      <w:pPr>
        <w:rPr>
          <w:color w:val="auto"/>
          <w:lang w:eastAsia="nb-NO"/>
        </w:rPr>
      </w:pPr>
      <w:r w:rsidRPr="0055617B">
        <w:t>Et alternativ er å sette prisen på kapital lik på tvers av finansieringskilder ved hjelp av en kalkylerente, på samme måte som i selvkostmetoden som benyttes på VAR-området</w:t>
      </w:r>
      <w:r w:rsidR="00D9319F">
        <w:t xml:space="preserve"> (altså innen vann, avløp, renovasjon og avfall)</w:t>
      </w:r>
      <w:r w:rsidRPr="0055617B">
        <w:t>. Ved bruk av denne metoden legges det implisitt til grunn at kostnaden ved å binde kapital er uavhengig av hvordan investeringen finansieres. Fra finansteori er denne innsikten kjent som Modigliani-Miller-teoremet (Modigliani og Miller 1958). Teoremet forutsetter ingen transaksjonskostnader og uniform lånerate.</w:t>
      </w:r>
      <w:r>
        <w:t xml:space="preserve"> Ved skatter blir full gjeldsfinansiering optimal (</w:t>
      </w:r>
      <w:r w:rsidRPr="0055617B">
        <w:t>Modigliani og Miller 1</w:t>
      </w:r>
      <w:r>
        <w:t>963), men her det snakk om offentlige aktører.</w:t>
      </w:r>
    </w:p>
    <w:p w14:paraId="2B2C9528" w14:textId="27F9165E" w:rsidR="00632480" w:rsidRPr="00632480" w:rsidRDefault="00C8131E" w:rsidP="003B45F3">
      <w:pPr>
        <w:rPr>
          <w:shd w:val="clear" w:color="auto" w:fill="FFFFFF"/>
        </w:rPr>
      </w:pPr>
      <w:r>
        <w:rPr>
          <w:color w:val="auto"/>
          <w:lang w:eastAsia="nb-NO"/>
        </w:rPr>
        <w:t>Kalkyle</w:t>
      </w:r>
      <w:r w:rsidR="002503F5">
        <w:rPr>
          <w:color w:val="auto"/>
          <w:lang w:eastAsia="nb-NO"/>
        </w:rPr>
        <w:t>renten</w:t>
      </w:r>
      <w:r>
        <w:rPr>
          <w:color w:val="auto"/>
          <w:lang w:eastAsia="nb-NO"/>
        </w:rPr>
        <w:t xml:space="preserve"> for selvkosttjenester </w:t>
      </w:r>
      <w:r w:rsidR="004238EA">
        <w:rPr>
          <w:color w:val="auto"/>
          <w:lang w:eastAsia="nb-NO"/>
        </w:rPr>
        <w:t xml:space="preserve">er en mulig </w:t>
      </w:r>
      <w:r>
        <w:rPr>
          <w:color w:val="auto"/>
          <w:lang w:eastAsia="nb-NO"/>
        </w:rPr>
        <w:t xml:space="preserve">kalkylerente for </w:t>
      </w:r>
      <w:r w:rsidR="004238EA">
        <w:rPr>
          <w:color w:val="auto"/>
          <w:lang w:eastAsia="nb-NO"/>
        </w:rPr>
        <w:t xml:space="preserve">beregninger av </w:t>
      </w:r>
      <w:r>
        <w:rPr>
          <w:color w:val="auto"/>
          <w:lang w:eastAsia="nb-NO"/>
        </w:rPr>
        <w:t>kapital</w:t>
      </w:r>
      <w:r w:rsidR="004238EA">
        <w:rPr>
          <w:color w:val="auto"/>
          <w:lang w:eastAsia="nb-NO"/>
        </w:rPr>
        <w:t xml:space="preserve">kostnader i </w:t>
      </w:r>
      <w:r w:rsidR="00B2139E">
        <w:rPr>
          <w:color w:val="auto"/>
          <w:lang w:eastAsia="nb-NO"/>
        </w:rPr>
        <w:t xml:space="preserve">utgiftsutjevningen i </w:t>
      </w:r>
      <w:r w:rsidR="004300DC">
        <w:rPr>
          <w:color w:val="auto"/>
          <w:lang w:eastAsia="nb-NO"/>
        </w:rPr>
        <w:t>inntektssystem</w:t>
      </w:r>
      <w:r w:rsidR="004238EA">
        <w:rPr>
          <w:color w:val="auto"/>
          <w:lang w:eastAsia="nb-NO"/>
        </w:rPr>
        <w:t>et for</w:t>
      </w:r>
      <w:r w:rsidR="004300DC">
        <w:rPr>
          <w:color w:val="auto"/>
          <w:lang w:eastAsia="nb-NO"/>
        </w:rPr>
        <w:t xml:space="preserve"> </w:t>
      </w:r>
      <w:r>
        <w:rPr>
          <w:color w:val="auto"/>
          <w:lang w:eastAsia="nb-NO"/>
        </w:rPr>
        <w:t>kommunal sektor.</w:t>
      </w:r>
      <w:r w:rsidR="004300DC">
        <w:rPr>
          <w:color w:val="auto"/>
          <w:lang w:eastAsia="nb-NO"/>
        </w:rPr>
        <w:t xml:space="preserve"> </w:t>
      </w:r>
      <w:r w:rsidRPr="0020376C">
        <w:rPr>
          <w:lang w:eastAsia="nb-NO"/>
        </w:rPr>
        <w:t xml:space="preserve">I prinsippet kunne </w:t>
      </w:r>
      <w:r w:rsidR="004300DC">
        <w:rPr>
          <w:lang w:eastAsia="nb-NO"/>
        </w:rPr>
        <w:t>imidlertid også</w:t>
      </w:r>
      <w:r w:rsidRPr="0020376C">
        <w:rPr>
          <w:lang w:eastAsia="nb-NO"/>
        </w:rPr>
        <w:t xml:space="preserve"> andre renter</w:t>
      </w:r>
      <w:r>
        <w:rPr>
          <w:lang w:eastAsia="nb-NO"/>
        </w:rPr>
        <w:t xml:space="preserve"> </w:t>
      </w:r>
      <w:r w:rsidR="004300DC">
        <w:rPr>
          <w:lang w:eastAsia="nb-NO"/>
        </w:rPr>
        <w:t>ha blitt lagt til grunn</w:t>
      </w:r>
      <w:r>
        <w:rPr>
          <w:lang w:eastAsia="nb-NO"/>
        </w:rPr>
        <w:t>.</w:t>
      </w:r>
      <w:r w:rsidR="004300DC">
        <w:rPr>
          <w:color w:val="auto"/>
          <w:lang w:eastAsia="nb-NO"/>
        </w:rPr>
        <w:t xml:space="preserve"> </w:t>
      </w:r>
      <w:r w:rsidR="003B45F3" w:rsidRPr="00253CE6">
        <w:rPr>
          <w:shd w:val="clear" w:color="auto" w:fill="FFFFFF"/>
        </w:rPr>
        <w:t>Vanlig praksis for å beregne kalkylerenter er å ta utgangspunkt i en langsiktig rente med lav risiko, for eksempel en langsiktig statsobligasjonsrente. Deretter legger man på et påslag som reflekterer meravkastningskravet for gitt risiko.</w:t>
      </w:r>
      <w:r w:rsidR="00632480">
        <w:rPr>
          <w:shd w:val="clear" w:color="auto" w:fill="FFFFFF"/>
        </w:rPr>
        <w:t xml:space="preserve"> </w:t>
      </w:r>
      <w:r w:rsidR="00632480">
        <w:rPr>
          <w:color w:val="auto"/>
          <w:lang w:eastAsia="nb-NO"/>
        </w:rPr>
        <w:t>Vi tar</w:t>
      </w:r>
      <w:r w:rsidR="00632480" w:rsidRPr="00632480">
        <w:rPr>
          <w:color w:val="auto"/>
          <w:lang w:eastAsia="nb-NO"/>
        </w:rPr>
        <w:t xml:space="preserve"> til orde for at rentekostnadene i det </w:t>
      </w:r>
      <w:r w:rsidR="00957827">
        <w:rPr>
          <w:color w:val="auto"/>
          <w:lang w:eastAsia="nb-NO"/>
        </w:rPr>
        <w:t>utgiftsutjevningen</w:t>
      </w:r>
      <w:r w:rsidR="00632480" w:rsidRPr="00632480">
        <w:rPr>
          <w:color w:val="auto"/>
          <w:lang w:eastAsia="nb-NO"/>
        </w:rPr>
        <w:t xml:space="preserve"> bør måles som en langsiktig rente med et risikopåslag med utgangspunkt i kapitalbeholdningen som ligger til grunn for målingen.</w:t>
      </w:r>
    </w:p>
    <w:p w14:paraId="29184394" w14:textId="48F77A21" w:rsidR="006D79CF" w:rsidRDefault="00D36A65" w:rsidP="00610794">
      <w:pPr>
        <w:rPr>
          <w:lang w:eastAsia="nb-NO"/>
        </w:rPr>
      </w:pPr>
      <w:r w:rsidRPr="00D86F9D">
        <w:rPr>
          <w:color w:val="auto"/>
          <w:szCs w:val="18"/>
        </w:rPr>
        <w:lastRenderedPageBreak/>
        <w:t>De nominelle rentene som kommunene står overfor vil i praksis ofte være høyere enn swap-</w:t>
      </w:r>
      <w:r w:rsidR="002503F5">
        <w:rPr>
          <w:color w:val="auto"/>
          <w:szCs w:val="18"/>
        </w:rPr>
        <w:t>renten</w:t>
      </w:r>
      <w:r w:rsidRPr="00D86F9D">
        <w:rPr>
          <w:color w:val="auto"/>
          <w:szCs w:val="18"/>
        </w:rPr>
        <w:t>, men de kan også binde seg til mer langsiktige og stabile renter.</w:t>
      </w:r>
      <w:r>
        <w:rPr>
          <w:color w:val="auto"/>
          <w:szCs w:val="18"/>
        </w:rPr>
        <w:t xml:space="preserve"> </w:t>
      </w:r>
      <w:r w:rsidR="002347FD" w:rsidRPr="00651D8F">
        <w:rPr>
          <w:lang w:eastAsia="nb-NO"/>
        </w:rPr>
        <w:t xml:space="preserve">På oppdrag for KS diskuterer Oslo Economics og Momentum Solutions (2020) alternativer til dagens kalkylerente. Utredningen </w:t>
      </w:r>
      <w:r w:rsidR="00F81D72">
        <w:rPr>
          <w:lang w:eastAsia="nb-NO"/>
        </w:rPr>
        <w:t>påpeker</w:t>
      </w:r>
      <w:r w:rsidR="002347FD" w:rsidRPr="00651D8F">
        <w:rPr>
          <w:lang w:eastAsia="nb-NO"/>
        </w:rPr>
        <w:t xml:space="preserve"> a</w:t>
      </w:r>
      <w:r w:rsidR="002347FD" w:rsidRPr="00F81D72">
        <w:rPr>
          <w:lang w:eastAsia="nb-NO"/>
        </w:rPr>
        <w:t xml:space="preserve">t den vanligste måten å låne penger på for kommuner er tremåneders </w:t>
      </w:r>
      <w:r w:rsidR="002D6877" w:rsidRPr="00F81D72">
        <w:rPr>
          <w:lang w:eastAsia="nb-NO"/>
        </w:rPr>
        <w:t>NIBOR</w:t>
      </w:r>
      <w:r w:rsidR="002347FD" w:rsidRPr="00651D8F">
        <w:rPr>
          <w:lang w:eastAsia="nb-NO"/>
        </w:rPr>
        <w:t xml:space="preserve">. </w:t>
      </w:r>
      <w:r w:rsidR="00F81D72">
        <w:rPr>
          <w:lang w:eastAsia="nb-NO"/>
        </w:rPr>
        <w:t>De</w:t>
      </w:r>
      <w:r w:rsidR="002347FD" w:rsidRPr="00651D8F">
        <w:rPr>
          <w:lang w:eastAsia="nb-NO"/>
        </w:rPr>
        <w:t xml:space="preserve"> mener også at dagens praksis gir en kalkylerente som svinger mer enn ønskelig. Forslaget i utredningen er å erstatte dagens kalkylerente med et treårssnitt av tremåneders </w:t>
      </w:r>
      <w:r w:rsidR="002D6877" w:rsidRPr="002D6877">
        <w:rPr>
          <w:lang w:eastAsia="nb-NO"/>
        </w:rPr>
        <w:t>NIBOR</w:t>
      </w:r>
      <w:r w:rsidR="002347FD" w:rsidRPr="00651D8F">
        <w:rPr>
          <w:lang w:eastAsia="nb-NO"/>
        </w:rPr>
        <w:t xml:space="preserve">, pluss et påslag. </w:t>
      </w:r>
      <w:r w:rsidR="00610794">
        <w:rPr>
          <w:lang w:eastAsia="nb-NO"/>
        </w:rPr>
        <w:t xml:space="preserve">Ifølge </w:t>
      </w:r>
      <w:r w:rsidR="00F3307B" w:rsidRPr="00651D8F">
        <w:rPr>
          <w:lang w:eastAsia="nb-NO"/>
        </w:rPr>
        <w:t xml:space="preserve">Oslo Economics og Momentum Solutions </w:t>
      </w:r>
      <w:r w:rsidR="00610794">
        <w:rPr>
          <w:lang w:eastAsia="nb-NO"/>
        </w:rPr>
        <w:t xml:space="preserve">bør </w:t>
      </w:r>
      <w:r w:rsidR="000D77DD">
        <w:rPr>
          <w:lang w:eastAsia="nb-NO"/>
        </w:rPr>
        <w:t xml:space="preserve">det utredes nærmere hva </w:t>
      </w:r>
      <w:r w:rsidR="00610794">
        <w:rPr>
          <w:lang w:eastAsia="nb-NO"/>
        </w:rPr>
        <w:t>n</w:t>
      </w:r>
      <w:r w:rsidR="005E51DC">
        <w:rPr>
          <w:lang w:eastAsia="nb-NO"/>
        </w:rPr>
        <w:t>ivået på påsla</w:t>
      </w:r>
      <w:r w:rsidR="005E51DC" w:rsidRPr="005E51DC">
        <w:rPr>
          <w:lang w:eastAsia="nb-NO"/>
        </w:rPr>
        <w:t>get</w:t>
      </w:r>
      <w:r w:rsidR="000D77DD">
        <w:rPr>
          <w:lang w:eastAsia="nb-NO"/>
        </w:rPr>
        <w:t xml:space="preserve"> bø</w:t>
      </w:r>
      <w:r w:rsidR="009B376A">
        <w:rPr>
          <w:lang w:eastAsia="nb-NO"/>
        </w:rPr>
        <w:t>r være</w:t>
      </w:r>
      <w:r w:rsidR="002347FD" w:rsidRPr="005E51DC">
        <w:rPr>
          <w:lang w:eastAsia="nb-NO"/>
        </w:rPr>
        <w:t>, og om dette bør endres fra dagens nivå på 0,5 prosentpoeng</w:t>
      </w:r>
      <w:r w:rsidR="00651D8F" w:rsidRPr="00651D8F">
        <w:rPr>
          <w:lang w:eastAsia="nb-NO"/>
        </w:rPr>
        <w:t>.</w:t>
      </w:r>
      <w:r w:rsidR="00A84BFA">
        <w:rPr>
          <w:lang w:eastAsia="nb-NO"/>
        </w:rPr>
        <w:t xml:space="preserve"> </w:t>
      </w:r>
      <w:r w:rsidR="002347FD" w:rsidRPr="00651D8F">
        <w:rPr>
          <w:lang w:eastAsia="nb-NO"/>
        </w:rPr>
        <w:t>I hvilken grad den faktiske låne</w:t>
      </w:r>
      <w:r w:rsidR="002503F5">
        <w:rPr>
          <w:lang w:eastAsia="nb-NO"/>
        </w:rPr>
        <w:t>renten</w:t>
      </w:r>
      <w:r w:rsidR="002347FD" w:rsidRPr="00651D8F">
        <w:rPr>
          <w:lang w:eastAsia="nb-NO"/>
        </w:rPr>
        <w:t xml:space="preserve"> og kommunenes alternativkostnader reflekteres godt av kalkyle</w:t>
      </w:r>
      <w:r w:rsidR="002503F5">
        <w:rPr>
          <w:lang w:eastAsia="nb-NO"/>
        </w:rPr>
        <w:t>renten</w:t>
      </w:r>
      <w:r w:rsidR="002347FD" w:rsidRPr="00651D8F">
        <w:rPr>
          <w:lang w:eastAsia="nb-NO"/>
        </w:rPr>
        <w:t xml:space="preserve"> er heller ikke gitt. </w:t>
      </w:r>
      <w:r w:rsidR="00057AD3">
        <w:rPr>
          <w:lang w:eastAsia="nb-NO"/>
        </w:rPr>
        <w:t>R</w:t>
      </w:r>
      <w:r w:rsidR="002347FD" w:rsidRPr="00651D8F">
        <w:rPr>
          <w:lang w:eastAsia="nb-NO"/>
        </w:rPr>
        <w:t xml:space="preserve">eguleringen av Kommunalbankens </w:t>
      </w:r>
      <w:r w:rsidR="00057AD3">
        <w:rPr>
          <w:lang w:eastAsia="nb-NO"/>
        </w:rPr>
        <w:t xml:space="preserve">lånevirksomhet </w:t>
      </w:r>
      <w:r w:rsidR="002347FD" w:rsidRPr="00651D8F">
        <w:rPr>
          <w:lang w:eastAsia="nb-NO"/>
        </w:rPr>
        <w:t xml:space="preserve">gjør at </w:t>
      </w:r>
      <w:r w:rsidR="00C943DA">
        <w:rPr>
          <w:lang w:eastAsia="nb-NO"/>
        </w:rPr>
        <w:t>deres</w:t>
      </w:r>
      <w:r w:rsidR="00E278F9">
        <w:rPr>
          <w:lang w:eastAsia="nb-NO"/>
        </w:rPr>
        <w:t xml:space="preserve"> </w:t>
      </w:r>
      <w:r w:rsidR="002503F5">
        <w:rPr>
          <w:lang w:eastAsia="nb-NO"/>
        </w:rPr>
        <w:t>rente</w:t>
      </w:r>
      <w:r w:rsidR="002347FD" w:rsidRPr="00651D8F">
        <w:rPr>
          <w:lang w:eastAsia="nb-NO"/>
        </w:rPr>
        <w:t xml:space="preserve"> følger en litt annen utviklingsbane enn grunnrentene som hittil har vært oppe til diskusjon om valg av grunnrente i kalkyle</w:t>
      </w:r>
      <w:r w:rsidR="002503F5">
        <w:rPr>
          <w:lang w:eastAsia="nb-NO"/>
        </w:rPr>
        <w:t>renten</w:t>
      </w:r>
      <w:r w:rsidR="002347FD" w:rsidRPr="00651D8F">
        <w:rPr>
          <w:lang w:eastAsia="nb-NO"/>
        </w:rPr>
        <w:t>.</w:t>
      </w:r>
    </w:p>
    <w:p w14:paraId="1C95AE2B" w14:textId="2425EB99" w:rsidR="00C45247" w:rsidRPr="005107D9" w:rsidRDefault="006D79CF" w:rsidP="00C45247">
      <w:pPr>
        <w:rPr>
          <w:lang w:eastAsia="nb-NO"/>
        </w:rPr>
      </w:pPr>
      <w:r w:rsidRPr="006D79CF">
        <w:rPr>
          <w:lang w:eastAsia="nb-NO"/>
        </w:rPr>
        <w:t>Hvis vi vil kompensere for et rentetap i dag, må vi vel regne om verditall fra ulike år til dagens priser ved hjelp av en passende prisindeks og deretter bruke en rente som er relevant i dag til å beregne nominell og/eller reel rentekostnad.</w:t>
      </w:r>
      <w:r w:rsidR="005107D9">
        <w:rPr>
          <w:lang w:eastAsia="nb-NO"/>
        </w:rPr>
        <w:t xml:space="preserve"> </w:t>
      </w:r>
      <w:r w:rsidR="0058613A" w:rsidRPr="00D36A65">
        <w:rPr>
          <w:color w:val="auto"/>
          <w:lang w:eastAsia="nb-NO"/>
        </w:rPr>
        <w:t>I dagens selvkostberegninger benytter man en nominell kalkylerente. Det ville vært mulig å foreta realøkonomiske beregninger ved å deflatere tallene</w:t>
      </w:r>
      <w:r w:rsidR="00D36A65">
        <w:rPr>
          <w:color w:val="auto"/>
          <w:lang w:eastAsia="nb-NO"/>
        </w:rPr>
        <w:t>, dersom man ønsker å se bort fra prisstigningen. Et argument for dette kan være en form for likebehandling med prisutviklingen på kapitalen, gitt at man ikke kompenserer for denne. Dermed</w:t>
      </w:r>
      <w:r w:rsidR="0058613A" w:rsidRPr="00D36A65">
        <w:rPr>
          <w:color w:val="auto"/>
          <w:lang w:eastAsia="nb-NO"/>
        </w:rPr>
        <w:t xml:space="preserve"> forholder </w:t>
      </w:r>
      <w:r w:rsidR="00D36A65">
        <w:rPr>
          <w:color w:val="auto"/>
          <w:lang w:eastAsia="nb-NO"/>
        </w:rPr>
        <w:t xml:space="preserve">man </w:t>
      </w:r>
      <w:r w:rsidR="0058613A" w:rsidRPr="00D36A65">
        <w:rPr>
          <w:color w:val="auto"/>
          <w:lang w:eastAsia="nb-NO"/>
        </w:rPr>
        <w:t>seg til volumtall framfor verditall basert på når oppkjøpet fant sted. I et slik regnestykke ville man vært interessert i realrente framfor en nominell rente. I så fall bør man benytte en egnet deflator. Nærliggende alternativer for de kommunale selvkosttjenestene inkluderer Teknisk beregningsutvalgs kommunal</w:t>
      </w:r>
      <w:r w:rsidR="00136527">
        <w:rPr>
          <w:color w:val="auto"/>
          <w:lang w:eastAsia="nb-NO"/>
        </w:rPr>
        <w:softHyphen/>
      </w:r>
      <w:r w:rsidR="0058613A" w:rsidRPr="00D36A65">
        <w:rPr>
          <w:color w:val="auto"/>
          <w:lang w:eastAsia="nb-NO"/>
        </w:rPr>
        <w:t>deflator eller Statistisk sentralbyrås produksjons- og kostnadsdeflatorer for kommunal sektor eller relevante næringer.</w:t>
      </w:r>
    </w:p>
    <w:p w14:paraId="00DD57C7" w14:textId="063AE5FC" w:rsidR="004A42B8" w:rsidRPr="00C45247" w:rsidRDefault="00253CE6" w:rsidP="00C45247">
      <w:pPr>
        <w:rPr>
          <w:color w:val="auto"/>
          <w:lang w:eastAsia="nb-NO"/>
        </w:rPr>
      </w:pPr>
      <w:r>
        <w:rPr>
          <w:lang w:eastAsia="nb-NO"/>
        </w:rPr>
        <w:t>Kalkylerenter benyttes også i andre sammenhenger</w:t>
      </w:r>
      <w:r w:rsidR="008C304F">
        <w:rPr>
          <w:lang w:eastAsia="nb-NO"/>
        </w:rPr>
        <w:t xml:space="preserve"> innenfor norsk offentlig forvaltning</w:t>
      </w:r>
      <w:r>
        <w:rPr>
          <w:lang w:eastAsia="nb-NO"/>
        </w:rPr>
        <w:t xml:space="preserve">. </w:t>
      </w:r>
      <w:r w:rsidR="004A42B8" w:rsidRPr="00253CE6">
        <w:rPr>
          <w:shd w:val="clear" w:color="auto" w:fill="FFFFFF"/>
        </w:rPr>
        <w:t>Det fr</w:t>
      </w:r>
      <w:r w:rsidR="008C304F">
        <w:rPr>
          <w:shd w:val="clear" w:color="auto" w:fill="FFFFFF"/>
        </w:rPr>
        <w:t>a</w:t>
      </w:r>
      <w:r w:rsidR="004A42B8" w:rsidRPr="00253CE6">
        <w:rPr>
          <w:shd w:val="clear" w:color="auto" w:fill="FFFFFF"/>
        </w:rPr>
        <w:t>mgår av forarbeidene til forurensningsloven § 34 (jf. punkt 3.5.3.2 i Miljøverndepartementet 1993) at det legges til grunn at kapitalkostnadene skal være basert på prinsippet om alternativkostnad. Det vil blant annet si at beregningen er finansieringsnøytral. Begrepet finansieringsnøytral innebærer at det ikke tas hensyn til om midlene til bruk i virksomheten er tilført som egenkapital eller som lånekapital. Det betyr at én kalkylerente skal legges til grunn, både på egenkapital og lånekapital. Aktiverte byggelånsrenter er knyttet til lånekapital og skal ikke inngå i grunnlaget.</w:t>
      </w:r>
    </w:p>
    <w:p w14:paraId="2980B00D" w14:textId="343B8365" w:rsidR="007B003D" w:rsidRPr="0055149C" w:rsidRDefault="007B003D" w:rsidP="007B003D">
      <w:pPr>
        <w:pStyle w:val="Overskrift3"/>
      </w:pPr>
      <w:bookmarkStart w:id="50" w:name="_Ref178624063"/>
      <w:r w:rsidRPr="0055149C">
        <w:t>Kommunale lånerenter</w:t>
      </w:r>
      <w:bookmarkEnd w:id="50"/>
    </w:p>
    <w:p w14:paraId="3D0563AF" w14:textId="5BA2CC9C" w:rsidR="005E215A" w:rsidRDefault="007B003D" w:rsidP="007B003D">
      <w:pPr>
        <w:rPr>
          <w:lang w:eastAsia="nb-NO"/>
        </w:rPr>
      </w:pPr>
      <w:r w:rsidRPr="0055149C">
        <w:rPr>
          <w:lang w:eastAsia="nb-NO"/>
        </w:rPr>
        <w:t>Ved å bruke kommunal lånerente som anslag for rentekostnaden drar vi beregningene ytterligere i retning av å la markedsrente og markedsforhold bestemme rentekostnaden i utgiftskompensasjonen. Argumentet for å bruke lånerente er at låne</w:t>
      </w:r>
      <w:r w:rsidR="002503F5">
        <w:rPr>
          <w:lang w:eastAsia="nb-NO"/>
        </w:rPr>
        <w:t>renten</w:t>
      </w:r>
      <w:r w:rsidRPr="0055149C">
        <w:rPr>
          <w:lang w:eastAsia="nb-NO"/>
        </w:rPr>
        <w:t xml:space="preserve"> gir uttrykk for faktiske kapitalkostnader, riktignok bare på gjeld</w:t>
      </w:r>
      <w:r w:rsidR="00A36B30">
        <w:rPr>
          <w:lang w:eastAsia="nb-NO"/>
        </w:rPr>
        <w:t>. U</w:t>
      </w:r>
      <w:r w:rsidRPr="0055149C">
        <w:rPr>
          <w:lang w:eastAsia="nb-NO"/>
        </w:rPr>
        <w:t xml:space="preserve">nder henvisning til finansieringsnøytralitet og </w:t>
      </w:r>
      <w:r w:rsidR="006A0A77">
        <w:rPr>
          <w:lang w:eastAsia="nb-NO"/>
        </w:rPr>
        <w:t xml:space="preserve">anførslene </w:t>
      </w:r>
      <w:r w:rsidRPr="0055149C">
        <w:rPr>
          <w:lang w:eastAsia="nb-NO"/>
        </w:rPr>
        <w:t xml:space="preserve">til Thorstensen, Lie og Lunder (2021) kan det </w:t>
      </w:r>
      <w:r w:rsidR="00A36B30">
        <w:rPr>
          <w:lang w:eastAsia="nb-NO"/>
        </w:rPr>
        <w:t xml:space="preserve">like fullt </w:t>
      </w:r>
      <w:r w:rsidRPr="0055149C">
        <w:rPr>
          <w:lang w:eastAsia="nb-NO"/>
        </w:rPr>
        <w:t>argumenteres for at låne</w:t>
      </w:r>
      <w:r w:rsidR="002503F5">
        <w:rPr>
          <w:lang w:eastAsia="nb-NO"/>
        </w:rPr>
        <w:t>renten</w:t>
      </w:r>
      <w:r w:rsidRPr="0055149C">
        <w:rPr>
          <w:lang w:eastAsia="nb-NO"/>
        </w:rPr>
        <w:t xml:space="preserve"> kan brukes som renteindikator for all kommunal kapital.</w:t>
      </w:r>
    </w:p>
    <w:p w14:paraId="12C7EEA5" w14:textId="77777777" w:rsidR="00E02E6E" w:rsidRDefault="00E02E6E" w:rsidP="00E02E6E">
      <w:r w:rsidRPr="002054D9">
        <w:t xml:space="preserve">Riksrevisjonen (2015) finner at hver sjette primærkommune hadde en kombinasjon av høy gjeld og lite økonomisk handlingsrom i 2013. De setter funnet i sammenheng med lite informasjon om gjeldsbelastningen i kommunenes sentrale styringsdokumenter, lite tilpasset virkemiddelbruk fra </w:t>
      </w:r>
      <w:r w:rsidRPr="002054D9">
        <w:lastRenderedPageBreak/>
        <w:t>daværende Kommunal- og moderniseringsdepartementet og begrenset effekt av statsforvalternes veiledning og kontroll på bærekraften i gjeldsbelastningen.</w:t>
      </w:r>
    </w:p>
    <w:p w14:paraId="3D2B0A7A" w14:textId="71426667" w:rsidR="00E02E6E" w:rsidRDefault="00E02E6E" w:rsidP="007B003D">
      <w:r>
        <w:t>Bredeli i Statistisk sentralbyrå (2017) finner en kraftig økning i kommunenes gjeldsutgifter fra 2003 til 2016, som i stor grad er lånefinansiert.</w:t>
      </w:r>
      <w:r w:rsidR="00691B2B">
        <w:t xml:space="preserve"> </w:t>
      </w:r>
      <w:r>
        <w:t>Som årsaker fr</w:t>
      </w:r>
      <w:r w:rsidR="00EA6503">
        <w:t>a</w:t>
      </w:r>
      <w:r>
        <w:t>mhever forfatteren utviklingen i samlet befolkning og befolkningsstruktur, vedlikeholdsetterslep, økte forventninger om og standarder for kvalitet, låne</w:t>
      </w:r>
      <w:r w:rsidR="002503F5">
        <w:t>renten</w:t>
      </w:r>
      <w:r>
        <w:t xml:space="preserve"> og </w:t>
      </w:r>
      <w:r w:rsidRPr="006E2CA2">
        <w:t>rentekompensasjonsordning</w:t>
      </w:r>
      <w:r>
        <w:t xml:space="preserve">er. I en relatert Statistisk sentralbyrå-studie finner Egge (2019) at de </w:t>
      </w:r>
      <w:r w:rsidRPr="00F315FC">
        <w:t>norske kommune</w:t>
      </w:r>
      <w:r>
        <w:t>nes</w:t>
      </w:r>
      <w:r w:rsidRPr="00F315FC">
        <w:t xml:space="preserve"> gjeld firedoblet</w:t>
      </w:r>
      <w:r>
        <w:t xml:space="preserve"> fra 2000 til 2017 nominelt, hvilket innebærer en raskere økning i gjelden enn inntektene. Forfatteren trekker fram store investeringsbehov og lavt rentenivå som forklaringer </w:t>
      </w:r>
      <w:r w:rsidR="00AE1064">
        <w:t>på</w:t>
      </w:r>
      <w:r>
        <w:t xml:space="preserve"> utviklingen.</w:t>
      </w:r>
    </w:p>
    <w:p w14:paraId="0098491A" w14:textId="453F01CF" w:rsidR="00473299" w:rsidRDefault="00473299" w:rsidP="00D14CB4">
      <w:pPr>
        <w:rPr>
          <w:lang w:eastAsia="nb-NO"/>
        </w:rPr>
      </w:pPr>
      <w:r>
        <w:rPr>
          <w:lang w:eastAsia="nb-NO"/>
        </w:rPr>
        <w:t xml:space="preserve">Primærkommuner og fylkeskommuner kan velge å finansiere sine investeringer med løpende inntekter, engangsinntekter eller oppsparte midler, men som vist i </w:t>
      </w:r>
      <w:r w:rsidRPr="00094EF3">
        <w:rPr>
          <w:lang w:eastAsia="nb-NO"/>
        </w:rPr>
        <w:t>Vennemo, Bjørkås</w:t>
      </w:r>
      <w:r>
        <w:rPr>
          <w:lang w:eastAsia="nb-NO"/>
        </w:rPr>
        <w:t xml:space="preserve"> og</w:t>
      </w:r>
      <w:r w:rsidRPr="00094EF3">
        <w:rPr>
          <w:lang w:eastAsia="nb-NO"/>
        </w:rPr>
        <w:t xml:space="preserve"> Mariussen </w:t>
      </w:r>
      <w:r>
        <w:rPr>
          <w:lang w:eastAsia="nb-NO"/>
        </w:rPr>
        <w:t>(2022) er låneopptak fortsatt den vanligste finansieringen av varige driftsmidler.</w:t>
      </w:r>
      <w:r w:rsidR="00691B2B">
        <w:rPr>
          <w:lang w:eastAsia="nb-NO"/>
        </w:rPr>
        <w:t xml:space="preserve"> </w:t>
      </w:r>
      <w:r>
        <w:t>Ifølge Kommuneloven</w:t>
      </w:r>
      <w:r w:rsidR="00783065">
        <w:t xml:space="preserve"> </w:t>
      </w:r>
      <w:r w:rsidR="00AB7E44">
        <w:t xml:space="preserve">(se </w:t>
      </w:r>
      <w:r w:rsidR="00AB7E44" w:rsidRPr="008956E3">
        <w:t>§</w:t>
      </w:r>
      <w:r w:rsidR="00AB7E44">
        <w:t xml:space="preserve">14-16 i </w:t>
      </w:r>
      <w:r w:rsidR="00AB7E44" w:rsidRPr="00392507">
        <w:t>Kommunal- og distriktsdepartementet 2023</w:t>
      </w:r>
      <w:r w:rsidR="00AB7E44">
        <w:t xml:space="preserve">c) </w:t>
      </w:r>
      <w:r>
        <w:t>kan primærkommuner og fylkeskommuner ta opp lån for å finansiere investeringer i varige driftsmidler</w:t>
      </w:r>
      <w:r w:rsidR="00D07B4F">
        <w:t xml:space="preserve"> under gitte betingelser</w:t>
      </w:r>
      <w:r w:rsidR="008B682F">
        <w:t xml:space="preserve">. </w:t>
      </w:r>
      <w:r w:rsidR="00D07B4F">
        <w:t>Det kan dreies seg om driftsmidler som</w:t>
      </w:r>
      <w:r w:rsidR="00D07B4F">
        <w:rPr>
          <w:rFonts w:eastAsia="Calibri"/>
        </w:rPr>
        <w:t xml:space="preserve"> </w:t>
      </w:r>
      <w:r>
        <w:t>skal eies av kommunen selv</w:t>
      </w:r>
      <w:r w:rsidR="00D07B4F">
        <w:t xml:space="preserve">, som skal eies </w:t>
      </w:r>
      <w:r>
        <w:t>av en annen kommune, der kommunen har et lovpålagt ansvar</w:t>
      </w:r>
      <w:r w:rsidR="00D14CB4">
        <w:t>, eller som skal eies av</w:t>
      </w:r>
      <w:r w:rsidR="00865020">
        <w:t xml:space="preserve"> selskaper hvor</w:t>
      </w:r>
      <w:r>
        <w:t xml:space="preserve"> kommunen har eierandel</w:t>
      </w:r>
      <w:r w:rsidR="00AB7E44">
        <w:t>,</w:t>
      </w:r>
      <w:r>
        <w:t xml:space="preserve"> og </w:t>
      </w:r>
      <w:r w:rsidR="00711530">
        <w:t>der</w:t>
      </w:r>
      <w:r>
        <w:t xml:space="preserve"> kommune</w:t>
      </w:r>
      <w:r w:rsidR="00865020">
        <w:t>n</w:t>
      </w:r>
      <w:r>
        <w:t xml:space="preserve"> har bestemmende innflytelse ved investeringer på områder </w:t>
      </w:r>
      <w:r w:rsidR="00346B83">
        <w:t>og</w:t>
      </w:r>
      <w:r>
        <w:t xml:space="preserve"> et lovpålagt ansvar.</w:t>
      </w:r>
    </w:p>
    <w:p w14:paraId="072B9B19" w14:textId="3B4B0CB1" w:rsidR="00DD4252" w:rsidRDefault="007B1AEB" w:rsidP="007B003D">
      <w:r>
        <w:rPr>
          <w:lang w:eastAsia="nb-NO"/>
        </w:rPr>
        <w:t>Gjeldsrenten</w:t>
      </w:r>
      <w:r w:rsidR="00DD4252" w:rsidRPr="00DD4252">
        <w:rPr>
          <w:lang w:eastAsia="nb-NO"/>
        </w:rPr>
        <w:t xml:space="preserve"> kan beregnes på grunnlag av lånerenter. Kommunene kan velge mellom ulike type lån med ulike løpetider, som diskutert i </w:t>
      </w:r>
      <w:r w:rsidR="00DD4252" w:rsidRPr="00DD4252">
        <w:t xml:space="preserve">Borge og Lindset (2022). </w:t>
      </w:r>
      <w:r w:rsidR="00DD4252" w:rsidRPr="00DD4252">
        <w:rPr>
          <w:lang w:eastAsia="nb-NO"/>
        </w:rPr>
        <w:t xml:space="preserve">For det første kan de velge avdragsbaserte lån i Kommunalbanken med flytende eller fast rente med løpetid opptil 50 år. De flytende rentene settes i takt med </w:t>
      </w:r>
      <w:r w:rsidR="00BB4832">
        <w:rPr>
          <w:lang w:eastAsia="nb-NO"/>
        </w:rPr>
        <w:t xml:space="preserve">NIBOR </w:t>
      </w:r>
      <w:r w:rsidR="00DD4252" w:rsidRPr="00DD4252">
        <w:rPr>
          <w:lang w:eastAsia="nb-NO"/>
        </w:rPr>
        <w:t xml:space="preserve">som </w:t>
      </w:r>
      <w:r w:rsidR="00BB4832">
        <w:rPr>
          <w:lang w:eastAsia="nb-NO"/>
        </w:rPr>
        <w:t>rente</w:t>
      </w:r>
      <w:r w:rsidR="00DD4252" w:rsidRPr="00DD4252">
        <w:rPr>
          <w:lang w:eastAsia="nb-NO"/>
        </w:rPr>
        <w:t xml:space="preserve">fot, altså norske pengemarkedsrenter mellom bankene ved forskjellige løpetider. I tillegg kommer et </w:t>
      </w:r>
      <w:r w:rsidR="00BB4832">
        <w:rPr>
          <w:lang w:eastAsia="nb-NO"/>
        </w:rPr>
        <w:t xml:space="preserve">fast </w:t>
      </w:r>
      <w:r w:rsidR="00DD4252" w:rsidRPr="00DD4252">
        <w:rPr>
          <w:lang w:eastAsia="nb-NO"/>
        </w:rPr>
        <w:t xml:space="preserve">påslag eller </w:t>
      </w:r>
      <w:r w:rsidR="00BB4832">
        <w:rPr>
          <w:lang w:eastAsia="nb-NO"/>
        </w:rPr>
        <w:t xml:space="preserve">et løpende påslag som følger </w:t>
      </w:r>
      <w:r w:rsidR="00DD4252" w:rsidRPr="00DD4252">
        <w:rPr>
          <w:lang w:eastAsia="nb-NO"/>
        </w:rPr>
        <w:t xml:space="preserve">utviklingen i rentemarkedet for øvrig. Den faste renten tilbys ikke for mer enn 10 år. </w:t>
      </w:r>
      <w:r w:rsidR="005E215A">
        <w:rPr>
          <w:lang w:eastAsia="nb-NO"/>
        </w:rPr>
        <w:t>En annen variant er o</w:t>
      </w:r>
      <w:r w:rsidR="005E215A" w:rsidRPr="0020376C">
        <w:rPr>
          <w:lang w:eastAsia="nb-NO"/>
        </w:rPr>
        <w:t xml:space="preserve">bligasjonslån </w:t>
      </w:r>
      <w:r w:rsidR="007877BC">
        <w:rPr>
          <w:lang w:eastAsia="nb-NO"/>
        </w:rPr>
        <w:t xml:space="preserve">som også både </w:t>
      </w:r>
      <w:r w:rsidR="005E215A">
        <w:rPr>
          <w:lang w:eastAsia="nb-NO"/>
        </w:rPr>
        <w:t>kan ha</w:t>
      </w:r>
      <w:r w:rsidR="005E215A" w:rsidRPr="0020376C">
        <w:rPr>
          <w:lang w:eastAsia="nb-NO"/>
        </w:rPr>
        <w:t xml:space="preserve"> flytende eller fast rente. Løpetidene som tilbys for obligasjonslån er mellom </w:t>
      </w:r>
      <w:r w:rsidR="005E215A">
        <w:rPr>
          <w:lang w:eastAsia="nb-NO"/>
        </w:rPr>
        <w:t>et</w:t>
      </w:r>
      <w:r w:rsidR="005E215A" w:rsidRPr="0020376C">
        <w:rPr>
          <w:lang w:eastAsia="nb-NO"/>
        </w:rPr>
        <w:t xml:space="preserve"> og </w:t>
      </w:r>
      <w:r w:rsidR="005E215A">
        <w:rPr>
          <w:lang w:eastAsia="nb-NO"/>
        </w:rPr>
        <w:t>ti</w:t>
      </w:r>
      <w:r w:rsidR="005E215A" w:rsidRPr="0020376C">
        <w:rPr>
          <w:lang w:eastAsia="nb-NO"/>
        </w:rPr>
        <w:t xml:space="preserve"> år. Den flytende renten er gitt av </w:t>
      </w:r>
      <w:r w:rsidR="00233D99" w:rsidRPr="00233D99">
        <w:rPr>
          <w:lang w:eastAsia="nb-NO"/>
        </w:rPr>
        <w:t xml:space="preserve">NIBOR </w:t>
      </w:r>
      <w:r w:rsidR="005E215A" w:rsidRPr="0020376C">
        <w:rPr>
          <w:lang w:eastAsia="nb-NO"/>
        </w:rPr>
        <w:t>og et fast rentepåslag</w:t>
      </w:r>
      <w:r w:rsidR="005E215A">
        <w:rPr>
          <w:lang w:eastAsia="nb-NO"/>
        </w:rPr>
        <w:t>, som øker med</w:t>
      </w:r>
      <w:r w:rsidR="005E215A" w:rsidRPr="0020376C">
        <w:rPr>
          <w:lang w:eastAsia="nb-NO"/>
        </w:rPr>
        <w:t xml:space="preserve"> løpetide</w:t>
      </w:r>
      <w:r w:rsidR="005E215A">
        <w:rPr>
          <w:lang w:eastAsia="nb-NO"/>
        </w:rPr>
        <w:t>n. En tredje variant er Norges Banks sertifikatlån, som har løpetid opp mot 12 måneder og gjerne lavere rente enn obligasjonslån. Ulempen med slike lån er at man risikerer å måtte refinansiere til en høyere og kjent rente. Sertifikatlånsrente inneholder en belønning for å ta risiko og fr</w:t>
      </w:r>
      <w:r w:rsidR="00EA6503">
        <w:rPr>
          <w:lang w:eastAsia="nb-NO"/>
        </w:rPr>
        <w:t>a</w:t>
      </w:r>
      <w:r w:rsidR="005E215A">
        <w:rPr>
          <w:lang w:eastAsia="nb-NO"/>
        </w:rPr>
        <w:t xml:space="preserve">mstår derfor litt mindre relevant som referanserente. </w:t>
      </w:r>
      <w:r w:rsidR="00DD4252" w:rsidRPr="00DD4252">
        <w:rPr>
          <w:lang w:eastAsia="nb-NO"/>
        </w:rPr>
        <w:t xml:space="preserve">Som nevnt i delkapittel </w:t>
      </w:r>
      <w:r w:rsidR="00DD4252" w:rsidRPr="00DD4252">
        <w:rPr>
          <w:lang w:eastAsia="nb-NO"/>
        </w:rPr>
        <w:fldChar w:fldCharType="begin"/>
      </w:r>
      <w:r w:rsidR="00DD4252" w:rsidRPr="00DD4252">
        <w:rPr>
          <w:lang w:eastAsia="nb-NO"/>
        </w:rPr>
        <w:instrText xml:space="preserve"> REF _Ref167283660 \r \h </w:instrText>
      </w:r>
      <w:r w:rsidR="00DD4252">
        <w:rPr>
          <w:lang w:eastAsia="nb-NO"/>
        </w:rPr>
        <w:instrText xml:space="preserve"> \* MERGEFORMAT </w:instrText>
      </w:r>
      <w:r w:rsidR="00DD4252" w:rsidRPr="00DD4252">
        <w:rPr>
          <w:lang w:eastAsia="nb-NO"/>
        </w:rPr>
      </w:r>
      <w:r w:rsidR="00DD4252" w:rsidRPr="00DD4252">
        <w:rPr>
          <w:lang w:eastAsia="nb-NO"/>
        </w:rPr>
        <w:fldChar w:fldCharType="separate"/>
      </w:r>
      <w:r w:rsidR="009B1DA8">
        <w:rPr>
          <w:lang w:eastAsia="nb-NO"/>
        </w:rPr>
        <w:t>1.4</w:t>
      </w:r>
      <w:r w:rsidR="00DD4252" w:rsidRPr="00DD4252">
        <w:rPr>
          <w:lang w:eastAsia="nb-NO"/>
        </w:rPr>
        <w:fldChar w:fldCharType="end"/>
      </w:r>
      <w:r w:rsidR="00DD4252" w:rsidRPr="00DD4252">
        <w:rPr>
          <w:lang w:eastAsia="nb-NO"/>
        </w:rPr>
        <w:t xml:space="preserve"> dokumenterer </w:t>
      </w:r>
      <w:r w:rsidR="00DD4252" w:rsidRPr="00DD4252">
        <w:t>Borge og Lindset (2022) utst</w:t>
      </w:r>
      <w:r w:rsidR="007C06AE">
        <w:t>r</w:t>
      </w:r>
      <w:r w:rsidR="00DD4252" w:rsidRPr="00DD4252">
        <w:t>akt bruk av kort</w:t>
      </w:r>
      <w:r w:rsidR="006A0A77">
        <w:t xml:space="preserve">siktig </w:t>
      </w:r>
      <w:r w:rsidR="00DD4252" w:rsidRPr="00DD4252">
        <w:t>finansiering blant primærkommunene og positiv korrelasjon mellom frie inntekter og totalt samlet låneopptak.</w:t>
      </w:r>
    </w:p>
    <w:p w14:paraId="7D20AF49" w14:textId="7AEBE09D" w:rsidR="009F42FB" w:rsidRDefault="009F42FB" w:rsidP="009F42FB">
      <w:pPr>
        <w:rPr>
          <w:lang w:eastAsia="nb-NO"/>
        </w:rPr>
      </w:pPr>
      <w:r w:rsidRPr="009F42FB">
        <w:rPr>
          <w:lang w:eastAsia="nb-NO"/>
        </w:rPr>
        <w:t xml:space="preserve">Kommunalbanken utgjør den primære kreditoren for primærkommunene og fylkeskommunene. </w:t>
      </w:r>
      <w:r w:rsidR="0074235F">
        <w:rPr>
          <w:lang w:eastAsia="nb-NO"/>
        </w:rPr>
        <w:t>Følgelig er</w:t>
      </w:r>
      <w:r w:rsidRPr="009F42FB">
        <w:rPr>
          <w:lang w:eastAsia="nb-NO"/>
        </w:rPr>
        <w:t xml:space="preserve"> reguleringen av Kommunalbankens lånevirksomhet viktig for låneopptaket i kommunal sektor. </w:t>
      </w:r>
      <w:r w:rsidR="00DD4252" w:rsidRPr="00DD4252">
        <w:rPr>
          <w:lang w:eastAsia="nb-NO"/>
        </w:rPr>
        <w:t>Kommunalbanken krever sikringsbokføring for 20 prosent av bankens portefølje av fastrenteutlån, hvilket påvirker hvem som kjøper gjelden</w:t>
      </w:r>
      <w:r w:rsidRPr="009F42FB">
        <w:rPr>
          <w:lang w:eastAsia="nb-NO"/>
        </w:rPr>
        <w:t xml:space="preserve">. </w:t>
      </w:r>
      <w:r w:rsidR="00DD4252" w:rsidRPr="00DD4252">
        <w:rPr>
          <w:lang w:eastAsia="nb-NO"/>
        </w:rPr>
        <w:t xml:space="preserve">I praksis fører </w:t>
      </w:r>
      <w:r w:rsidR="006A0A77">
        <w:rPr>
          <w:lang w:eastAsia="nb-NO"/>
        </w:rPr>
        <w:t xml:space="preserve">det </w:t>
      </w:r>
      <w:r w:rsidR="00DD4252" w:rsidRPr="00DD4252">
        <w:rPr>
          <w:lang w:eastAsia="nb-NO"/>
        </w:rPr>
        <w:t>til at norske banker styrer un</w:t>
      </w:r>
      <w:r w:rsidR="00232B8E">
        <w:rPr>
          <w:lang w:eastAsia="nb-NO"/>
        </w:rPr>
        <w:t>na</w:t>
      </w:r>
      <w:r w:rsidR="00DD4252" w:rsidRPr="00DD4252">
        <w:rPr>
          <w:lang w:eastAsia="nb-NO"/>
        </w:rPr>
        <w:t xml:space="preserve"> obligasjonene til kommunalbanken.</w:t>
      </w:r>
      <w:r w:rsidRPr="009F42FB">
        <w:rPr>
          <w:lang w:eastAsia="nb-NO"/>
        </w:rPr>
        <w:t xml:space="preserve"> Det samme gjelder </w:t>
      </w:r>
      <w:r w:rsidR="00475529">
        <w:rPr>
          <w:lang w:eastAsia="nb-NO"/>
        </w:rPr>
        <w:t xml:space="preserve">langt på vei også </w:t>
      </w:r>
      <w:r w:rsidRPr="009F42FB">
        <w:rPr>
          <w:lang w:eastAsia="nb-NO"/>
        </w:rPr>
        <w:t xml:space="preserve">andre europeiske investorer, som i stor grad også må forholde seg til norsk regelverk og derfor ikke spiller noen sentral rolle som oppkjøpere. </w:t>
      </w:r>
      <w:r w:rsidR="00DD4252" w:rsidRPr="00DD4252">
        <w:rPr>
          <w:lang w:eastAsia="nb-NO"/>
        </w:rPr>
        <w:t>Isteden dominerer amerikan</w:t>
      </w:r>
      <w:r w:rsidR="00D36A65">
        <w:rPr>
          <w:lang w:eastAsia="nb-NO"/>
        </w:rPr>
        <w:t xml:space="preserve">ske banker </w:t>
      </w:r>
      <w:r w:rsidR="00DD4252" w:rsidRPr="00DD4252">
        <w:rPr>
          <w:lang w:eastAsia="nb-NO"/>
        </w:rPr>
        <w:t xml:space="preserve">oppkjøpet av obligasjonene, da de </w:t>
      </w:r>
      <w:r w:rsidR="00D36A65">
        <w:rPr>
          <w:lang w:eastAsia="nb-NO"/>
        </w:rPr>
        <w:t>i mindre grad</w:t>
      </w:r>
      <w:r w:rsidR="00DD4252" w:rsidRPr="00DD4252">
        <w:rPr>
          <w:lang w:eastAsia="nb-NO"/>
        </w:rPr>
        <w:t xml:space="preserve"> forholder seg til norske regler.</w:t>
      </w:r>
      <w:r w:rsidRPr="009F42FB">
        <w:rPr>
          <w:lang w:eastAsia="nb-NO"/>
        </w:rPr>
        <w:t xml:space="preserve"> Gjeldsstrukturen får konsekvenser for Kommunalbankens videre tilpasning og med det også låne</w:t>
      </w:r>
      <w:r w:rsidR="002503F5">
        <w:rPr>
          <w:lang w:eastAsia="nb-NO"/>
        </w:rPr>
        <w:t>renten</w:t>
      </w:r>
      <w:r w:rsidR="00475529">
        <w:rPr>
          <w:lang w:eastAsia="nb-NO"/>
        </w:rPr>
        <w:t>.</w:t>
      </w:r>
      <w:r w:rsidRPr="009F42FB">
        <w:rPr>
          <w:lang w:eastAsia="nb-NO"/>
        </w:rPr>
        <w:t xml:space="preserve"> </w:t>
      </w:r>
      <w:r w:rsidR="00DD4252" w:rsidRPr="00DD4252">
        <w:rPr>
          <w:lang w:eastAsia="nb-NO"/>
        </w:rPr>
        <w:t>På grunn av valutakursen investerer Kommunalbanken i valutasikringsderivater for å overføre valutarisiko til derivatrisiko.</w:t>
      </w:r>
      <w:r w:rsidRPr="009F42FB">
        <w:rPr>
          <w:lang w:eastAsia="nb-NO"/>
        </w:rPr>
        <w:t xml:space="preserve"> De andre nordiske landene</w:t>
      </w:r>
      <w:r w:rsidR="00DD4252" w:rsidRPr="00DD4252">
        <w:rPr>
          <w:lang w:eastAsia="nb-NO"/>
        </w:rPr>
        <w:t xml:space="preserve"> har ikke tilsvarende sikringsbokføring og finansierer i større grad </w:t>
      </w:r>
      <w:r w:rsidRPr="009F42FB">
        <w:rPr>
          <w:lang w:eastAsia="nb-NO"/>
        </w:rPr>
        <w:t xml:space="preserve">gjelden lokalt. </w:t>
      </w:r>
      <w:r w:rsidR="00DD4252" w:rsidRPr="00DD4252">
        <w:rPr>
          <w:lang w:eastAsia="nb-NO"/>
        </w:rPr>
        <w:t xml:space="preserve">Uansett bidrar </w:t>
      </w:r>
      <w:r w:rsidR="006A0A77">
        <w:rPr>
          <w:lang w:eastAsia="nb-NO"/>
        </w:rPr>
        <w:t>utformingen av regulering</w:t>
      </w:r>
      <w:r w:rsidR="008D3FD4">
        <w:rPr>
          <w:lang w:eastAsia="nb-NO"/>
        </w:rPr>
        <w:t xml:space="preserve">srammeverket </w:t>
      </w:r>
      <w:r w:rsidR="00DD4252" w:rsidRPr="00DD4252">
        <w:rPr>
          <w:lang w:eastAsia="nb-NO"/>
        </w:rPr>
        <w:t xml:space="preserve">til at </w:t>
      </w:r>
      <w:r w:rsidR="00DD4252" w:rsidRPr="00DD4252">
        <w:rPr>
          <w:lang w:eastAsia="nb-NO"/>
        </w:rPr>
        <w:lastRenderedPageBreak/>
        <w:t>kommunalbankens rente er relativt ustabil i forhold til tilsvarende renter i de andre nordiske landene og liknende renter inn</w:t>
      </w:r>
      <w:r w:rsidR="000B0437">
        <w:rPr>
          <w:lang w:eastAsia="nb-NO"/>
        </w:rPr>
        <w:t>en</w:t>
      </w:r>
      <w:r w:rsidR="00DD4252" w:rsidRPr="00DD4252">
        <w:rPr>
          <w:lang w:eastAsia="nb-NO"/>
        </w:rPr>
        <w:t>lands.</w:t>
      </w:r>
    </w:p>
    <w:p w14:paraId="2B217F5E" w14:textId="7764C164" w:rsidR="00DD4252" w:rsidRDefault="00C2581D" w:rsidP="009F42FB">
      <w:pPr>
        <w:rPr>
          <w:lang w:eastAsia="nb-NO"/>
        </w:rPr>
      </w:pPr>
      <w:r w:rsidRPr="00C2581D">
        <w:rPr>
          <w:lang w:eastAsia="nb-NO"/>
        </w:rPr>
        <w:t>En f</w:t>
      </w:r>
      <w:r w:rsidR="007B003D" w:rsidRPr="00C2581D">
        <w:rPr>
          <w:lang w:eastAsia="nb-NO"/>
        </w:rPr>
        <w:t>ordel med å bruke kommunal lånerente i beregning av utgiftskompensasjon</w:t>
      </w:r>
      <w:r w:rsidRPr="00C2581D">
        <w:rPr>
          <w:lang w:eastAsia="nb-NO"/>
        </w:rPr>
        <w:t xml:space="preserve"> er at den</w:t>
      </w:r>
      <w:r w:rsidR="007B003D" w:rsidRPr="00C2581D">
        <w:rPr>
          <w:lang w:eastAsia="nb-NO"/>
        </w:rPr>
        <w:t xml:space="preserve"> </w:t>
      </w:r>
      <w:r w:rsidRPr="00C2581D">
        <w:rPr>
          <w:lang w:eastAsia="nb-NO"/>
        </w:rPr>
        <w:t>f</w:t>
      </w:r>
      <w:r w:rsidR="007B003D" w:rsidRPr="00C2581D">
        <w:rPr>
          <w:lang w:eastAsia="nb-NO"/>
        </w:rPr>
        <w:t>ølger kommunale gjeldsrenter godt</w:t>
      </w:r>
      <w:r w:rsidRPr="00C2581D">
        <w:rPr>
          <w:lang w:eastAsia="nb-NO"/>
        </w:rPr>
        <w:t xml:space="preserve">. </w:t>
      </w:r>
      <w:r>
        <w:rPr>
          <w:lang w:eastAsia="nb-NO"/>
        </w:rPr>
        <w:t>Det er imidlertid også flere ulemper. Til tider vil nominelle lånerenter implisere negative realrenter</w:t>
      </w:r>
      <w:r w:rsidR="00EF1CB4">
        <w:rPr>
          <w:lang w:eastAsia="nb-NO"/>
        </w:rPr>
        <w:t xml:space="preserve">. Videre innebærer </w:t>
      </w:r>
      <w:r w:rsidR="002503F5">
        <w:rPr>
          <w:lang w:eastAsia="nb-NO"/>
        </w:rPr>
        <w:t>renten</w:t>
      </w:r>
      <w:r w:rsidR="00EF1CB4">
        <w:rPr>
          <w:lang w:eastAsia="nb-NO"/>
        </w:rPr>
        <w:t xml:space="preserve"> h</w:t>
      </w:r>
      <w:r w:rsidR="00EF1CB4" w:rsidRPr="00EF1CB4">
        <w:rPr>
          <w:lang w:eastAsia="nb-NO"/>
        </w:rPr>
        <w:t xml:space="preserve">øy volatilitet med mindre man lager glidende gjennomsnitt </w:t>
      </w:r>
      <w:r w:rsidR="00D37EFC" w:rsidRPr="00D37EFC">
        <w:rPr>
          <w:lang w:eastAsia="nb-NO"/>
        </w:rPr>
        <w:t xml:space="preserve">à la </w:t>
      </w:r>
      <w:r w:rsidR="00EF1CB4" w:rsidRPr="00EF1CB4">
        <w:rPr>
          <w:lang w:eastAsia="nb-NO"/>
        </w:rPr>
        <w:t>kalkyle</w:t>
      </w:r>
      <w:r w:rsidR="002503F5">
        <w:rPr>
          <w:lang w:eastAsia="nb-NO"/>
        </w:rPr>
        <w:t>renten</w:t>
      </w:r>
      <w:r w:rsidR="00EF1CB4" w:rsidRPr="00EF1CB4">
        <w:rPr>
          <w:lang w:eastAsia="nb-NO"/>
        </w:rPr>
        <w:t xml:space="preserve"> over.</w:t>
      </w:r>
      <w:r w:rsidR="00EF1CB4">
        <w:rPr>
          <w:lang w:eastAsia="nb-NO"/>
        </w:rPr>
        <w:t xml:space="preserve"> Fra et teoretisk ståsted er det også lite tilfredsstillende å kun se på lånerenter, i og med at</w:t>
      </w:r>
      <w:r w:rsidR="00EF1CB4" w:rsidRPr="00EF1CB4">
        <w:t xml:space="preserve"> </w:t>
      </w:r>
      <w:r w:rsidR="00EF1CB4" w:rsidRPr="00EF1CB4">
        <w:rPr>
          <w:lang w:eastAsia="nb-NO"/>
        </w:rPr>
        <w:t>risikopremien på egenkapital ikke tas hensyn til.</w:t>
      </w:r>
      <w:r w:rsidR="00EF1CB4">
        <w:rPr>
          <w:lang w:eastAsia="nb-NO"/>
        </w:rPr>
        <w:t xml:space="preserve"> Forskjeller i lånerenter mellom ulike typer av kommuner kan også reflektere ulik grad av risikoeksponering med tanke på sammensetningen av kortsiktig og langsiktig gjeld, samt anvendelser og sikring.</w:t>
      </w:r>
    </w:p>
    <w:p w14:paraId="6D9DDFEB" w14:textId="3968AE43" w:rsidR="003E77E8" w:rsidRDefault="003E77E8" w:rsidP="009F42FB">
      <w:pPr>
        <w:rPr>
          <w:lang w:eastAsia="nb-NO"/>
        </w:rPr>
      </w:pPr>
      <w:r>
        <w:rPr>
          <w:lang w:eastAsia="nb-NO"/>
        </w:rPr>
        <w:t>I prinsippet kan kommunenes gjennomsnittlige lånerente regnes ut som rentekostnader over gjeld. Kommunene har imidlertid andre finansielle kostnader</w:t>
      </w:r>
      <w:r w:rsidR="00274139">
        <w:rPr>
          <w:lang w:eastAsia="nb-NO"/>
        </w:rPr>
        <w:t>,</w:t>
      </w:r>
      <w:r>
        <w:rPr>
          <w:lang w:eastAsia="nb-NO"/>
        </w:rPr>
        <w:t xml:space="preserve"> som kunne vært innregnet. Dette inkluderer en del finansielle poster som både kan være positive og negative, som verdiutviklingen </w:t>
      </w:r>
      <w:r w:rsidR="00FA6B66">
        <w:rPr>
          <w:lang w:eastAsia="nb-NO"/>
        </w:rPr>
        <w:t>på</w:t>
      </w:r>
      <w:r>
        <w:rPr>
          <w:lang w:eastAsia="nb-NO"/>
        </w:rPr>
        <w:t xml:space="preserve"> verdipapirer og nettogevinster knyttet til valuta. Videre vil gjelds</w:t>
      </w:r>
      <w:r w:rsidR="002503F5">
        <w:rPr>
          <w:lang w:eastAsia="nb-NO"/>
        </w:rPr>
        <w:t>renten</w:t>
      </w:r>
      <w:r>
        <w:rPr>
          <w:lang w:eastAsia="nb-NO"/>
        </w:rPr>
        <w:t xml:space="preserve"> avhenge av omfanget og løpetiden på gjelden. Dessuten vil lav gjeldsgrad innebære høy egenkapital, som man kan argumentere for bør stå overfor et høyere avkastningskrav, jamfør seksjon </w:t>
      </w:r>
      <w:r>
        <w:rPr>
          <w:lang w:eastAsia="nb-NO"/>
        </w:rPr>
        <w:fldChar w:fldCharType="begin"/>
      </w:r>
      <w:r>
        <w:rPr>
          <w:lang w:eastAsia="nb-NO"/>
        </w:rPr>
        <w:instrText xml:space="preserve"> REF _Ref178616717 \r \h </w:instrText>
      </w:r>
      <w:r>
        <w:rPr>
          <w:lang w:eastAsia="nb-NO"/>
        </w:rPr>
      </w:r>
      <w:r>
        <w:rPr>
          <w:lang w:eastAsia="nb-NO"/>
        </w:rPr>
        <w:fldChar w:fldCharType="separate"/>
      </w:r>
      <w:r w:rsidR="009B1DA8">
        <w:rPr>
          <w:lang w:eastAsia="nb-NO"/>
        </w:rPr>
        <w:t>2.2.5</w:t>
      </w:r>
      <w:r>
        <w:rPr>
          <w:lang w:eastAsia="nb-NO"/>
        </w:rPr>
        <w:fldChar w:fldCharType="end"/>
      </w:r>
      <w:r>
        <w:rPr>
          <w:lang w:eastAsia="nb-NO"/>
        </w:rPr>
        <w:t>.</w:t>
      </w:r>
    </w:p>
    <w:p w14:paraId="2393CE1A" w14:textId="77777777" w:rsidR="007B003D" w:rsidRDefault="007B003D" w:rsidP="007B003D">
      <w:pPr>
        <w:pStyle w:val="Overskrift3"/>
      </w:pPr>
      <w:bookmarkStart w:id="51" w:name="_Ref178616717"/>
      <w:r w:rsidRPr="0055149C">
        <w:t>Kalkyle- eller lånerente med tillegg av risikopremie på egenkapitalen</w:t>
      </w:r>
      <w:bookmarkEnd w:id="51"/>
    </w:p>
    <w:p w14:paraId="7779EAFA" w14:textId="77777777" w:rsidR="00C172EF" w:rsidRDefault="000C1FF4" w:rsidP="009B6BEB">
      <w:pPr>
        <w:rPr>
          <w:lang w:eastAsia="nb-NO"/>
        </w:rPr>
      </w:pPr>
      <w:r>
        <w:rPr>
          <w:lang w:eastAsia="nb-NO"/>
        </w:rPr>
        <w:t xml:space="preserve">Det faktum at kommunene </w:t>
      </w:r>
      <w:r w:rsidR="0087242C">
        <w:rPr>
          <w:lang w:eastAsia="nb-NO"/>
        </w:rPr>
        <w:t xml:space="preserve">både er eksponert for risiko og </w:t>
      </w:r>
      <w:r>
        <w:rPr>
          <w:lang w:eastAsia="nb-NO"/>
        </w:rPr>
        <w:t xml:space="preserve">ikke utelukkende </w:t>
      </w:r>
      <w:r w:rsidR="0087242C">
        <w:rPr>
          <w:lang w:eastAsia="nb-NO"/>
        </w:rPr>
        <w:t xml:space="preserve">er </w:t>
      </w:r>
      <w:r>
        <w:rPr>
          <w:lang w:eastAsia="nb-NO"/>
        </w:rPr>
        <w:t>gjeldsfinansierte taler for at man legger til en risikopremie. Det gjelder enten man operer</w:t>
      </w:r>
      <w:r w:rsidR="008C2B6B">
        <w:rPr>
          <w:lang w:eastAsia="nb-NO"/>
        </w:rPr>
        <w:t>er</w:t>
      </w:r>
      <w:r>
        <w:rPr>
          <w:lang w:eastAsia="nb-NO"/>
        </w:rPr>
        <w:t xml:space="preserve"> med en kalkulasjonsrente eller</w:t>
      </w:r>
      <w:r w:rsidR="00CB7D39">
        <w:rPr>
          <w:lang w:eastAsia="nb-NO"/>
        </w:rPr>
        <w:t xml:space="preserve"> en</w:t>
      </w:r>
      <w:r>
        <w:rPr>
          <w:lang w:eastAsia="nb-NO"/>
        </w:rPr>
        <w:t xml:space="preserve"> kalkylerente og legger til et risikopåslag, eller man operer</w:t>
      </w:r>
      <w:r w:rsidR="008C2B6B">
        <w:rPr>
          <w:lang w:eastAsia="nb-NO"/>
        </w:rPr>
        <w:t>er</w:t>
      </w:r>
      <w:r>
        <w:rPr>
          <w:lang w:eastAsia="nb-NO"/>
        </w:rPr>
        <w:t xml:space="preserve"> med separate avkastningskrav for gjelden og egenkapitalen.</w:t>
      </w:r>
      <w:r w:rsidR="00666070">
        <w:rPr>
          <w:lang w:eastAsia="nb-NO"/>
        </w:rPr>
        <w:t xml:space="preserve"> Når avkastningskrav fastsettes i </w:t>
      </w:r>
      <w:r w:rsidR="00666070" w:rsidRPr="00666070">
        <w:rPr>
          <w:lang w:eastAsia="nb-NO"/>
        </w:rPr>
        <w:t>finanssektoren</w:t>
      </w:r>
      <w:r w:rsidR="00C11A7C">
        <w:rPr>
          <w:lang w:eastAsia="nb-NO"/>
        </w:rPr>
        <w:t>,</w:t>
      </w:r>
      <w:r w:rsidR="009823DC" w:rsidRPr="00666070">
        <w:rPr>
          <w:lang w:eastAsia="nb-NO"/>
        </w:rPr>
        <w:t xml:space="preserve"> er det v</w:t>
      </w:r>
      <w:r w:rsidR="00DD4252" w:rsidRPr="00DD4252">
        <w:rPr>
          <w:lang w:eastAsia="nb-NO"/>
        </w:rPr>
        <w:t xml:space="preserve">anlig å legge påslag på en </w:t>
      </w:r>
      <w:r w:rsidR="00666070" w:rsidRPr="00666070">
        <w:rPr>
          <w:lang w:eastAsia="nb-NO"/>
        </w:rPr>
        <w:t>rente for en obligasjon med lav risikoeksponering, for eksempel en statsobligasjon</w:t>
      </w:r>
      <w:r w:rsidR="00DD4252" w:rsidRPr="00DD4252">
        <w:rPr>
          <w:lang w:eastAsia="nb-NO"/>
        </w:rPr>
        <w:t>.</w:t>
      </w:r>
    </w:p>
    <w:p w14:paraId="5489C865" w14:textId="034B2643" w:rsidR="00B15392" w:rsidRDefault="00B15392" w:rsidP="007B003D">
      <w:r w:rsidRPr="00B15392">
        <w:t xml:space="preserve">Norske kommuner finansierer sine investeringer med en blanding av egenkapital og gjeld. Som forklart i seksjon </w:t>
      </w:r>
      <w:r>
        <w:fldChar w:fldCharType="begin"/>
      </w:r>
      <w:r>
        <w:instrText xml:space="preserve"> REF _Ref178623875 \r \h </w:instrText>
      </w:r>
      <w:r>
        <w:fldChar w:fldCharType="separate"/>
      </w:r>
      <w:r w:rsidR="009B1DA8">
        <w:t>2.2.1</w:t>
      </w:r>
      <w:r>
        <w:fldChar w:fldCharType="end"/>
      </w:r>
      <w:r w:rsidRPr="00B15392">
        <w:t xml:space="preserve"> er kravet til forventet avkastning av egenkapital høyere enn gjeldsrenten, fordi avkastningen er usikker. I ytterste fall risikerer man at det man investerer i, ikke gir avkastning overhodet eller attpåtil negativ avkastning.</w:t>
      </w:r>
    </w:p>
    <w:p w14:paraId="753DD40B" w14:textId="3C6C2F88" w:rsidR="0011273E" w:rsidRDefault="007B003D" w:rsidP="007B003D">
      <w:r w:rsidRPr="004B19C7">
        <w:t xml:space="preserve">Stilt overfor en konkret investering er det ikke klart om </w:t>
      </w:r>
      <w:r w:rsidR="004B19C7" w:rsidRPr="004B19C7">
        <w:t>i hvilken grad</w:t>
      </w:r>
      <w:r w:rsidRPr="004B19C7">
        <w:t xml:space="preserve"> den finansieres av gjeldsopptak</w:t>
      </w:r>
      <w:r w:rsidR="004B19C7" w:rsidRPr="004B19C7">
        <w:t xml:space="preserve"> eller</w:t>
      </w:r>
      <w:r w:rsidRPr="004B19C7">
        <w:t xml:space="preserve"> egenkapital. Den vektede, gjennomsnittlige renten utgjør forventet rente på beslutningspunktet. Det kan</w:t>
      </w:r>
      <w:r w:rsidRPr="0055149C">
        <w:t xml:space="preserve"> argumenteres for at denne </w:t>
      </w:r>
      <w:r w:rsidR="002503F5">
        <w:t>renten</w:t>
      </w:r>
      <w:r w:rsidRPr="0055149C">
        <w:t xml:space="preserve"> bør inngå i utgiftsutjevning</w:t>
      </w:r>
      <w:r w:rsidR="00A85509">
        <w:t>en i inntektss</w:t>
      </w:r>
      <w:r w:rsidR="00A85509" w:rsidRPr="0055149C">
        <w:t>ystemet</w:t>
      </w:r>
      <w:r w:rsidRPr="0055149C">
        <w:t xml:space="preserve">. </w:t>
      </w:r>
      <w:r w:rsidR="004B19C7">
        <w:t xml:space="preserve">Som nevnt i seksjon </w:t>
      </w:r>
      <w:r w:rsidR="004B19C7">
        <w:fldChar w:fldCharType="begin"/>
      </w:r>
      <w:r w:rsidR="004B19C7">
        <w:instrText xml:space="preserve"> REF _Ref178623875 \r \h </w:instrText>
      </w:r>
      <w:r w:rsidR="004B19C7">
        <w:fldChar w:fldCharType="separate"/>
      </w:r>
      <w:r w:rsidR="009B1DA8">
        <w:t>2.2.1</w:t>
      </w:r>
      <w:r w:rsidR="004B19C7">
        <w:fldChar w:fldCharType="end"/>
      </w:r>
      <w:r w:rsidR="004B19C7">
        <w:t xml:space="preserve"> refereres den </w:t>
      </w:r>
      <w:r w:rsidRPr="0055149C">
        <w:t xml:space="preserve">vektede gjennomsnittlige </w:t>
      </w:r>
      <w:r w:rsidR="002503F5">
        <w:t>renten</w:t>
      </w:r>
      <w:r w:rsidRPr="0055149C">
        <w:t xml:space="preserve"> ofte </w:t>
      </w:r>
      <w:r w:rsidR="004B19C7">
        <w:t xml:space="preserve">til som </w:t>
      </w:r>
      <w:r w:rsidRPr="0011273E">
        <w:rPr>
          <w:b/>
          <w:bCs/>
          <w:color w:val="3672B0" w:themeColor="accent2"/>
        </w:rPr>
        <w:t>WACC</w:t>
      </w:r>
      <w:r w:rsidR="004B19C7">
        <w:t>-</w:t>
      </w:r>
      <w:r w:rsidR="002503F5">
        <w:t>renten</w:t>
      </w:r>
      <w:r w:rsidR="0011273E">
        <w:t xml:space="preserve"> etter det engelske begrepet </w:t>
      </w:r>
      <w:r w:rsidR="0011273E">
        <w:rPr>
          <w:lang w:eastAsia="nb-NO"/>
        </w:rPr>
        <w:t>«</w:t>
      </w:r>
      <w:r w:rsidR="0011273E" w:rsidRPr="00F57C92">
        <w:rPr>
          <w:i/>
          <w:iCs/>
          <w:color w:val="3672B0" w:themeColor="accent2"/>
          <w:lang w:eastAsia="nb-NO"/>
        </w:rPr>
        <w:t xml:space="preserve">Weighted </w:t>
      </w:r>
      <w:r w:rsidR="0011273E">
        <w:rPr>
          <w:i/>
          <w:iCs/>
          <w:color w:val="3672B0" w:themeColor="accent2"/>
          <w:lang w:eastAsia="nb-NO"/>
        </w:rPr>
        <w:t>A</w:t>
      </w:r>
      <w:r w:rsidR="0011273E" w:rsidRPr="00F57C92">
        <w:rPr>
          <w:i/>
          <w:iCs/>
          <w:color w:val="3672B0" w:themeColor="accent2"/>
          <w:lang w:eastAsia="nb-NO"/>
        </w:rPr>
        <w:t xml:space="preserve">verage </w:t>
      </w:r>
      <w:r w:rsidR="0011273E">
        <w:rPr>
          <w:i/>
          <w:iCs/>
          <w:color w:val="3672B0" w:themeColor="accent2"/>
          <w:lang w:eastAsia="nb-NO"/>
        </w:rPr>
        <w:t>Co</w:t>
      </w:r>
      <w:r w:rsidR="0011273E" w:rsidRPr="00F57C92">
        <w:rPr>
          <w:i/>
          <w:iCs/>
          <w:color w:val="3672B0" w:themeColor="accent2"/>
          <w:lang w:eastAsia="nb-NO"/>
        </w:rPr>
        <w:t xml:space="preserve">st of </w:t>
      </w:r>
      <w:r w:rsidR="0011273E">
        <w:rPr>
          <w:i/>
          <w:iCs/>
          <w:color w:val="3672B0" w:themeColor="accent2"/>
          <w:lang w:eastAsia="nb-NO"/>
        </w:rPr>
        <w:t>C</w:t>
      </w:r>
      <w:r w:rsidR="0011273E" w:rsidRPr="00F57C92">
        <w:rPr>
          <w:i/>
          <w:iCs/>
          <w:color w:val="3672B0" w:themeColor="accent2"/>
          <w:lang w:eastAsia="nb-NO"/>
        </w:rPr>
        <w:t>apital</w:t>
      </w:r>
      <w:r w:rsidR="0011273E" w:rsidRPr="000F50C9">
        <w:rPr>
          <w:lang w:eastAsia="nb-NO"/>
        </w:rPr>
        <w:t>»</w:t>
      </w:r>
      <w:r w:rsidR="0011273E">
        <w:rPr>
          <w:lang w:eastAsia="nb-NO"/>
        </w:rPr>
        <w:t>.</w:t>
      </w:r>
    </w:p>
    <w:p w14:paraId="242A24C8" w14:textId="47774293" w:rsidR="007B003D" w:rsidRDefault="007B003D" w:rsidP="007B003D">
      <w:r w:rsidRPr="0055149C">
        <w:t>Skal man regne ut WACC-</w:t>
      </w:r>
      <w:r w:rsidR="002503F5">
        <w:t>renten</w:t>
      </w:r>
      <w:r w:rsidRPr="0055149C">
        <w:t xml:space="preserve">, er det eneste praktiske å bruke den gjennomsnittlige gjeldsandelen over alle primærkommuner til å beregne skjæringspunktet mellom gjeld og egenkapital. </w:t>
      </w:r>
      <w:r w:rsidR="004C77F0">
        <w:t xml:space="preserve">Egenkapitalen regnes i så fall ut som differansen mellom </w:t>
      </w:r>
      <w:r w:rsidR="002F31F7">
        <w:t>samlet kapital – utledet ved DM eller PIM – og gjelden.</w:t>
      </w:r>
      <w:r w:rsidR="00AE5FB6">
        <w:t xml:space="preserve"> </w:t>
      </w:r>
      <w:r w:rsidRPr="0055149C">
        <w:t xml:space="preserve">Eventuelt kan man bruke en egen andel for fylkeskommuner. Som diskutert i </w:t>
      </w:r>
      <w:r w:rsidR="00870CF1">
        <w:t>seksjon</w:t>
      </w:r>
      <w:r w:rsidR="0011273E">
        <w:t xml:space="preserve"> </w:t>
      </w:r>
      <w:r w:rsidR="0011273E">
        <w:fldChar w:fldCharType="begin"/>
      </w:r>
      <w:r w:rsidR="0011273E">
        <w:instrText xml:space="preserve"> REF _Ref178624063 \r \h </w:instrText>
      </w:r>
      <w:r w:rsidR="0011273E">
        <w:fldChar w:fldCharType="separate"/>
      </w:r>
      <w:r w:rsidR="009B1DA8">
        <w:t>2.2.4</w:t>
      </w:r>
      <w:r w:rsidR="0011273E">
        <w:fldChar w:fldCharType="end"/>
      </w:r>
      <w:r w:rsidRPr="0055149C">
        <w:t xml:space="preserve"> har kommunene ulike gjeldsandeler, og det kan være en tendens til at høy gjeldsandel trekker med seg høy rente. Dette får man ikke tatt hensyn til ved å bruke den gjennomsnittlige andelen. </w:t>
      </w:r>
      <w:r w:rsidR="00EA6F07">
        <w:t>T</w:t>
      </w:r>
      <w:r w:rsidRPr="0055149C">
        <w:t xml:space="preserve">il gjengjeld </w:t>
      </w:r>
      <w:r w:rsidR="00EA6F07">
        <w:t xml:space="preserve">bevarer man </w:t>
      </w:r>
      <w:r w:rsidR="00774977">
        <w:t>f</w:t>
      </w:r>
      <w:r w:rsidRPr="0055149C">
        <w:t>inansieringsnøytralitet, siden den enkelte kommune i praksis ikke vil merke endring i WACC-</w:t>
      </w:r>
      <w:r w:rsidR="002503F5">
        <w:t>renten</w:t>
      </w:r>
      <w:r w:rsidR="00BB4401">
        <w:t>,</w:t>
      </w:r>
      <w:r w:rsidRPr="0055149C">
        <w:t xml:space="preserve"> </w:t>
      </w:r>
      <w:r w:rsidR="00D51581">
        <w:t>hvis</w:t>
      </w:r>
      <w:r w:rsidRPr="0055149C">
        <w:t xml:space="preserve"> den endrer egen gjeldsandel.</w:t>
      </w:r>
    </w:p>
    <w:p w14:paraId="11B7DD95" w14:textId="08F23D4E" w:rsidR="006E1428" w:rsidRDefault="007B003D" w:rsidP="006C5903">
      <w:r w:rsidRPr="0055149C">
        <w:lastRenderedPageBreak/>
        <w:t>WACC-</w:t>
      </w:r>
      <w:r w:rsidR="002503F5">
        <w:t>renten</w:t>
      </w:r>
      <w:r w:rsidRPr="0055149C">
        <w:t xml:space="preserve"> krever et empirisk anslag for risikopremien. </w:t>
      </w:r>
      <w:r w:rsidR="006C5903">
        <w:t>R</w:t>
      </w:r>
      <w:r w:rsidRPr="0055149C">
        <w:t xml:space="preserve">isikopremien </w:t>
      </w:r>
      <w:r w:rsidR="006C5903">
        <w:t>for kommunal sektor kan hentes utenfra sektoren</w:t>
      </w:r>
      <w:r w:rsidRPr="0055149C">
        <w:t>, siden kommunale investeringer som regel gir avkastning utenom markedet.</w:t>
      </w:r>
      <w:r w:rsidR="000C1FF4">
        <w:t xml:space="preserve"> </w:t>
      </w:r>
      <w:r w:rsidR="006C5903">
        <w:rPr>
          <w:lang w:eastAsia="nb-NO"/>
        </w:rPr>
        <w:t xml:space="preserve">Som nevnt i seksjon </w:t>
      </w:r>
      <w:r w:rsidR="006C5903">
        <w:rPr>
          <w:lang w:eastAsia="nb-NO"/>
        </w:rPr>
        <w:fldChar w:fldCharType="begin"/>
      </w:r>
      <w:r w:rsidR="006C5903">
        <w:rPr>
          <w:lang w:eastAsia="nb-NO"/>
        </w:rPr>
        <w:instrText xml:space="preserve"> REF _Ref178623875 \r \h </w:instrText>
      </w:r>
      <w:r w:rsidR="006C5903">
        <w:rPr>
          <w:lang w:eastAsia="nb-NO"/>
        </w:rPr>
      </w:r>
      <w:r w:rsidR="006C5903">
        <w:rPr>
          <w:lang w:eastAsia="nb-NO"/>
        </w:rPr>
        <w:fldChar w:fldCharType="separate"/>
      </w:r>
      <w:r w:rsidR="009B1DA8">
        <w:rPr>
          <w:lang w:eastAsia="nb-NO"/>
        </w:rPr>
        <w:t>2.2.1</w:t>
      </w:r>
      <w:r w:rsidR="006C5903">
        <w:rPr>
          <w:lang w:eastAsia="nb-NO"/>
        </w:rPr>
        <w:fldChar w:fldCharType="end"/>
      </w:r>
      <w:r w:rsidR="006C5903">
        <w:rPr>
          <w:lang w:eastAsia="nb-NO"/>
        </w:rPr>
        <w:t xml:space="preserve"> fastholdes anbefalingen til </w:t>
      </w:r>
      <w:r w:rsidR="006C5903" w:rsidRPr="009823DC">
        <w:rPr>
          <w:lang w:eastAsia="nb-NO"/>
        </w:rPr>
        <w:t>Hagen-utvalget (NOU 2012:16)</w:t>
      </w:r>
      <w:r w:rsidR="006C5903">
        <w:rPr>
          <w:lang w:eastAsia="nb-NO"/>
        </w:rPr>
        <w:t xml:space="preserve"> om et realavkastningskrav på offentlige investeringer på fire prosent i dag av </w:t>
      </w:r>
      <w:r w:rsidR="006C5903">
        <w:t xml:space="preserve">Finansdepartementet (2021) og Direktoratet for forvaltning og økonomistyring (2023). </w:t>
      </w:r>
      <w:r w:rsidR="006C5903" w:rsidRPr="009823DC">
        <w:rPr>
          <w:lang w:eastAsia="nb-NO"/>
        </w:rPr>
        <w:t>Hagen-utvalget</w:t>
      </w:r>
      <w:r w:rsidR="006C5903">
        <w:rPr>
          <w:lang w:eastAsia="nb-NO"/>
        </w:rPr>
        <w:t xml:space="preserve"> dekomponerer kravet i en rentefot på 2,5 prosent og en risikopremie på 1,5 prosent.</w:t>
      </w:r>
      <w:r w:rsidR="00DA3908">
        <w:rPr>
          <w:lang w:eastAsia="nb-NO"/>
        </w:rPr>
        <w:t xml:space="preserve"> </w:t>
      </w:r>
      <w:r w:rsidR="00DA3908">
        <w:t>Dette framstår som en naturlig kandidat for risikopremien også for inntektssystemtjenestene i kommunal sektor.</w:t>
      </w:r>
    </w:p>
    <w:p w14:paraId="6D643781" w14:textId="7836CF8A" w:rsidR="000C1FF4" w:rsidRPr="000C1FF4" w:rsidRDefault="00DA3908" w:rsidP="007B003D">
      <w:r w:rsidRPr="000C1FF4">
        <w:rPr>
          <w:lang w:eastAsia="nb-NO"/>
        </w:rPr>
        <w:t>Et tillegg for risikopremien er ikke inkludert i selvkostforskriften (Kommunal- og moderniseringsdepartementet 2019a), men formålet med bruk av en rente i utgiftsutjevningen er et annet enn selvfinansiering av kommunale gebyrfinansierte tjenester. Den kommunale kalkyle</w:t>
      </w:r>
      <w:r w:rsidR="002503F5">
        <w:rPr>
          <w:lang w:eastAsia="nb-NO"/>
        </w:rPr>
        <w:t>renten</w:t>
      </w:r>
      <w:r w:rsidRPr="000C1FF4">
        <w:rPr>
          <w:lang w:eastAsia="nb-NO"/>
        </w:rPr>
        <w:t xml:space="preserve"> </w:t>
      </w:r>
      <w:r w:rsidR="000C1FF4" w:rsidRPr="000C1FF4">
        <w:rPr>
          <w:lang w:eastAsia="nb-NO"/>
        </w:rPr>
        <w:t xml:space="preserve">for selvkosttjenester er i prinsippet en lånerente, hvilket taler for å legge til en risikopremie. </w:t>
      </w:r>
      <w:r w:rsidR="009823DC" w:rsidRPr="000C1FF4">
        <w:t xml:space="preserve">Konkursrisiko kan være en del av begrunnelsen for høy risikopremie i privat sektor, men </w:t>
      </w:r>
      <w:r w:rsidR="00A755B6">
        <w:t xml:space="preserve">denne risikoen </w:t>
      </w:r>
      <w:r w:rsidR="009823DC" w:rsidRPr="000C1FF4">
        <w:t xml:space="preserve">er langt lavere i kommunal sektor. </w:t>
      </w:r>
      <w:r w:rsidR="000C1FF4" w:rsidRPr="000C1FF4">
        <w:t xml:space="preserve">Riktignok risikerer kommuner med uheldig finansiell styring dårlig omdømme og å havne </w:t>
      </w:r>
      <w:r w:rsidR="00FC0931">
        <w:t xml:space="preserve">på </w:t>
      </w:r>
      <w:r w:rsidR="000C1FF4" w:rsidRPr="000C1FF4">
        <w:t xml:space="preserve">den såkalte </w:t>
      </w:r>
      <w:r w:rsidR="00935C29">
        <w:t>«</w:t>
      </w:r>
      <w:r w:rsidR="000C1FF4" w:rsidRPr="003574DD">
        <w:rPr>
          <w:b/>
          <w:bCs/>
          <w:color w:val="3672B0" w:themeColor="accent2"/>
        </w:rPr>
        <w:t>ROBEK</w:t>
      </w:r>
      <w:r w:rsidR="00935C29">
        <w:t>»</w:t>
      </w:r>
      <w:r w:rsidR="000C1FF4" w:rsidRPr="000C1FF4">
        <w:t>-lista («</w:t>
      </w:r>
      <w:r w:rsidR="000C1FF4" w:rsidRPr="003574DD">
        <w:rPr>
          <w:i/>
          <w:iCs/>
          <w:color w:val="3672B0" w:themeColor="accent2"/>
        </w:rPr>
        <w:t>Register om betinget godkjenning og kontroll</w:t>
      </w:r>
      <w:r w:rsidR="000C1FF4" w:rsidRPr="000C1FF4">
        <w:t>»)</w:t>
      </w:r>
      <w:r w:rsidR="00FB0CE8">
        <w:t xml:space="preserve"> </w:t>
      </w:r>
      <w:r w:rsidR="00FC0931">
        <w:t xml:space="preserve">over </w:t>
      </w:r>
      <w:r w:rsidR="00AE5FB6">
        <w:t>primær</w:t>
      </w:r>
      <w:r w:rsidR="00FC0931">
        <w:t>kommuner og fylkeskommuner</w:t>
      </w:r>
      <w:r w:rsidR="00FB0CE8">
        <w:t>. Kommuner på lista må</w:t>
      </w:r>
      <w:r w:rsidR="000C1FF4" w:rsidRPr="000C1FF4">
        <w:t xml:space="preserve"> på grunn av økonomisk ubalanse må ha statlig godkjenning på lån</w:t>
      </w:r>
      <w:r w:rsidR="002D5EFB">
        <w:t>e</w:t>
      </w:r>
      <w:r w:rsidR="000C1FF4" w:rsidRPr="000C1FF4">
        <w:t>opptak og investeringer som vil føre til langsiktige utgiftsforpliktelser.</w:t>
      </w:r>
    </w:p>
    <w:p w14:paraId="5E951F50" w14:textId="1A4E7FDC" w:rsidR="00774977" w:rsidRDefault="007B003D" w:rsidP="009823DC">
      <w:pPr>
        <w:rPr>
          <w:lang w:eastAsia="nb-NO"/>
        </w:rPr>
      </w:pPr>
      <w:r w:rsidRPr="00774977">
        <w:t xml:space="preserve">Det finnes mange andre beregninger av risikopremien. Det er vanlig å hente den fra børsen, og de senere årene har børsen både i Norge og ellers steget </w:t>
      </w:r>
      <w:r w:rsidR="0087242C">
        <w:t xml:space="preserve">med en rate som er </w:t>
      </w:r>
      <w:r w:rsidRPr="00774977">
        <w:t xml:space="preserve">langt </w:t>
      </w:r>
      <w:r w:rsidR="0087242C">
        <w:t xml:space="preserve">høyere </w:t>
      </w:r>
      <w:r w:rsidRPr="00774977">
        <w:t xml:space="preserve">enn </w:t>
      </w:r>
      <w:r w:rsidR="002503F5">
        <w:t>renten</w:t>
      </w:r>
      <w:r w:rsidRPr="00774977">
        <w:t xml:space="preserve"> på sikre objekter. </w:t>
      </w:r>
      <w:r w:rsidR="009823DC" w:rsidRPr="001F1D2E">
        <w:rPr>
          <w:lang w:eastAsia="nb-NO"/>
        </w:rPr>
        <w:t>PWC (2023)</w:t>
      </w:r>
      <w:r w:rsidR="009823DC">
        <w:rPr>
          <w:lang w:eastAsia="nb-NO"/>
        </w:rPr>
        <w:t xml:space="preserve"> anslår r</w:t>
      </w:r>
      <w:r w:rsidR="009823DC" w:rsidRPr="00D771D6">
        <w:rPr>
          <w:lang w:eastAsia="nb-NO"/>
        </w:rPr>
        <w:t>isikopremien</w:t>
      </w:r>
      <w:r w:rsidR="009823DC">
        <w:rPr>
          <w:lang w:eastAsia="nb-NO"/>
        </w:rPr>
        <w:t xml:space="preserve"> i det norske markedet</w:t>
      </w:r>
      <w:r w:rsidR="00B978D5">
        <w:rPr>
          <w:lang w:eastAsia="nb-NO"/>
        </w:rPr>
        <w:t xml:space="preserve"> til å ha ligget i</w:t>
      </w:r>
      <w:r w:rsidRPr="00774977">
        <w:t xml:space="preserve"> området </w:t>
      </w:r>
      <w:r w:rsidR="002D5EFB">
        <w:t xml:space="preserve">fem </w:t>
      </w:r>
      <w:r w:rsidRPr="00774977">
        <w:t>prosent</w:t>
      </w:r>
      <w:r w:rsidR="00B978D5">
        <w:t xml:space="preserve"> i senere år</w:t>
      </w:r>
      <w:r w:rsidR="009823DC">
        <w:t>, ikke ulikt alternative kilder</w:t>
      </w:r>
      <w:r w:rsidRPr="00774977">
        <w:t>.</w:t>
      </w:r>
      <w:r w:rsidR="009823DC">
        <w:rPr>
          <w:lang w:eastAsia="nb-NO"/>
        </w:rPr>
        <w:t xml:space="preserve"> </w:t>
      </w:r>
      <w:r w:rsidR="009823DC">
        <w:t>I sektormyndighetenes WACC-anslag dekomponeres avkastningskravet for gjeld og egenkapital, deriblant</w:t>
      </w:r>
      <w:r w:rsidR="009823DC">
        <w:rPr>
          <w:lang w:eastAsia="nb-NO"/>
        </w:rPr>
        <w:t xml:space="preserve"> </w:t>
      </w:r>
      <w:r w:rsidR="009823DC" w:rsidRPr="00560640">
        <w:rPr>
          <w:lang w:eastAsia="nb-NO"/>
        </w:rPr>
        <w:t>Reguleringsmyndigheten for energi</w:t>
      </w:r>
      <w:r w:rsidR="009823DC">
        <w:rPr>
          <w:lang w:eastAsia="nb-NO"/>
        </w:rPr>
        <w:t xml:space="preserve"> ved </w:t>
      </w:r>
      <w:r w:rsidR="009823DC" w:rsidRPr="00560640">
        <w:rPr>
          <w:lang w:eastAsia="nb-NO"/>
        </w:rPr>
        <w:t>Norges vassdrags- og energidirektorat</w:t>
      </w:r>
      <w:r w:rsidR="009823DC">
        <w:rPr>
          <w:lang w:eastAsia="nb-NO"/>
        </w:rPr>
        <w:t xml:space="preserve"> (2021) i elektrisitetsmarkedet og Nasjonal</w:t>
      </w:r>
      <w:r w:rsidR="00B205EF">
        <w:rPr>
          <w:lang w:eastAsia="nb-NO"/>
        </w:rPr>
        <w:t xml:space="preserve"> </w:t>
      </w:r>
      <w:r w:rsidR="009823DC">
        <w:rPr>
          <w:lang w:eastAsia="nb-NO"/>
        </w:rPr>
        <w:t xml:space="preserve">kommunikasjonsmyndighet (2023) i markedene for elektronisk kommunikasjon, mens </w:t>
      </w:r>
      <w:r w:rsidR="009823DC" w:rsidRPr="00B10D6E">
        <w:rPr>
          <w:lang w:eastAsia="nb-NO"/>
        </w:rPr>
        <w:t xml:space="preserve">Damodaran </w:t>
      </w:r>
      <w:r w:rsidR="009823DC">
        <w:rPr>
          <w:lang w:eastAsia="nb-NO"/>
        </w:rPr>
        <w:t>(</w:t>
      </w:r>
      <w:r w:rsidR="009823DC" w:rsidRPr="00B10D6E">
        <w:rPr>
          <w:lang w:eastAsia="nb-NO"/>
        </w:rPr>
        <w:t>2023</w:t>
      </w:r>
      <w:r w:rsidR="009823DC">
        <w:rPr>
          <w:lang w:eastAsia="nb-NO"/>
        </w:rPr>
        <w:t>) dekomponerer sine WACC-anslag til avkastningskrav på egenkapital og gjeld over næringer internasjonalt</w:t>
      </w:r>
      <w:r w:rsidR="00F41DBE">
        <w:rPr>
          <w:lang w:eastAsia="nb-NO"/>
        </w:rPr>
        <w:t>.</w:t>
      </w:r>
    </w:p>
    <w:p w14:paraId="746E9531" w14:textId="6D5DAE29" w:rsidR="00774977" w:rsidRDefault="00774977" w:rsidP="007B003D">
      <w:r>
        <w:rPr>
          <w:lang w:eastAsia="nb-NO"/>
        </w:rPr>
        <w:t>WACC kan estimeres ved hjelp av k</w:t>
      </w:r>
      <w:r w:rsidRPr="009A418C">
        <w:rPr>
          <w:lang w:eastAsia="nb-NO"/>
        </w:rPr>
        <w:t>apitalverdimodellen</w:t>
      </w:r>
      <w:r>
        <w:rPr>
          <w:lang w:eastAsia="nb-NO"/>
        </w:rPr>
        <w:t>,</w:t>
      </w:r>
      <w:r w:rsidRPr="009A418C">
        <w:rPr>
          <w:lang w:eastAsia="nb-NO"/>
        </w:rPr>
        <w:t xml:space="preserve"> </w:t>
      </w:r>
      <w:r>
        <w:rPr>
          <w:lang w:eastAsia="nb-NO"/>
        </w:rPr>
        <w:t xml:space="preserve">bedre kjent </w:t>
      </w:r>
      <w:r w:rsidRPr="00560640">
        <w:rPr>
          <w:lang w:eastAsia="nb-NO"/>
        </w:rPr>
        <w:t xml:space="preserve">som </w:t>
      </w:r>
      <w:r w:rsidR="00707A5D">
        <w:rPr>
          <w:lang w:eastAsia="nb-NO"/>
        </w:rPr>
        <w:t>«</w:t>
      </w:r>
      <w:r w:rsidRPr="00560640">
        <w:rPr>
          <w:b/>
          <w:bCs/>
          <w:color w:val="3672B0" w:themeColor="accent2"/>
          <w:lang w:eastAsia="nb-NO"/>
        </w:rPr>
        <w:t>CAPM</w:t>
      </w:r>
      <w:r w:rsidR="00707A5D">
        <w:t>»</w:t>
      </w:r>
      <w:r w:rsidRPr="00560640">
        <w:rPr>
          <w:lang w:eastAsia="nb-NO"/>
        </w:rPr>
        <w:t xml:space="preserve"> etter det</w:t>
      </w:r>
      <w:r>
        <w:rPr>
          <w:lang w:eastAsia="nb-NO"/>
        </w:rPr>
        <w:t xml:space="preserve"> engelske begrepet «</w:t>
      </w:r>
      <w:r w:rsidRPr="009A418C">
        <w:rPr>
          <w:i/>
          <w:iCs/>
          <w:color w:val="3672B0" w:themeColor="accent2"/>
          <w:lang w:eastAsia="nb-NO"/>
        </w:rPr>
        <w:t>Capital Asset Pricing Model</w:t>
      </w:r>
      <w:r w:rsidR="00590B16" w:rsidRPr="00590B16">
        <w:rPr>
          <w:color w:val="auto"/>
          <w:lang w:eastAsia="nb-NO"/>
        </w:rPr>
        <w:t>»</w:t>
      </w:r>
      <w:r w:rsidR="00590B16" w:rsidRPr="00590B16">
        <w:rPr>
          <w:color w:val="3672B0" w:themeColor="accent2"/>
          <w:lang w:eastAsia="nb-NO"/>
        </w:rPr>
        <w:t xml:space="preserve"> </w:t>
      </w:r>
      <w:r w:rsidR="00590B16">
        <w:rPr>
          <w:color w:val="auto"/>
          <w:lang w:eastAsia="nb-NO"/>
        </w:rPr>
        <w:t>(se Treynor 1961, Shar</w:t>
      </w:r>
      <w:r w:rsidR="006E345B">
        <w:rPr>
          <w:color w:val="auto"/>
          <w:lang w:eastAsia="nb-NO"/>
        </w:rPr>
        <w:t xml:space="preserve">pe 1964, Lintner 1965 </w:t>
      </w:r>
      <w:r w:rsidR="00060BB2">
        <w:rPr>
          <w:color w:val="auto"/>
          <w:lang w:eastAsia="nb-NO"/>
        </w:rPr>
        <w:t>og</w:t>
      </w:r>
      <w:r w:rsidR="006E345B">
        <w:rPr>
          <w:color w:val="auto"/>
          <w:lang w:eastAsia="nb-NO"/>
        </w:rPr>
        <w:t xml:space="preserve"> Mossin 1996)</w:t>
      </w:r>
      <w:r w:rsidR="00590B16" w:rsidRPr="00590B16">
        <w:rPr>
          <w:color w:val="auto"/>
          <w:lang w:eastAsia="nb-NO"/>
        </w:rPr>
        <w:t xml:space="preserve">. </w:t>
      </w:r>
      <w:r>
        <w:rPr>
          <w:lang w:eastAsia="nb-NO"/>
        </w:rPr>
        <w:t xml:space="preserve">Modellen er konsentrert rundt avveiningen mellom risikoeksponering og forventet avkastning. </w:t>
      </w:r>
      <w:r w:rsidR="00380D7B">
        <w:rPr>
          <w:lang w:eastAsia="nb-NO"/>
        </w:rPr>
        <w:t>Den</w:t>
      </w:r>
      <w:r w:rsidR="00380D7B" w:rsidRPr="00380D7B">
        <w:rPr>
          <w:lang w:eastAsia="nb-NO"/>
        </w:rPr>
        <w:t xml:space="preserve"> beregner forventet avkastning på en investering basert på risiko, den risikofrie renten og den forventede markedsavkastningen.</w:t>
      </w:r>
      <w:r w:rsidR="00380D7B">
        <w:rPr>
          <w:lang w:eastAsia="nb-NO"/>
        </w:rPr>
        <w:t xml:space="preserve"> </w:t>
      </w:r>
      <w:r>
        <w:rPr>
          <w:lang w:eastAsia="nb-NO"/>
        </w:rPr>
        <w:t>Andre retninger innenfor finansteori med relevans i denne sammenheng inkluderer arbitrasjeteori og opsjonsteori (se for eksempel Cochrane 2009 eller</w:t>
      </w:r>
      <w:r w:rsidRPr="000744A1">
        <w:t xml:space="preserve"> </w:t>
      </w:r>
      <w:r w:rsidRPr="000744A1">
        <w:rPr>
          <w:lang w:eastAsia="nb-NO"/>
        </w:rPr>
        <w:t>Danthine</w:t>
      </w:r>
      <w:r>
        <w:rPr>
          <w:lang w:eastAsia="nb-NO"/>
        </w:rPr>
        <w:t xml:space="preserve"> og </w:t>
      </w:r>
      <w:r w:rsidRPr="000744A1">
        <w:rPr>
          <w:lang w:eastAsia="nb-NO"/>
        </w:rPr>
        <w:t>Donaldson</w:t>
      </w:r>
      <w:r>
        <w:rPr>
          <w:lang w:eastAsia="nb-NO"/>
        </w:rPr>
        <w:t xml:space="preserve"> 2014 </w:t>
      </w:r>
      <w:r w:rsidR="00A05CFB">
        <w:rPr>
          <w:lang w:eastAsia="nb-NO"/>
        </w:rPr>
        <w:t>for en innføring i fag</w:t>
      </w:r>
      <w:r>
        <w:rPr>
          <w:lang w:eastAsia="nb-NO"/>
        </w:rPr>
        <w:t>litteraturen</w:t>
      </w:r>
      <w:r w:rsidR="00A05CFB">
        <w:rPr>
          <w:lang w:eastAsia="nb-NO"/>
        </w:rPr>
        <w:t xml:space="preserve"> i finans</w:t>
      </w:r>
      <w:r>
        <w:rPr>
          <w:lang w:eastAsia="nb-NO"/>
        </w:rPr>
        <w:t>).</w:t>
      </w:r>
    </w:p>
    <w:p w14:paraId="5F69424C" w14:textId="77777777" w:rsidR="007B003D" w:rsidRPr="0055149C" w:rsidRDefault="007B003D" w:rsidP="007B003D">
      <w:pPr>
        <w:pStyle w:val="Overskrift3"/>
      </w:pPr>
      <w:bookmarkStart w:id="52" w:name="_Ref167674974"/>
      <w:r w:rsidRPr="0055149C">
        <w:t>Grunnlaget for renteberegningene</w:t>
      </w:r>
      <w:bookmarkEnd w:id="52"/>
      <w:r w:rsidRPr="0055149C">
        <w:t xml:space="preserve"> </w:t>
      </w:r>
    </w:p>
    <w:p w14:paraId="6C7264C1" w14:textId="63FB33E8" w:rsidR="007B003D" w:rsidRDefault="007B003D" w:rsidP="007B003D">
      <w:pPr>
        <w:rPr>
          <w:lang w:eastAsia="nb-NO"/>
        </w:rPr>
      </w:pPr>
      <w:r w:rsidRPr="0055149C">
        <w:rPr>
          <w:lang w:eastAsia="nb-NO"/>
        </w:rPr>
        <w:t xml:space="preserve">I kommuneregnskapene er realkapitalen ført under varige driftsmidler og immaterielle eiendeler. I tillegg består kommunenes eiendeler av omløpsmidler, finansielle anleggsmidler og pensjonsmidler. Når det skal beregnes rentekostnader på kapitalen, vil særlig realkapitalen være relevant, da slike investeringer ikke uten videre </w:t>
      </w:r>
      <w:r w:rsidR="00772972">
        <w:rPr>
          <w:lang w:eastAsia="nb-NO"/>
        </w:rPr>
        <w:t>har avkas</w:t>
      </w:r>
      <w:r w:rsidR="00823E1B">
        <w:rPr>
          <w:lang w:eastAsia="nb-NO"/>
        </w:rPr>
        <w:t>ter av seg</w:t>
      </w:r>
      <w:r w:rsidR="00EC3384">
        <w:rPr>
          <w:lang w:eastAsia="nb-NO"/>
        </w:rPr>
        <w:t>, jo mindre</w:t>
      </w:r>
      <w:r w:rsidR="00463801">
        <w:rPr>
          <w:lang w:eastAsia="nb-NO"/>
        </w:rPr>
        <w:t xml:space="preserve"> de tas i bruk</w:t>
      </w:r>
      <w:r w:rsidRPr="0055149C">
        <w:rPr>
          <w:lang w:eastAsia="nb-NO"/>
        </w:rPr>
        <w:t xml:space="preserve">. Eiendom utgjør et viktig unntak, men samtidig kan prisutviklingen på eiendom skilles ut som en egen komponent. For andre deler av kapitalmassen enn realkapital bør kommunene kunne hente en ordinær avkastning i finansmarkedene til gitt risiko. Dette gjelder blant annet for </w:t>
      </w:r>
      <w:r w:rsidRPr="0055149C">
        <w:rPr>
          <w:lang w:eastAsia="nb-NO"/>
        </w:rPr>
        <w:lastRenderedPageBreak/>
        <w:t>pensjonsmidlene og for finansielle anleggsmidler som langsiktige eierposter og langsiktige utlån, herunder konvensjonelle utlån og langsiktige obligasjonsposisjoner. For omløpsmidler kan det være vanskeligere, fordi kapitalen enten må være relativt omsettelig og bidra til likviditet, eller fordi kapitalen deler egenskaper med realkapitalen ved at den er nært knyttet til produksjonen. Eksempler på det første inkluderer sertifikater og derivater, kortsiktige eierposter og bankinnskudd. Eksempler på det siste inkluderer varer, kortsiktige fordringer og kortsiktige utgående formaliserte lån.</w:t>
      </w:r>
      <w:r w:rsidR="00386AC6">
        <w:rPr>
          <w:lang w:eastAsia="nb-NO"/>
        </w:rPr>
        <w:t xml:space="preserve"> </w:t>
      </w:r>
      <w:r w:rsidRPr="0055149C">
        <w:rPr>
          <w:lang w:eastAsia="nb-NO"/>
        </w:rPr>
        <w:t>Det er altså realkapital, eventuelt med tillegg av omløpsmidler, som er det naturlige objektet for utgiftskompensasjon</w:t>
      </w:r>
      <w:r w:rsidR="003B386D">
        <w:rPr>
          <w:lang w:eastAsia="nb-NO"/>
        </w:rPr>
        <w:t>,</w:t>
      </w:r>
      <w:r w:rsidRPr="0055149C">
        <w:rPr>
          <w:lang w:eastAsia="nb-NO"/>
        </w:rPr>
        <w:t xml:space="preserve"> dersom en skal kompensere for kapitalutgifter. Det finnes imidlertid flere former for realkapital, som skaper tekniske problemer som må løses.</w:t>
      </w:r>
    </w:p>
    <w:p w14:paraId="386458CC" w14:textId="028CDE95" w:rsidR="006632FA" w:rsidRPr="0055149C" w:rsidRDefault="006632FA" w:rsidP="007B003D">
      <w:pPr>
        <w:rPr>
          <w:lang w:eastAsia="nb-NO"/>
        </w:rPr>
      </w:pPr>
      <w:r w:rsidRPr="006632FA">
        <w:rPr>
          <w:lang w:eastAsia="nb-NO"/>
        </w:rPr>
        <w:t xml:space="preserve">Et annet spørsmål er hvorvidt grunnlaget for renteberegningene bør prisjusteres eller ikke. Vi refererer til seksjon </w:t>
      </w:r>
      <w:r>
        <w:rPr>
          <w:lang w:eastAsia="nb-NO"/>
        </w:rPr>
        <w:fldChar w:fldCharType="begin"/>
      </w:r>
      <w:r>
        <w:rPr>
          <w:lang w:eastAsia="nb-NO"/>
        </w:rPr>
        <w:instrText xml:space="preserve"> REF _Ref165384869 \r \h </w:instrText>
      </w:r>
      <w:r>
        <w:rPr>
          <w:lang w:eastAsia="nb-NO"/>
        </w:rPr>
      </w:r>
      <w:r>
        <w:rPr>
          <w:lang w:eastAsia="nb-NO"/>
        </w:rPr>
        <w:fldChar w:fldCharType="separate"/>
      </w:r>
      <w:r w:rsidR="009B1DA8">
        <w:rPr>
          <w:lang w:eastAsia="nb-NO"/>
        </w:rPr>
        <w:t>2.1.5</w:t>
      </w:r>
      <w:r>
        <w:rPr>
          <w:lang w:eastAsia="nb-NO"/>
        </w:rPr>
        <w:fldChar w:fldCharType="end"/>
      </w:r>
      <w:r w:rsidRPr="006632FA">
        <w:rPr>
          <w:lang w:eastAsia="nb-NO"/>
        </w:rPr>
        <w:t xml:space="preserve"> om prisjustering av kapitalslitet og delkapittel </w:t>
      </w:r>
      <w:r>
        <w:rPr>
          <w:lang w:eastAsia="nb-NO"/>
        </w:rPr>
        <w:fldChar w:fldCharType="begin"/>
      </w:r>
      <w:r>
        <w:rPr>
          <w:lang w:eastAsia="nb-NO"/>
        </w:rPr>
        <w:instrText xml:space="preserve"> REF _Ref179204671 \r \h </w:instrText>
      </w:r>
      <w:r>
        <w:rPr>
          <w:lang w:eastAsia="nb-NO"/>
        </w:rPr>
      </w:r>
      <w:r>
        <w:rPr>
          <w:lang w:eastAsia="nb-NO"/>
        </w:rPr>
        <w:fldChar w:fldCharType="separate"/>
      </w:r>
      <w:r w:rsidR="009B1DA8">
        <w:rPr>
          <w:lang w:eastAsia="nb-NO"/>
        </w:rPr>
        <w:t>2.3</w:t>
      </w:r>
      <w:r>
        <w:rPr>
          <w:lang w:eastAsia="nb-NO"/>
        </w:rPr>
        <w:fldChar w:fldCharType="end"/>
      </w:r>
      <w:r>
        <w:rPr>
          <w:lang w:eastAsia="nb-NO"/>
        </w:rPr>
        <w:t xml:space="preserve"> </w:t>
      </w:r>
      <w:r w:rsidRPr="006632FA">
        <w:rPr>
          <w:lang w:eastAsia="nb-NO"/>
        </w:rPr>
        <w:t xml:space="preserve">om prisutviklingen på realkapitalen for parallelle vurderinger og avveininger knyttet til denne problematikken. Ellers anser vi det som et poeng at tilnærmingene til bruk av PIM og DM for beregningen av kapitalslitet og </w:t>
      </w:r>
      <w:r w:rsidR="00961DFC">
        <w:rPr>
          <w:lang w:eastAsia="nb-NO"/>
        </w:rPr>
        <w:t xml:space="preserve">for </w:t>
      </w:r>
      <w:r w:rsidRPr="006632FA">
        <w:rPr>
          <w:lang w:eastAsia="nb-NO"/>
        </w:rPr>
        <w:t>grunnlaget for rentekostnad</w:t>
      </w:r>
      <w:r w:rsidR="00961DFC">
        <w:rPr>
          <w:lang w:eastAsia="nb-NO"/>
        </w:rPr>
        <w:t>sberegningene</w:t>
      </w:r>
      <w:r w:rsidRPr="006632FA">
        <w:rPr>
          <w:lang w:eastAsia="nb-NO"/>
        </w:rPr>
        <w:t xml:space="preserve"> </w:t>
      </w:r>
      <w:r w:rsidR="006A527C">
        <w:rPr>
          <w:lang w:eastAsia="nb-NO"/>
        </w:rPr>
        <w:t>bør være</w:t>
      </w:r>
      <w:r w:rsidRPr="006632FA">
        <w:rPr>
          <w:lang w:eastAsia="nb-NO"/>
        </w:rPr>
        <w:t xml:space="preserve"> de samme.</w:t>
      </w:r>
    </w:p>
    <w:p w14:paraId="66DB3D31" w14:textId="77777777" w:rsidR="00D73D1A" w:rsidRPr="0055149C" w:rsidRDefault="00D73D1A" w:rsidP="00D73D1A">
      <w:pPr>
        <w:pStyle w:val="Overskrift2"/>
      </w:pPr>
      <w:bookmarkStart w:id="53" w:name="_Ref179204671"/>
      <w:bookmarkStart w:id="54" w:name="_Toc182321011"/>
      <w:r w:rsidRPr="0055149C">
        <w:t>Kapitalens prisutvikling</w:t>
      </w:r>
      <w:bookmarkEnd w:id="48"/>
      <w:bookmarkEnd w:id="53"/>
      <w:bookmarkEnd w:id="54"/>
    </w:p>
    <w:p w14:paraId="4B728421" w14:textId="77777777" w:rsidR="00DD0F46" w:rsidRDefault="00DD0F46" w:rsidP="00DD0F46">
      <w:pPr>
        <w:rPr>
          <w:lang w:eastAsia="nb-NO"/>
        </w:rPr>
      </w:pPr>
      <w:r>
        <w:rPr>
          <w:lang w:eastAsia="nb-NO"/>
        </w:rPr>
        <w:t>I tillegg til kapitalslitet og rentekostnader innbefatter kapitalkostnadene en tredje komponent, nærmere bestemt kapitalens prisendring. Prisendringen kan både være positiv og negativ.</w:t>
      </w:r>
    </w:p>
    <w:p w14:paraId="0343CF45" w14:textId="2F7CAF0F" w:rsidR="00DD0F46" w:rsidRDefault="00DD0F46" w:rsidP="00DD0F46">
      <w:pPr>
        <w:rPr>
          <w:lang w:eastAsia="nb-NO"/>
        </w:rPr>
      </w:pPr>
      <w:r>
        <w:rPr>
          <w:lang w:eastAsia="nb-NO"/>
        </w:rPr>
        <w:t xml:space="preserve">Fortegnet </w:t>
      </w:r>
      <w:r w:rsidR="00821E3C">
        <w:rPr>
          <w:lang w:eastAsia="nb-NO"/>
        </w:rPr>
        <w:t>på</w:t>
      </w:r>
      <w:r>
        <w:rPr>
          <w:lang w:eastAsia="nb-NO"/>
        </w:rPr>
        <w:t xml:space="preserve"> kapitalens prisendring i en kommune vil typisk henge sammen med heterogeniteten i kapitalmassen</w:t>
      </w:r>
      <w:r w:rsidR="00191C7F">
        <w:rPr>
          <w:lang w:eastAsia="nb-NO"/>
        </w:rPr>
        <w:t xml:space="preserve"> (se seksjon </w:t>
      </w:r>
      <w:r w:rsidR="00191C7F">
        <w:rPr>
          <w:lang w:eastAsia="nb-NO"/>
        </w:rPr>
        <w:fldChar w:fldCharType="begin"/>
      </w:r>
      <w:r w:rsidR="00191C7F">
        <w:rPr>
          <w:lang w:eastAsia="nb-NO"/>
        </w:rPr>
        <w:instrText xml:space="preserve"> REF _Ref182213929 \r \h </w:instrText>
      </w:r>
      <w:r w:rsidR="00191C7F">
        <w:rPr>
          <w:lang w:eastAsia="nb-NO"/>
        </w:rPr>
      </w:r>
      <w:r w:rsidR="00191C7F">
        <w:rPr>
          <w:lang w:eastAsia="nb-NO"/>
        </w:rPr>
        <w:fldChar w:fldCharType="separate"/>
      </w:r>
      <w:r w:rsidR="009B1DA8">
        <w:rPr>
          <w:lang w:eastAsia="nb-NO"/>
        </w:rPr>
        <w:t>2.1.6</w:t>
      </w:r>
      <w:r w:rsidR="00191C7F">
        <w:rPr>
          <w:lang w:eastAsia="nb-NO"/>
        </w:rPr>
        <w:fldChar w:fldCharType="end"/>
      </w:r>
      <w:r w:rsidR="00982D91">
        <w:rPr>
          <w:lang w:eastAsia="nb-NO"/>
        </w:rPr>
        <w:t xml:space="preserve"> og </w:t>
      </w:r>
      <w:r w:rsidR="002609EC">
        <w:rPr>
          <w:lang w:eastAsia="nb-NO"/>
        </w:rPr>
        <w:t xml:space="preserve">delkapittel </w:t>
      </w:r>
      <w:r w:rsidR="002609EC">
        <w:rPr>
          <w:lang w:eastAsia="nb-NO"/>
        </w:rPr>
        <w:fldChar w:fldCharType="begin"/>
      </w:r>
      <w:r w:rsidR="002609EC">
        <w:rPr>
          <w:lang w:eastAsia="nb-NO"/>
        </w:rPr>
        <w:instrText xml:space="preserve"> REF _Ref178521930 \r \h </w:instrText>
      </w:r>
      <w:r w:rsidR="002609EC">
        <w:rPr>
          <w:lang w:eastAsia="nb-NO"/>
        </w:rPr>
      </w:r>
      <w:r w:rsidR="002609EC">
        <w:rPr>
          <w:lang w:eastAsia="nb-NO"/>
        </w:rPr>
        <w:fldChar w:fldCharType="separate"/>
      </w:r>
      <w:r w:rsidR="009B1DA8">
        <w:rPr>
          <w:lang w:eastAsia="nb-NO"/>
        </w:rPr>
        <w:t>3.1</w:t>
      </w:r>
      <w:r w:rsidR="002609EC">
        <w:rPr>
          <w:lang w:eastAsia="nb-NO"/>
        </w:rPr>
        <w:fldChar w:fldCharType="end"/>
      </w:r>
      <w:r w:rsidR="00191C7F">
        <w:rPr>
          <w:lang w:eastAsia="nb-NO"/>
        </w:rPr>
        <w:t>)</w:t>
      </w:r>
      <w:r>
        <w:rPr>
          <w:lang w:eastAsia="nb-NO"/>
        </w:rPr>
        <w:t>. Eiendom har gjerne en positiv prisutvikling i et lengre tidsperspektiv og varierer over lokaliteter. Erfaringsmessig stiger eiendomsprisene mest i sentrale strøk. Maskiner, utstyr og transportmidler vil derimot ofte ha en svak og muligens negativ prisutvikling over tid. Dette avhenger av hvordan kvalitetsforbedringer er håndtert i kapitaldeflatoren som skiller mellom volum- og prisutvikling</w:t>
      </w:r>
      <w:r w:rsidR="00613A1C">
        <w:rPr>
          <w:lang w:eastAsia="nb-NO"/>
        </w:rPr>
        <w:t xml:space="preserve"> (se for eksempel </w:t>
      </w:r>
      <w:r w:rsidR="00E87AB3" w:rsidRPr="00E87AB3">
        <w:rPr>
          <w:lang w:eastAsia="nb-NO"/>
        </w:rPr>
        <w:t xml:space="preserve">Cummins </w:t>
      </w:r>
      <w:r w:rsidR="00954317">
        <w:rPr>
          <w:lang w:eastAsia="nb-NO"/>
        </w:rPr>
        <w:t>og</w:t>
      </w:r>
      <w:r w:rsidR="00E87AB3" w:rsidRPr="00E87AB3">
        <w:rPr>
          <w:lang w:eastAsia="nb-NO"/>
        </w:rPr>
        <w:t xml:space="preserve"> Violante</w:t>
      </w:r>
      <w:r w:rsidR="00E87AB3">
        <w:rPr>
          <w:lang w:eastAsia="nb-NO"/>
        </w:rPr>
        <w:t xml:space="preserve"> </w:t>
      </w:r>
      <w:r w:rsidR="00E87AB3" w:rsidRPr="00E87AB3">
        <w:rPr>
          <w:lang w:eastAsia="nb-NO"/>
        </w:rPr>
        <w:t>2002</w:t>
      </w:r>
      <w:r w:rsidR="00E87AB3">
        <w:rPr>
          <w:lang w:eastAsia="nb-NO"/>
        </w:rPr>
        <w:t xml:space="preserve"> og</w:t>
      </w:r>
      <w:r w:rsidR="00E87AB3" w:rsidRPr="00E87AB3">
        <w:rPr>
          <w:lang w:eastAsia="nb-NO"/>
        </w:rPr>
        <w:t xml:space="preserve"> Sakellaris </w:t>
      </w:r>
      <w:r w:rsidR="00954317">
        <w:rPr>
          <w:lang w:eastAsia="nb-NO"/>
        </w:rPr>
        <w:t>og</w:t>
      </w:r>
      <w:r w:rsidR="00E87AB3" w:rsidRPr="00E87AB3">
        <w:rPr>
          <w:lang w:eastAsia="nb-NO"/>
        </w:rPr>
        <w:t xml:space="preserve"> Wilson 2004</w:t>
      </w:r>
      <w:r w:rsidR="00E87AB3">
        <w:rPr>
          <w:lang w:eastAsia="nb-NO"/>
        </w:rPr>
        <w:t xml:space="preserve"> for </w:t>
      </w:r>
      <w:r w:rsidR="009C4EDB">
        <w:rPr>
          <w:lang w:eastAsia="nb-NO"/>
        </w:rPr>
        <w:t xml:space="preserve">mer om </w:t>
      </w:r>
      <w:r w:rsidR="00E87AB3">
        <w:rPr>
          <w:lang w:eastAsia="nb-NO"/>
        </w:rPr>
        <w:t>denne problemstillingen</w:t>
      </w:r>
      <w:r w:rsidR="00613A1C">
        <w:rPr>
          <w:lang w:eastAsia="nb-NO"/>
        </w:rPr>
        <w:t>)</w:t>
      </w:r>
      <w:r>
        <w:rPr>
          <w:lang w:eastAsia="nb-NO"/>
        </w:rPr>
        <w:t>.</w:t>
      </w:r>
    </w:p>
    <w:p w14:paraId="5B73360C" w14:textId="32FB06FD" w:rsidR="00DD0F46" w:rsidRDefault="00DD0F46" w:rsidP="00DD0F46">
      <w:pPr>
        <w:rPr>
          <w:lang w:eastAsia="nb-NO"/>
        </w:rPr>
      </w:pPr>
      <w:r>
        <w:rPr>
          <w:lang w:eastAsia="nb-NO"/>
        </w:rPr>
        <w:t>Et viktig prinsipielt spørsmål er om prisutviklingen skal regnes med når man beregner eventuell kapital</w:t>
      </w:r>
      <w:r w:rsidR="00B723A8">
        <w:rPr>
          <w:lang w:eastAsia="nb-NO"/>
        </w:rPr>
        <w:t>kostnads</w:t>
      </w:r>
      <w:r>
        <w:rPr>
          <w:lang w:eastAsia="nb-NO"/>
        </w:rPr>
        <w:t>kompensasjon</w:t>
      </w:r>
      <w:r w:rsidR="00CE730B">
        <w:rPr>
          <w:lang w:eastAsia="nb-NO"/>
        </w:rPr>
        <w:t xml:space="preserve"> i utgiftsutjevningen i det kommunale inntektssystemet</w:t>
      </w:r>
      <w:r>
        <w:rPr>
          <w:lang w:eastAsia="nb-NO"/>
        </w:rPr>
        <w:t>. Spørsmålet kan belyses med et skolebygg i et sentralt område som eksempel. Et skolebygg med tomt i et sentralt område er som regel mer verdifullt nå enn før, hvis man skulle selge det. Derfor kan det i lys av det generelle argumentet i delkapittel 1.3 sies at kostnaden ved å holde kapitalen i et år er lavere i det sentrale området enn enkelte andre steder. Leie av skolebygninger vil også skje til dagens priser, slik at prisgevinsten bør med</w:t>
      </w:r>
      <w:r w:rsidR="00AF3F9F">
        <w:rPr>
          <w:lang w:eastAsia="nb-NO"/>
        </w:rPr>
        <w:t xml:space="preserve">, hvis </w:t>
      </w:r>
      <w:r>
        <w:rPr>
          <w:lang w:eastAsia="nb-NO"/>
        </w:rPr>
        <w:t>kommunene skal være like tilbøyelige til å leie som til å eie. Ergo skulle dette tilsi at den sentrale kommunen bør kompenseres mindre for sine kapitalutgifter knyttet til skole enn enkelte andre kommuner.</w:t>
      </w:r>
    </w:p>
    <w:p w14:paraId="68157ED4" w14:textId="40570CF4" w:rsidR="003829A0" w:rsidRDefault="0032338F" w:rsidP="00DD0F46">
      <w:pPr>
        <w:rPr>
          <w:lang w:eastAsia="nb-NO"/>
        </w:rPr>
      </w:pPr>
      <w:r w:rsidRPr="0032338F">
        <w:t xml:space="preserve">Nåverdikonsistens innebærer at nåverdien av alle investeringene over systemets levetid er lik nåverdien av brukerprisen på den samlede kapitalbeholdningen som er til disposisjon i den enkelte periode og sluttbeholdningen av kapital når ordningen eventuelt avvikles, fratrukket nåverdien av en eventuell initial kapitalbeholdning. </w:t>
      </w:r>
      <w:r w:rsidR="00DD0F46">
        <w:rPr>
          <w:lang w:eastAsia="nb-NO"/>
        </w:rPr>
        <w:t xml:space="preserve">Ved inkludering av en prisjusteringsfaktor vil både et PIM-anslag og et DM-anslag i utgangspunktet kunne gi en riktig nåverdi for </w:t>
      </w:r>
      <w:r w:rsidR="00CB07F3">
        <w:rPr>
          <w:lang w:eastAsia="nb-NO"/>
        </w:rPr>
        <w:t xml:space="preserve">en full </w:t>
      </w:r>
      <w:r w:rsidR="00DD0F46">
        <w:rPr>
          <w:lang w:eastAsia="nb-NO"/>
        </w:rPr>
        <w:t>kostnadskompenasjon.</w:t>
      </w:r>
      <w:r w:rsidR="00B95B28">
        <w:rPr>
          <w:rStyle w:val="Fotnotereferanse"/>
          <w:lang w:eastAsia="nb-NO"/>
        </w:rPr>
        <w:footnoteReference w:id="16"/>
      </w:r>
      <w:r w:rsidR="00995E4E" w:rsidRPr="00995E4E">
        <w:t xml:space="preserve"> </w:t>
      </w:r>
      <w:r w:rsidR="00995E4E" w:rsidRPr="00995E4E">
        <w:rPr>
          <w:lang w:eastAsia="nb-NO"/>
        </w:rPr>
        <w:t xml:space="preserve">Ved å ta prisvekstkomponenten ut fra brukerprisen blir den førstnevnte </w:t>
      </w:r>
      <w:r w:rsidR="00995E4E" w:rsidRPr="00995E4E">
        <w:rPr>
          <w:lang w:eastAsia="nb-NO"/>
        </w:rPr>
        <w:lastRenderedPageBreak/>
        <w:t>nåverdien større enn den sistnevnte, hvilket indikerer en overkompensasjon i tilfellet med positiv prisvekst</w:t>
      </w:r>
      <w:r w:rsidR="00354F05">
        <w:rPr>
          <w:lang w:eastAsia="nb-NO"/>
        </w:rPr>
        <w:t xml:space="preserve"> (som typisk vil være tilfellet når eiendom dominerer kapitalmassen)</w:t>
      </w:r>
      <w:r w:rsidR="00995E4E" w:rsidRPr="00995E4E">
        <w:rPr>
          <w:lang w:eastAsia="nb-NO"/>
        </w:rPr>
        <w:t>, og vice versa.</w:t>
      </w:r>
    </w:p>
    <w:p w14:paraId="234AAFE4" w14:textId="6F46EF8F" w:rsidR="00F210DE" w:rsidRDefault="003E5ED6" w:rsidP="00DD0F46">
      <w:r>
        <w:rPr>
          <w:lang w:eastAsia="nb-NO"/>
        </w:rPr>
        <w:t xml:space="preserve">Dersom eiendommene har en alternativ anvendelse, eller det er fleksibilitet i tidspunktet for ervervelse, kan det brukes som argumenter for å inkludere prisutviklingen på eiendom i utgiftsutjevningen. En slik behandling vil i større grad være i tråd med en nåverdiberegning for kompensasjonen og reflektere den årlige brukerprisen på realkapitalen, jamfør </w:t>
      </w:r>
      <w:r>
        <w:rPr>
          <w:lang w:eastAsia="nb-NO"/>
        </w:rPr>
        <w:fldChar w:fldCharType="begin"/>
      </w:r>
      <w:r>
        <w:rPr>
          <w:lang w:eastAsia="nb-NO"/>
        </w:rPr>
        <w:instrText xml:space="preserve"> REF _Ref176425310 \h </w:instrText>
      </w:r>
      <w:r>
        <w:rPr>
          <w:lang w:eastAsia="nb-NO"/>
        </w:rPr>
      </w:r>
      <w:r>
        <w:rPr>
          <w:lang w:eastAsia="nb-NO"/>
        </w:rPr>
        <w:fldChar w:fldCharType="separate"/>
      </w:r>
      <w:r w:rsidR="009B1DA8" w:rsidRPr="0055149C">
        <w:t xml:space="preserve">Tekstboks </w:t>
      </w:r>
      <w:r w:rsidR="009B1DA8">
        <w:rPr>
          <w:noProof/>
        </w:rPr>
        <w:t>1</w:t>
      </w:r>
      <w:r w:rsidR="009B1DA8" w:rsidRPr="0055149C">
        <w:t>.</w:t>
      </w:r>
      <w:r w:rsidR="009B1DA8">
        <w:rPr>
          <w:noProof/>
        </w:rPr>
        <w:t>1</w:t>
      </w:r>
      <w:r>
        <w:rPr>
          <w:lang w:eastAsia="nb-NO"/>
        </w:rPr>
        <w:fldChar w:fldCharType="end"/>
      </w:r>
      <w:r>
        <w:rPr>
          <w:lang w:eastAsia="nb-NO"/>
        </w:rPr>
        <w:t xml:space="preserve"> i delkapittel </w:t>
      </w:r>
      <w:r>
        <w:rPr>
          <w:lang w:eastAsia="nb-NO"/>
        </w:rPr>
        <w:fldChar w:fldCharType="begin"/>
      </w:r>
      <w:r>
        <w:rPr>
          <w:lang w:eastAsia="nb-NO"/>
        </w:rPr>
        <w:instrText xml:space="preserve"> REF _Ref167283495 \r \h </w:instrText>
      </w:r>
      <w:r>
        <w:rPr>
          <w:lang w:eastAsia="nb-NO"/>
        </w:rPr>
      </w:r>
      <w:r>
        <w:rPr>
          <w:lang w:eastAsia="nb-NO"/>
        </w:rPr>
        <w:fldChar w:fldCharType="separate"/>
      </w:r>
      <w:r w:rsidR="009B1DA8">
        <w:rPr>
          <w:lang w:eastAsia="nb-NO"/>
        </w:rPr>
        <w:t>1.3</w:t>
      </w:r>
      <w:r>
        <w:rPr>
          <w:lang w:eastAsia="nb-NO"/>
        </w:rPr>
        <w:fldChar w:fldCharType="end"/>
      </w:r>
      <w:r>
        <w:rPr>
          <w:lang w:eastAsia="nb-NO"/>
        </w:rPr>
        <w:t xml:space="preserve">. </w:t>
      </w:r>
      <w:r>
        <w:t>Et annet argument for at prisvekstkomponenten bør tas med ved bruk av PIM er at prisveksten implisitt er med i grunnlaget for beregningene av kapitalslitet og rentekostnader, uten at det er snakk om noe én-til-én-forhold mellom prisvekstkomponenten og interaksjonskomponentene</w:t>
      </w:r>
      <w:r w:rsidR="00C01312">
        <w:t>,</w:t>
      </w:r>
      <w:r>
        <w:t xml:space="preserve"> der prisveksten inngår.</w:t>
      </w:r>
    </w:p>
    <w:p w14:paraId="741B41F6" w14:textId="144C7A7F" w:rsidR="00354F05" w:rsidRDefault="00354F05" w:rsidP="00354F05">
      <w:pPr>
        <w:rPr>
          <w:lang w:eastAsia="nb-NO"/>
        </w:rPr>
      </w:pPr>
      <w:r>
        <w:rPr>
          <w:lang w:eastAsia="nb-NO"/>
        </w:rPr>
        <w:t xml:space="preserve">Like fullt kommer verdien av et skolebygg bare til uttrykk, hvis den blir solgt eller leie er et reelt alternativ. Siden kommunene er avhengig av å tilby skoler til skolebarna, kan det argumenteres for at verdistigningen ikke bør inngå i beregnet kapitalkostnad. Det kan også bli aktuelt å bygge skoler på nye tomter. Ofte vil likevel investeringer knytte seg til bygg- og anleggkomponenten og ikke tomtekomponenten, som tenderer å ha en mer aggressiv prisvekst, spesielt i sentrale strøk av landet (se Aastvedt med flere 2006 for en tilstøtende diskusjon). </w:t>
      </w:r>
      <w:r w:rsidRPr="0057684A">
        <w:rPr>
          <w:lang w:eastAsia="nb-NO"/>
        </w:rPr>
        <w:t>I den grad ekskluderingen av prisgevinsten kan gjøre det noe gunstigere å eie enn å leie, ser vi det ikke som noe stort problem.</w:t>
      </w:r>
    </w:p>
    <w:p w14:paraId="48FA890D" w14:textId="5502A5CD" w:rsidR="003C372F" w:rsidRDefault="00F210DE" w:rsidP="003C372F">
      <w:r w:rsidRPr="00F210DE">
        <w:rPr>
          <w:lang w:eastAsia="nb-NO"/>
        </w:rPr>
        <w:t>Ved høy prisvekst på kapitalen øker dens sluttverdi – typisk representert ved tomteverdien, så vel som beregningsgrunnlaget for framtidige beregning av depresiering og rentetap.</w:t>
      </w:r>
      <w:r>
        <w:rPr>
          <w:lang w:eastAsia="nb-NO"/>
        </w:rPr>
        <w:t xml:space="preserve"> </w:t>
      </w:r>
      <w:r w:rsidR="00DD0F46">
        <w:rPr>
          <w:lang w:eastAsia="nb-NO"/>
        </w:rPr>
        <w:t xml:space="preserve">Det er </w:t>
      </w:r>
      <w:r w:rsidR="00191B9F">
        <w:rPr>
          <w:lang w:eastAsia="nb-NO"/>
        </w:rPr>
        <w:t>imidlertid</w:t>
      </w:r>
      <w:r w:rsidR="00DD0F46">
        <w:rPr>
          <w:lang w:eastAsia="nb-NO"/>
        </w:rPr>
        <w:t xml:space="preserve"> ikke gitt at man ønsker å ta med prisøkning på kapital etter ervervelse når kapitalen verken har utsikter </w:t>
      </w:r>
      <w:r w:rsidR="003C499B">
        <w:rPr>
          <w:lang w:eastAsia="nb-NO"/>
        </w:rPr>
        <w:t>til</w:t>
      </w:r>
      <w:r w:rsidR="00DD0F46">
        <w:rPr>
          <w:lang w:eastAsia="nb-NO"/>
        </w:rPr>
        <w:t xml:space="preserve"> salg eller leie.</w:t>
      </w:r>
      <w:r w:rsidR="003C372F">
        <w:rPr>
          <w:lang w:eastAsia="nb-NO"/>
        </w:rPr>
        <w:t xml:space="preserve"> </w:t>
      </w:r>
      <w:r w:rsidR="003C372F" w:rsidRPr="003738F2">
        <w:t xml:space="preserve">Det kan ta lang tid før </w:t>
      </w:r>
      <w:r w:rsidR="00861988">
        <w:t xml:space="preserve">en </w:t>
      </w:r>
      <w:r w:rsidR="003C372F">
        <w:t>kommune</w:t>
      </w:r>
      <w:r w:rsidR="003C372F" w:rsidRPr="003738F2">
        <w:t xml:space="preserve"> får tatt ut hele verdien av høyere løpende depresisering og rentetap, eller den </w:t>
      </w:r>
      <w:r w:rsidR="00861988">
        <w:t>økte</w:t>
      </w:r>
      <w:r w:rsidR="003C372F" w:rsidRPr="003738F2">
        <w:t xml:space="preserve"> sluttverdien av </w:t>
      </w:r>
      <w:r w:rsidR="00861988">
        <w:t xml:space="preserve">sine </w:t>
      </w:r>
      <w:r w:rsidR="003C372F" w:rsidRPr="003738F2">
        <w:t>tomte</w:t>
      </w:r>
      <w:r w:rsidR="00B92099">
        <w:t>r</w:t>
      </w:r>
      <w:r w:rsidR="003C372F" w:rsidRPr="003738F2">
        <w:t xml:space="preserve">. </w:t>
      </w:r>
      <w:r w:rsidR="003C372F">
        <w:t xml:space="preserve">Før den tid </w:t>
      </w:r>
      <w:r w:rsidR="003C372F" w:rsidRPr="003738F2">
        <w:t xml:space="preserve">kan kommuner </w:t>
      </w:r>
      <w:r w:rsidR="00191B9F">
        <w:t>møte</w:t>
      </w:r>
      <w:r w:rsidR="003C372F" w:rsidRPr="003738F2">
        <w:t xml:space="preserve"> likviditetsutfordring</w:t>
      </w:r>
      <w:r w:rsidR="00191B9F">
        <w:t>er</w:t>
      </w:r>
      <w:r w:rsidR="003C372F" w:rsidRPr="003738F2">
        <w:t>.</w:t>
      </w:r>
      <w:r w:rsidR="00D243C1" w:rsidRPr="00D243C1">
        <w:t xml:space="preserve"> Det framstår som urimelig at man skal inndra kompensasjon for prisgevinster på kapital som er bunde</w:t>
      </w:r>
      <w:r w:rsidR="00853BFA">
        <w:t>t</w:t>
      </w:r>
      <w:r w:rsidR="00D243C1" w:rsidRPr="00D243C1">
        <w:t xml:space="preserve"> opp for å oppfylle lovpålagte oppgaver, som ikke lar seg realisere i overskuelig framtid. For at prisbanen skal være relevant, bør kapitalen også ha tilknytning til markedet som prisutviklingen knytter seg til. </w:t>
      </w:r>
      <w:r w:rsidR="001579D1" w:rsidRPr="001579D1">
        <w:t xml:space="preserve">Hvis det ikke skjer gjennom leie eller salg, er det nyanskaffelser som står igjen som </w:t>
      </w:r>
      <w:r w:rsidR="00B857ED">
        <w:t xml:space="preserve">en </w:t>
      </w:r>
      <w:r w:rsidR="001579D1" w:rsidRPr="001579D1">
        <w:t xml:space="preserve">eventuell relevant tilknytning til prisutviklingen i </w:t>
      </w:r>
      <w:r w:rsidR="00523BCD">
        <w:t>markedene for tilsvarende kapitalvarer</w:t>
      </w:r>
      <w:r w:rsidR="001579D1" w:rsidRPr="001579D1">
        <w:t>.</w:t>
      </w:r>
    </w:p>
    <w:p w14:paraId="45F337F2" w14:textId="254B1B69" w:rsidR="00DD0F46" w:rsidRDefault="00D40B5A" w:rsidP="00DD0F46">
      <w:pPr>
        <w:rPr>
          <w:lang w:eastAsia="nb-NO"/>
        </w:rPr>
      </w:pPr>
      <w:r>
        <w:rPr>
          <w:lang w:eastAsia="nb-NO"/>
        </w:rPr>
        <w:t>Utfordringe</w:t>
      </w:r>
      <w:r w:rsidR="00BE4570">
        <w:rPr>
          <w:lang w:eastAsia="nb-NO"/>
        </w:rPr>
        <w:t>r</w:t>
      </w:r>
      <w:r>
        <w:rPr>
          <w:lang w:eastAsia="nb-NO"/>
        </w:rPr>
        <w:t xml:space="preserve"> med tidsinko</w:t>
      </w:r>
      <w:r w:rsidR="00155EA6">
        <w:rPr>
          <w:lang w:eastAsia="nb-NO"/>
        </w:rPr>
        <w:t>n</w:t>
      </w:r>
      <w:r>
        <w:rPr>
          <w:lang w:eastAsia="nb-NO"/>
        </w:rPr>
        <w:t xml:space="preserve">sistens </w:t>
      </w:r>
      <w:r w:rsidR="00AA3E2C">
        <w:rPr>
          <w:lang w:eastAsia="nb-NO"/>
        </w:rPr>
        <w:t xml:space="preserve">sett ut fra et nåverdiperspektiv </w:t>
      </w:r>
      <w:r>
        <w:rPr>
          <w:lang w:eastAsia="nb-NO"/>
        </w:rPr>
        <w:t>ved utelatelse av pris</w:t>
      </w:r>
      <w:r w:rsidR="00193546">
        <w:rPr>
          <w:lang w:eastAsia="nb-NO"/>
        </w:rPr>
        <w:t>vekstkomponenten</w:t>
      </w:r>
      <w:r>
        <w:rPr>
          <w:lang w:eastAsia="nb-NO"/>
        </w:rPr>
        <w:t xml:space="preserve"> fra bruker</w:t>
      </w:r>
      <w:r w:rsidR="004A5B6B">
        <w:rPr>
          <w:lang w:eastAsia="nb-NO"/>
        </w:rPr>
        <w:t>prisen på</w:t>
      </w:r>
      <w:r w:rsidR="005A60CB">
        <w:rPr>
          <w:lang w:eastAsia="nb-NO"/>
        </w:rPr>
        <w:t xml:space="preserve"> kapital </w:t>
      </w:r>
      <w:r>
        <w:rPr>
          <w:lang w:eastAsia="nb-NO"/>
        </w:rPr>
        <w:t xml:space="preserve">kan </w:t>
      </w:r>
      <w:r w:rsidR="00F848FA">
        <w:rPr>
          <w:lang w:eastAsia="nb-NO"/>
        </w:rPr>
        <w:t xml:space="preserve">forventes å </w:t>
      </w:r>
      <w:r>
        <w:rPr>
          <w:lang w:eastAsia="nb-NO"/>
        </w:rPr>
        <w:t xml:space="preserve">reduseres </w:t>
      </w:r>
      <w:r w:rsidR="00F848FA">
        <w:rPr>
          <w:lang w:eastAsia="nb-NO"/>
        </w:rPr>
        <w:t xml:space="preserve">noe </w:t>
      </w:r>
      <w:r w:rsidR="00AF5F9B">
        <w:rPr>
          <w:lang w:eastAsia="nb-NO"/>
        </w:rPr>
        <w:t>gjennom</w:t>
      </w:r>
      <w:r w:rsidR="00AA3E2C">
        <w:rPr>
          <w:lang w:eastAsia="nb-NO"/>
        </w:rPr>
        <w:t xml:space="preserve"> måletekniske </w:t>
      </w:r>
      <w:r w:rsidR="005A60CB">
        <w:rPr>
          <w:lang w:eastAsia="nb-NO"/>
        </w:rPr>
        <w:t>forhold.</w:t>
      </w:r>
      <w:r w:rsidR="00AA3E2C">
        <w:rPr>
          <w:lang w:eastAsia="nb-NO"/>
        </w:rPr>
        <w:t xml:space="preserve"> </w:t>
      </w:r>
      <w:r w:rsidR="004A5B6B">
        <w:rPr>
          <w:lang w:eastAsia="nb-NO"/>
        </w:rPr>
        <w:t xml:space="preserve">For det første </w:t>
      </w:r>
      <w:r w:rsidR="00155EA6">
        <w:rPr>
          <w:lang w:eastAsia="nb-NO"/>
        </w:rPr>
        <w:t>vil k</w:t>
      </w:r>
      <w:r w:rsidR="00DD0F46">
        <w:rPr>
          <w:lang w:eastAsia="nb-NO"/>
        </w:rPr>
        <w:t>apitalavhending påvirke PIM-beregningene gjennom å bidra negativt til bruttoinvesteringsstrømmen.</w:t>
      </w:r>
      <w:r w:rsidR="00D351D6">
        <w:rPr>
          <w:lang w:eastAsia="nb-NO"/>
        </w:rPr>
        <w:t xml:space="preserve"> </w:t>
      </w:r>
      <w:r w:rsidR="00114214">
        <w:rPr>
          <w:lang w:eastAsia="nb-NO"/>
        </w:rPr>
        <w:t>Merk at b</w:t>
      </w:r>
      <w:r w:rsidR="00D351D6">
        <w:rPr>
          <w:lang w:eastAsia="nb-NO"/>
        </w:rPr>
        <w:t xml:space="preserve">ruttoinvesteringsstrømmen beregnes som differansen mellom bruttoinvesteringsutgifter og </w:t>
      </w:r>
      <w:r w:rsidR="00CD78C8">
        <w:rPr>
          <w:lang w:eastAsia="nb-NO"/>
        </w:rPr>
        <w:t xml:space="preserve">avhending av </w:t>
      </w:r>
      <w:r w:rsidR="0039446B">
        <w:rPr>
          <w:lang w:eastAsia="nb-NO"/>
        </w:rPr>
        <w:t>kapitalen</w:t>
      </w:r>
      <w:r w:rsidR="00114214">
        <w:rPr>
          <w:lang w:eastAsia="nb-NO"/>
        </w:rPr>
        <w:t>, der prisgevinsten</w:t>
      </w:r>
      <w:r w:rsidR="0039446B">
        <w:rPr>
          <w:lang w:eastAsia="nb-NO"/>
        </w:rPr>
        <w:t xml:space="preserve"> ved avhending vil være reflektert i den sistnevnte størrelsen. </w:t>
      </w:r>
      <w:r w:rsidR="00AA3E2C">
        <w:rPr>
          <w:lang w:eastAsia="nb-NO"/>
        </w:rPr>
        <w:t>For det andre kan e</w:t>
      </w:r>
      <w:r w:rsidR="002A5996">
        <w:rPr>
          <w:lang w:eastAsia="nb-NO"/>
        </w:rPr>
        <w:t xml:space="preserve">ventuell tidsinkonsistens i </w:t>
      </w:r>
      <w:r w:rsidR="00C35814">
        <w:rPr>
          <w:lang w:eastAsia="nb-NO"/>
        </w:rPr>
        <w:t xml:space="preserve">kriterievektene </w:t>
      </w:r>
      <w:r w:rsidR="006760FC">
        <w:rPr>
          <w:lang w:eastAsia="nb-NO"/>
        </w:rPr>
        <w:t xml:space="preserve">også delvis </w:t>
      </w:r>
      <w:r w:rsidR="00C35814">
        <w:rPr>
          <w:lang w:eastAsia="nb-NO"/>
        </w:rPr>
        <w:t>reduseres</w:t>
      </w:r>
      <w:r w:rsidR="002A5996">
        <w:rPr>
          <w:lang w:eastAsia="nb-NO"/>
        </w:rPr>
        <w:t xml:space="preserve"> av </w:t>
      </w:r>
      <w:r w:rsidR="00C35814">
        <w:rPr>
          <w:lang w:eastAsia="nb-NO"/>
        </w:rPr>
        <w:t>at</w:t>
      </w:r>
      <w:r w:rsidR="002A5996">
        <w:rPr>
          <w:lang w:eastAsia="nb-NO"/>
        </w:rPr>
        <w:t xml:space="preserve"> kriterievektene</w:t>
      </w:r>
      <w:r w:rsidR="00C35814">
        <w:rPr>
          <w:lang w:eastAsia="nb-NO"/>
        </w:rPr>
        <w:t xml:space="preserve"> </w:t>
      </w:r>
      <w:r w:rsidR="00826E0F">
        <w:rPr>
          <w:lang w:eastAsia="nb-NO"/>
        </w:rPr>
        <w:t>estimeres på nytt hvert år</w:t>
      </w:r>
      <w:r w:rsidR="002A5996">
        <w:rPr>
          <w:lang w:eastAsia="nb-NO"/>
        </w:rPr>
        <w:t xml:space="preserve">. </w:t>
      </w:r>
      <w:r w:rsidR="00DD0F46">
        <w:rPr>
          <w:lang w:eastAsia="nb-NO"/>
        </w:rPr>
        <w:t xml:space="preserve">For DM vil nedgangen i kapitalbeholdning tilsvare den bokførte verdien av kapitalen som avhendes, men kommer ikke til uttrykk i de regnskapsmessige avskrivningene utover det </w:t>
      </w:r>
      <w:r w:rsidR="002F3ADB">
        <w:rPr>
          <w:lang w:eastAsia="nb-NO"/>
        </w:rPr>
        <w:t xml:space="preserve">som </w:t>
      </w:r>
      <w:r w:rsidR="00DD0F46">
        <w:rPr>
          <w:lang w:eastAsia="nb-NO"/>
        </w:rPr>
        <w:t>følger av reduksjonen i bokført kapitalbeholdning.</w:t>
      </w:r>
    </w:p>
    <w:p w14:paraId="2F70B023" w14:textId="21410497" w:rsidR="00A41DA6" w:rsidRDefault="00A41DA6" w:rsidP="00A41DA6">
      <w:r>
        <w:rPr>
          <w:lang w:eastAsia="nb-NO"/>
        </w:rPr>
        <w:t xml:space="preserve">Det er argumenter for å ta hensyn til verdistigningen på kapitalen når kapitalkostnadene beregnes, hvilket vi har diskutert i delkapittel </w:t>
      </w:r>
      <w:r>
        <w:rPr>
          <w:lang w:eastAsia="nb-NO"/>
        </w:rPr>
        <w:fldChar w:fldCharType="begin"/>
      </w:r>
      <w:r>
        <w:rPr>
          <w:lang w:eastAsia="nb-NO"/>
        </w:rPr>
        <w:instrText xml:space="preserve"> REF _Ref165384869 \r \h </w:instrText>
      </w:r>
      <w:r>
        <w:rPr>
          <w:lang w:eastAsia="nb-NO"/>
        </w:rPr>
      </w:r>
      <w:r>
        <w:rPr>
          <w:lang w:eastAsia="nb-NO"/>
        </w:rPr>
        <w:fldChar w:fldCharType="separate"/>
      </w:r>
      <w:r w:rsidR="009B1DA8">
        <w:rPr>
          <w:lang w:eastAsia="nb-NO"/>
        </w:rPr>
        <w:t>2.1.5</w:t>
      </w:r>
      <w:r>
        <w:rPr>
          <w:lang w:eastAsia="nb-NO"/>
        </w:rPr>
        <w:fldChar w:fldCharType="end"/>
      </w:r>
      <w:r>
        <w:rPr>
          <w:lang w:eastAsia="nb-NO"/>
        </w:rPr>
        <w:t xml:space="preserve"> for kapitalslitet. En del av denne diskusjonen går på at skillet mellom bygg og anlegg og tomter er vanskelig å håndtere i dataene. Argumentasjonen knyttet til prisvekst på kapitalen og rentekostnader vil være ekvivalent.</w:t>
      </w:r>
    </w:p>
    <w:p w14:paraId="37CEADFB" w14:textId="77777777" w:rsidR="00A41DA6" w:rsidRDefault="00DD0F46" w:rsidP="00DD0F46">
      <w:pPr>
        <w:rPr>
          <w:lang w:eastAsia="nb-NO"/>
        </w:rPr>
      </w:pPr>
      <w:r>
        <w:rPr>
          <w:lang w:eastAsia="nb-NO"/>
        </w:rPr>
        <w:lastRenderedPageBreak/>
        <w:t xml:space="preserve">Alt i alt </w:t>
      </w:r>
      <w:r w:rsidRPr="00EA604A">
        <w:rPr>
          <w:lang w:eastAsia="nb-NO"/>
        </w:rPr>
        <w:t xml:space="preserve">heller vi </w:t>
      </w:r>
      <w:r w:rsidR="004D16D4" w:rsidRPr="00EA604A">
        <w:rPr>
          <w:lang w:eastAsia="nb-NO"/>
        </w:rPr>
        <w:t xml:space="preserve">av </w:t>
      </w:r>
      <w:r w:rsidR="009D313E" w:rsidRPr="00EA604A">
        <w:rPr>
          <w:lang w:eastAsia="nb-NO"/>
        </w:rPr>
        <w:t xml:space="preserve">praktiske årsaker </w:t>
      </w:r>
      <w:r w:rsidRPr="00EA604A">
        <w:rPr>
          <w:lang w:eastAsia="nb-NO"/>
        </w:rPr>
        <w:t>mot at verdistigningen i reelle termer ikke bør inngå</w:t>
      </w:r>
      <w:r w:rsidR="009D313E" w:rsidRPr="00EA604A">
        <w:rPr>
          <w:lang w:eastAsia="nb-NO"/>
        </w:rPr>
        <w:t xml:space="preserve"> som et separat ledd</w:t>
      </w:r>
      <w:r w:rsidRPr="00EA604A">
        <w:rPr>
          <w:lang w:eastAsia="nb-NO"/>
        </w:rPr>
        <w:t xml:space="preserve"> i utgiftsutjevningen. I et slikt system kan sterk prisvekst på kapitalen – som særlig vil være aktuelt på eiendomsmarkedet –</w:t>
      </w:r>
      <w:r w:rsidR="00B037EA" w:rsidRPr="00EA604A">
        <w:rPr>
          <w:lang w:eastAsia="nb-NO"/>
        </w:rPr>
        <w:t xml:space="preserve"> gi berørte kommuner likviditetsutfordringer</w:t>
      </w:r>
      <w:r w:rsidR="00433E5E" w:rsidRPr="00EA604A">
        <w:rPr>
          <w:lang w:eastAsia="nb-NO"/>
        </w:rPr>
        <w:t xml:space="preserve"> som</w:t>
      </w:r>
      <w:r w:rsidRPr="00EA604A">
        <w:rPr>
          <w:lang w:eastAsia="nb-NO"/>
        </w:rPr>
        <w:t xml:space="preserve"> i ytterste konsekvens </w:t>
      </w:r>
      <w:r w:rsidR="00D0407E">
        <w:rPr>
          <w:lang w:eastAsia="nb-NO"/>
        </w:rPr>
        <w:t>kan medføre</w:t>
      </w:r>
      <w:r w:rsidRPr="00EA604A">
        <w:rPr>
          <w:lang w:eastAsia="nb-NO"/>
        </w:rPr>
        <w:t xml:space="preserve"> en kraftig innskrenking </w:t>
      </w:r>
      <w:r w:rsidR="00433E5E" w:rsidRPr="00EA604A">
        <w:rPr>
          <w:lang w:eastAsia="nb-NO"/>
        </w:rPr>
        <w:t>av deres</w:t>
      </w:r>
      <w:r w:rsidRPr="00EA604A">
        <w:rPr>
          <w:lang w:eastAsia="nb-NO"/>
        </w:rPr>
        <w:t xml:space="preserve"> handlingsrom, </w:t>
      </w:r>
      <w:r w:rsidR="0082052A" w:rsidRPr="00EA604A">
        <w:rPr>
          <w:lang w:eastAsia="nb-NO"/>
        </w:rPr>
        <w:t>med</w:t>
      </w:r>
      <w:r w:rsidRPr="00EA604A">
        <w:rPr>
          <w:lang w:eastAsia="nb-NO"/>
        </w:rPr>
        <w:t xml:space="preserve"> mindre de omsetter realkapitalen.</w:t>
      </w:r>
      <w:r w:rsidR="0013630C" w:rsidRPr="00EA604A">
        <w:t xml:space="preserve"> </w:t>
      </w:r>
      <w:r w:rsidR="0013630C" w:rsidRPr="00EA604A">
        <w:rPr>
          <w:lang w:eastAsia="nb-NO"/>
        </w:rPr>
        <w:t>Endringer i verdistigningskomponenten fra et år til det neste vil også bidra til ustabilitet i den målte kapitalkostnaden som den enkelte kommune ikke nødvendigvis kjenner seg igjen i.</w:t>
      </w:r>
    </w:p>
    <w:p w14:paraId="2800129A" w14:textId="0284BA2A" w:rsidR="001E6FFC" w:rsidRDefault="00922B11" w:rsidP="00D56CA2">
      <w:pPr>
        <w:pStyle w:val="Overskrift2"/>
      </w:pPr>
      <w:bookmarkStart w:id="55" w:name="_Toc182321012"/>
      <w:bookmarkStart w:id="56" w:name="_Ref174723736"/>
      <w:bookmarkStart w:id="57" w:name="_Ref167300171"/>
      <w:bookmarkStart w:id="58" w:name="_Ref167437359"/>
      <w:bookmarkStart w:id="59" w:name="_Ref167456467"/>
      <w:bookmarkStart w:id="60" w:name="_Ref167456529"/>
      <w:r>
        <w:t>Kapitaltjenester</w:t>
      </w:r>
      <w:bookmarkEnd w:id="55"/>
    </w:p>
    <w:p w14:paraId="72CF40D0" w14:textId="04D5214A" w:rsidR="009018AA" w:rsidRDefault="009018AA" w:rsidP="009018AA">
      <w:r>
        <w:t xml:space="preserve">Konseptet </w:t>
      </w:r>
      <w:r w:rsidRPr="009018AA">
        <w:rPr>
          <w:b/>
          <w:bCs/>
          <w:color w:val="3672B0" w:themeColor="accent2"/>
        </w:rPr>
        <w:t>enhetsbrukerprisen på kapital</w:t>
      </w:r>
      <w:r w:rsidRPr="009018AA">
        <w:rPr>
          <w:color w:val="3672B0" w:themeColor="accent2"/>
        </w:rPr>
        <w:t xml:space="preserve"> </w:t>
      </w:r>
      <w:r>
        <w:t>ble introdusert av Jorgenson (1963) og relatert til kapitaltjenester av Jorgenson og Griliches (1967) og Christensen og Jorgenson (1969). Kapitalens brukerpris reflekterer kapitalslitet, rentekostnader og nettopristap, samt interaksjonseffekter mellom disse komponentene (se også Baldwin og Gu 2007 og Oulton 2007</w:t>
      </w:r>
      <w:r w:rsidR="003F1FA3" w:rsidRPr="003F1FA3">
        <w:t xml:space="preserve"> </w:t>
      </w:r>
      <w:r w:rsidR="007D5DA1">
        <w:t xml:space="preserve">og </w:t>
      </w:r>
      <w:r w:rsidR="003F1FA3" w:rsidRPr="003F1FA3">
        <w:t>Inklaar</w:t>
      </w:r>
      <w:r w:rsidR="003F1FA3">
        <w:t xml:space="preserve"> 2010</w:t>
      </w:r>
      <w:r>
        <w:t xml:space="preserve">). </w:t>
      </w:r>
      <w:r w:rsidRPr="009018AA">
        <w:rPr>
          <w:b/>
          <w:bCs/>
          <w:color w:val="3672B0" w:themeColor="accent2"/>
        </w:rPr>
        <w:t>Kapitaltjenester</w:t>
      </w:r>
      <w:r w:rsidRPr="009018AA">
        <w:rPr>
          <w:color w:val="3672B0" w:themeColor="accent2"/>
        </w:rPr>
        <w:t xml:space="preserve"> </w:t>
      </w:r>
      <w:r w:rsidR="00CC330B">
        <w:t>beregnes som</w:t>
      </w:r>
      <w:r>
        <w:t xml:space="preserve"> produktet mellom kapitalbeholdningene og brukerprisene. Kapitaltjenester tilsvarer den produktive tjenesten som realkapitalen gir over en bestemt periode. Mens realkapitalbeholdningen reflekterer verdien av</w:t>
      </w:r>
      <w:r w:rsidR="00E505E0">
        <w:t xml:space="preserve"> </w:t>
      </w:r>
      <w:r w:rsidR="003D0AD8">
        <w:t>depresierte investeringsstrømmer</w:t>
      </w:r>
      <w:r>
        <w:t xml:space="preserve"> </w:t>
      </w:r>
      <w:r w:rsidR="00E505E0">
        <w:t>fra alle perioder</w:t>
      </w:r>
      <w:r>
        <w:t xml:space="preserve">, gjenspeiler kapitaltjenester realkapitalens brukerverdi på </w:t>
      </w:r>
      <w:r w:rsidR="00F0482A">
        <w:t>et gitt</w:t>
      </w:r>
      <w:r w:rsidR="00694D5A">
        <w:t xml:space="preserve"> </w:t>
      </w:r>
      <w:r>
        <w:t>tidspunkt. Vi viser til Jorgenson (1989) og OECD (2009) for oversikter over målingen av kapitaltjenester.</w:t>
      </w:r>
    </w:p>
    <w:p w14:paraId="13F66F11" w14:textId="77777777" w:rsidR="009018AA" w:rsidRDefault="009018AA" w:rsidP="009018AA">
      <w:r>
        <w:t>I studier om produksjon måles fast kapital ofte som fast kapitalbeholdning, der alle beholdninger av fast kapital oppsummeres uavhengig av deres egenskaper. Selv om dette målet kan ha fordeler med hensyn til enkel måling, vil naiv bruk av en aggregert fast kapitalbeholdning i målingen av kapitalkostnader føre til målefeil knyttet til heterogenitet i kapital. Generelt vil kortvarige kapitalkategorier assosiert med relativt lav prisvekst – typisk mobil realkapital – kreve høyere årlig avkastning på kapital enn langvarige kapitalkategorier assosiert med relativt høy prisvekst – typisk immobil realkapital. Dette skyldes at kortvarige kapitalkategorier med relativt lav prisvekst har færre år til å tjene inn sin verdi, og fordi lav prisutvikling på kapitalen må kompenseres med høyere avkastning i produksjonen (Holmen 2022a).</w:t>
      </w:r>
    </w:p>
    <w:p w14:paraId="45CC56AF" w14:textId="6415B3F9" w:rsidR="00D56CA2" w:rsidRDefault="009018AA" w:rsidP="009018AA">
      <w:pPr>
        <w:rPr>
          <w:lang w:eastAsia="nb-NO"/>
        </w:rPr>
      </w:pPr>
      <w:r>
        <w:t xml:space="preserve">Som diskutert i delkapittel </w:t>
      </w:r>
      <w:r w:rsidR="00DC034B">
        <w:fldChar w:fldCharType="begin"/>
      </w:r>
      <w:r w:rsidR="00DC034B">
        <w:instrText xml:space="preserve"> REF _Ref167283495 \r \h </w:instrText>
      </w:r>
      <w:r w:rsidR="00DC034B">
        <w:fldChar w:fldCharType="separate"/>
      </w:r>
      <w:r w:rsidR="009B1DA8">
        <w:t>1.3</w:t>
      </w:r>
      <w:r w:rsidR="00DC034B">
        <w:fldChar w:fldCharType="end"/>
      </w:r>
      <w:r>
        <w:t xml:space="preserve"> og delkapittel </w:t>
      </w:r>
      <w:r w:rsidR="00DC034B">
        <w:fldChar w:fldCharType="begin"/>
      </w:r>
      <w:r w:rsidR="00DC034B">
        <w:instrText xml:space="preserve"> REF _Ref179204671 \r \h </w:instrText>
      </w:r>
      <w:r w:rsidR="00DC034B">
        <w:fldChar w:fldCharType="separate"/>
      </w:r>
      <w:r w:rsidR="009B1DA8">
        <w:t>2.3</w:t>
      </w:r>
      <w:r w:rsidR="00DC034B">
        <w:fldChar w:fldCharType="end"/>
      </w:r>
      <w:r>
        <w:t xml:space="preserve">, er det gode </w:t>
      </w:r>
      <w:r w:rsidR="005B7C5B">
        <w:t xml:space="preserve">praktiske </w:t>
      </w:r>
      <w:r>
        <w:t>argumenter for å ekskludere priskomponenten fra utgiftsutjevningen, da det framstår som urimelig at kompensasjonen skal reduseres</w:t>
      </w:r>
      <w:r w:rsidR="00A76AD2">
        <w:t xml:space="preserve"> vesentlig </w:t>
      </w:r>
      <w:r>
        <w:t>på grunn av urealiserte prisgevinster uten utsikter for realisering. Det bør likevel påpekes at betraktninger om nåverdien av kapitalens årlige brukerpris og kapitalens alternative anvendelser drar i motsatt retning. Vi referer</w:t>
      </w:r>
      <w:r w:rsidR="00ED1016">
        <w:t>er</w:t>
      </w:r>
      <w:r>
        <w:t xml:space="preserve"> ellers til </w:t>
      </w:r>
      <w:r w:rsidR="00DC034B">
        <w:fldChar w:fldCharType="begin"/>
      </w:r>
      <w:r w:rsidR="00DC034B">
        <w:instrText xml:space="preserve"> REF _Ref176425310 \h </w:instrText>
      </w:r>
      <w:r w:rsidR="00DC034B">
        <w:fldChar w:fldCharType="separate"/>
      </w:r>
      <w:r w:rsidR="009B1DA8" w:rsidRPr="0055149C">
        <w:t xml:space="preserve">Tekstboks </w:t>
      </w:r>
      <w:r w:rsidR="009B1DA8">
        <w:rPr>
          <w:noProof/>
        </w:rPr>
        <w:t>1</w:t>
      </w:r>
      <w:r w:rsidR="009B1DA8" w:rsidRPr="0055149C">
        <w:t>.</w:t>
      </w:r>
      <w:r w:rsidR="009B1DA8">
        <w:rPr>
          <w:noProof/>
        </w:rPr>
        <w:t>1</w:t>
      </w:r>
      <w:r w:rsidR="00DC034B">
        <w:fldChar w:fldCharType="end"/>
      </w:r>
      <w:r>
        <w:t xml:space="preserve"> i delkapittel </w:t>
      </w:r>
      <w:r w:rsidR="00DC034B">
        <w:fldChar w:fldCharType="begin"/>
      </w:r>
      <w:r w:rsidR="00DC034B">
        <w:instrText xml:space="preserve"> REF _Ref167283495 \r \h </w:instrText>
      </w:r>
      <w:r w:rsidR="00DC034B">
        <w:fldChar w:fldCharType="separate"/>
      </w:r>
      <w:r w:rsidR="009B1DA8">
        <w:t>1.3</w:t>
      </w:r>
      <w:r w:rsidR="00DC034B">
        <w:fldChar w:fldCharType="end"/>
      </w:r>
      <w:r w:rsidR="00DC034B">
        <w:t xml:space="preserve"> </w:t>
      </w:r>
      <w:r>
        <w:t xml:space="preserve">og </w:t>
      </w:r>
      <w:r w:rsidR="00DC034B">
        <w:fldChar w:fldCharType="begin"/>
      </w:r>
      <w:r w:rsidR="00DC034B">
        <w:instrText xml:space="preserve"> REF _Ref176538243 \h </w:instrText>
      </w:r>
      <w:r w:rsidR="00DC034B">
        <w:fldChar w:fldCharType="separate"/>
      </w:r>
      <w:r w:rsidR="009B1DA8" w:rsidRPr="0055149C">
        <w:t xml:space="preserve">Tekstboks </w:t>
      </w:r>
      <w:r w:rsidR="009B1DA8">
        <w:rPr>
          <w:noProof/>
        </w:rPr>
        <w:t>3</w:t>
      </w:r>
      <w:r w:rsidR="009B1DA8" w:rsidRPr="0055149C">
        <w:t>.</w:t>
      </w:r>
      <w:r w:rsidR="009B1DA8">
        <w:rPr>
          <w:noProof/>
        </w:rPr>
        <w:t>1</w:t>
      </w:r>
      <w:r w:rsidR="00DC034B">
        <w:fldChar w:fldCharType="end"/>
      </w:r>
      <w:r>
        <w:t xml:space="preserve"> i seksjon </w:t>
      </w:r>
      <w:r w:rsidR="00DC034B">
        <w:fldChar w:fldCharType="begin"/>
      </w:r>
      <w:r w:rsidR="00DC034B">
        <w:instrText xml:space="preserve"> REF _Ref177896768 \r \h </w:instrText>
      </w:r>
      <w:r w:rsidR="00DC034B">
        <w:fldChar w:fldCharType="separate"/>
      </w:r>
      <w:r w:rsidR="009B1DA8">
        <w:t>3.2.1</w:t>
      </w:r>
      <w:r w:rsidR="00DC034B">
        <w:fldChar w:fldCharType="end"/>
      </w:r>
      <w:r w:rsidR="00DC034B">
        <w:t xml:space="preserve"> </w:t>
      </w:r>
      <w:r>
        <w:t>for formaliseringer.</w:t>
      </w:r>
    </w:p>
    <w:p w14:paraId="513D7565" w14:textId="0AAAD52A" w:rsidR="00D31D0F" w:rsidRPr="0055149C" w:rsidRDefault="00C70174" w:rsidP="00D31D0F">
      <w:pPr>
        <w:pStyle w:val="Overskrift1"/>
      </w:pPr>
      <w:bookmarkStart w:id="61" w:name="_Toc182321013"/>
      <w:bookmarkEnd w:id="56"/>
      <w:r w:rsidRPr="0055149C">
        <w:lastRenderedPageBreak/>
        <w:t>Implementering</w:t>
      </w:r>
      <w:bookmarkEnd w:id="57"/>
      <w:bookmarkEnd w:id="58"/>
      <w:bookmarkEnd w:id="59"/>
      <w:bookmarkEnd w:id="60"/>
      <w:bookmarkEnd w:id="61"/>
    </w:p>
    <w:p w14:paraId="4980FA2C" w14:textId="10E48F48" w:rsidR="00414EEA" w:rsidRPr="0055149C" w:rsidRDefault="000600F4" w:rsidP="00DF6496">
      <w:pPr>
        <w:rPr>
          <w:lang w:eastAsia="nb-NO"/>
        </w:rPr>
      </w:pPr>
      <w:r w:rsidRPr="0055149C">
        <w:rPr>
          <w:lang w:eastAsia="nb-NO"/>
        </w:rPr>
        <w:t xml:space="preserve">I dette kapittelet redegjør vi for hvordan </w:t>
      </w:r>
      <w:r w:rsidR="000F3080" w:rsidRPr="0055149C">
        <w:rPr>
          <w:lang w:eastAsia="nb-NO"/>
        </w:rPr>
        <w:t>vi måler kapital</w:t>
      </w:r>
      <w:r w:rsidR="00E1461A" w:rsidRPr="0055149C">
        <w:rPr>
          <w:lang w:eastAsia="nb-NO"/>
        </w:rPr>
        <w:t>kostnader for kommunal sektor. Vi starter med å ta for oss datagrunnlaget, før vi redegjør for selve kapitalestimeringen</w:t>
      </w:r>
      <w:r w:rsidR="002C34A9" w:rsidRPr="0055149C">
        <w:rPr>
          <w:lang w:eastAsia="nb-NO"/>
        </w:rPr>
        <w:t>.</w:t>
      </w:r>
    </w:p>
    <w:p w14:paraId="14456FCB" w14:textId="295263C3" w:rsidR="00511210" w:rsidRPr="0055149C" w:rsidRDefault="00511210" w:rsidP="009C6054">
      <w:pPr>
        <w:pStyle w:val="Overskrift2"/>
      </w:pPr>
      <w:bookmarkStart w:id="62" w:name="_Ref178521930"/>
      <w:bookmarkStart w:id="63" w:name="_Toc182321014"/>
      <w:r w:rsidRPr="0055149C">
        <w:t>Data</w:t>
      </w:r>
      <w:r w:rsidR="00E1461A" w:rsidRPr="0055149C">
        <w:t>grunnlag</w:t>
      </w:r>
      <w:bookmarkEnd w:id="62"/>
      <w:bookmarkEnd w:id="63"/>
    </w:p>
    <w:p w14:paraId="0B6EEE2E" w14:textId="4B705513" w:rsidR="00E1461A" w:rsidRPr="0055149C" w:rsidRDefault="007C0E5C" w:rsidP="00E1461A">
      <w:pPr>
        <w:rPr>
          <w:lang w:eastAsia="nb-NO"/>
        </w:rPr>
      </w:pPr>
      <w:r w:rsidRPr="0055149C">
        <w:rPr>
          <w:lang w:eastAsia="nb-NO"/>
        </w:rPr>
        <w:t xml:space="preserve">I det </w:t>
      </w:r>
      <w:r w:rsidR="001B73B8" w:rsidRPr="0055149C">
        <w:rPr>
          <w:lang w:eastAsia="nb-NO"/>
        </w:rPr>
        <w:t>følgende gjennomgår vi</w:t>
      </w:r>
      <w:r w:rsidR="00D41CCB" w:rsidRPr="0055149C">
        <w:rPr>
          <w:lang w:eastAsia="nb-NO"/>
        </w:rPr>
        <w:t xml:space="preserve"> data knyttet til kapitalestimeringen, herunder regnskapsdata for kommunal sektor, prisstatistikk og data som avdekker depresieringsrater. Deretter tar vi for oss datagrunnlaget for variabler som fanger opp inntektssystemet og kontekstuelle variabler.</w:t>
      </w:r>
    </w:p>
    <w:p w14:paraId="1C5F2656" w14:textId="54FAEF62" w:rsidR="00511210" w:rsidRPr="0055149C" w:rsidRDefault="00D41CCB" w:rsidP="00511210">
      <w:pPr>
        <w:pStyle w:val="Overskrift3"/>
      </w:pPr>
      <w:bookmarkStart w:id="64" w:name="_Ref166249059"/>
      <w:r w:rsidRPr="0055149C">
        <w:t>Regnskapsdata for kommunal</w:t>
      </w:r>
      <w:r w:rsidR="00CF2F1E">
        <w:t xml:space="preserve"> </w:t>
      </w:r>
      <w:r w:rsidRPr="0055149C">
        <w:t>sektor</w:t>
      </w:r>
      <w:bookmarkEnd w:id="64"/>
    </w:p>
    <w:p w14:paraId="6DEA5EC9" w14:textId="527DA12C" w:rsidR="00833C6B" w:rsidRPr="0055149C" w:rsidRDefault="00A228AC" w:rsidP="00EB6EC9">
      <w:r w:rsidRPr="0055149C">
        <w:rPr>
          <w:lang w:eastAsia="nb-NO"/>
        </w:rPr>
        <w:t xml:space="preserve">Vi innhentet regnskapsdata for norske kommuner og fylkeskommuner fra Statistisk sentralbyrås statistikker for Kommuneregnskap og Fylkeskommuneregnskap. </w:t>
      </w:r>
      <w:r w:rsidR="00994660" w:rsidRPr="0055149C">
        <w:rPr>
          <w:lang w:eastAsia="nb-NO"/>
        </w:rPr>
        <w:t>D</w:t>
      </w:r>
      <w:r w:rsidR="00610F63" w:rsidRPr="0055149C">
        <w:rPr>
          <w:lang w:eastAsia="nb-NO"/>
        </w:rPr>
        <w:t xml:space="preserve">isse dataene utgjør en del av </w:t>
      </w:r>
      <w:r w:rsidR="00187644">
        <w:rPr>
          <w:lang w:eastAsia="nb-NO"/>
        </w:rPr>
        <w:t>«</w:t>
      </w:r>
      <w:r w:rsidR="00187644">
        <w:rPr>
          <w:i/>
          <w:iCs/>
          <w:color w:val="3672B0" w:themeColor="accent2"/>
          <w:lang w:eastAsia="nb-NO"/>
        </w:rPr>
        <w:t>KO</w:t>
      </w:r>
      <w:r w:rsidR="00610F63" w:rsidRPr="00803BE4">
        <w:rPr>
          <w:i/>
          <w:iCs/>
          <w:color w:val="3672B0" w:themeColor="accent2"/>
          <w:lang w:eastAsia="nb-NO"/>
        </w:rPr>
        <w:t>mmune-</w:t>
      </w:r>
      <w:r w:rsidR="00187644">
        <w:rPr>
          <w:i/>
          <w:iCs/>
          <w:color w:val="3672B0" w:themeColor="accent2"/>
          <w:lang w:eastAsia="nb-NO"/>
        </w:rPr>
        <w:t>ST</w:t>
      </w:r>
      <w:r w:rsidR="00610F63" w:rsidRPr="00803BE4">
        <w:rPr>
          <w:i/>
          <w:iCs/>
          <w:color w:val="3672B0" w:themeColor="accent2"/>
          <w:lang w:eastAsia="nb-NO"/>
        </w:rPr>
        <w:t>at-</w:t>
      </w:r>
      <w:r w:rsidR="00187644">
        <w:rPr>
          <w:i/>
          <w:iCs/>
          <w:color w:val="3672B0" w:themeColor="accent2"/>
          <w:lang w:eastAsia="nb-NO"/>
        </w:rPr>
        <w:t>RA</w:t>
      </w:r>
      <w:r w:rsidR="00610F63" w:rsidRPr="00803BE4">
        <w:rPr>
          <w:i/>
          <w:iCs/>
          <w:color w:val="3672B0" w:themeColor="accent2"/>
          <w:lang w:eastAsia="nb-NO"/>
        </w:rPr>
        <w:t>pportering</w:t>
      </w:r>
      <w:r w:rsidR="00187644">
        <w:rPr>
          <w:lang w:eastAsia="nb-NO"/>
        </w:rPr>
        <w:t>»,</w:t>
      </w:r>
      <w:r w:rsidR="00610F63" w:rsidRPr="0055149C">
        <w:rPr>
          <w:lang w:eastAsia="nb-NO"/>
        </w:rPr>
        <w:t xml:space="preserve"> som trolig er bedre kjent under forkortelsen</w:t>
      </w:r>
      <w:r w:rsidR="00187644">
        <w:rPr>
          <w:lang w:eastAsia="nb-NO"/>
        </w:rPr>
        <w:t xml:space="preserve"> </w:t>
      </w:r>
      <w:r w:rsidR="008E7E43">
        <w:rPr>
          <w:b/>
          <w:bCs/>
          <w:color w:val="3672B0" w:themeColor="accent2"/>
          <w:lang w:eastAsia="nb-NO"/>
        </w:rPr>
        <w:t>KOSTRA</w:t>
      </w:r>
      <w:r w:rsidR="00187644">
        <w:rPr>
          <w:lang w:eastAsia="nb-NO"/>
        </w:rPr>
        <w:t>.</w:t>
      </w:r>
      <w:r w:rsidR="00610F63" w:rsidRPr="0055149C">
        <w:rPr>
          <w:lang w:eastAsia="nb-NO"/>
        </w:rPr>
        <w:t xml:space="preserve"> </w:t>
      </w:r>
      <w:r w:rsidRPr="0055149C">
        <w:rPr>
          <w:lang w:eastAsia="nb-NO"/>
        </w:rPr>
        <w:t xml:space="preserve">I hovedsak dekker tidsseriene periodene </w:t>
      </w:r>
      <w:r w:rsidR="00C34612" w:rsidRPr="0055149C">
        <w:rPr>
          <w:lang w:eastAsia="nb-NO"/>
        </w:rPr>
        <w:t>200</w:t>
      </w:r>
      <w:r w:rsidR="00A156C7" w:rsidRPr="0055149C">
        <w:rPr>
          <w:lang w:eastAsia="nb-NO"/>
        </w:rPr>
        <w:t>4</w:t>
      </w:r>
      <w:r w:rsidR="00C34612" w:rsidRPr="0055149C">
        <w:rPr>
          <w:lang w:eastAsia="nb-NO"/>
        </w:rPr>
        <w:t xml:space="preserve"> til 2022</w:t>
      </w:r>
      <w:r w:rsidR="00EB6EC9" w:rsidRPr="0055149C">
        <w:rPr>
          <w:lang w:eastAsia="nb-NO"/>
        </w:rPr>
        <w:t xml:space="preserve"> fo</w:t>
      </w:r>
      <w:r w:rsidR="00B62817" w:rsidRPr="0055149C">
        <w:rPr>
          <w:lang w:eastAsia="nb-NO"/>
        </w:rPr>
        <w:t>r resultattallene og 200</w:t>
      </w:r>
      <w:r w:rsidR="00A156C7" w:rsidRPr="0055149C">
        <w:rPr>
          <w:lang w:eastAsia="nb-NO"/>
        </w:rPr>
        <w:t>3</w:t>
      </w:r>
      <w:r w:rsidR="00B62817" w:rsidRPr="0055149C">
        <w:rPr>
          <w:lang w:eastAsia="nb-NO"/>
        </w:rPr>
        <w:t xml:space="preserve"> til 2022 for beholdningsstørrelsene.</w:t>
      </w:r>
      <w:r w:rsidR="00897341" w:rsidRPr="0055149C">
        <w:rPr>
          <w:lang w:eastAsia="nb-NO"/>
        </w:rPr>
        <w:t xml:space="preserve"> </w:t>
      </w:r>
      <w:r w:rsidR="00897341" w:rsidRPr="0055149C">
        <w:t xml:space="preserve">Vi </w:t>
      </w:r>
      <w:r w:rsidR="006541FA">
        <w:t>viser</w:t>
      </w:r>
      <w:r w:rsidR="00897341" w:rsidRPr="0055149C">
        <w:t xml:space="preserve"> til Kommunal- og moderniseringsdepartementet (</w:t>
      </w:r>
      <w:r w:rsidR="00A23C79" w:rsidRPr="0055149C">
        <w:rPr>
          <w:lang w:eastAsia="nb-NO"/>
        </w:rPr>
        <w:t>2019</w:t>
      </w:r>
      <w:r w:rsidR="00A23C79">
        <w:rPr>
          <w:lang w:eastAsia="nb-NO"/>
        </w:rPr>
        <w:t>b</w:t>
      </w:r>
      <w:r w:rsidR="00396F09">
        <w:rPr>
          <w:lang w:eastAsia="nb-NO"/>
        </w:rPr>
        <w:t xml:space="preserve"> og </w:t>
      </w:r>
      <w:r w:rsidR="00897341" w:rsidRPr="0055149C">
        <w:t>2021</w:t>
      </w:r>
      <w:r w:rsidR="00693BC5">
        <w:t>b</w:t>
      </w:r>
      <w:r w:rsidR="00396F09">
        <w:t>)</w:t>
      </w:r>
      <w:r w:rsidR="00C82D3F">
        <w:t xml:space="preserve"> og St</w:t>
      </w:r>
      <w:r w:rsidR="00396F09">
        <w:t>atistisk sentralbyrå (2024)</w:t>
      </w:r>
      <w:r w:rsidR="00897341" w:rsidRPr="0055149C">
        <w:t xml:space="preserve"> for redegjørelse</w:t>
      </w:r>
      <w:r w:rsidR="00396F09">
        <w:t>r</w:t>
      </w:r>
      <w:r w:rsidR="00897341" w:rsidRPr="0055149C">
        <w:t xml:space="preserve"> </w:t>
      </w:r>
      <w:r w:rsidR="005F4431">
        <w:t>for</w:t>
      </w:r>
      <w:r w:rsidR="00897341" w:rsidRPr="0055149C">
        <w:t xml:space="preserve"> </w:t>
      </w:r>
      <w:r w:rsidR="00ED7B5A">
        <w:t>henholdsvis de kommunale regnskapene</w:t>
      </w:r>
      <w:r w:rsidR="00396F09">
        <w:t>,</w:t>
      </w:r>
      <w:r w:rsidR="00ED7B5A">
        <w:t xml:space="preserve"> </w:t>
      </w:r>
      <w:r w:rsidR="00897341" w:rsidRPr="0055149C">
        <w:t xml:space="preserve">regnskapsføringen rapportert i </w:t>
      </w:r>
      <w:r w:rsidR="008E7E43">
        <w:t>KOSTRA</w:t>
      </w:r>
      <w:r w:rsidR="00833C6B">
        <w:t xml:space="preserve"> </w:t>
      </w:r>
      <w:r w:rsidR="00396F09">
        <w:t xml:space="preserve">og en brukerinnføring i </w:t>
      </w:r>
      <w:r w:rsidR="008E7E43">
        <w:t>KOSTRA</w:t>
      </w:r>
      <w:r w:rsidR="00396F09">
        <w:t xml:space="preserve">-statistikken </w:t>
      </w:r>
      <w:r w:rsidR="00833C6B">
        <w:t>(se også</w:t>
      </w:r>
      <w:r w:rsidR="001D5E69">
        <w:t xml:space="preserve"> </w:t>
      </w:r>
      <w:r w:rsidR="00833C6B" w:rsidRPr="0055149C">
        <w:rPr>
          <w:lang w:eastAsia="nb-NO"/>
        </w:rPr>
        <w:t>Kommunal- og distriktsdepartementet 2023a</w:t>
      </w:r>
      <w:r w:rsidR="00833C6B">
        <w:rPr>
          <w:lang w:eastAsia="nb-NO"/>
        </w:rPr>
        <w:t xml:space="preserve"> for interkommunale selskaper</w:t>
      </w:r>
      <w:r w:rsidR="00833C6B" w:rsidRPr="0055149C">
        <w:rPr>
          <w:lang w:eastAsia="nb-NO"/>
        </w:rPr>
        <w:t>).</w:t>
      </w:r>
    </w:p>
    <w:p w14:paraId="144D7557" w14:textId="77777777" w:rsidR="008E5D44" w:rsidRPr="0055149C" w:rsidRDefault="008E5D44" w:rsidP="008E5D44">
      <w:pPr>
        <w:rPr>
          <w:lang w:eastAsia="nb-NO"/>
        </w:rPr>
      </w:pPr>
      <w:r w:rsidRPr="0055149C">
        <w:rPr>
          <w:lang w:eastAsia="nb-NO"/>
        </w:rPr>
        <w:t>Realkapitalbasen i kommunal sektor fanges opp av de ikke-finansielle eiendelene i driftsregnskapene på konsernnivå som ikke-finansielle driftsmidler. Disse kan deles inn i tre hovedkategorier, som igjen består av underliggende kategorier med ulike kjennetegn:</w:t>
      </w:r>
    </w:p>
    <w:p w14:paraId="7A9B3EFA" w14:textId="15E92058" w:rsidR="008E5D44" w:rsidRPr="0055149C" w:rsidRDefault="008E5D44" w:rsidP="009B4FEF">
      <w:pPr>
        <w:pStyle w:val="Bullet1"/>
      </w:pPr>
      <w:bookmarkStart w:id="65" w:name="_Hlk160016651"/>
      <w:r w:rsidRPr="0055149C">
        <w:rPr>
          <w:b/>
          <w:bCs/>
          <w:color w:val="3672B0" w:themeColor="accent2"/>
        </w:rPr>
        <w:t xml:space="preserve">Faste eiendommer og anlegg </w:t>
      </w:r>
      <w:bookmarkEnd w:id="65"/>
      <w:r w:rsidRPr="0055149C">
        <w:rPr>
          <w:color w:val="3672B0" w:themeColor="accent2"/>
        </w:rPr>
        <w:t xml:space="preserve">(A.1.1) </w:t>
      </w:r>
      <w:r w:rsidRPr="0055149C">
        <w:t>består i prinsippet av tre former for immobil kapital i form av tomter, bygg og anlegg. Når det gjelder faste eiendommer er det vanskelig å skille mellom verdien på eksisterende tomter og bygg. Statistisk sentralbyrå anslår tomt</w:t>
      </w:r>
      <w:r w:rsidR="004769AC" w:rsidRPr="0055149C">
        <w:t>e</w:t>
      </w:r>
      <w:r w:rsidRPr="0055149C">
        <w:t>andel</w:t>
      </w:r>
      <w:r w:rsidR="004769AC" w:rsidRPr="0055149C">
        <w:t>en</w:t>
      </w:r>
      <w:r w:rsidRPr="0055149C">
        <w:t xml:space="preserve"> av </w:t>
      </w:r>
      <w:r w:rsidR="004769AC" w:rsidRPr="0055149C">
        <w:t xml:space="preserve">verdien til </w:t>
      </w:r>
      <w:r w:rsidR="00B71D70" w:rsidRPr="0055149C">
        <w:t>ny</w:t>
      </w:r>
      <w:r w:rsidR="004769AC" w:rsidRPr="0055149C">
        <w:t>investeringer i nye eiendommer til rundt 25 prosent</w:t>
      </w:r>
      <w:r w:rsidR="00F537F8" w:rsidRPr="0055149C">
        <w:t>.</w:t>
      </w:r>
      <w:r w:rsidRPr="0055149C">
        <w:t xml:space="preserve"> </w:t>
      </w:r>
      <w:r w:rsidR="00B1707B" w:rsidRPr="0055149C">
        <w:t>Grunnen til den høyere andelen er at a</w:t>
      </w:r>
      <w:r w:rsidRPr="0055149C">
        <w:t xml:space="preserve">nlegg </w:t>
      </w:r>
      <w:r w:rsidR="00FC1695" w:rsidRPr="0055149C">
        <w:t xml:space="preserve">og bygninger </w:t>
      </w:r>
      <w:r w:rsidR="00165DBD" w:rsidRPr="0055149C">
        <w:t>depresierer (mest anlegg)</w:t>
      </w:r>
      <w:r w:rsidRPr="0055149C">
        <w:t xml:space="preserve">, mens tomter </w:t>
      </w:r>
      <w:r w:rsidR="000E5944">
        <w:t xml:space="preserve">bare </w:t>
      </w:r>
      <w:r w:rsidR="00165DBD" w:rsidRPr="0055149C">
        <w:t xml:space="preserve">depresierer i </w:t>
      </w:r>
      <w:r w:rsidRPr="0055149C">
        <w:t xml:space="preserve">den grad opparbeidede områder forvitrer over tid. Prisveksten for fast eiendom (altså tomter og bygg) er </w:t>
      </w:r>
      <w:r w:rsidR="00165DBD" w:rsidRPr="0055149C">
        <w:t xml:space="preserve">dessuten </w:t>
      </w:r>
      <w:r w:rsidRPr="0055149C">
        <w:t>som regel høyere over tid enn pris</w:t>
      </w:r>
      <w:r w:rsidR="000E5944">
        <w:t>vekst</w:t>
      </w:r>
      <w:r w:rsidRPr="0055149C">
        <w:t>en på anlegg</w:t>
      </w:r>
      <w:r w:rsidR="006824BE">
        <w:t xml:space="preserve"> (se for eksempel delseksjonen om </w:t>
      </w:r>
      <w:r w:rsidR="00A33893">
        <w:t xml:space="preserve">kapitaldeflatorer under seksjon </w:t>
      </w:r>
      <w:r w:rsidR="00A33893">
        <w:fldChar w:fldCharType="begin"/>
      </w:r>
      <w:r w:rsidR="00A33893">
        <w:instrText xml:space="preserve"> REF _Ref174721107 \r \h </w:instrText>
      </w:r>
      <w:r w:rsidR="00A33893">
        <w:fldChar w:fldCharType="separate"/>
      </w:r>
      <w:r w:rsidR="009B1DA8">
        <w:t>4.1.1</w:t>
      </w:r>
      <w:r w:rsidR="00A33893">
        <w:fldChar w:fldCharType="end"/>
      </w:r>
      <w:r w:rsidR="006824BE">
        <w:t>)</w:t>
      </w:r>
      <w:r w:rsidRPr="0055149C">
        <w:t>. I tillegg er prisen for særlig fast eiendom geografisk betinget, siden kapitalen er immobil og har lang levetid.</w:t>
      </w:r>
    </w:p>
    <w:p w14:paraId="30CBFBC0" w14:textId="74588844" w:rsidR="008E5D44" w:rsidRPr="0055149C" w:rsidRDefault="008E5D44" w:rsidP="008E5D44">
      <w:pPr>
        <w:pStyle w:val="Bullet1"/>
      </w:pPr>
      <w:r w:rsidRPr="0055149C">
        <w:rPr>
          <w:b/>
          <w:bCs/>
          <w:color w:val="3672B0" w:themeColor="accent2"/>
        </w:rPr>
        <w:t xml:space="preserve">Utstyr, maskiner og transportmidler </w:t>
      </w:r>
      <w:r w:rsidRPr="0055149C">
        <w:rPr>
          <w:color w:val="3672B0" w:themeColor="accent2"/>
        </w:rPr>
        <w:t xml:space="preserve">(A.1.2) </w:t>
      </w:r>
      <w:r w:rsidRPr="0055149C">
        <w:t>utgjør kommunenes fysiske mobile realkapital. Sammenliknet med faste eiendommer og anlegg er prisveksten for disse kapitalformene som regel lavere, samtidig som levetiden er kortere (altså høyere depresieringsrate). Videre er depresieringsraten for utstyr generelt høyere enn for maskiner og transportmidler. Denne kapitalkategorien er gjenstand for relativt store kvalitetsforbedringer, hvilket tilhørende deflator bør ta hensyn til, dersom man skal kunne regne seg fra kapitaltal</w:t>
      </w:r>
      <w:r w:rsidRPr="0055149C" w:rsidDel="00C47570">
        <w:t>l</w:t>
      </w:r>
      <w:r w:rsidRPr="0055149C">
        <w:t xml:space="preserve"> i løpende priser til kapitaltall i faste priser.</w:t>
      </w:r>
      <w:r w:rsidR="001C06E9" w:rsidRPr="0055149C">
        <w:t xml:space="preserve"> En slik omregning vil blant annet være nødvendig ved konvensjonelle anvendelser av PIM.</w:t>
      </w:r>
    </w:p>
    <w:p w14:paraId="1C85C334" w14:textId="77777777" w:rsidR="008E5D44" w:rsidRPr="0055149C" w:rsidRDefault="008E5D44" w:rsidP="008E5D44">
      <w:pPr>
        <w:pStyle w:val="Bullet1"/>
      </w:pPr>
      <w:r w:rsidRPr="0055149C">
        <w:rPr>
          <w:b/>
          <w:bCs/>
          <w:color w:val="3672B0" w:themeColor="accent2"/>
        </w:rPr>
        <w:t xml:space="preserve">Immaterielle eiendeler </w:t>
      </w:r>
      <w:r w:rsidRPr="0055149C">
        <w:rPr>
          <w:color w:val="3672B0" w:themeColor="accent2"/>
        </w:rPr>
        <w:t xml:space="preserve">(A.3) </w:t>
      </w:r>
      <w:r w:rsidRPr="0055149C">
        <w:t xml:space="preserve">innbefatter patenter, forskning og utvikling, goodwill og utsatt skattefordel i tilknyttede foretak. Innenfor tradisjonell norsk regnskapsmetodikk er det </w:t>
      </w:r>
      <w:r w:rsidRPr="0055149C">
        <w:lastRenderedPageBreak/>
        <w:t>valgfritt om man vil kostnadsføre kostnadene tilknyttet forskning og utvikling direkte eller kapitalisere dem og føre kostnadene som kapitalslit over år. Patenter har generelt noe lenger levetid (og lavere depresieringsrater) enn forskning og utvikling og goodwill. Goodwill fanger overprisen betalt ved oppkjøp. Utsatt skattefordel er ikke en realkapitalform og kan være både positiv og negativ.</w:t>
      </w:r>
    </w:p>
    <w:p w14:paraId="529E5C2F" w14:textId="2BF2268A" w:rsidR="008E5D44" w:rsidRPr="0055149C" w:rsidRDefault="00D0472D" w:rsidP="008E5D44">
      <w:pPr>
        <w:rPr>
          <w:color w:val="auto"/>
        </w:rPr>
      </w:pPr>
      <w:r w:rsidRPr="0055149C">
        <w:rPr>
          <w:color w:val="auto"/>
        </w:rPr>
        <w:t>F</w:t>
      </w:r>
      <w:r w:rsidR="008E5D44" w:rsidRPr="0055149C">
        <w:rPr>
          <w:color w:val="auto"/>
        </w:rPr>
        <w:t xml:space="preserve">aste eiendommer og anlegg dominerer kapitalmassen, særlig på </w:t>
      </w:r>
      <w:r w:rsidR="003F4EF0" w:rsidRPr="0055149C">
        <w:rPr>
          <w:color w:val="auto"/>
        </w:rPr>
        <w:t>primær</w:t>
      </w:r>
      <w:r w:rsidR="008E5D44" w:rsidRPr="0055149C">
        <w:rPr>
          <w:color w:val="auto"/>
        </w:rPr>
        <w:t>kommunenivå, slik at håndteringen av denne kapitalformen blir særlig sentral. På fylkesnivå utgjør utstyr, maskiner og transportmidler en relativt større andel av kapitalmassen enn på kommunenivå.</w:t>
      </w:r>
      <w:r w:rsidR="00632941" w:rsidRPr="0055149C">
        <w:rPr>
          <w:color w:val="auto"/>
        </w:rPr>
        <w:t xml:space="preserve"> Omfanget av immateriell kapital er derimot beskjedent </w:t>
      </w:r>
      <w:r w:rsidR="003F4EF0" w:rsidRPr="0055149C">
        <w:rPr>
          <w:color w:val="auto"/>
        </w:rPr>
        <w:t>for primærkommunene og ikke tilstedeværende for sekundærkommunene.</w:t>
      </w:r>
    </w:p>
    <w:p w14:paraId="20435D0E" w14:textId="51A830D2" w:rsidR="008E5D44" w:rsidRPr="0055149C" w:rsidRDefault="008E5D44" w:rsidP="00AC6919">
      <w:r w:rsidRPr="0055149C">
        <w:t>I tillegg til disse tre kategoriene hender det at realkapital</w:t>
      </w:r>
      <w:r w:rsidR="00803BE4">
        <w:t>en</w:t>
      </w:r>
      <w:r w:rsidRPr="0055149C">
        <w:t xml:space="preserve"> fanges opp i varelageret under omløpsmidlene, først og fremst knyttet til kapitalvarer (under B.4 i Kommuneregnskapet) på lager som brukes i drift i en mellomfase. Omfanget av dette er generelt begrenset og er neglisjerbart i kommunal sektor. Endringer i omløpsmidlene bidrar uansett ikke til de driftsmessige av- og nedskrivningene, slik at de ikke blir direkte relevant </w:t>
      </w:r>
      <w:r w:rsidR="00993EF6" w:rsidRPr="0055149C">
        <w:t xml:space="preserve">når hensikten er å identifisere </w:t>
      </w:r>
      <w:r w:rsidR="00BA7484" w:rsidRPr="0055149C">
        <w:t>real</w:t>
      </w:r>
      <w:r w:rsidR="00993EF6" w:rsidRPr="0055149C">
        <w:t>kapitalkostnader</w:t>
      </w:r>
      <w:r w:rsidR="0081615F" w:rsidRPr="0055149C">
        <w:t xml:space="preserve"> som ikke hensyntas av </w:t>
      </w:r>
      <w:r w:rsidR="00F73C71">
        <w:t xml:space="preserve">utgiftsutjevningen i </w:t>
      </w:r>
      <w:r w:rsidR="0081615F" w:rsidRPr="0055149C">
        <w:t>det kommunale inntektssystemet</w:t>
      </w:r>
      <w:r w:rsidRPr="0055149C">
        <w:t>.</w:t>
      </w:r>
      <w:r w:rsidRPr="0055149C">
        <w:rPr>
          <w:vertAlign w:val="superscript"/>
        </w:rPr>
        <w:footnoteReference w:id="17"/>
      </w:r>
    </w:p>
    <w:p w14:paraId="53559DBA" w14:textId="6F1E52C8" w:rsidR="008E5D44" w:rsidRPr="0055149C" w:rsidRDefault="008E5D44" w:rsidP="008E5D44">
      <w:r w:rsidRPr="0055149C">
        <w:t>Vi måle</w:t>
      </w:r>
      <w:r w:rsidR="0081615F" w:rsidRPr="0055149C">
        <w:t>r</w:t>
      </w:r>
      <w:r w:rsidRPr="0055149C">
        <w:t xml:space="preserve"> kapitalbasen på konsernnivå for kommunene og fylkeskommunene, </w:t>
      </w:r>
      <w:r w:rsidR="00BA7484" w:rsidRPr="0055149C">
        <w:t>hvilket innebærer</w:t>
      </w:r>
      <w:r w:rsidRPr="0055149C">
        <w:t xml:space="preserve"> at finansielle anleggsmidler (A.2) </w:t>
      </w:r>
      <w:r w:rsidR="00BA7484" w:rsidRPr="0055149C">
        <w:t>er relevant når det gjelder realkapitalkostnadene</w:t>
      </w:r>
      <w:r w:rsidRPr="0055149C">
        <w:t xml:space="preserve">. Finansielle anleggsmidler bidrar </w:t>
      </w:r>
      <w:r w:rsidR="00AC6919" w:rsidRPr="0055149C">
        <w:t>ellers</w:t>
      </w:r>
      <w:r w:rsidRPr="0055149C">
        <w:t xml:space="preserve"> ikke til driftsmessige av- og nedskrivninger. Kommunene har heller ikke noen klare insentiver eller muligheter til å kostnadsføre </w:t>
      </w:r>
      <w:r w:rsidR="00F00672" w:rsidRPr="0055149C">
        <w:t xml:space="preserve">finansielle </w:t>
      </w:r>
      <w:r w:rsidRPr="0055149C">
        <w:t>anleggsinvesteringer direkte</w:t>
      </w:r>
      <w:r w:rsidR="00AC6919" w:rsidRPr="0055149C">
        <w:t xml:space="preserve"> i den forstand at de unngår kapitalisering</w:t>
      </w:r>
      <w:r w:rsidRPr="0055149C">
        <w:t>.</w:t>
      </w:r>
    </w:p>
    <w:p w14:paraId="6FFA3386" w14:textId="7E0C451F" w:rsidR="00EC77F1" w:rsidRPr="0055149C" w:rsidRDefault="008E5D44" w:rsidP="008E5D44">
      <w:r w:rsidRPr="0055149C">
        <w:t xml:space="preserve">Egenskapen til kapitalmassen varierer ikke bare over kapitalformene som er definert i kommuneregnskapene og </w:t>
      </w:r>
      <w:r w:rsidR="008E7E43">
        <w:t>KOSTRA</w:t>
      </w:r>
      <w:r w:rsidRPr="0055149C">
        <w:t>, men også over delsektorer. Innad i hver kapitalkategori vil sammensetningen i de underliggende og mer disaggregerte kapitalformene variere, samtidig som innhold i disse kapitalformene kan være noe annerledes. Sektorsammensetningen er derfor ikke uten betydning når man vurderer kapitalslitet i kommunal sektor, hvilket taler for sektorvis behandling.</w:t>
      </w:r>
      <w:r w:rsidR="00F730F0" w:rsidRPr="0055149C">
        <w:t xml:space="preserve"> Det faktum at k</w:t>
      </w:r>
      <w:r w:rsidR="0098037B" w:rsidRPr="0055149C">
        <w:t>ommun</w:t>
      </w:r>
      <w:r w:rsidR="003D2119">
        <w:t>en</w:t>
      </w:r>
      <w:r w:rsidR="0098037B" w:rsidRPr="0055149C">
        <w:t>es relative kapitalutgifter varierer mellom sektorer</w:t>
      </w:r>
      <w:r w:rsidR="00F730F0" w:rsidRPr="0055149C">
        <w:t xml:space="preserve"> tilsier det samme</w:t>
      </w:r>
      <w:r w:rsidR="0098037B" w:rsidRPr="0055149C">
        <w:t xml:space="preserve"> (</w:t>
      </w:r>
      <w:r w:rsidR="006B1885" w:rsidRPr="0055149C">
        <w:t>s</w:t>
      </w:r>
      <w:r w:rsidR="0098037B" w:rsidRPr="0055149C">
        <w:t>e også delkapittel 1.2</w:t>
      </w:r>
      <w:r w:rsidR="00AC6919" w:rsidRPr="0055149C">
        <w:t xml:space="preserve"> og delkapittel </w:t>
      </w:r>
      <w:r w:rsidR="00AC6919" w:rsidRPr="0055149C">
        <w:fldChar w:fldCharType="begin"/>
      </w:r>
      <w:r w:rsidR="00AC6919" w:rsidRPr="0055149C">
        <w:instrText xml:space="preserve"> REF _Ref174723736 \r \h  \* MERGEFORMAT </w:instrText>
      </w:r>
      <w:r w:rsidR="00AC6919" w:rsidRPr="0055149C">
        <w:fldChar w:fldCharType="separate"/>
      </w:r>
      <w:r w:rsidR="009B1DA8">
        <w:t>2.4</w:t>
      </w:r>
      <w:r w:rsidR="00AC6919" w:rsidRPr="0055149C">
        <w:fldChar w:fldCharType="end"/>
      </w:r>
      <w:r w:rsidR="0098037B" w:rsidRPr="0055149C">
        <w:t>).</w:t>
      </w:r>
    </w:p>
    <w:p w14:paraId="00D2141E" w14:textId="050545A7" w:rsidR="00DF6F35" w:rsidRPr="0055149C" w:rsidRDefault="00DF6F35" w:rsidP="008E5D44">
      <w:r w:rsidRPr="0055149C">
        <w:rPr>
          <w:color w:val="auto"/>
          <w:lang w:eastAsia="nb-NO"/>
        </w:rPr>
        <w:t xml:space="preserve">Noen funksjoner inngår helt eller delvis i </w:t>
      </w:r>
      <w:r w:rsidR="00CF255F">
        <w:rPr>
          <w:color w:val="auto"/>
          <w:lang w:eastAsia="nb-NO"/>
        </w:rPr>
        <w:t>utgiftsutjevningen</w:t>
      </w:r>
      <w:r w:rsidRPr="0055149C">
        <w:rPr>
          <w:color w:val="auto"/>
          <w:lang w:eastAsia="nb-NO"/>
        </w:rPr>
        <w:t xml:space="preserve">, mens andre er selvkosttjenester finansiert av gebyrer og </w:t>
      </w:r>
      <w:r w:rsidR="00403367">
        <w:rPr>
          <w:color w:val="auto"/>
          <w:lang w:eastAsia="nb-NO"/>
        </w:rPr>
        <w:t xml:space="preserve">ikke-lovpålagte </w:t>
      </w:r>
      <w:r w:rsidRPr="0055149C">
        <w:rPr>
          <w:color w:val="auto"/>
          <w:lang w:eastAsia="nb-NO"/>
        </w:rPr>
        <w:t>tjenester. Siden vi operer</w:t>
      </w:r>
      <w:r w:rsidR="008C2B6B">
        <w:rPr>
          <w:color w:val="auto"/>
          <w:lang w:eastAsia="nb-NO"/>
        </w:rPr>
        <w:t>er</w:t>
      </w:r>
      <w:r w:rsidRPr="0055149C">
        <w:rPr>
          <w:color w:val="auto"/>
          <w:lang w:eastAsia="nb-NO"/>
        </w:rPr>
        <w:t xml:space="preserve"> med nokså aggregerte tjenestefunksjoner, vil det også være kombinasjoner av disse. Vi beregner i utgangspunktet kapitaltall for alle tjenestefunksjonene i primærkommunene og fylkeskommunene, men ser i enkelte av våre empiriske analyser kun på funksjonene som inngår i inntektssystemet.</w:t>
      </w:r>
    </w:p>
    <w:p w14:paraId="57D7D1CC" w14:textId="07D6734E" w:rsidR="00AC6919" w:rsidRPr="0055149C" w:rsidRDefault="00DF6F35" w:rsidP="00AC6919">
      <w:r w:rsidRPr="0055149C">
        <w:t>I det følgende har vi listet opp f</w:t>
      </w:r>
      <w:r w:rsidR="00AC6919" w:rsidRPr="0055149C">
        <w:t xml:space="preserve">unksjoner i primærkommunene </w:t>
      </w:r>
      <w:r w:rsidRPr="0055149C">
        <w:t xml:space="preserve">som inngår i våre kapitalberegninger, der funksjoner som helt eller delvis inngår i </w:t>
      </w:r>
      <w:r w:rsidR="00CF255F">
        <w:rPr>
          <w:color w:val="auto"/>
          <w:lang w:eastAsia="nb-NO"/>
        </w:rPr>
        <w:t>utgiftsutjevningen</w:t>
      </w:r>
      <w:r w:rsidR="00CF255F" w:rsidRPr="0055149C">
        <w:t xml:space="preserve"> </w:t>
      </w:r>
      <w:r w:rsidR="00CF255F">
        <w:t xml:space="preserve">i </w:t>
      </w:r>
      <w:r w:rsidRPr="0055149C">
        <w:t>det kommunale inntektssystemet er uthevet i fet skrift</w:t>
      </w:r>
      <w:r w:rsidR="00AC6919" w:rsidRPr="0055149C">
        <w:t>:</w:t>
      </w:r>
    </w:p>
    <w:p w14:paraId="0D9857D3" w14:textId="458B8C5C" w:rsidR="00AC6919" w:rsidRPr="0055149C" w:rsidRDefault="00AC6919" w:rsidP="00916DDE">
      <w:pPr>
        <w:pStyle w:val="Listeavsnitt"/>
        <w:numPr>
          <w:ilvl w:val="0"/>
          <w:numId w:val="20"/>
        </w:numPr>
        <w:rPr>
          <w:color w:val="3672B0" w:themeColor="accent2"/>
        </w:rPr>
      </w:pPr>
      <w:r w:rsidRPr="0055149C">
        <w:rPr>
          <w:b/>
          <w:bCs/>
          <w:color w:val="3672B0" w:themeColor="accent2"/>
        </w:rPr>
        <w:t xml:space="preserve">Administrasjon, </w:t>
      </w:r>
      <w:r w:rsidR="00803BE4">
        <w:rPr>
          <w:b/>
          <w:bCs/>
          <w:color w:val="3672B0" w:themeColor="accent2"/>
        </w:rPr>
        <w:t xml:space="preserve">politisk </w:t>
      </w:r>
      <w:r w:rsidRPr="0055149C">
        <w:rPr>
          <w:b/>
          <w:bCs/>
          <w:color w:val="3672B0" w:themeColor="accent2"/>
        </w:rPr>
        <w:t xml:space="preserve">styring og fellesutgifter i primærkommunen </w:t>
      </w:r>
      <w:r w:rsidRPr="0055149C">
        <w:rPr>
          <w:color w:val="3672B0" w:themeColor="accent2"/>
        </w:rPr>
        <w:t>(FGK1)</w:t>
      </w:r>
      <w:r w:rsidR="00803BE4">
        <w:rPr>
          <w:color w:val="3672B0" w:themeColor="accent2"/>
        </w:rPr>
        <w:t>, samt uspesifisert</w:t>
      </w:r>
      <w:r w:rsidR="00295A44">
        <w:rPr>
          <w:color w:val="3672B0" w:themeColor="accent2"/>
        </w:rPr>
        <w:t>e tjenester</w:t>
      </w:r>
      <w:r w:rsidR="00AD32D6">
        <w:rPr>
          <w:color w:val="3672B0" w:themeColor="accent2"/>
        </w:rPr>
        <w:t xml:space="preserve"> i </w:t>
      </w:r>
      <w:r w:rsidR="00AD32D6" w:rsidRPr="00AD32D6">
        <w:rPr>
          <w:color w:val="3672B0" w:themeColor="accent2"/>
        </w:rPr>
        <w:t>primærkommunen</w:t>
      </w:r>
    </w:p>
    <w:p w14:paraId="286DE7E3" w14:textId="77777777" w:rsidR="00AC6919" w:rsidRPr="0055149C" w:rsidRDefault="00AC6919" w:rsidP="00916DDE">
      <w:pPr>
        <w:pStyle w:val="Listeavsnitt"/>
        <w:numPr>
          <w:ilvl w:val="0"/>
          <w:numId w:val="20"/>
        </w:numPr>
        <w:rPr>
          <w:color w:val="3672B0" w:themeColor="accent2"/>
        </w:rPr>
      </w:pPr>
      <w:r w:rsidRPr="0055149C">
        <w:rPr>
          <w:color w:val="3672B0" w:themeColor="accent2"/>
        </w:rPr>
        <w:lastRenderedPageBreak/>
        <w:t>Kultursektoren i primærkommunen (FGK2)</w:t>
      </w:r>
    </w:p>
    <w:p w14:paraId="1B65A5B7" w14:textId="77777777" w:rsidR="00AC6919" w:rsidRPr="0055149C" w:rsidRDefault="00AC6919" w:rsidP="00916DDE">
      <w:pPr>
        <w:pStyle w:val="Listeavsnitt"/>
        <w:numPr>
          <w:ilvl w:val="0"/>
          <w:numId w:val="20"/>
        </w:numPr>
        <w:rPr>
          <w:color w:val="3672B0" w:themeColor="accent2"/>
        </w:rPr>
      </w:pPr>
      <w:r w:rsidRPr="0055149C">
        <w:rPr>
          <w:color w:val="3672B0" w:themeColor="accent2"/>
        </w:rPr>
        <w:t>Plan, byggesak og miljø i primærkommunen (FGK3)</w:t>
      </w:r>
    </w:p>
    <w:p w14:paraId="25932471" w14:textId="77777777" w:rsidR="00AC6919" w:rsidRPr="0055149C" w:rsidRDefault="00AC6919" w:rsidP="00916DDE">
      <w:pPr>
        <w:pStyle w:val="Listeavsnitt"/>
        <w:numPr>
          <w:ilvl w:val="0"/>
          <w:numId w:val="20"/>
        </w:numPr>
        <w:rPr>
          <w:color w:val="3672B0" w:themeColor="accent2"/>
        </w:rPr>
      </w:pPr>
      <w:r w:rsidRPr="0055149C">
        <w:rPr>
          <w:color w:val="3672B0" w:themeColor="accent2"/>
        </w:rPr>
        <w:t>Næringsforvaltning i primærkommunen (FGK4)</w:t>
      </w:r>
    </w:p>
    <w:p w14:paraId="18E9B70E" w14:textId="77777777" w:rsidR="00AC6919" w:rsidRPr="0055149C" w:rsidRDefault="00AC6919" w:rsidP="00916DDE">
      <w:pPr>
        <w:pStyle w:val="Listeavsnitt"/>
        <w:numPr>
          <w:ilvl w:val="0"/>
          <w:numId w:val="20"/>
        </w:numPr>
        <w:rPr>
          <w:color w:val="3672B0" w:themeColor="accent2"/>
        </w:rPr>
      </w:pPr>
      <w:r w:rsidRPr="0055149C">
        <w:rPr>
          <w:color w:val="3672B0" w:themeColor="accent2"/>
        </w:rPr>
        <w:t>Samferdsel i primærkommunen (FGK5)</w:t>
      </w:r>
    </w:p>
    <w:p w14:paraId="592049CF"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Barnehage</w:t>
      </w:r>
      <w:r w:rsidRPr="0055149C">
        <w:rPr>
          <w:color w:val="3672B0" w:themeColor="accent2"/>
        </w:rPr>
        <w:t xml:space="preserve"> (FGK7)</w:t>
      </w:r>
    </w:p>
    <w:p w14:paraId="46BC6D1B"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Grunnskole</w:t>
      </w:r>
      <w:r w:rsidRPr="0055149C">
        <w:rPr>
          <w:color w:val="3672B0" w:themeColor="accent2"/>
        </w:rPr>
        <w:t xml:space="preserve"> (FGK8b)</w:t>
      </w:r>
    </w:p>
    <w:p w14:paraId="45B275A8" w14:textId="12B3E297" w:rsidR="00AC6919" w:rsidRPr="0055149C" w:rsidRDefault="00AC6919" w:rsidP="00916DDE">
      <w:pPr>
        <w:pStyle w:val="Listeavsnitt"/>
        <w:numPr>
          <w:ilvl w:val="0"/>
          <w:numId w:val="20"/>
        </w:numPr>
        <w:rPr>
          <w:color w:val="3672B0" w:themeColor="accent2"/>
        </w:rPr>
      </w:pPr>
      <w:r w:rsidRPr="0055149C">
        <w:rPr>
          <w:b/>
          <w:bCs/>
          <w:color w:val="3672B0" w:themeColor="accent2"/>
        </w:rPr>
        <w:t xml:space="preserve">Helse og omsorg </w:t>
      </w:r>
      <w:r w:rsidRPr="0055149C">
        <w:rPr>
          <w:color w:val="3672B0" w:themeColor="accent2"/>
        </w:rPr>
        <w:t>(FGK9)</w:t>
      </w:r>
    </w:p>
    <w:p w14:paraId="6A58877E"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Sosialsektoren</w:t>
      </w:r>
      <w:r w:rsidRPr="0055149C">
        <w:rPr>
          <w:color w:val="3672B0" w:themeColor="accent2"/>
        </w:rPr>
        <w:t xml:space="preserve"> (FGK12)</w:t>
      </w:r>
    </w:p>
    <w:p w14:paraId="6152E854" w14:textId="1B1931F9" w:rsidR="00AC6919" w:rsidRPr="0055149C" w:rsidRDefault="00AC6919" w:rsidP="00916DDE">
      <w:pPr>
        <w:pStyle w:val="Listeavsnitt"/>
        <w:numPr>
          <w:ilvl w:val="0"/>
          <w:numId w:val="20"/>
        </w:numPr>
        <w:rPr>
          <w:color w:val="3672B0" w:themeColor="accent2"/>
        </w:rPr>
      </w:pPr>
      <w:r w:rsidRPr="0055149C">
        <w:rPr>
          <w:b/>
          <w:bCs/>
          <w:color w:val="3672B0" w:themeColor="accent2"/>
        </w:rPr>
        <w:t>Barnevern</w:t>
      </w:r>
      <w:r w:rsidR="00DF6F35" w:rsidRPr="0055149C">
        <w:rPr>
          <w:b/>
          <w:bCs/>
          <w:color w:val="3672B0" w:themeColor="accent2"/>
        </w:rPr>
        <w:t>et</w:t>
      </w:r>
      <w:r w:rsidRPr="0055149C">
        <w:rPr>
          <w:b/>
          <w:bCs/>
          <w:color w:val="3672B0" w:themeColor="accent2"/>
        </w:rPr>
        <w:t xml:space="preserve"> </w:t>
      </w:r>
      <w:r w:rsidRPr="0055149C">
        <w:rPr>
          <w:color w:val="3672B0" w:themeColor="accent2"/>
        </w:rPr>
        <w:t>(FGK13)</w:t>
      </w:r>
    </w:p>
    <w:p w14:paraId="44A7CC83" w14:textId="77777777" w:rsidR="00AC6919" w:rsidRPr="0055149C" w:rsidRDefault="00AC6919" w:rsidP="00916DDE">
      <w:pPr>
        <w:pStyle w:val="Listeavsnitt"/>
        <w:numPr>
          <w:ilvl w:val="0"/>
          <w:numId w:val="20"/>
        </w:numPr>
        <w:rPr>
          <w:color w:val="3672B0" w:themeColor="accent2"/>
        </w:rPr>
      </w:pPr>
      <w:r w:rsidRPr="0055149C">
        <w:rPr>
          <w:color w:val="3672B0" w:themeColor="accent2"/>
        </w:rPr>
        <w:t>Vann, avløp, renovasjon og avfall (FGK14)</w:t>
      </w:r>
    </w:p>
    <w:p w14:paraId="745D89F0" w14:textId="77777777" w:rsidR="00AC6919" w:rsidRPr="0055149C" w:rsidRDefault="00AC6919" w:rsidP="00916DDE">
      <w:pPr>
        <w:pStyle w:val="Listeavsnitt"/>
        <w:numPr>
          <w:ilvl w:val="0"/>
          <w:numId w:val="20"/>
        </w:numPr>
        <w:rPr>
          <w:color w:val="3672B0" w:themeColor="accent2"/>
        </w:rPr>
      </w:pPr>
      <w:r w:rsidRPr="0055149C">
        <w:rPr>
          <w:color w:val="3672B0" w:themeColor="accent2"/>
        </w:rPr>
        <w:t>Kirke (FGK15)</w:t>
      </w:r>
    </w:p>
    <w:p w14:paraId="4381BFE9" w14:textId="77777777" w:rsidR="00AC6919" w:rsidRPr="0055149C" w:rsidRDefault="00AC6919" w:rsidP="00916DDE">
      <w:pPr>
        <w:pStyle w:val="Listeavsnitt"/>
        <w:numPr>
          <w:ilvl w:val="0"/>
          <w:numId w:val="20"/>
        </w:numPr>
        <w:rPr>
          <w:color w:val="3672B0" w:themeColor="accent2"/>
        </w:rPr>
      </w:pPr>
      <w:r w:rsidRPr="0055149C">
        <w:rPr>
          <w:color w:val="3672B0" w:themeColor="accent2"/>
        </w:rPr>
        <w:t>Kommunale boliger (FGK16)</w:t>
      </w:r>
    </w:p>
    <w:p w14:paraId="63AC3412" w14:textId="77777777" w:rsidR="00AC6919" w:rsidRPr="0055149C" w:rsidRDefault="00AC6919" w:rsidP="00916DDE">
      <w:pPr>
        <w:pStyle w:val="Listeavsnitt"/>
        <w:numPr>
          <w:ilvl w:val="0"/>
          <w:numId w:val="20"/>
        </w:numPr>
        <w:rPr>
          <w:color w:val="3672B0" w:themeColor="accent2"/>
        </w:rPr>
      </w:pPr>
      <w:r w:rsidRPr="0055149C">
        <w:rPr>
          <w:color w:val="3672B0" w:themeColor="accent2"/>
        </w:rPr>
        <w:t>Brann- og ulykkesvern (FGK17)</w:t>
      </w:r>
    </w:p>
    <w:p w14:paraId="712290D9" w14:textId="0A7627C9" w:rsidR="00A54622" w:rsidRPr="0055149C" w:rsidRDefault="00A54622" w:rsidP="00AC6919">
      <w:r w:rsidRPr="0055149C">
        <w:t>Funksjoner i fylkeskommunene i våre beregninger på funksjonsnivå er som følger:</w:t>
      </w:r>
    </w:p>
    <w:p w14:paraId="70DF96DD" w14:textId="758DE5A2" w:rsidR="00AC6919" w:rsidRPr="006B16EB" w:rsidRDefault="00AC6919" w:rsidP="00916DDE">
      <w:pPr>
        <w:pStyle w:val="Listeavsnitt"/>
        <w:numPr>
          <w:ilvl w:val="0"/>
          <w:numId w:val="20"/>
        </w:numPr>
        <w:rPr>
          <w:color w:val="3672B0" w:themeColor="accent2"/>
        </w:rPr>
      </w:pPr>
      <w:r w:rsidRPr="006B16EB">
        <w:rPr>
          <w:color w:val="3672B0" w:themeColor="accent2"/>
        </w:rPr>
        <w:t xml:space="preserve">Administrasjon, </w:t>
      </w:r>
      <w:r w:rsidR="00803BE4" w:rsidRPr="006B16EB">
        <w:rPr>
          <w:color w:val="3672B0" w:themeColor="accent2"/>
        </w:rPr>
        <w:t xml:space="preserve">politisk </w:t>
      </w:r>
      <w:r w:rsidRPr="006B16EB">
        <w:rPr>
          <w:color w:val="3672B0" w:themeColor="accent2"/>
        </w:rPr>
        <w:t xml:space="preserve">styring og fellesutgifter i </w:t>
      </w:r>
      <w:r w:rsidR="006B16EB" w:rsidRPr="0055149C">
        <w:rPr>
          <w:color w:val="3672B0" w:themeColor="accent2"/>
        </w:rPr>
        <w:t xml:space="preserve">fylkeskommunen </w:t>
      </w:r>
      <w:r w:rsidRPr="006B16EB">
        <w:rPr>
          <w:color w:val="3672B0" w:themeColor="accent2"/>
        </w:rPr>
        <w:t>(FGF1)</w:t>
      </w:r>
      <w:r w:rsidR="00803BE4" w:rsidRPr="006B16EB">
        <w:rPr>
          <w:color w:val="3672B0" w:themeColor="accent2"/>
        </w:rPr>
        <w:t>, samt uspesifisert</w:t>
      </w:r>
      <w:r w:rsidR="00295A44">
        <w:rPr>
          <w:color w:val="3672B0" w:themeColor="accent2"/>
        </w:rPr>
        <w:t>e tjenester</w:t>
      </w:r>
      <w:r w:rsidR="00AD32D6">
        <w:rPr>
          <w:color w:val="3672B0" w:themeColor="accent2"/>
        </w:rPr>
        <w:t xml:space="preserve"> i </w:t>
      </w:r>
      <w:r w:rsidR="00AD32D6" w:rsidRPr="0055149C">
        <w:rPr>
          <w:color w:val="3672B0" w:themeColor="accent2"/>
        </w:rPr>
        <w:t>fylkeskommunen</w:t>
      </w:r>
    </w:p>
    <w:p w14:paraId="4CAB8316" w14:textId="77777777" w:rsidR="00AC6919" w:rsidRPr="0055149C" w:rsidRDefault="00AC6919" w:rsidP="00916DDE">
      <w:pPr>
        <w:pStyle w:val="Listeavsnitt"/>
        <w:numPr>
          <w:ilvl w:val="0"/>
          <w:numId w:val="20"/>
        </w:numPr>
        <w:rPr>
          <w:color w:val="3672B0" w:themeColor="accent2"/>
        </w:rPr>
      </w:pPr>
      <w:r w:rsidRPr="0055149C">
        <w:rPr>
          <w:color w:val="3672B0" w:themeColor="accent2"/>
        </w:rPr>
        <w:t>Plan, byggesak og miljø i fylkeskommunen (FGF2)</w:t>
      </w:r>
    </w:p>
    <w:p w14:paraId="6AD0C4EC" w14:textId="5FFA9E3C" w:rsidR="00AC6919" w:rsidRPr="0055149C" w:rsidRDefault="00AC6919" w:rsidP="00916DDE">
      <w:pPr>
        <w:pStyle w:val="Listeavsnitt"/>
        <w:numPr>
          <w:ilvl w:val="0"/>
          <w:numId w:val="20"/>
        </w:numPr>
        <w:rPr>
          <w:color w:val="3672B0" w:themeColor="accent2"/>
        </w:rPr>
      </w:pPr>
      <w:r w:rsidRPr="0055149C">
        <w:rPr>
          <w:color w:val="3672B0" w:themeColor="accent2"/>
        </w:rPr>
        <w:t>Kultur</w:t>
      </w:r>
      <w:r w:rsidR="00DF6F35" w:rsidRPr="0055149C">
        <w:rPr>
          <w:color w:val="3672B0" w:themeColor="accent2"/>
        </w:rPr>
        <w:t>sektoren i fylkeskommunen</w:t>
      </w:r>
      <w:r w:rsidRPr="0055149C">
        <w:rPr>
          <w:color w:val="3672B0" w:themeColor="accent2"/>
        </w:rPr>
        <w:t xml:space="preserve"> (FGF3)</w:t>
      </w:r>
    </w:p>
    <w:p w14:paraId="661F7B15" w14:textId="22D43801" w:rsidR="00AC6919" w:rsidRPr="0055149C" w:rsidRDefault="00AC6919" w:rsidP="00916DDE">
      <w:pPr>
        <w:pStyle w:val="Listeavsnitt"/>
        <w:numPr>
          <w:ilvl w:val="0"/>
          <w:numId w:val="20"/>
        </w:numPr>
        <w:rPr>
          <w:color w:val="3672B0" w:themeColor="accent2"/>
        </w:rPr>
      </w:pPr>
      <w:r w:rsidRPr="0055149C">
        <w:rPr>
          <w:b/>
          <w:bCs/>
          <w:color w:val="3672B0" w:themeColor="accent2"/>
        </w:rPr>
        <w:t>Samferdsel</w:t>
      </w:r>
      <w:r w:rsidR="00DF6F35" w:rsidRPr="0055149C">
        <w:rPr>
          <w:b/>
          <w:bCs/>
          <w:color w:val="3672B0" w:themeColor="accent2"/>
        </w:rPr>
        <w:t xml:space="preserve"> i fylkeskommunen</w:t>
      </w:r>
      <w:r w:rsidRPr="0055149C">
        <w:rPr>
          <w:color w:val="3672B0" w:themeColor="accent2"/>
        </w:rPr>
        <w:t xml:space="preserve"> (FGF4)</w:t>
      </w:r>
    </w:p>
    <w:p w14:paraId="60C1BD74" w14:textId="6488AD01" w:rsidR="00AC6919" w:rsidRPr="0055149C" w:rsidRDefault="00AC6919" w:rsidP="00916DDE">
      <w:pPr>
        <w:pStyle w:val="Listeavsnitt"/>
        <w:numPr>
          <w:ilvl w:val="0"/>
          <w:numId w:val="20"/>
        </w:numPr>
        <w:rPr>
          <w:color w:val="3672B0" w:themeColor="accent2"/>
        </w:rPr>
      </w:pPr>
      <w:r w:rsidRPr="0055149C">
        <w:rPr>
          <w:color w:val="3672B0" w:themeColor="accent2"/>
        </w:rPr>
        <w:t>Næringsforvaltning</w:t>
      </w:r>
      <w:r w:rsidR="00DF6F35" w:rsidRPr="0055149C">
        <w:rPr>
          <w:color w:val="3672B0" w:themeColor="accent2"/>
        </w:rPr>
        <w:t xml:space="preserve"> i fylkeskommunen</w:t>
      </w:r>
      <w:r w:rsidRPr="0055149C">
        <w:rPr>
          <w:color w:val="3672B0" w:themeColor="accent2"/>
        </w:rPr>
        <w:t xml:space="preserve"> (FGF5)</w:t>
      </w:r>
    </w:p>
    <w:p w14:paraId="038DE968" w14:textId="472D0918" w:rsidR="00AC6919" w:rsidRPr="0055149C" w:rsidRDefault="00AC6919" w:rsidP="00916DDE">
      <w:pPr>
        <w:pStyle w:val="Listeavsnitt"/>
        <w:numPr>
          <w:ilvl w:val="0"/>
          <w:numId w:val="20"/>
        </w:numPr>
        <w:rPr>
          <w:color w:val="3672B0" w:themeColor="accent2"/>
        </w:rPr>
      </w:pPr>
      <w:r w:rsidRPr="006B16EB">
        <w:rPr>
          <w:b/>
          <w:bCs/>
          <w:color w:val="3672B0" w:themeColor="accent2"/>
        </w:rPr>
        <w:t xml:space="preserve">Videregående opplæring </w:t>
      </w:r>
      <w:r w:rsidRPr="0055149C">
        <w:rPr>
          <w:color w:val="3672B0" w:themeColor="accent2"/>
        </w:rPr>
        <w:t>(FGF7)</w:t>
      </w:r>
    </w:p>
    <w:p w14:paraId="763FDB39"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 xml:space="preserve">Tannhelse </w:t>
      </w:r>
      <w:r w:rsidRPr="0055149C">
        <w:rPr>
          <w:color w:val="3672B0" w:themeColor="accent2"/>
        </w:rPr>
        <w:t>(FGF8)</w:t>
      </w:r>
    </w:p>
    <w:p w14:paraId="1DDA9D39" w14:textId="1946AB23" w:rsidR="00986728" w:rsidRPr="0055149C" w:rsidRDefault="00A54622" w:rsidP="00AC6919">
      <w:r w:rsidRPr="0055149C">
        <w:t>En utfordring med</w:t>
      </w:r>
      <w:r w:rsidR="009D0C95" w:rsidRPr="0055149C">
        <w:t xml:space="preserve"> </w:t>
      </w:r>
      <w:r w:rsidR="008E7E43">
        <w:t>KOSTRA</w:t>
      </w:r>
      <w:r w:rsidR="009D0C95" w:rsidRPr="0055149C">
        <w:t>-tallene er at funksjonene overlapper med hverandre</w:t>
      </w:r>
      <w:r w:rsidR="00B52F17" w:rsidRPr="0055149C">
        <w:t>, slik at nøkkeltallene over funksjoner ikke summer</w:t>
      </w:r>
      <w:r w:rsidR="009D0C95" w:rsidRPr="0055149C">
        <w:t>er seg til totalen</w:t>
      </w:r>
      <w:r w:rsidR="00B52F17" w:rsidRPr="0055149C">
        <w:t xml:space="preserve"> for en gitt kommune</w:t>
      </w:r>
      <w:r w:rsidR="009D0C95" w:rsidRPr="0055149C">
        <w:t>. For å håndtere dobbeltellingsproblematikken</w:t>
      </w:r>
      <w:r w:rsidR="002A3989">
        <w:t xml:space="preserve"> har vi tatt flere grep.</w:t>
      </w:r>
      <w:r w:rsidR="002234B0">
        <w:t xml:space="preserve"> F</w:t>
      </w:r>
      <w:r w:rsidR="009D0C95" w:rsidRPr="0055149C">
        <w:t xml:space="preserve">or det </w:t>
      </w:r>
      <w:r w:rsidR="003D2119">
        <w:t xml:space="preserve">første </w:t>
      </w:r>
      <w:r w:rsidR="009D0C95" w:rsidRPr="0055149C">
        <w:t>operer</w:t>
      </w:r>
      <w:r w:rsidR="002234B0">
        <w:t xml:space="preserve">er </w:t>
      </w:r>
      <w:r w:rsidR="009D0C95" w:rsidRPr="0055149C">
        <w:t>vi på konsernnivå og ikke på kommunenivået i snever forstand, hvilket innebærer at vi styrer unna en del utfordringer knyttet til organisering og dobbel</w:t>
      </w:r>
      <w:r w:rsidR="00B52F17" w:rsidRPr="0055149C">
        <w:t>telling av finansielle nøkkeltall og produktinnsats</w:t>
      </w:r>
      <w:r w:rsidR="009D0C95" w:rsidRPr="0055149C">
        <w:t>.</w:t>
      </w:r>
      <w:r w:rsidR="00DC4EF7" w:rsidRPr="0055149C">
        <w:t xml:space="preserve"> For det andre utelukker vi eiendomsfunksjonene for primærkommunene (FGK6) og fylkeskommunene (FGF6), da disse utelukkende overlapper med de øvrige funksjonene. Etter å ha foretatt disse to grepene samstemmer tallene noenlunde. Det er imidlertid enkelte unntak, blant annet knyttet til</w:t>
      </w:r>
      <w:r w:rsidR="000E58E9" w:rsidRPr="0055149C">
        <w:t xml:space="preserve"> tjenester utenfor ordinært kommunalt ansvar, </w:t>
      </w:r>
      <w:r w:rsidR="00DC4EF7" w:rsidRPr="0055149C">
        <w:t>interkommunale selskaper og den tidligere helsefunksjonen som eksisterte i fylkeskommunen helt i starten av studieperioden</w:t>
      </w:r>
      <w:r w:rsidR="009E3A19" w:rsidRPr="0055149C">
        <w:t xml:space="preserve"> for våre beregninger</w:t>
      </w:r>
      <w:r w:rsidR="00DC4EF7" w:rsidRPr="0055149C">
        <w:t>.</w:t>
      </w:r>
      <w:r w:rsidR="003464A9">
        <w:t xml:space="preserve"> Vi legger residualen – referert til som uspesifiserte tjenester – til funksjonen a</w:t>
      </w:r>
      <w:r w:rsidR="003464A9" w:rsidRPr="003464A9">
        <w:t>dministrasjon, politisk styring og fellesutgifter</w:t>
      </w:r>
      <w:r w:rsidR="003464A9">
        <w:t xml:space="preserve"> for hver</w:t>
      </w:r>
      <w:r w:rsidR="00632E32">
        <w:t>t</w:t>
      </w:r>
      <w:r w:rsidR="003464A9">
        <w:t xml:space="preserve"> forvaltningsnivå.</w:t>
      </w:r>
      <w:r w:rsidR="00632E32">
        <w:t xml:space="preserve"> I</w:t>
      </w:r>
      <w:r w:rsidR="00986728">
        <w:t xml:space="preserve"> funksjonene for a</w:t>
      </w:r>
      <w:r w:rsidR="00986728" w:rsidRPr="00986728">
        <w:t>dministrasjon, politisk styring</w:t>
      </w:r>
      <w:r w:rsidR="00986728">
        <w:t>,</w:t>
      </w:r>
      <w:r w:rsidR="00986728" w:rsidRPr="00986728">
        <w:t xml:space="preserve"> fellesutgifter</w:t>
      </w:r>
      <w:r w:rsidR="00986728">
        <w:t xml:space="preserve"> og</w:t>
      </w:r>
      <w:r w:rsidR="00986728" w:rsidRPr="00986728">
        <w:t xml:space="preserve"> uspesifisert</w:t>
      </w:r>
      <w:r w:rsidR="00986728">
        <w:t xml:space="preserve"> bidra</w:t>
      </w:r>
      <w:r w:rsidR="00E23F34">
        <w:t xml:space="preserve">r posteringer innenfor felleskostnader til at </w:t>
      </w:r>
      <w:r w:rsidR="00246BB5">
        <w:t xml:space="preserve">regnskapsposter som i utgangspunktet </w:t>
      </w:r>
      <w:r w:rsidR="00B25A33">
        <w:t>burde vært</w:t>
      </w:r>
      <w:r w:rsidR="00246BB5">
        <w:t xml:space="preserve"> positive</w:t>
      </w:r>
      <w:r w:rsidR="00B25A33">
        <w:t>,</w:t>
      </w:r>
      <w:r w:rsidR="00246BB5">
        <w:t xml:space="preserve"> </w:t>
      </w:r>
      <w:r w:rsidR="00D10384">
        <w:t>derimot</w:t>
      </w:r>
      <w:r w:rsidR="006E4518">
        <w:t xml:space="preserve"> er negative. I disse tilfellene er</w:t>
      </w:r>
      <w:r w:rsidR="00D10384">
        <w:t xml:space="preserve"> </w:t>
      </w:r>
      <w:r w:rsidR="000D3B51">
        <w:t>de berørte</w:t>
      </w:r>
      <w:r w:rsidR="006E4518">
        <w:t xml:space="preserve"> regnskapsposte</w:t>
      </w:r>
      <w:r w:rsidR="000D3B51">
        <w:t>ne</w:t>
      </w:r>
      <w:r w:rsidR="006E4518">
        <w:t xml:space="preserve"> satt lik null.</w:t>
      </w:r>
    </w:p>
    <w:p w14:paraId="0EEDFA8A" w14:textId="48BE8441" w:rsidR="006C0FB0" w:rsidRPr="0055149C" w:rsidRDefault="006C0FB0" w:rsidP="00AC6919">
      <w:pPr>
        <w:rPr>
          <w:lang w:eastAsia="nb-NO"/>
        </w:rPr>
      </w:pPr>
      <w:r w:rsidRPr="0055149C">
        <w:rPr>
          <w:lang w:eastAsia="nb-NO"/>
        </w:rPr>
        <w:t xml:space="preserve">Funksjonsinndelingen varierer noe over tid, men vi har aggregert den nåværende og tidligere inndelinger opp på et nivå som samsvarer. Vi har ikke hatt tilsvarende utfordringer med kapitalarter, som samsvarer over hele perioden. Tidsseriebrudd har visst seg å </w:t>
      </w:r>
      <w:r w:rsidR="003D2119">
        <w:rPr>
          <w:lang w:eastAsia="nb-NO"/>
        </w:rPr>
        <w:t>ut</w:t>
      </w:r>
      <w:r w:rsidRPr="0055149C">
        <w:rPr>
          <w:lang w:eastAsia="nb-NO"/>
        </w:rPr>
        <w:t xml:space="preserve">gjøre en mindre utfordring når det gjelder størrelsesordenen på tallene. I den grad de samme variablene har vært tilgjengelig både i nye og gamle tidsserier, har vi justert tallene bakover basert på en lik vekting </w:t>
      </w:r>
      <w:r w:rsidRPr="0055149C">
        <w:rPr>
          <w:lang w:eastAsia="nb-NO"/>
        </w:rPr>
        <w:lastRenderedPageBreak/>
        <w:t>av forholdstallene mellom variabelen i den nye og den gamle tidsserien for årene med overlapp. Dermed unngår vi forhåpentligvis at tidsseriebrudd får nevneverdig betydning for våre resultater.</w:t>
      </w:r>
    </w:p>
    <w:p w14:paraId="4E078BBE" w14:textId="1211541D" w:rsidR="005A23E7" w:rsidRPr="0055149C" w:rsidRDefault="005A23E7" w:rsidP="005A23E7">
      <w:pPr>
        <w:rPr>
          <w:color w:val="auto"/>
          <w:lang w:eastAsia="nb-NO"/>
        </w:rPr>
      </w:pPr>
      <w:r w:rsidRPr="0055149C">
        <w:rPr>
          <w:color w:val="auto"/>
          <w:lang w:eastAsia="nb-NO"/>
        </w:rPr>
        <w:t xml:space="preserve">Selv om </w:t>
      </w:r>
      <w:r w:rsidR="008E7E43">
        <w:rPr>
          <w:color w:val="auto"/>
          <w:lang w:eastAsia="nb-NO"/>
        </w:rPr>
        <w:t>KOSTRA</w:t>
      </w:r>
      <w:r w:rsidRPr="0055149C">
        <w:rPr>
          <w:color w:val="auto"/>
          <w:lang w:eastAsia="nb-NO"/>
        </w:rPr>
        <w:t xml:space="preserve"> opererer med en rekke ulike funksjoner, er det verdt å merke seg at noen få funksjoner i praksis dominerer de økonomiske nøkkeltallene</w:t>
      </w:r>
      <w:r w:rsidR="00051F20">
        <w:rPr>
          <w:color w:val="auto"/>
          <w:lang w:eastAsia="nb-NO"/>
        </w:rPr>
        <w:t xml:space="preserve"> for tjenesteyting </w:t>
      </w:r>
      <w:r w:rsidR="004E06F0">
        <w:rPr>
          <w:color w:val="auto"/>
          <w:lang w:eastAsia="nb-NO"/>
        </w:rPr>
        <w:t>knyttet til det kommunale inntektssystemet for</w:t>
      </w:r>
      <w:r w:rsidRPr="0055149C">
        <w:rPr>
          <w:color w:val="auto"/>
          <w:lang w:eastAsia="nb-NO"/>
        </w:rPr>
        <w:t xml:space="preserve"> hvert forvaltningsnivå, jamfør delkapittel </w:t>
      </w:r>
      <w:r w:rsidRPr="0055149C">
        <w:rPr>
          <w:color w:val="auto"/>
          <w:lang w:eastAsia="nb-NO"/>
        </w:rPr>
        <w:fldChar w:fldCharType="begin"/>
      </w:r>
      <w:r w:rsidRPr="0055149C">
        <w:rPr>
          <w:color w:val="auto"/>
          <w:lang w:eastAsia="nb-NO"/>
        </w:rPr>
        <w:instrText xml:space="preserve"> REF _Ref174726663 \r \h  \* MERGEFORMAT </w:instrText>
      </w:r>
      <w:r w:rsidRPr="0055149C">
        <w:rPr>
          <w:color w:val="auto"/>
          <w:lang w:eastAsia="nb-NO"/>
        </w:rPr>
      </w:r>
      <w:r w:rsidRPr="0055149C">
        <w:rPr>
          <w:color w:val="auto"/>
          <w:lang w:eastAsia="nb-NO"/>
        </w:rPr>
        <w:fldChar w:fldCharType="separate"/>
      </w:r>
      <w:r w:rsidR="009B1DA8">
        <w:rPr>
          <w:color w:val="auto"/>
          <w:lang w:eastAsia="nb-NO"/>
        </w:rPr>
        <w:t>1.2</w:t>
      </w:r>
      <w:r w:rsidRPr="0055149C">
        <w:rPr>
          <w:color w:val="auto"/>
          <w:lang w:eastAsia="nb-NO"/>
        </w:rPr>
        <w:fldChar w:fldCharType="end"/>
      </w:r>
      <w:r w:rsidRPr="0055149C">
        <w:rPr>
          <w:color w:val="auto"/>
          <w:lang w:eastAsia="nb-NO"/>
        </w:rPr>
        <w:t xml:space="preserve">. </w:t>
      </w:r>
      <w:r w:rsidR="004E06F0">
        <w:rPr>
          <w:color w:val="auto"/>
          <w:lang w:eastAsia="nb-NO"/>
        </w:rPr>
        <w:t>Målt etter bruttodriftsutgifter</w:t>
      </w:r>
      <w:r w:rsidR="004E06F0" w:rsidRPr="0055149C">
        <w:rPr>
          <w:color w:val="auto"/>
          <w:lang w:eastAsia="nb-NO"/>
        </w:rPr>
        <w:t xml:space="preserve"> </w:t>
      </w:r>
      <w:r w:rsidR="004E06F0">
        <w:rPr>
          <w:color w:val="auto"/>
          <w:lang w:eastAsia="nb-NO"/>
        </w:rPr>
        <w:t>dre</w:t>
      </w:r>
      <w:r w:rsidR="005253FC">
        <w:rPr>
          <w:color w:val="auto"/>
          <w:lang w:eastAsia="nb-NO"/>
        </w:rPr>
        <w:t xml:space="preserve">ier det seg </w:t>
      </w:r>
      <w:r w:rsidR="003D2119">
        <w:rPr>
          <w:color w:val="auto"/>
          <w:lang w:eastAsia="nb-NO"/>
        </w:rPr>
        <w:t xml:space="preserve">om </w:t>
      </w:r>
      <w:r w:rsidRPr="0055149C">
        <w:rPr>
          <w:color w:val="auto"/>
          <w:lang w:eastAsia="nb-NO"/>
        </w:rPr>
        <w:t>helse og eldreomsorg, grunnskolen inkludert skolefritidsordningen og barnehager</w:t>
      </w:r>
      <w:r w:rsidR="005253FC">
        <w:rPr>
          <w:color w:val="auto"/>
          <w:lang w:eastAsia="nb-NO"/>
        </w:rPr>
        <w:t xml:space="preserve"> for </w:t>
      </w:r>
      <w:r w:rsidR="005253FC" w:rsidRPr="0055149C">
        <w:rPr>
          <w:color w:val="auto"/>
          <w:lang w:eastAsia="nb-NO"/>
        </w:rPr>
        <w:t>primærkommunene</w:t>
      </w:r>
      <w:r w:rsidRPr="0055149C">
        <w:rPr>
          <w:color w:val="auto"/>
          <w:lang w:eastAsia="nb-NO"/>
        </w:rPr>
        <w:t>, men</w:t>
      </w:r>
      <w:r w:rsidR="00D05F51">
        <w:rPr>
          <w:color w:val="auto"/>
          <w:lang w:eastAsia="nb-NO"/>
        </w:rPr>
        <w:t>s</w:t>
      </w:r>
      <w:r w:rsidRPr="0055149C">
        <w:rPr>
          <w:color w:val="auto"/>
          <w:lang w:eastAsia="nb-NO"/>
        </w:rPr>
        <w:t xml:space="preserve"> samferdsel og videregående skole er de klart største funksjonene på fylkesnivå. </w:t>
      </w:r>
      <w:r w:rsidR="003D2119">
        <w:rPr>
          <w:color w:val="auto"/>
          <w:lang w:eastAsia="nb-NO"/>
        </w:rPr>
        <w:t xml:space="preserve">Det </w:t>
      </w:r>
      <w:r w:rsidRPr="0055149C">
        <w:rPr>
          <w:color w:val="auto"/>
          <w:lang w:eastAsia="nb-NO"/>
        </w:rPr>
        <w:t>har derfor vær</w:t>
      </w:r>
      <w:r w:rsidR="00E07A46">
        <w:rPr>
          <w:color w:val="auto"/>
          <w:lang w:eastAsia="nb-NO"/>
        </w:rPr>
        <w:t>t</w:t>
      </w:r>
      <w:r w:rsidRPr="0055149C">
        <w:rPr>
          <w:color w:val="auto"/>
          <w:lang w:eastAsia="nb-NO"/>
        </w:rPr>
        <w:t xml:space="preserve"> særlig viktig å få et godt grep om </w:t>
      </w:r>
      <w:r w:rsidR="003D2119">
        <w:rPr>
          <w:color w:val="auto"/>
          <w:lang w:eastAsia="nb-NO"/>
        </w:rPr>
        <w:t>egenskaper ved ka</w:t>
      </w:r>
      <w:r w:rsidR="003D2119" w:rsidRPr="0055149C">
        <w:rPr>
          <w:color w:val="auto"/>
          <w:lang w:eastAsia="nb-NO"/>
        </w:rPr>
        <w:t xml:space="preserve">pitalmassen innenfor disse </w:t>
      </w:r>
      <w:r w:rsidR="009F1F00">
        <w:rPr>
          <w:color w:val="auto"/>
          <w:lang w:eastAsia="nb-NO"/>
        </w:rPr>
        <w:t>tjenestene</w:t>
      </w:r>
      <w:r w:rsidR="007A1234">
        <w:rPr>
          <w:color w:val="auto"/>
          <w:lang w:eastAsia="nb-NO"/>
        </w:rPr>
        <w:t xml:space="preserve"> </w:t>
      </w:r>
      <w:r w:rsidRPr="0055149C">
        <w:rPr>
          <w:color w:val="auto"/>
          <w:lang w:eastAsia="nb-NO"/>
        </w:rPr>
        <w:t>for å kunne utføre våre analyser på en god måte.</w:t>
      </w:r>
    </w:p>
    <w:p w14:paraId="62F70981" w14:textId="0D78F8E5" w:rsidR="005A23E7" w:rsidRPr="0055149C" w:rsidRDefault="005A23E7" w:rsidP="00AC6919">
      <w:r w:rsidRPr="0055149C">
        <w:rPr>
          <w:color w:val="auto"/>
          <w:lang w:eastAsia="nb-NO"/>
        </w:rPr>
        <w:t xml:space="preserve">Det </w:t>
      </w:r>
      <w:r w:rsidR="003D2119">
        <w:rPr>
          <w:color w:val="auto"/>
          <w:lang w:eastAsia="nb-NO"/>
        </w:rPr>
        <w:t xml:space="preserve">er </w:t>
      </w:r>
      <w:r w:rsidR="006F516F">
        <w:rPr>
          <w:color w:val="auto"/>
          <w:lang w:eastAsia="nb-NO"/>
        </w:rPr>
        <w:t>vesentlig å være oppmerksom på at</w:t>
      </w:r>
      <w:r w:rsidRPr="0055149C">
        <w:rPr>
          <w:color w:val="auto"/>
          <w:lang w:eastAsia="nb-NO"/>
        </w:rPr>
        <w:t xml:space="preserve"> en del kommunale funksjoner ikke nødvendigvis føres likt i de innrapporter</w:t>
      </w:r>
      <w:r w:rsidR="00B910F7">
        <w:rPr>
          <w:color w:val="auto"/>
          <w:lang w:eastAsia="nb-NO"/>
        </w:rPr>
        <w:t>t</w:t>
      </w:r>
      <w:r w:rsidRPr="0055149C">
        <w:rPr>
          <w:color w:val="auto"/>
          <w:lang w:eastAsia="nb-NO"/>
        </w:rPr>
        <w:t>e kommuneregnskapene og kommunenes interne regnskap. Organiseringen i kommunal sektor kan også variere</w:t>
      </w:r>
      <w:r w:rsidR="001C38AA">
        <w:rPr>
          <w:color w:val="auto"/>
          <w:lang w:eastAsia="nb-NO"/>
        </w:rPr>
        <w:t>,</w:t>
      </w:r>
      <w:r w:rsidRPr="0055149C">
        <w:rPr>
          <w:color w:val="auto"/>
          <w:lang w:eastAsia="nb-NO"/>
        </w:rPr>
        <w:t xml:space="preserve"> blant annet ved ulik grad av privatisering, bruk av offentlige foretaksformer og praksis for inter</w:t>
      </w:r>
      <w:r w:rsidR="001C38AA">
        <w:rPr>
          <w:color w:val="auto"/>
          <w:lang w:eastAsia="nb-NO"/>
        </w:rPr>
        <w:t>n</w:t>
      </w:r>
      <w:r w:rsidRPr="0055149C">
        <w:rPr>
          <w:color w:val="auto"/>
          <w:lang w:eastAsia="nb-NO"/>
        </w:rPr>
        <w:t>prising når kapitalen knyttet til en sektor ligge</w:t>
      </w:r>
      <w:r w:rsidR="00F7067D">
        <w:rPr>
          <w:color w:val="auto"/>
          <w:lang w:eastAsia="nb-NO"/>
        </w:rPr>
        <w:t>r</w:t>
      </w:r>
      <w:r w:rsidRPr="0055149C">
        <w:rPr>
          <w:color w:val="auto"/>
          <w:lang w:eastAsia="nb-NO"/>
        </w:rPr>
        <w:t xml:space="preserve"> under eiendomsforvaltning, kommunale foretak eller interkommunale selskap.</w:t>
      </w:r>
    </w:p>
    <w:p w14:paraId="754D7629" w14:textId="684235F3" w:rsidR="006C0FB0" w:rsidRPr="0055149C" w:rsidRDefault="005A23E7" w:rsidP="006C0FB0">
      <w:pPr>
        <w:rPr>
          <w:lang w:eastAsia="nb-NO"/>
        </w:rPr>
      </w:pPr>
      <w:r w:rsidRPr="0055149C">
        <w:rPr>
          <w:lang w:eastAsia="nb-NO"/>
        </w:rPr>
        <w:t>På kapitalsiden inkluderer kommuneregnskapene</w:t>
      </w:r>
      <w:r w:rsidR="006C0FB0" w:rsidRPr="0055149C">
        <w:rPr>
          <w:lang w:eastAsia="nb-NO"/>
        </w:rPr>
        <w:t xml:space="preserve"> tall for bruttoinvesteringsutgifter og avskrivninger over funksjoner, bokførte verdier over kapitalarter og aggregerte tall for finansielle regnskapsposter i resultatregnskapet og balanseregnskapet. </w:t>
      </w:r>
      <w:r w:rsidR="000C7DEE" w:rsidRPr="000C7DEE">
        <w:rPr>
          <w:lang w:eastAsia="nb-NO"/>
        </w:rPr>
        <w:t xml:space="preserve">Merk at verken primærkommunene eller fylkeskommunene fører nedskrivninger i egne regnskapsposter i rapporteringen til </w:t>
      </w:r>
      <w:r w:rsidR="008E7E43">
        <w:rPr>
          <w:lang w:eastAsia="nb-NO"/>
        </w:rPr>
        <w:t>KOSTRA</w:t>
      </w:r>
      <w:r w:rsidR="000C7DEE" w:rsidRPr="000C7DEE">
        <w:rPr>
          <w:lang w:eastAsia="nb-NO"/>
        </w:rPr>
        <w:t>.</w:t>
      </w:r>
      <w:r w:rsidR="000C7DEE">
        <w:rPr>
          <w:lang w:eastAsia="nb-NO"/>
        </w:rPr>
        <w:t xml:space="preserve"> </w:t>
      </w:r>
      <w:r w:rsidR="006C0FB0" w:rsidRPr="0055149C">
        <w:rPr>
          <w:lang w:eastAsia="nb-NO"/>
        </w:rPr>
        <w:t xml:space="preserve">For å kunne gi robuste anslag på de realøkonomiske kapitalkostnadene med ulik metodikk, burde man strengt </w:t>
      </w:r>
      <w:r w:rsidR="003D2119">
        <w:rPr>
          <w:lang w:eastAsia="nb-NO"/>
        </w:rPr>
        <w:t xml:space="preserve">tatt </w:t>
      </w:r>
      <w:r w:rsidR="006C0FB0" w:rsidRPr="0055149C">
        <w:rPr>
          <w:lang w:eastAsia="nb-NO"/>
        </w:rPr>
        <w:t xml:space="preserve">hatt variablene tilgjengelig på både funksjon og kapitalart, og helst samtidig. Disse tallene rapporteres imidlertid ikke inn </w:t>
      </w:r>
      <w:r w:rsidR="00E835B8">
        <w:rPr>
          <w:lang w:eastAsia="nb-NO"/>
        </w:rPr>
        <w:t xml:space="preserve">i </w:t>
      </w:r>
      <w:r w:rsidR="008E7E43">
        <w:rPr>
          <w:lang w:eastAsia="nb-NO"/>
        </w:rPr>
        <w:t>KOSTRA</w:t>
      </w:r>
      <w:r w:rsidR="006C0FB0" w:rsidRPr="0055149C">
        <w:rPr>
          <w:lang w:eastAsia="nb-NO"/>
        </w:rPr>
        <w:t xml:space="preserve">. Oppløsningen forbundet med realøkonomiske nøkkeltall i </w:t>
      </w:r>
      <w:r w:rsidR="008E7E43">
        <w:rPr>
          <w:lang w:eastAsia="nb-NO"/>
        </w:rPr>
        <w:t>KOSTRA</w:t>
      </w:r>
      <w:r w:rsidR="006C0FB0" w:rsidRPr="0055149C">
        <w:rPr>
          <w:lang w:eastAsia="nb-NO"/>
        </w:rPr>
        <w:t xml:space="preserve"> er oppsummert i </w:t>
      </w:r>
      <w:r w:rsidR="006C0FB0" w:rsidRPr="0055149C">
        <w:rPr>
          <w:lang w:eastAsia="nb-NO"/>
        </w:rPr>
        <w:fldChar w:fldCharType="begin"/>
      </w:r>
      <w:r w:rsidR="006C0FB0" w:rsidRPr="0055149C">
        <w:rPr>
          <w:lang w:eastAsia="nb-NO"/>
        </w:rPr>
        <w:instrText xml:space="preserve"> REF _Ref160104969 \h </w:instrText>
      </w:r>
      <w:r w:rsidR="006C0FB0" w:rsidRPr="0055149C">
        <w:rPr>
          <w:lang w:eastAsia="nb-NO"/>
        </w:rPr>
      </w:r>
      <w:r w:rsidR="006C0FB0" w:rsidRPr="0055149C">
        <w:rPr>
          <w:lang w:eastAsia="nb-NO"/>
        </w:rPr>
        <w:fldChar w:fldCharType="separate"/>
      </w:r>
      <w:r w:rsidR="009B1DA8" w:rsidRPr="0055149C">
        <w:t xml:space="preserve">Tabell </w:t>
      </w:r>
      <w:r w:rsidR="009B1DA8">
        <w:rPr>
          <w:noProof/>
        </w:rPr>
        <w:t>3</w:t>
      </w:r>
      <w:r w:rsidR="009B1DA8" w:rsidRPr="0055149C">
        <w:t>.</w:t>
      </w:r>
      <w:r w:rsidR="009B1DA8">
        <w:rPr>
          <w:noProof/>
        </w:rPr>
        <w:t>1</w:t>
      </w:r>
      <w:r w:rsidR="006C0FB0" w:rsidRPr="0055149C">
        <w:rPr>
          <w:lang w:eastAsia="nb-NO"/>
        </w:rPr>
        <w:fldChar w:fldCharType="end"/>
      </w:r>
      <w:r w:rsidR="006C0FB0" w:rsidRPr="0055149C">
        <w:rPr>
          <w:lang w:eastAsia="nb-NO"/>
        </w:rPr>
        <w:t>.</w:t>
      </w:r>
    </w:p>
    <w:p w14:paraId="37BAE820" w14:textId="4B10DB67" w:rsidR="006C0FB0" w:rsidRPr="0055149C" w:rsidRDefault="006C0FB0" w:rsidP="006C0FB0">
      <w:pPr>
        <w:pStyle w:val="Bildetekst"/>
      </w:pPr>
      <w:bookmarkStart w:id="66" w:name="_Ref160104969"/>
      <w:r w:rsidRPr="0055149C">
        <w:t xml:space="preserve">Tabell </w:t>
      </w:r>
      <w:fldSimple w:instr=" STYLEREF 1 \s ">
        <w:r w:rsidR="009B1DA8">
          <w:rPr>
            <w:noProof/>
          </w:rPr>
          <w:t>3</w:t>
        </w:r>
      </w:fldSimple>
      <w:r w:rsidR="00B9323E" w:rsidRPr="0055149C">
        <w:t>.</w:t>
      </w:r>
      <w:fldSimple w:instr=" SEQ Tabell \* ARABIC \s 1 ">
        <w:r w:rsidR="009B1DA8">
          <w:rPr>
            <w:noProof/>
          </w:rPr>
          <w:t>1</w:t>
        </w:r>
      </w:fldSimple>
      <w:bookmarkEnd w:id="66"/>
      <w:r w:rsidRPr="0055149C">
        <w:tab/>
        <w:t xml:space="preserve">Tilgjengeligheten av realøkonomiske kostnader i </w:t>
      </w:r>
      <w:r w:rsidR="008E7E43">
        <w:t>KOSTRA</w:t>
      </w:r>
    </w:p>
    <w:tbl>
      <w:tblPr>
        <w:tblStyle w:val="Tabellrutenett"/>
        <w:tblW w:w="0" w:type="auto"/>
        <w:tblLook w:val="04A0" w:firstRow="1" w:lastRow="0" w:firstColumn="1" w:lastColumn="0" w:noHBand="0" w:noVBand="1"/>
      </w:tblPr>
      <w:tblGrid>
        <w:gridCol w:w="1415"/>
        <w:gridCol w:w="1415"/>
        <w:gridCol w:w="2831"/>
        <w:gridCol w:w="2832"/>
      </w:tblGrid>
      <w:tr w:rsidR="006C0FB0" w:rsidRPr="0055149C" w14:paraId="0BD073FD" w14:textId="77777777" w:rsidTr="00BA5470">
        <w:tc>
          <w:tcPr>
            <w:tcW w:w="2830" w:type="dxa"/>
            <w:gridSpan w:val="2"/>
            <w:tcBorders>
              <w:top w:val="single" w:sz="4" w:space="0" w:color="auto"/>
              <w:left w:val="single" w:sz="4" w:space="0" w:color="auto"/>
              <w:bottom w:val="nil"/>
              <w:right w:val="nil"/>
            </w:tcBorders>
            <w:shd w:val="clear" w:color="auto" w:fill="3672B0" w:themeFill="accent2"/>
            <w:vAlign w:val="center"/>
          </w:tcPr>
          <w:p w14:paraId="1867D664" w14:textId="77777777" w:rsidR="006C0FB0" w:rsidRPr="0055149C" w:rsidRDefault="006C0FB0" w:rsidP="009238AE">
            <w:pPr>
              <w:jc w:val="center"/>
              <w:rPr>
                <w:b/>
                <w:bCs/>
                <w:color w:val="FFFFFF" w:themeColor="background1"/>
              </w:rPr>
            </w:pPr>
            <w:r w:rsidRPr="0055149C">
              <w:rPr>
                <w:b/>
                <w:bCs/>
                <w:color w:val="FFFFFF" w:themeColor="background1"/>
              </w:rPr>
              <w:t>Aggregeringsnivåer</w:t>
            </w:r>
          </w:p>
        </w:tc>
        <w:tc>
          <w:tcPr>
            <w:tcW w:w="5663" w:type="dxa"/>
            <w:gridSpan w:val="2"/>
            <w:tcBorders>
              <w:top w:val="single" w:sz="4" w:space="0" w:color="auto"/>
              <w:left w:val="nil"/>
              <w:bottom w:val="nil"/>
              <w:right w:val="single" w:sz="4" w:space="0" w:color="auto"/>
            </w:tcBorders>
            <w:shd w:val="clear" w:color="auto" w:fill="3672B0" w:themeFill="accent2"/>
            <w:vAlign w:val="center"/>
          </w:tcPr>
          <w:p w14:paraId="629867BC" w14:textId="77777777" w:rsidR="006C0FB0" w:rsidRPr="0055149C" w:rsidRDefault="006C0FB0" w:rsidP="009238AE">
            <w:pPr>
              <w:jc w:val="center"/>
              <w:rPr>
                <w:b/>
                <w:bCs/>
                <w:color w:val="FFFFFF" w:themeColor="background1"/>
              </w:rPr>
            </w:pPr>
            <w:r w:rsidRPr="0055149C">
              <w:rPr>
                <w:b/>
                <w:bCs/>
                <w:color w:val="FFFFFF" w:themeColor="background1"/>
              </w:rPr>
              <w:t>Variabler</w:t>
            </w:r>
          </w:p>
        </w:tc>
      </w:tr>
      <w:tr w:rsidR="006C0FB0" w:rsidRPr="0055149C" w14:paraId="68681497" w14:textId="77777777" w:rsidTr="00BA5470">
        <w:tc>
          <w:tcPr>
            <w:tcW w:w="1415" w:type="dxa"/>
            <w:tcBorders>
              <w:top w:val="nil"/>
              <w:left w:val="single" w:sz="4" w:space="0" w:color="auto"/>
              <w:bottom w:val="single" w:sz="4" w:space="0" w:color="auto"/>
              <w:right w:val="nil"/>
            </w:tcBorders>
            <w:shd w:val="clear" w:color="auto" w:fill="3672B0" w:themeFill="accent2"/>
            <w:vAlign w:val="center"/>
          </w:tcPr>
          <w:p w14:paraId="56FE5879" w14:textId="77777777" w:rsidR="006C0FB0" w:rsidRPr="0055149C" w:rsidRDefault="006C0FB0" w:rsidP="0019603A">
            <w:pPr>
              <w:jc w:val="left"/>
            </w:pPr>
            <w:r w:rsidRPr="0055149C">
              <w:rPr>
                <w:b/>
                <w:bCs/>
                <w:color w:val="FFFFFF" w:themeColor="background1"/>
              </w:rPr>
              <w:t>Funksjoner</w:t>
            </w:r>
          </w:p>
        </w:tc>
        <w:tc>
          <w:tcPr>
            <w:tcW w:w="1415" w:type="dxa"/>
            <w:tcBorders>
              <w:top w:val="nil"/>
              <w:left w:val="nil"/>
              <w:bottom w:val="single" w:sz="4" w:space="0" w:color="auto"/>
              <w:right w:val="nil"/>
            </w:tcBorders>
            <w:shd w:val="clear" w:color="auto" w:fill="3672B0" w:themeFill="accent2"/>
            <w:vAlign w:val="center"/>
          </w:tcPr>
          <w:p w14:paraId="7694F032" w14:textId="77777777" w:rsidR="006C0FB0" w:rsidRPr="0055149C" w:rsidRDefault="006C0FB0" w:rsidP="0019603A">
            <w:pPr>
              <w:jc w:val="left"/>
            </w:pPr>
            <w:r w:rsidRPr="0055149C">
              <w:rPr>
                <w:b/>
                <w:bCs/>
                <w:color w:val="FFFFFF" w:themeColor="background1"/>
              </w:rPr>
              <w:t>Kapitalart</w:t>
            </w:r>
          </w:p>
        </w:tc>
        <w:tc>
          <w:tcPr>
            <w:tcW w:w="2831" w:type="dxa"/>
            <w:tcBorders>
              <w:top w:val="nil"/>
              <w:left w:val="nil"/>
              <w:bottom w:val="single" w:sz="4" w:space="0" w:color="auto"/>
              <w:right w:val="nil"/>
            </w:tcBorders>
            <w:shd w:val="clear" w:color="auto" w:fill="3672B0" w:themeFill="accent2"/>
            <w:vAlign w:val="center"/>
          </w:tcPr>
          <w:p w14:paraId="4ACFB0FD" w14:textId="77777777" w:rsidR="006C0FB0" w:rsidRPr="0055149C" w:rsidRDefault="006C0FB0" w:rsidP="0019603A">
            <w:pPr>
              <w:jc w:val="left"/>
            </w:pPr>
            <w:r w:rsidRPr="0055149C">
              <w:rPr>
                <w:b/>
                <w:bCs/>
                <w:color w:val="FFFFFF" w:themeColor="background1"/>
              </w:rPr>
              <w:t>Avskrivninger og bruttoinvesteringsutgifter</w:t>
            </w:r>
          </w:p>
        </w:tc>
        <w:tc>
          <w:tcPr>
            <w:tcW w:w="2832" w:type="dxa"/>
            <w:tcBorders>
              <w:top w:val="nil"/>
              <w:left w:val="nil"/>
              <w:bottom w:val="single" w:sz="4" w:space="0" w:color="auto"/>
              <w:right w:val="single" w:sz="4" w:space="0" w:color="auto"/>
            </w:tcBorders>
            <w:shd w:val="clear" w:color="auto" w:fill="3672B0" w:themeFill="accent2"/>
            <w:vAlign w:val="center"/>
          </w:tcPr>
          <w:p w14:paraId="1CC5B972" w14:textId="77777777" w:rsidR="006C0FB0" w:rsidRPr="0055149C" w:rsidRDefault="006C0FB0" w:rsidP="0019603A">
            <w:pPr>
              <w:jc w:val="left"/>
              <w:rPr>
                <w:b/>
                <w:bCs/>
                <w:color w:val="FFFFFF" w:themeColor="background1"/>
              </w:rPr>
            </w:pPr>
            <w:r w:rsidRPr="0055149C">
              <w:rPr>
                <w:b/>
                <w:bCs/>
                <w:color w:val="FFFFFF" w:themeColor="background1"/>
              </w:rPr>
              <w:t>Bokført kapitalbeholdning</w:t>
            </w:r>
          </w:p>
        </w:tc>
      </w:tr>
      <w:tr w:rsidR="006C0FB0" w:rsidRPr="0055149C" w14:paraId="0A1981AF" w14:textId="77777777" w:rsidTr="00BA5470">
        <w:tc>
          <w:tcPr>
            <w:tcW w:w="1415" w:type="dxa"/>
            <w:vMerge w:val="restart"/>
            <w:tcBorders>
              <w:top w:val="single" w:sz="4" w:space="0" w:color="auto"/>
            </w:tcBorders>
            <w:vAlign w:val="center"/>
          </w:tcPr>
          <w:p w14:paraId="7BEADE50" w14:textId="77777777" w:rsidR="006C0FB0" w:rsidRPr="0055149C" w:rsidRDefault="006C0FB0" w:rsidP="009238AE">
            <w:r w:rsidRPr="0055149C">
              <w:t>Aggregert</w:t>
            </w:r>
          </w:p>
        </w:tc>
        <w:tc>
          <w:tcPr>
            <w:tcW w:w="1415" w:type="dxa"/>
            <w:tcBorders>
              <w:top w:val="single" w:sz="4" w:space="0" w:color="auto"/>
            </w:tcBorders>
            <w:vAlign w:val="center"/>
          </w:tcPr>
          <w:p w14:paraId="7C5F8DC2" w14:textId="77777777" w:rsidR="006C0FB0" w:rsidRPr="0055149C" w:rsidRDefault="006C0FB0" w:rsidP="009238AE">
            <w:r w:rsidRPr="0055149C">
              <w:t>Aggregert</w:t>
            </w:r>
          </w:p>
        </w:tc>
        <w:tc>
          <w:tcPr>
            <w:tcW w:w="2831" w:type="dxa"/>
            <w:tcBorders>
              <w:top w:val="single" w:sz="4" w:space="0" w:color="auto"/>
            </w:tcBorders>
            <w:shd w:val="clear" w:color="auto" w:fill="87C399" w:themeFill="accent6" w:themeFillTint="99"/>
            <w:vAlign w:val="center"/>
          </w:tcPr>
          <w:p w14:paraId="78CE3E7D" w14:textId="77777777" w:rsidR="006C0FB0" w:rsidRPr="0055149C" w:rsidRDefault="006C0FB0" w:rsidP="009238AE"/>
        </w:tc>
        <w:tc>
          <w:tcPr>
            <w:tcW w:w="2832" w:type="dxa"/>
            <w:tcBorders>
              <w:top w:val="single" w:sz="4" w:space="0" w:color="auto"/>
            </w:tcBorders>
            <w:shd w:val="clear" w:color="auto" w:fill="87C399" w:themeFill="accent6" w:themeFillTint="99"/>
            <w:vAlign w:val="center"/>
          </w:tcPr>
          <w:p w14:paraId="1B403AB9" w14:textId="77777777" w:rsidR="006C0FB0" w:rsidRPr="0055149C" w:rsidRDefault="006C0FB0" w:rsidP="009238AE"/>
        </w:tc>
      </w:tr>
      <w:tr w:rsidR="006C0FB0" w:rsidRPr="0055149C" w14:paraId="49EB3546" w14:textId="77777777" w:rsidTr="009238AE">
        <w:tc>
          <w:tcPr>
            <w:tcW w:w="1415" w:type="dxa"/>
            <w:vMerge/>
            <w:vAlign w:val="center"/>
          </w:tcPr>
          <w:p w14:paraId="0F90CC14" w14:textId="77777777" w:rsidR="006C0FB0" w:rsidRPr="0055149C" w:rsidRDefault="006C0FB0" w:rsidP="009238AE"/>
        </w:tc>
        <w:tc>
          <w:tcPr>
            <w:tcW w:w="1415" w:type="dxa"/>
            <w:vAlign w:val="center"/>
          </w:tcPr>
          <w:p w14:paraId="40F1C2E7" w14:textId="77777777" w:rsidR="006C0FB0" w:rsidRPr="0055149C" w:rsidRDefault="006C0FB0" w:rsidP="009238AE">
            <w:r w:rsidRPr="0055149C">
              <w:t>Disaggregert</w:t>
            </w:r>
          </w:p>
        </w:tc>
        <w:tc>
          <w:tcPr>
            <w:tcW w:w="2831" w:type="dxa"/>
            <w:shd w:val="clear" w:color="auto" w:fill="EF485F" w:themeFill="accent5" w:themeFillTint="99"/>
            <w:vAlign w:val="center"/>
          </w:tcPr>
          <w:p w14:paraId="15CEF522" w14:textId="77777777" w:rsidR="006C0FB0" w:rsidRPr="0055149C" w:rsidRDefault="006C0FB0" w:rsidP="009238AE"/>
        </w:tc>
        <w:tc>
          <w:tcPr>
            <w:tcW w:w="2832" w:type="dxa"/>
            <w:shd w:val="clear" w:color="auto" w:fill="87C399" w:themeFill="accent6" w:themeFillTint="99"/>
            <w:vAlign w:val="center"/>
          </w:tcPr>
          <w:p w14:paraId="3F9ECB54" w14:textId="77777777" w:rsidR="006C0FB0" w:rsidRPr="0055149C" w:rsidRDefault="006C0FB0" w:rsidP="009238AE"/>
        </w:tc>
      </w:tr>
      <w:tr w:rsidR="006C0FB0" w:rsidRPr="0055149C" w14:paraId="254645DD" w14:textId="77777777" w:rsidTr="009238AE">
        <w:tc>
          <w:tcPr>
            <w:tcW w:w="1415" w:type="dxa"/>
            <w:vMerge w:val="restart"/>
            <w:vAlign w:val="center"/>
          </w:tcPr>
          <w:p w14:paraId="5F679D83" w14:textId="77777777" w:rsidR="006C0FB0" w:rsidRPr="0055149C" w:rsidRDefault="006C0FB0" w:rsidP="009238AE">
            <w:r w:rsidRPr="0055149C">
              <w:t>Disaggregert</w:t>
            </w:r>
          </w:p>
        </w:tc>
        <w:tc>
          <w:tcPr>
            <w:tcW w:w="1415" w:type="dxa"/>
            <w:vAlign w:val="center"/>
          </w:tcPr>
          <w:p w14:paraId="251297B0" w14:textId="77777777" w:rsidR="006C0FB0" w:rsidRPr="0055149C" w:rsidRDefault="006C0FB0" w:rsidP="009238AE">
            <w:r w:rsidRPr="0055149C">
              <w:t>Aggregert</w:t>
            </w:r>
          </w:p>
        </w:tc>
        <w:tc>
          <w:tcPr>
            <w:tcW w:w="2831" w:type="dxa"/>
            <w:shd w:val="clear" w:color="auto" w:fill="87C399" w:themeFill="accent6" w:themeFillTint="99"/>
            <w:vAlign w:val="center"/>
          </w:tcPr>
          <w:p w14:paraId="55520065" w14:textId="77777777" w:rsidR="006C0FB0" w:rsidRPr="0055149C" w:rsidRDefault="006C0FB0" w:rsidP="009238AE"/>
        </w:tc>
        <w:tc>
          <w:tcPr>
            <w:tcW w:w="2832" w:type="dxa"/>
            <w:shd w:val="clear" w:color="auto" w:fill="EF485F" w:themeFill="accent5" w:themeFillTint="99"/>
            <w:vAlign w:val="center"/>
          </w:tcPr>
          <w:p w14:paraId="45E60B24" w14:textId="77777777" w:rsidR="006C0FB0" w:rsidRPr="0055149C" w:rsidRDefault="006C0FB0" w:rsidP="009238AE"/>
        </w:tc>
      </w:tr>
      <w:tr w:rsidR="006C0FB0" w:rsidRPr="0055149C" w14:paraId="2FED8FA6" w14:textId="77777777" w:rsidTr="009238AE">
        <w:tc>
          <w:tcPr>
            <w:tcW w:w="1415" w:type="dxa"/>
            <w:vMerge/>
            <w:vAlign w:val="center"/>
          </w:tcPr>
          <w:p w14:paraId="13F2E456" w14:textId="77777777" w:rsidR="006C0FB0" w:rsidRPr="0055149C" w:rsidRDefault="006C0FB0" w:rsidP="009238AE"/>
        </w:tc>
        <w:tc>
          <w:tcPr>
            <w:tcW w:w="1415" w:type="dxa"/>
            <w:vAlign w:val="center"/>
          </w:tcPr>
          <w:p w14:paraId="682E81CB" w14:textId="77777777" w:rsidR="006C0FB0" w:rsidRPr="0055149C" w:rsidRDefault="006C0FB0" w:rsidP="009238AE">
            <w:r w:rsidRPr="0055149C">
              <w:t>Disaggregert</w:t>
            </w:r>
          </w:p>
        </w:tc>
        <w:tc>
          <w:tcPr>
            <w:tcW w:w="2831" w:type="dxa"/>
            <w:shd w:val="clear" w:color="auto" w:fill="EF485F" w:themeFill="accent5" w:themeFillTint="99"/>
            <w:vAlign w:val="center"/>
          </w:tcPr>
          <w:p w14:paraId="5B363EAF" w14:textId="77777777" w:rsidR="006C0FB0" w:rsidRPr="0055149C" w:rsidRDefault="006C0FB0" w:rsidP="009238AE"/>
        </w:tc>
        <w:tc>
          <w:tcPr>
            <w:tcW w:w="2832" w:type="dxa"/>
            <w:shd w:val="clear" w:color="auto" w:fill="EF485F" w:themeFill="accent5" w:themeFillTint="99"/>
            <w:vAlign w:val="center"/>
          </w:tcPr>
          <w:p w14:paraId="4B0F95AB" w14:textId="77777777" w:rsidR="006C0FB0" w:rsidRPr="0055149C" w:rsidRDefault="006C0FB0" w:rsidP="009238AE"/>
        </w:tc>
      </w:tr>
    </w:tbl>
    <w:p w14:paraId="729064DC" w14:textId="6E9AA700" w:rsidR="007113EC" w:rsidRDefault="007113EC" w:rsidP="007113EC">
      <w:pPr>
        <w:pStyle w:val="Billedtekst-forklaring"/>
        <w:rPr>
          <w:lang w:eastAsia="nb-NO"/>
        </w:rPr>
      </w:pPr>
      <w:r w:rsidRPr="0055149C">
        <w:rPr>
          <w:iCs/>
        </w:rPr>
        <w:t xml:space="preserve">Fargeforklaringer: </w:t>
      </w:r>
      <w:r w:rsidRPr="0055149C">
        <w:rPr>
          <w:iCs/>
          <w:shd w:val="clear" w:color="auto" w:fill="87C399" w:themeFill="accent6" w:themeFillTint="99"/>
        </w:rPr>
        <w:t>Tilgjengelig</w:t>
      </w:r>
      <w:r w:rsidRPr="0055149C">
        <w:rPr>
          <w:iCs/>
        </w:rPr>
        <w:t xml:space="preserve"> og </w:t>
      </w:r>
      <w:r w:rsidRPr="0055149C">
        <w:rPr>
          <w:iCs/>
          <w:shd w:val="clear" w:color="auto" w:fill="EF485F" w:themeFill="accent5" w:themeFillTint="99"/>
        </w:rPr>
        <w:t>utilgjengelig</w:t>
      </w:r>
    </w:p>
    <w:p w14:paraId="21C0D877" w14:textId="43B785AF" w:rsidR="00BA5470" w:rsidRPr="0055149C" w:rsidRDefault="006C0FB0" w:rsidP="00BA5470">
      <w:pPr>
        <w:pStyle w:val="Source"/>
        <w:rPr>
          <w:lang w:eastAsia="nb-NO"/>
        </w:rPr>
      </w:pPr>
      <w:r w:rsidRPr="0055149C">
        <w:rPr>
          <w:lang w:eastAsia="nb-NO"/>
        </w:rPr>
        <w:t xml:space="preserve">Kilde: Vista Analyse basert på </w:t>
      </w:r>
      <w:r w:rsidR="008E7E43">
        <w:rPr>
          <w:lang w:eastAsia="nb-NO"/>
        </w:rPr>
        <w:t>KOSTRA</w:t>
      </w:r>
      <w:r w:rsidRPr="0055149C">
        <w:rPr>
          <w:lang w:eastAsia="nb-NO"/>
        </w:rPr>
        <w:t>-statistikken til Statistisk sentralbyrå</w:t>
      </w:r>
    </w:p>
    <w:p w14:paraId="245D5EAB" w14:textId="7636EE62" w:rsidR="004A1E78" w:rsidRPr="0055149C" w:rsidRDefault="00BA5470" w:rsidP="009F43C2">
      <w:pPr>
        <w:rPr>
          <w:lang w:eastAsia="nb-NO"/>
        </w:rPr>
      </w:pPr>
      <w:r w:rsidRPr="0055149C">
        <w:rPr>
          <w:lang w:eastAsia="nb-NO"/>
        </w:rPr>
        <w:t xml:space="preserve">Vi anslår bruttoinvesteringer over kapitalarter basert på størrelsesforholdet mellom de positive beholdningsendringene til kapitalartene. Dersom det </w:t>
      </w:r>
      <w:r w:rsidR="00F642FD">
        <w:rPr>
          <w:lang w:eastAsia="nb-NO"/>
        </w:rPr>
        <w:t>kun er</w:t>
      </w:r>
      <w:r w:rsidRPr="0055149C">
        <w:rPr>
          <w:lang w:eastAsia="nb-NO"/>
        </w:rPr>
        <w:t xml:space="preserve"> </w:t>
      </w:r>
      <w:r w:rsidR="0069393E" w:rsidRPr="0055149C">
        <w:rPr>
          <w:lang w:eastAsia="nb-NO"/>
        </w:rPr>
        <w:t>ikke-</w:t>
      </w:r>
      <w:r w:rsidRPr="0055149C">
        <w:rPr>
          <w:lang w:eastAsia="nb-NO"/>
        </w:rPr>
        <w:t>positive beholdningsendringer, baserer vi oss isteden på endringene kapital</w:t>
      </w:r>
      <w:r w:rsidR="0069393E" w:rsidRPr="0055149C">
        <w:rPr>
          <w:lang w:eastAsia="nb-NO"/>
        </w:rPr>
        <w:t>massen</w:t>
      </w:r>
      <w:r w:rsidR="00A86965">
        <w:rPr>
          <w:lang w:eastAsia="nb-NO"/>
        </w:rPr>
        <w:t>s bestanddeler</w:t>
      </w:r>
      <w:r w:rsidR="0069393E" w:rsidRPr="0055149C">
        <w:rPr>
          <w:lang w:eastAsia="nb-NO"/>
        </w:rPr>
        <w:t>.</w:t>
      </w:r>
      <w:r w:rsidR="009F43C2" w:rsidRPr="0055149C">
        <w:rPr>
          <w:lang w:eastAsia="nb-NO"/>
        </w:rPr>
        <w:t xml:space="preserve"> </w:t>
      </w:r>
      <w:r w:rsidR="00F3478F">
        <w:rPr>
          <w:lang w:eastAsia="nb-NO"/>
        </w:rPr>
        <w:t>Vi</w:t>
      </w:r>
      <w:r w:rsidR="009F43C2" w:rsidRPr="0055149C">
        <w:rPr>
          <w:lang w:eastAsia="nb-NO"/>
        </w:rPr>
        <w:t xml:space="preserve"> anslår</w:t>
      </w:r>
      <w:r w:rsidR="003D2119">
        <w:rPr>
          <w:lang w:eastAsia="nb-NO"/>
        </w:rPr>
        <w:t xml:space="preserve"> </w:t>
      </w:r>
      <w:r w:rsidR="009F43C2" w:rsidRPr="0055149C">
        <w:rPr>
          <w:lang w:eastAsia="nb-NO"/>
        </w:rPr>
        <w:t>avskrivninger over kapitalarter med produktet mellom depresieringsrater og inngående kapitalbeholdninger som fordelingsnøkler</w:t>
      </w:r>
      <w:r w:rsidR="00F3478F">
        <w:rPr>
          <w:lang w:eastAsia="nb-NO"/>
        </w:rPr>
        <w:t xml:space="preserve"> (se Holmen 2022a)</w:t>
      </w:r>
      <w:r w:rsidR="009F43C2" w:rsidRPr="0055149C">
        <w:rPr>
          <w:lang w:eastAsia="nb-NO"/>
        </w:rPr>
        <w:t>.</w:t>
      </w:r>
      <w:r w:rsidR="004A1E78">
        <w:rPr>
          <w:lang w:eastAsia="nb-NO"/>
        </w:rPr>
        <w:t xml:space="preserve"> </w:t>
      </w:r>
      <w:r w:rsidR="003D2119">
        <w:rPr>
          <w:lang w:eastAsia="nb-NO"/>
        </w:rPr>
        <w:t>Tilsvarende</w:t>
      </w:r>
      <w:r w:rsidR="00A84BFA">
        <w:rPr>
          <w:lang w:eastAsia="nb-NO"/>
        </w:rPr>
        <w:t xml:space="preserve"> </w:t>
      </w:r>
      <w:r w:rsidR="004A1E78">
        <w:rPr>
          <w:lang w:eastAsia="nb-NO"/>
        </w:rPr>
        <w:t xml:space="preserve">fordeler </w:t>
      </w:r>
      <w:r w:rsidR="00F57ABD">
        <w:rPr>
          <w:lang w:eastAsia="nb-NO"/>
        </w:rPr>
        <w:t xml:space="preserve">vi </w:t>
      </w:r>
      <w:r w:rsidR="004A1E78">
        <w:rPr>
          <w:lang w:eastAsia="nb-NO"/>
        </w:rPr>
        <w:t>de initiale kapitalverdiene over funksjoner basert på hver funksjons andel av</w:t>
      </w:r>
      <w:r w:rsidR="00E6416A">
        <w:rPr>
          <w:lang w:eastAsia="nb-NO"/>
        </w:rPr>
        <w:t xml:space="preserve"> </w:t>
      </w:r>
      <w:r w:rsidR="004A1E78">
        <w:rPr>
          <w:lang w:eastAsia="nb-NO"/>
        </w:rPr>
        <w:t>samlede kapitalverdiene over perioden.</w:t>
      </w:r>
    </w:p>
    <w:p w14:paraId="4EA56770" w14:textId="77777777" w:rsidR="007469BC" w:rsidRDefault="00BA5470" w:rsidP="006C0FB0">
      <w:r w:rsidRPr="0055149C">
        <w:rPr>
          <w:lang w:eastAsia="nb-NO"/>
        </w:rPr>
        <w:lastRenderedPageBreak/>
        <w:t>Det er verdt å merke seg at bruttoinvesteringsstrømmene ikke bare består av brutto</w:t>
      </w:r>
      <w:r w:rsidR="00803BE4">
        <w:rPr>
          <w:lang w:eastAsia="nb-NO"/>
        </w:rPr>
        <w:t>investeringsutgiftene</w:t>
      </w:r>
      <w:r w:rsidRPr="0055149C">
        <w:rPr>
          <w:lang w:eastAsia="nb-NO"/>
        </w:rPr>
        <w:t xml:space="preserve">, men også salg av varige driftsmidler. Bruttoinvesteringsstrømmene tilsvarer differansen mellom disse to variablene. Salg av varige driftsmidler oppgis </w:t>
      </w:r>
      <w:r w:rsidR="004A1E78">
        <w:rPr>
          <w:lang w:eastAsia="nb-NO"/>
        </w:rPr>
        <w:t>ikke over</w:t>
      </w:r>
      <w:r w:rsidRPr="0055149C">
        <w:rPr>
          <w:lang w:eastAsia="nb-NO"/>
        </w:rPr>
        <w:t xml:space="preserve"> kapitalarter</w:t>
      </w:r>
      <w:r w:rsidR="004A1E78">
        <w:rPr>
          <w:lang w:eastAsia="nb-NO"/>
        </w:rPr>
        <w:t>, men over</w:t>
      </w:r>
      <w:r w:rsidRPr="0055149C">
        <w:rPr>
          <w:lang w:eastAsia="nb-NO"/>
        </w:rPr>
        <w:t xml:space="preserve"> funksjoner. </w:t>
      </w:r>
      <w:r w:rsidR="0069393E" w:rsidRPr="0055149C">
        <w:rPr>
          <w:lang w:eastAsia="nb-NO"/>
        </w:rPr>
        <w:t>Videre relaterer regnskapsposten</w:t>
      </w:r>
      <w:r w:rsidRPr="0055149C">
        <w:rPr>
          <w:lang w:eastAsia="nb-NO"/>
        </w:rPr>
        <w:t xml:space="preserve"> seg </w:t>
      </w:r>
      <w:r w:rsidRPr="004A1E78">
        <w:rPr>
          <w:lang w:eastAsia="nb-NO"/>
        </w:rPr>
        <w:t xml:space="preserve">kun til </w:t>
      </w:r>
      <w:r w:rsidRPr="004A1E78">
        <w:t>faste eiendommer og anlegg, og utstyr, maskiner og transportmidler, og dermed ikke immaterielle eiendeler. Vi fordeler regnskapsvariabelen mellom de to kapitalartene basert på omfanget av eventuelle</w:t>
      </w:r>
      <w:r w:rsidR="007B166F">
        <w:t xml:space="preserve"> </w:t>
      </w:r>
      <w:r w:rsidRPr="004A1E78">
        <w:t>negative beholdnings</w:t>
      </w:r>
      <w:r w:rsidR="00131B27">
        <w:softHyphen/>
      </w:r>
      <w:r w:rsidRPr="004A1E78">
        <w:t>endringer for hver kapitalbeholdning. I fravær av negative</w:t>
      </w:r>
      <w:r w:rsidR="007B166F">
        <w:t xml:space="preserve"> </w:t>
      </w:r>
      <w:r w:rsidRPr="004A1E78">
        <w:t>beholdningsendringer fordeler vi avhendingen over kapitalarter basert på beholdningsstørrelsene.</w:t>
      </w:r>
    </w:p>
    <w:p w14:paraId="42CC6088" w14:textId="7C439CB9" w:rsidR="006C0FB0" w:rsidRPr="0055149C" w:rsidRDefault="006C0FB0" w:rsidP="006C0FB0">
      <w:pPr>
        <w:rPr>
          <w:lang w:eastAsia="nb-NO"/>
        </w:rPr>
      </w:pPr>
      <w:r w:rsidRPr="0055149C">
        <w:rPr>
          <w:lang w:eastAsia="nb-NO"/>
        </w:rPr>
        <w:t>Vi støter ikke på de samme utfordringene med de finansielle regnskapspostene, i og med at d</w:t>
      </w:r>
      <w:r w:rsidR="00705FB4">
        <w:rPr>
          <w:lang w:eastAsia="nb-NO"/>
        </w:rPr>
        <w:t>i</w:t>
      </w:r>
      <w:r w:rsidRPr="0055149C">
        <w:rPr>
          <w:lang w:eastAsia="nb-NO"/>
        </w:rPr>
        <w:t xml:space="preserve">saggregerte data på funksjon eller kapitalart ikke gir noe merverdi for våre beregninger av realøkonomiske rentekostnader. I den grad det </w:t>
      </w:r>
      <w:r w:rsidR="00173C4B">
        <w:rPr>
          <w:lang w:eastAsia="nb-NO"/>
        </w:rPr>
        <w:t xml:space="preserve">er ulike </w:t>
      </w:r>
      <w:r w:rsidRPr="0055149C">
        <w:rPr>
          <w:lang w:eastAsia="nb-NO"/>
        </w:rPr>
        <w:t>reelle avkastningskrav over kapitalarter og funksjoner på grunn av forskjeller i risikopåslag, vil det i realiteten være en sammenheng</w:t>
      </w:r>
      <w:r w:rsidR="00A772F9">
        <w:rPr>
          <w:lang w:eastAsia="nb-NO"/>
        </w:rPr>
        <w:t>. Likevel er</w:t>
      </w:r>
      <w:r w:rsidRPr="0055149C">
        <w:rPr>
          <w:lang w:eastAsia="nb-NO"/>
        </w:rPr>
        <w:t xml:space="preserve"> denne heterogeniteten verken rett fram å </w:t>
      </w:r>
      <w:r w:rsidR="00E16D13">
        <w:rPr>
          <w:lang w:eastAsia="nb-NO"/>
        </w:rPr>
        <w:t xml:space="preserve">fange opp i </w:t>
      </w:r>
      <w:r w:rsidRPr="0055149C">
        <w:rPr>
          <w:lang w:eastAsia="nb-NO"/>
        </w:rPr>
        <w:t>mål</w:t>
      </w:r>
      <w:r w:rsidR="00E16D13">
        <w:rPr>
          <w:lang w:eastAsia="nb-NO"/>
        </w:rPr>
        <w:t>inger</w:t>
      </w:r>
      <w:r w:rsidRPr="0055149C">
        <w:rPr>
          <w:lang w:eastAsia="nb-NO"/>
        </w:rPr>
        <w:t xml:space="preserve"> eller </w:t>
      </w:r>
      <w:r w:rsidR="00173C4B">
        <w:rPr>
          <w:lang w:eastAsia="nb-NO"/>
        </w:rPr>
        <w:t xml:space="preserve">noe </w:t>
      </w:r>
      <w:r w:rsidRPr="0055149C">
        <w:rPr>
          <w:lang w:eastAsia="nb-NO"/>
        </w:rPr>
        <w:t xml:space="preserve">sannsynlig opphav </w:t>
      </w:r>
      <w:r w:rsidR="00173C4B">
        <w:rPr>
          <w:lang w:eastAsia="nb-NO"/>
        </w:rPr>
        <w:t xml:space="preserve">til </w:t>
      </w:r>
      <w:r w:rsidRPr="0055149C">
        <w:rPr>
          <w:lang w:eastAsia="nb-NO"/>
        </w:rPr>
        <w:t xml:space="preserve">de store variasjonene i kapitalestimatene. Det kan imidlertid </w:t>
      </w:r>
      <w:r w:rsidR="00173C4B">
        <w:rPr>
          <w:lang w:eastAsia="nb-NO"/>
        </w:rPr>
        <w:t>være</w:t>
      </w:r>
      <w:r w:rsidRPr="0055149C">
        <w:rPr>
          <w:lang w:eastAsia="nb-NO"/>
        </w:rPr>
        <w:t xml:space="preserve"> vesentlig å kunne skille mellom egenkapital og gjeld</w:t>
      </w:r>
      <w:r w:rsidR="000E4CEF" w:rsidRPr="0055149C">
        <w:rPr>
          <w:lang w:eastAsia="nb-NO"/>
        </w:rPr>
        <w:t xml:space="preserve"> og eventuelt kortsiktig og langsiktig gjeld</w:t>
      </w:r>
      <w:r w:rsidRPr="0055149C">
        <w:rPr>
          <w:lang w:eastAsia="nb-NO"/>
        </w:rPr>
        <w:t>. Ellers er det verdt å minne om at rentekostnader og renteinntekter i realøkonomisk forstand omfatter flere finansielle poster i resultatregnskapet enn de regnskapsmessige postene for rentekostnader og renteinntekter</w:t>
      </w:r>
      <w:r w:rsidR="000E4CEF" w:rsidRPr="0055149C">
        <w:rPr>
          <w:lang w:eastAsia="nb-NO"/>
        </w:rPr>
        <w:t>, i tillegg til å innbefatte avkastningskrav på egenkapitalen.</w:t>
      </w:r>
    </w:p>
    <w:p w14:paraId="63E841A9" w14:textId="4B5B1249" w:rsidR="006C0FB0" w:rsidRPr="0055149C" w:rsidRDefault="006C0FB0" w:rsidP="00AC6919">
      <w:pPr>
        <w:rPr>
          <w:lang w:eastAsia="nb-NO"/>
        </w:rPr>
      </w:pPr>
      <w:r w:rsidRPr="0055149C">
        <w:rPr>
          <w:lang w:eastAsia="nb-NO"/>
        </w:rPr>
        <w:t xml:space="preserve">Utover kapitaldataene har vi hentet inn </w:t>
      </w:r>
      <w:r w:rsidR="009371C3">
        <w:rPr>
          <w:lang w:eastAsia="nb-NO"/>
        </w:rPr>
        <w:t xml:space="preserve">data på </w:t>
      </w:r>
      <w:r w:rsidRPr="0055149C">
        <w:rPr>
          <w:lang w:eastAsia="nb-NO"/>
        </w:rPr>
        <w:t>bruttodriftsutgifter, bruttodriftsinntekter og lønnsutgifter. Nettodriftsutgiftene er regnet ut som differansen mellom bruttodriftsutgifter og bruttodriftsinntekter, men</w:t>
      </w:r>
      <w:r w:rsidR="00D41DE6">
        <w:rPr>
          <w:lang w:eastAsia="nb-NO"/>
        </w:rPr>
        <w:t>s</w:t>
      </w:r>
      <w:r w:rsidRPr="0055149C">
        <w:rPr>
          <w:lang w:eastAsia="nb-NO"/>
        </w:rPr>
        <w:t xml:space="preserve"> </w:t>
      </w:r>
      <w:r w:rsidR="0062722C">
        <w:rPr>
          <w:lang w:eastAsia="nb-NO"/>
        </w:rPr>
        <w:t xml:space="preserve">produktinnsatsutgifter </w:t>
      </w:r>
      <w:r w:rsidRPr="0055149C">
        <w:rPr>
          <w:lang w:eastAsia="nb-NO"/>
        </w:rPr>
        <w:t xml:space="preserve">og fordringstap er regnet ut som differansen mellom bruttodriftsutgifter og lønnsutgifter. </w:t>
      </w:r>
      <w:r w:rsidR="003373AE" w:rsidRPr="0055149C">
        <w:rPr>
          <w:lang w:eastAsia="nb-NO"/>
        </w:rPr>
        <w:t xml:space="preserve">Merk at </w:t>
      </w:r>
      <w:r w:rsidR="0062722C">
        <w:rPr>
          <w:lang w:eastAsia="nb-NO"/>
        </w:rPr>
        <w:t xml:space="preserve">produktinnsatsutgifter </w:t>
      </w:r>
      <w:r w:rsidR="003373AE" w:rsidRPr="0055149C">
        <w:rPr>
          <w:lang w:eastAsia="nb-NO"/>
        </w:rPr>
        <w:t>i tillegg til vare</w:t>
      </w:r>
      <w:r w:rsidR="0062722C">
        <w:rPr>
          <w:lang w:eastAsia="nb-NO"/>
        </w:rPr>
        <w:t>kjøp</w:t>
      </w:r>
      <w:r w:rsidR="003373AE" w:rsidRPr="0055149C">
        <w:rPr>
          <w:lang w:eastAsia="nb-NO"/>
        </w:rPr>
        <w:t>, tjeneste</w:t>
      </w:r>
      <w:r w:rsidR="0062722C">
        <w:rPr>
          <w:lang w:eastAsia="nb-NO"/>
        </w:rPr>
        <w:t>kjøp</w:t>
      </w:r>
      <w:r w:rsidR="003373AE" w:rsidRPr="0055149C">
        <w:rPr>
          <w:lang w:eastAsia="nb-NO"/>
        </w:rPr>
        <w:t xml:space="preserve"> og elektrisitet omfatter leiekostnader, hvilket innebærer at </w:t>
      </w:r>
      <w:r w:rsidR="009371C3">
        <w:rPr>
          <w:lang w:eastAsia="nb-NO"/>
        </w:rPr>
        <w:t xml:space="preserve">variabelen fanger opp </w:t>
      </w:r>
      <w:r w:rsidR="003373AE" w:rsidRPr="0055149C">
        <w:rPr>
          <w:lang w:eastAsia="nb-NO"/>
        </w:rPr>
        <w:t xml:space="preserve">kapitalkostnader knyttet til leie av eiendom, transportmidler, maskiner og utstyr. </w:t>
      </w:r>
      <w:r w:rsidRPr="0055149C">
        <w:rPr>
          <w:lang w:eastAsia="nb-NO"/>
        </w:rPr>
        <w:t>Definisjonen til bruttodriftsinntekter har underveis i vår tidsserie blitt endret ved at mottatte avdrag på lån har blitt lagt inn i regnskapsposten, etter tidligere ha blitt klassifisert som en finansiell inntekt. Vi har korrigert tidsserien bakover i tråd med den nye definisjonen for å unngå et tidsseriebrudd.</w:t>
      </w:r>
    </w:p>
    <w:p w14:paraId="28FE66C0" w14:textId="69232A6D" w:rsidR="006C0FB0" w:rsidRPr="0055149C" w:rsidRDefault="006C0FB0" w:rsidP="00AC6919">
      <w:r w:rsidRPr="0055149C">
        <w:rPr>
          <w:lang w:eastAsia="nb-NO"/>
        </w:rPr>
        <w:t>Vi har lagt kommune- og fylkesinndelingene for perioden 2020 til 2023 til grunn for analysen, hvilket innebærer 356 kommuner og 11 fylker. Valget er foretatt på bakgrunn av hva som er mulig å undersøke med dataene. Dette innebærer at vi ikke har tatt hensyn til at Haram kommune ble skilt ut av Ålesund kommune ved inngangen av 2024, eller at fylkene Troms og Finnmark, Viken, Vestfold og Telemark ble delt opp på samme tidspunkt. Tallene for historiske primærkommuner og fylkeskommunene som har slått seg sammen inngår i tallene for de nye kommunene. I likhet med andre analyser av norske kommuner over tid støter vi på en utfordring ved at de tidligere kommunene Snillfjord og Tysfjord har blitt fordelt over flere nye kommuner ved inngangen av 2020. Vi har løst disse utfordringene ved å fordele regnskapstallene for disse to kommunene over de nye kommunene ved hjelp av befolkningsandeler ved tidspunktet for oppsplitting. Vi har ikke tatt høyde for andre grensejusteringer i fylkesgrensene eller kommunegrensene.</w:t>
      </w:r>
    </w:p>
    <w:p w14:paraId="6C6493C6" w14:textId="6B4BF19C" w:rsidR="006C0FB0" w:rsidRPr="0055149C" w:rsidRDefault="006C0FB0" w:rsidP="00AC6919">
      <w:pPr>
        <w:rPr>
          <w:lang w:eastAsia="nb-NO"/>
        </w:rPr>
      </w:pPr>
      <w:r w:rsidRPr="0055149C">
        <w:rPr>
          <w:lang w:eastAsia="nb-NO"/>
        </w:rPr>
        <w:t xml:space="preserve">Ellers er nøkkeltallene for alle kommunene omregnet til strukturen for primærkommuner og fylkeskommuner som var gjeldende fra 2020 til 2023. Herunder er oppsplittingen av </w:t>
      </w:r>
      <w:r w:rsidR="00F84098" w:rsidRPr="0055149C">
        <w:rPr>
          <w:lang w:eastAsia="nb-NO"/>
        </w:rPr>
        <w:t xml:space="preserve">de tidligere kommunene </w:t>
      </w:r>
      <w:r w:rsidRPr="0055149C">
        <w:rPr>
          <w:lang w:eastAsia="nb-NO"/>
        </w:rPr>
        <w:t xml:space="preserve">Snillfjord og Tysfjord håndtert ved </w:t>
      </w:r>
      <w:r w:rsidR="00F84098" w:rsidRPr="0055149C">
        <w:rPr>
          <w:lang w:eastAsia="nb-NO"/>
        </w:rPr>
        <w:t xml:space="preserve">å utnytte </w:t>
      </w:r>
      <w:r w:rsidRPr="0055149C">
        <w:rPr>
          <w:lang w:eastAsia="nb-NO"/>
        </w:rPr>
        <w:t>befolkningsfordelingen på grunnkretsnivå i 2019</w:t>
      </w:r>
      <w:r w:rsidR="00F84098" w:rsidRPr="0055149C">
        <w:rPr>
          <w:lang w:eastAsia="nb-NO"/>
        </w:rPr>
        <w:t xml:space="preserve"> som fordelingsnøkler for alle regnskapsvariabler</w:t>
      </w:r>
      <w:r w:rsidRPr="0055149C">
        <w:rPr>
          <w:lang w:eastAsia="nb-NO"/>
        </w:rPr>
        <w:t>.</w:t>
      </w:r>
      <w:r w:rsidR="00042BF6" w:rsidRPr="0055149C">
        <w:rPr>
          <w:lang w:eastAsia="nb-NO"/>
        </w:rPr>
        <w:t xml:space="preserve"> I de øvrige tilfellene er det snakk om sammenslåinger, slik at det har vært tilstrekkelig å summere tallene.</w:t>
      </w:r>
    </w:p>
    <w:p w14:paraId="3A5222F5" w14:textId="4B0176F5" w:rsidR="00A54622" w:rsidRPr="0055149C" w:rsidRDefault="00F87A55" w:rsidP="00AC6919">
      <w:r w:rsidRPr="0055149C">
        <w:lastRenderedPageBreak/>
        <w:t>En særegen datautfordring knytter seg til Oslo, som både utgjør en primærkommune og en fylkeskommune. For at Oslo skal være sammenliknbar</w:t>
      </w:r>
      <w:r w:rsidR="00D41DE6">
        <w:t>e</w:t>
      </w:r>
      <w:r w:rsidRPr="0055149C">
        <w:t xml:space="preserve"> med andre primærkommuner og fylkeskommuner har det vært nødvendig å skille mellom disse to forvaltningsnivåene. Vi har anslått fordelingen ved å ta for oss hvordan nøkkelstørrelser fordeler </w:t>
      </w:r>
      <w:r w:rsidR="0075688D">
        <w:t xml:space="preserve">seg </w:t>
      </w:r>
      <w:r w:rsidRPr="0055149C">
        <w:t>over samtlige funksjonsområder i et</w:t>
      </w:r>
      <w:r w:rsidR="00D41DE6">
        <w:t xml:space="preserve"> </w:t>
      </w:r>
      <w:r w:rsidRPr="0055149C">
        <w:t xml:space="preserve">hvert forvaltningsnivå </w:t>
      </w:r>
      <w:r w:rsidR="003C7F7D" w:rsidRPr="0055149C">
        <w:t xml:space="preserve">samlet </w:t>
      </w:r>
      <w:r w:rsidRPr="0055149C">
        <w:t xml:space="preserve">over </w:t>
      </w:r>
      <w:r w:rsidR="003C7F7D" w:rsidRPr="0055149C">
        <w:t xml:space="preserve">hele </w:t>
      </w:r>
      <w:r w:rsidRPr="0055149C">
        <w:t>studieperioden.</w:t>
      </w:r>
      <w:r w:rsidR="00225393">
        <w:t xml:space="preserve"> </w:t>
      </w:r>
      <w:r w:rsidR="005A23E7" w:rsidRPr="0055149C">
        <w:t>I tillegg til avskrivninger og bruttoinvesteringsutgifter oppgis ordinære bruttodriftsutgifter, korrigerte bruttodriftsutgifter og lønnsutgifter over kommuner på funksjonsnivå. Disse variablene anvendes årlig som fordelingsnøkler for seg selv mellom forvaltningsnivåene i Oslo. Videre benyttes årlige ordinære bruttodriftsutgifter som fordelingsnøkkel for nettodriftsutgifter og bruttodriftsinntekter i hovedstaden, mens årlige bruttoinvesteringsutgifter brukes som fordelingsnøkkel for avhending av varige driftsmidler. For balansestørrelser og finansielle nøkkeltall tar vi i bruk samlede bruttoinvesteringsutgifter over hele perioden som fordelingsnøkkel mellom Oslo primærkommunen og Oslo fylkeskommune.</w:t>
      </w:r>
    </w:p>
    <w:p w14:paraId="06DC6764" w14:textId="70C43DE8" w:rsidR="00B43F21" w:rsidRPr="0055149C" w:rsidRDefault="00323B8D" w:rsidP="00B43F21">
      <w:pPr>
        <w:pStyle w:val="Overskrift3"/>
      </w:pPr>
      <w:bookmarkStart w:id="67" w:name="_Ref176556372"/>
      <w:r w:rsidRPr="0055149C">
        <w:t>Nasjonalregnskapsdata</w:t>
      </w:r>
      <w:bookmarkEnd w:id="67"/>
      <w:r w:rsidR="000518C1">
        <w:t xml:space="preserve"> og eiendomsstatistikk</w:t>
      </w:r>
    </w:p>
    <w:p w14:paraId="72E58177" w14:textId="6E1387A5" w:rsidR="007F0A33" w:rsidRPr="0055149C" w:rsidRDefault="007F0A33" w:rsidP="007F0A33">
      <w:pPr>
        <w:rPr>
          <w:lang w:eastAsia="nb-NO"/>
        </w:rPr>
      </w:pPr>
      <w:r w:rsidRPr="0055149C">
        <w:rPr>
          <w:lang w:eastAsia="nb-NO"/>
        </w:rPr>
        <w:t xml:space="preserve">Vi har innhentet prisindekser </w:t>
      </w:r>
      <w:r w:rsidR="00E21BC3" w:rsidRPr="0055149C">
        <w:rPr>
          <w:lang w:eastAsia="nb-NO"/>
        </w:rPr>
        <w:t xml:space="preserve">fra Statistisk sentralbyrå </w:t>
      </w:r>
      <w:r w:rsidRPr="0055149C">
        <w:rPr>
          <w:lang w:eastAsia="nb-NO"/>
        </w:rPr>
        <w:t>for</w:t>
      </w:r>
      <w:r w:rsidR="00E21BC3" w:rsidRPr="0055149C">
        <w:rPr>
          <w:lang w:eastAsia="nb-NO"/>
        </w:rPr>
        <w:t xml:space="preserve"> </w:t>
      </w:r>
      <w:r w:rsidR="008E7E43">
        <w:rPr>
          <w:lang w:eastAsia="nb-NO"/>
        </w:rPr>
        <w:t>KOSTRA</w:t>
      </w:r>
      <w:r w:rsidR="00E21BC3" w:rsidRPr="0055149C">
        <w:rPr>
          <w:lang w:eastAsia="nb-NO"/>
        </w:rPr>
        <w:t>-kategoriene</w:t>
      </w:r>
      <w:r w:rsidRPr="0055149C">
        <w:rPr>
          <w:lang w:eastAsia="nb-NO"/>
        </w:rPr>
        <w:t xml:space="preserve"> </w:t>
      </w:r>
      <w:r w:rsidR="002C7B87" w:rsidRPr="0055149C">
        <w:rPr>
          <w:lang w:eastAsia="nb-NO"/>
        </w:rPr>
        <w:t>«Utstyr, maskiner og transportmidler» og «faste eiendommer og anlegg» over næringer</w:t>
      </w:r>
      <w:r w:rsidR="00D41DE6">
        <w:rPr>
          <w:lang w:eastAsia="nb-NO"/>
        </w:rPr>
        <w:t>,</w:t>
      </w:r>
      <w:r w:rsidR="002C7B87" w:rsidRPr="0055149C">
        <w:rPr>
          <w:lang w:eastAsia="nb-NO"/>
        </w:rPr>
        <w:t xml:space="preserve"> og for «faste eiendommer og anlegg»</w:t>
      </w:r>
      <w:r w:rsidR="00614EE2" w:rsidRPr="0055149C">
        <w:rPr>
          <w:lang w:eastAsia="nb-NO"/>
        </w:rPr>
        <w:t xml:space="preserve"> over regioner</w:t>
      </w:r>
      <w:r w:rsidR="000A4829" w:rsidRPr="0055149C">
        <w:rPr>
          <w:lang w:eastAsia="nb-NO"/>
        </w:rPr>
        <w:t>. Tidsserien går</w:t>
      </w:r>
      <w:r w:rsidR="00614EE2" w:rsidRPr="0055149C">
        <w:rPr>
          <w:lang w:eastAsia="nb-NO"/>
        </w:rPr>
        <w:t xml:space="preserve"> fra 2002 til 202</w:t>
      </w:r>
      <w:r w:rsidR="000A4829" w:rsidRPr="0055149C">
        <w:rPr>
          <w:lang w:eastAsia="nb-NO"/>
        </w:rPr>
        <w:t>2</w:t>
      </w:r>
      <w:r w:rsidR="00614EE2" w:rsidRPr="0055149C">
        <w:rPr>
          <w:lang w:eastAsia="nb-NO"/>
        </w:rPr>
        <w:t>.</w:t>
      </w:r>
    </w:p>
    <w:p w14:paraId="70B0A756" w14:textId="661FEF4B" w:rsidR="001E25C6" w:rsidRPr="0055149C" w:rsidRDefault="00614EE2" w:rsidP="00511210">
      <w:pPr>
        <w:rPr>
          <w:lang w:eastAsia="nb-NO"/>
        </w:rPr>
      </w:pPr>
      <w:r w:rsidRPr="0055149C">
        <w:rPr>
          <w:lang w:eastAsia="nb-NO"/>
        </w:rPr>
        <w:t>B</w:t>
      </w:r>
      <w:r w:rsidR="00014D3F" w:rsidRPr="0055149C">
        <w:rPr>
          <w:lang w:eastAsia="nb-NO"/>
        </w:rPr>
        <w:t>ruttoinvesterings</w:t>
      </w:r>
      <w:r w:rsidR="00677BBC" w:rsidRPr="0055149C">
        <w:rPr>
          <w:lang w:eastAsia="nb-NO"/>
        </w:rPr>
        <w:t xml:space="preserve">deflatorer </w:t>
      </w:r>
      <w:r w:rsidR="006A27D8" w:rsidRPr="0055149C">
        <w:rPr>
          <w:lang w:eastAsia="nb-NO"/>
        </w:rPr>
        <w:t xml:space="preserve">og depresieringsrater </w:t>
      </w:r>
      <w:r w:rsidR="00E97FAE" w:rsidRPr="0055149C">
        <w:rPr>
          <w:lang w:eastAsia="nb-NO"/>
        </w:rPr>
        <w:t xml:space="preserve">over </w:t>
      </w:r>
      <w:r w:rsidR="00014D3F" w:rsidRPr="0055149C">
        <w:rPr>
          <w:lang w:eastAsia="nb-NO"/>
        </w:rPr>
        <w:t>næringer</w:t>
      </w:r>
      <w:r w:rsidR="00C45399" w:rsidRPr="0055149C">
        <w:rPr>
          <w:lang w:eastAsia="nb-NO"/>
        </w:rPr>
        <w:t xml:space="preserve"> </w:t>
      </w:r>
      <w:r w:rsidR="004740DB" w:rsidRPr="0055149C">
        <w:rPr>
          <w:lang w:eastAsia="nb-NO"/>
        </w:rPr>
        <w:t>(</w:t>
      </w:r>
      <w:r w:rsidR="00C45399" w:rsidRPr="0055149C">
        <w:rPr>
          <w:lang w:eastAsia="nb-NO"/>
        </w:rPr>
        <w:t>eller institusjonell sektor</w:t>
      </w:r>
      <w:r w:rsidR="004740DB" w:rsidRPr="0055149C">
        <w:rPr>
          <w:lang w:eastAsia="nb-NO"/>
        </w:rPr>
        <w:t>)</w:t>
      </w:r>
      <w:r w:rsidR="00E97FAE" w:rsidRPr="0055149C">
        <w:rPr>
          <w:lang w:eastAsia="nb-NO"/>
        </w:rPr>
        <w:t xml:space="preserve"> og kapitalarter</w:t>
      </w:r>
      <w:r w:rsidR="008011F1" w:rsidRPr="0055149C">
        <w:rPr>
          <w:lang w:eastAsia="nb-NO"/>
        </w:rPr>
        <w:t xml:space="preserve"> </w:t>
      </w:r>
      <w:r w:rsidRPr="0055149C">
        <w:rPr>
          <w:lang w:eastAsia="nb-NO"/>
        </w:rPr>
        <w:t xml:space="preserve">er hentet ut </w:t>
      </w:r>
      <w:r w:rsidR="00E726D3" w:rsidRPr="0055149C">
        <w:rPr>
          <w:lang w:eastAsia="nb-NO"/>
        </w:rPr>
        <w:t xml:space="preserve">fra </w:t>
      </w:r>
      <w:r w:rsidR="00FB26BB" w:rsidRPr="0055149C">
        <w:rPr>
          <w:b/>
          <w:bCs/>
          <w:color w:val="3672B0" w:themeColor="accent2"/>
          <w:lang w:eastAsia="nb-NO"/>
        </w:rPr>
        <w:t>nasjonalregnska</w:t>
      </w:r>
      <w:r w:rsidR="00570D11" w:rsidRPr="0055149C">
        <w:rPr>
          <w:b/>
          <w:bCs/>
          <w:color w:val="3672B0" w:themeColor="accent2"/>
          <w:lang w:eastAsia="nb-NO"/>
        </w:rPr>
        <w:t>pet</w:t>
      </w:r>
      <w:r w:rsidR="00570D11" w:rsidRPr="0055149C">
        <w:rPr>
          <w:lang w:eastAsia="nb-NO"/>
        </w:rPr>
        <w:t xml:space="preserve"> til</w:t>
      </w:r>
      <w:r w:rsidR="00014D3F" w:rsidRPr="0055149C">
        <w:rPr>
          <w:lang w:eastAsia="nb-NO"/>
        </w:rPr>
        <w:t xml:space="preserve"> </w:t>
      </w:r>
      <w:r w:rsidR="00570D11" w:rsidRPr="0055149C">
        <w:rPr>
          <w:lang w:eastAsia="nb-NO"/>
        </w:rPr>
        <w:t xml:space="preserve">Statistisk sentralbyrå. </w:t>
      </w:r>
      <w:r w:rsidR="006A27D8" w:rsidRPr="0055149C">
        <w:rPr>
          <w:lang w:eastAsia="nb-NO"/>
        </w:rPr>
        <w:t>P</w:t>
      </w:r>
      <w:r w:rsidR="00014D3F" w:rsidRPr="0055149C">
        <w:rPr>
          <w:lang w:eastAsia="nb-NO"/>
        </w:rPr>
        <w:t xml:space="preserve">risindeksene gjenspeiler </w:t>
      </w:r>
      <w:r w:rsidR="004A56CF" w:rsidRPr="0055149C">
        <w:rPr>
          <w:lang w:eastAsia="nb-NO"/>
        </w:rPr>
        <w:t xml:space="preserve">prisutviklingen på ny kapital, som i tråd med standard konvensjon </w:t>
      </w:r>
      <w:r w:rsidR="0075688D">
        <w:rPr>
          <w:lang w:eastAsia="nb-NO"/>
        </w:rPr>
        <w:t xml:space="preserve">også </w:t>
      </w:r>
      <w:r w:rsidR="004A56CF" w:rsidRPr="0055149C">
        <w:rPr>
          <w:lang w:eastAsia="nb-NO"/>
        </w:rPr>
        <w:t xml:space="preserve">forutsettes </w:t>
      </w:r>
      <w:r w:rsidR="00880857" w:rsidRPr="0055149C">
        <w:rPr>
          <w:lang w:eastAsia="nb-NO"/>
        </w:rPr>
        <w:t>å gjenspeile prisutviklingen for gammel kapital</w:t>
      </w:r>
      <w:r w:rsidR="004A56CF" w:rsidRPr="0055149C">
        <w:rPr>
          <w:lang w:eastAsia="nb-NO"/>
        </w:rPr>
        <w:t>.</w:t>
      </w:r>
      <w:r w:rsidR="001E25C6" w:rsidRPr="0055149C">
        <w:rPr>
          <w:lang w:eastAsia="nb-NO"/>
        </w:rPr>
        <w:t xml:space="preserve"> Vi har tatt utgangspunkt i den mest disaggregerte næringsinndelingen som Statistisk sentralbyrå publiserer realkapitaldata over kapitalarter for, som i hovedsak er A64 andre revisjon med enkelte tilfeller av videre disaggregering ved hjelp </w:t>
      </w:r>
      <w:r w:rsidR="00D41DE6">
        <w:rPr>
          <w:lang w:eastAsia="nb-NO"/>
        </w:rPr>
        <w:t>av</w:t>
      </w:r>
      <w:r w:rsidR="00705FB4">
        <w:rPr>
          <w:lang w:eastAsia="nb-NO"/>
        </w:rPr>
        <w:t xml:space="preserve"> </w:t>
      </w:r>
      <w:r w:rsidR="001E25C6" w:rsidRPr="0055149C">
        <w:rPr>
          <w:lang w:eastAsia="nb-NO"/>
        </w:rPr>
        <w:t>Statistisk sentralbyrås hovednæringer andre revisjon. For 2022 er ikke næringsinndelingen A64 andre revisjon tilgjengelig, så vi har isteden benyttet interaksjonen mellom A64 andre revisjon og Statistisk sentralbyrås hovednæringer andre revisjon. Vi finner fram til deflatorene vi er ute etter ved å dividere bruttoinvesteringen i fast realkapital i løpende priser på bruttoinvesteringen i fast realkapital i faste priser med de ønskede avgrensingene av næring (eller institusjonell sektor) og art, der vi har beholdt 2015 som basisår for deflatorene.</w:t>
      </w:r>
    </w:p>
    <w:p w14:paraId="4960F36B" w14:textId="75465B3D" w:rsidR="00C85D32" w:rsidRPr="0055149C" w:rsidRDefault="006A27D8" w:rsidP="00511210">
      <w:pPr>
        <w:rPr>
          <w:lang w:eastAsia="nb-NO"/>
        </w:rPr>
      </w:pPr>
      <w:r w:rsidRPr="0055149C">
        <w:rPr>
          <w:lang w:eastAsia="nb-NO"/>
        </w:rPr>
        <w:t xml:space="preserve">Depresieringsratene er avledet fra Nasjonalregnskapet basert på investeringslikningen benyttet i de tilknyttede PIM-beregningene </w:t>
      </w:r>
      <w:r w:rsidR="001E25C6" w:rsidRPr="0055149C">
        <w:rPr>
          <w:lang w:eastAsia="nb-NO"/>
        </w:rPr>
        <w:t xml:space="preserve">mellom 2006 og 2020 </w:t>
      </w:r>
      <w:r w:rsidRPr="0055149C">
        <w:rPr>
          <w:lang w:eastAsia="nb-NO"/>
        </w:rPr>
        <w:t xml:space="preserve">(se </w:t>
      </w:r>
      <w:r w:rsidR="001E25C6" w:rsidRPr="0055149C">
        <w:rPr>
          <w:lang w:eastAsia="nb-NO"/>
        </w:rPr>
        <w:t xml:space="preserve">den første likningen i </w:t>
      </w:r>
      <w:r w:rsidR="00CF3F5B" w:rsidRPr="0055149C">
        <w:rPr>
          <w:highlight w:val="yellow"/>
          <w:lang w:eastAsia="nb-NO"/>
        </w:rPr>
        <w:fldChar w:fldCharType="begin"/>
      </w:r>
      <w:r w:rsidR="00CF3F5B" w:rsidRPr="0055149C">
        <w:rPr>
          <w:lang w:eastAsia="nb-NO"/>
        </w:rPr>
        <w:instrText xml:space="preserve"> REF _Ref176538243 \h </w:instrText>
      </w:r>
      <w:r w:rsidR="00CF3F5B" w:rsidRPr="0055149C">
        <w:rPr>
          <w:highlight w:val="yellow"/>
          <w:lang w:eastAsia="nb-NO"/>
        </w:rPr>
      </w:r>
      <w:r w:rsidR="00CF3F5B" w:rsidRPr="0055149C">
        <w:rPr>
          <w:highlight w:val="yellow"/>
          <w:lang w:eastAsia="nb-NO"/>
        </w:rPr>
        <w:fldChar w:fldCharType="separate"/>
      </w:r>
      <w:r w:rsidR="009B1DA8" w:rsidRPr="0055149C">
        <w:t xml:space="preserve">Tekstboks </w:t>
      </w:r>
      <w:r w:rsidR="009B1DA8">
        <w:rPr>
          <w:noProof/>
        </w:rPr>
        <w:t>3</w:t>
      </w:r>
      <w:r w:rsidR="009B1DA8" w:rsidRPr="0055149C">
        <w:t>.</w:t>
      </w:r>
      <w:r w:rsidR="009B1DA8">
        <w:rPr>
          <w:noProof/>
        </w:rPr>
        <w:t>1</w:t>
      </w:r>
      <w:r w:rsidR="00CF3F5B" w:rsidRPr="0055149C">
        <w:rPr>
          <w:highlight w:val="yellow"/>
          <w:lang w:eastAsia="nb-NO"/>
        </w:rPr>
        <w:fldChar w:fldCharType="end"/>
      </w:r>
      <w:r w:rsidR="001E25C6" w:rsidRPr="0055149C">
        <w:rPr>
          <w:lang w:eastAsia="nb-NO"/>
        </w:rPr>
        <w:t>).</w:t>
      </w:r>
      <w:r w:rsidR="00244363" w:rsidRPr="0055149C">
        <w:rPr>
          <w:lang w:eastAsia="nb-NO"/>
        </w:rPr>
        <w:t xml:space="preserve"> </w:t>
      </w:r>
      <w:r w:rsidR="00EC1222" w:rsidRPr="0055149C">
        <w:rPr>
          <w:lang w:eastAsia="nb-NO"/>
        </w:rPr>
        <w:t xml:space="preserve">Sammen med depresieringene og kapitalsammensetningen i </w:t>
      </w:r>
      <w:r w:rsidR="008E7E43">
        <w:rPr>
          <w:lang w:eastAsia="nb-NO"/>
        </w:rPr>
        <w:t>KOSTRA</w:t>
      </w:r>
      <w:r w:rsidR="00EC1222" w:rsidRPr="0055149C">
        <w:rPr>
          <w:lang w:eastAsia="nb-NO"/>
        </w:rPr>
        <w:t xml:space="preserve">, samt forutsetninger om </w:t>
      </w:r>
      <w:r w:rsidR="00244363" w:rsidRPr="0055149C">
        <w:rPr>
          <w:lang w:eastAsia="nb-NO"/>
        </w:rPr>
        <w:t>tomteandeler</w:t>
      </w:r>
      <w:r w:rsidR="00EC1222" w:rsidRPr="0055149C">
        <w:rPr>
          <w:lang w:eastAsia="nb-NO"/>
        </w:rPr>
        <w:t>,</w:t>
      </w:r>
      <w:r w:rsidR="00244363" w:rsidRPr="0055149C">
        <w:rPr>
          <w:lang w:eastAsia="nb-NO"/>
        </w:rPr>
        <w:t xml:space="preserve"> danner dette datagrunnlaget for anslag av depresieringsrater over kapitalarter og kommunale funksjoner. Vi kommer tilbake til hvordan vi har gjort dette i praksis i seksjon </w:t>
      </w:r>
      <w:r w:rsidR="00244363" w:rsidRPr="0055149C">
        <w:rPr>
          <w:lang w:eastAsia="nb-NO"/>
        </w:rPr>
        <w:fldChar w:fldCharType="begin"/>
      </w:r>
      <w:r w:rsidR="00244363" w:rsidRPr="0055149C">
        <w:rPr>
          <w:lang w:eastAsia="nb-NO"/>
        </w:rPr>
        <w:instrText xml:space="preserve"> REF _Ref174721107 \r \h </w:instrText>
      </w:r>
      <w:r w:rsidR="00244363" w:rsidRPr="0055149C">
        <w:rPr>
          <w:lang w:eastAsia="nb-NO"/>
        </w:rPr>
      </w:r>
      <w:r w:rsidR="00244363" w:rsidRPr="0055149C">
        <w:rPr>
          <w:lang w:eastAsia="nb-NO"/>
        </w:rPr>
        <w:fldChar w:fldCharType="separate"/>
      </w:r>
      <w:r w:rsidR="009B1DA8">
        <w:rPr>
          <w:lang w:eastAsia="nb-NO"/>
        </w:rPr>
        <w:t>4.1.1</w:t>
      </w:r>
      <w:r w:rsidR="00244363" w:rsidRPr="0055149C">
        <w:rPr>
          <w:lang w:eastAsia="nb-NO"/>
        </w:rPr>
        <w:fldChar w:fldCharType="end"/>
      </w:r>
      <w:r w:rsidR="00244363" w:rsidRPr="0055149C">
        <w:rPr>
          <w:lang w:eastAsia="nb-NO"/>
        </w:rPr>
        <w:t>.</w:t>
      </w:r>
    </w:p>
    <w:p w14:paraId="3BB3BF60" w14:textId="1304629D" w:rsidR="00720DD3" w:rsidRPr="0055149C" w:rsidRDefault="008125BC" w:rsidP="00B42394">
      <w:pPr>
        <w:rPr>
          <w:lang w:eastAsia="nb-NO"/>
        </w:rPr>
      </w:pPr>
      <w:r w:rsidRPr="0055149C">
        <w:rPr>
          <w:lang w:eastAsia="nb-NO"/>
        </w:rPr>
        <w:t xml:space="preserve">Inndelingen i kapitalformer i nasjonalregnskapet stemmer godt overens med kapitalinndelingen i </w:t>
      </w:r>
      <w:r w:rsidR="008E7E43">
        <w:rPr>
          <w:lang w:eastAsia="nb-NO"/>
        </w:rPr>
        <w:t>KOSTRA</w:t>
      </w:r>
      <w:r w:rsidR="00803BE4">
        <w:rPr>
          <w:lang w:eastAsia="nb-NO"/>
        </w:rPr>
        <w:t xml:space="preserve"> i den forstand</w:t>
      </w:r>
      <w:r w:rsidRPr="0055149C">
        <w:rPr>
          <w:lang w:eastAsia="nb-NO"/>
        </w:rPr>
        <w:t xml:space="preserve"> at</w:t>
      </w:r>
      <w:r w:rsidR="00803BE4">
        <w:rPr>
          <w:lang w:eastAsia="nb-NO"/>
        </w:rPr>
        <w:t xml:space="preserve"> nasjonalregnskapskategoriene</w:t>
      </w:r>
      <w:r w:rsidRPr="0055149C">
        <w:rPr>
          <w:lang w:eastAsia="nb-NO"/>
        </w:rPr>
        <w:t xml:space="preserve"> i hovedsak kan sorteres inn under </w:t>
      </w:r>
      <w:r w:rsidR="008E7E43">
        <w:rPr>
          <w:lang w:eastAsia="nb-NO"/>
        </w:rPr>
        <w:t>KOSTRA</w:t>
      </w:r>
      <w:r w:rsidR="00803BE4">
        <w:rPr>
          <w:lang w:eastAsia="nb-NO"/>
        </w:rPr>
        <w:t>-</w:t>
      </w:r>
      <w:r w:rsidRPr="0055149C">
        <w:rPr>
          <w:lang w:eastAsia="nb-NO"/>
        </w:rPr>
        <w:t>kategoriene. Dermed kan man også enkelt avlede deflatorer fra nasjonalregnskapet</w:t>
      </w:r>
      <w:r w:rsidR="004D24DE">
        <w:rPr>
          <w:lang w:eastAsia="nb-NO"/>
        </w:rPr>
        <w:t>,</w:t>
      </w:r>
      <w:r w:rsidRPr="0055149C">
        <w:rPr>
          <w:lang w:eastAsia="nb-NO"/>
        </w:rPr>
        <w:t xml:space="preserve"> som passer til kapitalformene i </w:t>
      </w:r>
      <w:r w:rsidR="008E7E43">
        <w:rPr>
          <w:lang w:eastAsia="nb-NO"/>
        </w:rPr>
        <w:t>KOSTRA</w:t>
      </w:r>
      <w:r w:rsidRPr="0055149C">
        <w:rPr>
          <w:lang w:eastAsia="nb-NO"/>
        </w:rPr>
        <w:t>. Det gjør man ved å ta forholdstallet mellom tilsvarende kapitalaggregat i løpende og faste priser i nasjonalregnskapet. Unntaket er bygg- og anleggsdeflatoren, som ikke</w:t>
      </w:r>
      <w:r w:rsidR="003302AF">
        <w:rPr>
          <w:lang w:eastAsia="nb-NO"/>
        </w:rPr>
        <w:t xml:space="preserve"> </w:t>
      </w:r>
      <w:r w:rsidRPr="0055149C">
        <w:rPr>
          <w:lang w:eastAsia="nb-NO"/>
        </w:rPr>
        <w:t xml:space="preserve">dekker </w:t>
      </w:r>
      <w:r w:rsidR="00493750">
        <w:rPr>
          <w:lang w:eastAsia="nb-NO"/>
        </w:rPr>
        <w:t xml:space="preserve">tomtekomponenten i </w:t>
      </w:r>
      <w:r w:rsidRPr="0055149C">
        <w:rPr>
          <w:lang w:eastAsia="nb-NO"/>
        </w:rPr>
        <w:t>eiendom</w:t>
      </w:r>
      <w:r w:rsidR="00493750">
        <w:rPr>
          <w:lang w:eastAsia="nb-NO"/>
        </w:rPr>
        <w:t>sverdien</w:t>
      </w:r>
      <w:r w:rsidRPr="0055149C">
        <w:rPr>
          <w:lang w:eastAsia="nb-NO"/>
        </w:rPr>
        <w:t>.</w:t>
      </w:r>
      <w:r w:rsidR="00307325" w:rsidRPr="0055149C">
        <w:rPr>
          <w:lang w:eastAsia="nb-NO"/>
        </w:rPr>
        <w:t xml:space="preserve"> </w:t>
      </w:r>
      <w:r w:rsidR="00564176" w:rsidRPr="0055149C">
        <w:rPr>
          <w:lang w:eastAsia="nb-NO"/>
        </w:rPr>
        <w:t xml:space="preserve">For </w:t>
      </w:r>
      <w:r w:rsidR="008E7E43">
        <w:rPr>
          <w:lang w:eastAsia="nb-NO"/>
        </w:rPr>
        <w:t>KOSTRA</w:t>
      </w:r>
      <w:r w:rsidR="00564176" w:rsidRPr="0055149C">
        <w:rPr>
          <w:lang w:eastAsia="nb-NO"/>
        </w:rPr>
        <w:t>-kategorien «</w:t>
      </w:r>
      <w:r w:rsidR="000A4F1C" w:rsidRPr="0055149C">
        <w:rPr>
          <w:lang w:eastAsia="nb-NO"/>
        </w:rPr>
        <w:t>Utstyr, maskiner og transportmidler</w:t>
      </w:r>
      <w:r w:rsidR="00564176" w:rsidRPr="0055149C">
        <w:rPr>
          <w:lang w:eastAsia="nb-NO"/>
        </w:rPr>
        <w:t xml:space="preserve">» </w:t>
      </w:r>
      <w:r w:rsidR="006016B9" w:rsidRPr="0055149C">
        <w:rPr>
          <w:lang w:eastAsia="nb-NO"/>
        </w:rPr>
        <w:t>lar</w:t>
      </w:r>
      <w:r w:rsidR="00564176" w:rsidRPr="0055149C">
        <w:rPr>
          <w:lang w:eastAsia="nb-NO"/>
        </w:rPr>
        <w:t xml:space="preserve"> vi</w:t>
      </w:r>
      <w:r w:rsidR="00C345F7" w:rsidRPr="0055149C">
        <w:rPr>
          <w:lang w:eastAsia="nb-NO"/>
        </w:rPr>
        <w:t xml:space="preserve"> kapitalartene «</w:t>
      </w:r>
      <w:r w:rsidR="00DE1CE8" w:rsidRPr="0055149C">
        <w:rPr>
          <w:lang w:eastAsia="nb-NO"/>
        </w:rPr>
        <w:t>M</w:t>
      </w:r>
      <w:r w:rsidR="00C345F7" w:rsidRPr="0055149C">
        <w:rPr>
          <w:lang w:eastAsia="nb-NO"/>
        </w:rPr>
        <w:t>askiner og utstyr», «</w:t>
      </w:r>
      <w:r w:rsidR="00DE1CE8" w:rsidRPr="0055149C">
        <w:rPr>
          <w:lang w:eastAsia="nb-NO"/>
        </w:rPr>
        <w:t>S</w:t>
      </w:r>
      <w:r w:rsidR="00900FF4" w:rsidRPr="0055149C">
        <w:rPr>
          <w:lang w:eastAsia="nb-NO"/>
        </w:rPr>
        <w:t>kip og båter</w:t>
      </w:r>
      <w:r w:rsidR="00C345F7" w:rsidRPr="0055149C">
        <w:rPr>
          <w:lang w:eastAsia="nb-NO"/>
        </w:rPr>
        <w:t xml:space="preserve">» og </w:t>
      </w:r>
      <w:r w:rsidR="006016B9" w:rsidRPr="0055149C">
        <w:rPr>
          <w:lang w:eastAsia="nb-NO"/>
        </w:rPr>
        <w:t>«</w:t>
      </w:r>
      <w:r w:rsidR="00DE1CE8" w:rsidRPr="0055149C">
        <w:rPr>
          <w:lang w:eastAsia="nb-NO"/>
        </w:rPr>
        <w:t>T</w:t>
      </w:r>
      <w:r w:rsidR="00C345F7" w:rsidRPr="0055149C">
        <w:rPr>
          <w:lang w:eastAsia="nb-NO"/>
        </w:rPr>
        <w:t>ransportmidler ellers</w:t>
      </w:r>
      <w:r w:rsidR="006016B9" w:rsidRPr="0055149C">
        <w:rPr>
          <w:lang w:eastAsia="nb-NO"/>
        </w:rPr>
        <w:t>»</w:t>
      </w:r>
      <w:r w:rsidR="00DE1CE8" w:rsidRPr="0055149C">
        <w:rPr>
          <w:lang w:eastAsia="nb-NO"/>
        </w:rPr>
        <w:t xml:space="preserve"> i </w:t>
      </w:r>
      <w:r w:rsidR="005B31F3" w:rsidRPr="0055149C">
        <w:rPr>
          <w:lang w:eastAsia="nb-NO"/>
        </w:rPr>
        <w:t>nasjonalregnskap</w:t>
      </w:r>
      <w:r w:rsidR="00DE1CE8" w:rsidRPr="0055149C">
        <w:rPr>
          <w:lang w:eastAsia="nb-NO"/>
        </w:rPr>
        <w:t>et beskrive prisutviklingen</w:t>
      </w:r>
      <w:r w:rsidR="00EB76BD" w:rsidRPr="0055149C">
        <w:rPr>
          <w:lang w:eastAsia="nb-NO"/>
        </w:rPr>
        <w:t xml:space="preserve">. </w:t>
      </w:r>
      <w:r w:rsidR="00DE1CE8" w:rsidRPr="0055149C">
        <w:rPr>
          <w:lang w:eastAsia="nb-NO"/>
        </w:rPr>
        <w:t xml:space="preserve">For </w:t>
      </w:r>
      <w:r w:rsidR="008E7E43">
        <w:rPr>
          <w:lang w:eastAsia="nb-NO"/>
        </w:rPr>
        <w:t>KOSTRA</w:t>
      </w:r>
      <w:r w:rsidR="00D41DE6">
        <w:rPr>
          <w:lang w:eastAsia="nb-NO"/>
        </w:rPr>
        <w:t>-</w:t>
      </w:r>
      <w:r w:rsidR="00DE1CE8" w:rsidRPr="0055149C">
        <w:rPr>
          <w:lang w:eastAsia="nb-NO"/>
        </w:rPr>
        <w:lastRenderedPageBreak/>
        <w:t>kategorien «Immaterielle eiendeler»</w:t>
      </w:r>
      <w:r w:rsidR="00B1298A" w:rsidRPr="0055149C">
        <w:rPr>
          <w:lang w:eastAsia="nb-NO"/>
        </w:rPr>
        <w:t xml:space="preserve"> lar vi </w:t>
      </w:r>
      <w:r w:rsidR="00EB76BD" w:rsidRPr="0055149C">
        <w:rPr>
          <w:lang w:eastAsia="nb-NO"/>
        </w:rPr>
        <w:t xml:space="preserve">kapitalartene </w:t>
      </w:r>
      <w:r w:rsidR="00B1298A" w:rsidRPr="0055149C">
        <w:rPr>
          <w:lang w:eastAsia="nb-NO"/>
        </w:rPr>
        <w:t>«F</w:t>
      </w:r>
      <w:r w:rsidR="004B03E3">
        <w:rPr>
          <w:lang w:eastAsia="nb-NO"/>
        </w:rPr>
        <w:t>o</w:t>
      </w:r>
      <w:r w:rsidR="00B1298A" w:rsidRPr="0055149C">
        <w:rPr>
          <w:lang w:eastAsia="nb-NO"/>
        </w:rPr>
        <w:t>U og annen immateriell realkapital»</w:t>
      </w:r>
      <w:r w:rsidR="00EB76BD" w:rsidRPr="0055149C">
        <w:rPr>
          <w:lang w:eastAsia="nb-NO"/>
        </w:rPr>
        <w:t xml:space="preserve"> i </w:t>
      </w:r>
      <w:r w:rsidR="005B31F3" w:rsidRPr="0055149C">
        <w:rPr>
          <w:lang w:eastAsia="nb-NO"/>
        </w:rPr>
        <w:t>nasjonalregnskap</w:t>
      </w:r>
      <w:r w:rsidR="00EB76BD" w:rsidRPr="0055149C">
        <w:rPr>
          <w:lang w:eastAsia="nb-NO"/>
        </w:rPr>
        <w:t>et beskrive prisutviklingen.</w:t>
      </w:r>
    </w:p>
    <w:p w14:paraId="19A7C205" w14:textId="0F61BDF4" w:rsidR="00E14907" w:rsidRDefault="009D3E88" w:rsidP="00B42394">
      <w:r w:rsidRPr="0055149C">
        <w:rPr>
          <w:lang w:eastAsia="nb-NO"/>
        </w:rPr>
        <w:t xml:space="preserve">For </w:t>
      </w:r>
      <w:r w:rsidR="008E7E43">
        <w:rPr>
          <w:lang w:eastAsia="nb-NO"/>
        </w:rPr>
        <w:t>KOSTRA</w:t>
      </w:r>
      <w:r w:rsidRPr="0055149C">
        <w:rPr>
          <w:lang w:eastAsia="nb-NO"/>
        </w:rPr>
        <w:t>-kategorien «faste eiendommer og anlegg» finner vi imidlertid prisutviklingen for nasjonalregnskapets kapitalart «</w:t>
      </w:r>
      <w:r w:rsidR="00D33C13">
        <w:rPr>
          <w:lang w:eastAsia="nb-NO"/>
        </w:rPr>
        <w:t>b</w:t>
      </w:r>
      <w:r w:rsidRPr="0055149C">
        <w:rPr>
          <w:lang w:eastAsia="nb-NO"/>
        </w:rPr>
        <w:t>ygg og anlegg» mindre egnet til å beskrive utviklingen. Grunnen er at denne deflatoren ikke innbefatter prisutviklingen knyttet til tomter. Sammenlikner man bruttoinvesteringsdeflatoren for «bygg og anlegg» med prisindekser for eiendomspriser, blir det også klart at de sistnevnte tenderer til å ha en mer aggressiv prisutvikling. Med andre ord tenderer tomteprisene til å øke mer enn prisene knyttet til bruttoinvesteringene i bygg og anlegg. I tillegg har eiendomsprisene gjennom tomteelementet en geografisk dimensjon</w:t>
      </w:r>
      <w:r w:rsidR="004D24DE">
        <w:rPr>
          <w:lang w:eastAsia="nb-NO"/>
        </w:rPr>
        <w:t>,</w:t>
      </w:r>
      <w:r w:rsidRPr="0055149C">
        <w:rPr>
          <w:lang w:eastAsia="nb-NO"/>
        </w:rPr>
        <w:t xml:space="preserve"> som ikke behandles i nasjonalregnskapet. Nasjonalregnskapets deflatorer for bygg og anlegg tar hensyn til nærings- og sektorheterogeniteten i kapitalmassen, men nærings- og sektordimensjonen er mindre viktige for prisutviklingen enn den geografiske dimensjonen.</w:t>
      </w:r>
      <w:r w:rsidR="00E14907">
        <w:rPr>
          <w:lang w:eastAsia="nb-NO"/>
        </w:rPr>
        <w:t xml:space="preserve"> </w:t>
      </w:r>
      <w:r w:rsidR="00E14907" w:rsidRPr="007A1106">
        <w:t>Bruken av eiendomspriser gjør</w:t>
      </w:r>
      <w:r w:rsidR="00E14907">
        <w:t xml:space="preserve"> ventelig</w:t>
      </w:r>
      <w:r w:rsidR="00E14907" w:rsidRPr="007A1106">
        <w:t xml:space="preserve"> målingen av kapitalbeholdningen mer </w:t>
      </w:r>
      <w:r w:rsidR="00E14907">
        <w:t>presis. Det</w:t>
      </w:r>
      <w:r w:rsidR="00E14907" w:rsidRPr="007A1106">
        <w:t xml:space="preserve"> kan </w:t>
      </w:r>
      <w:r w:rsidR="00E14907">
        <w:t xml:space="preserve">imidlertid </w:t>
      </w:r>
      <w:r w:rsidR="00E14907" w:rsidRPr="007A1106">
        <w:t>også anses som mindre egnet for deflatering av kapitalslitet sammenli</w:t>
      </w:r>
      <w:r w:rsidR="00E14907">
        <w:t>kn</w:t>
      </w:r>
      <w:r w:rsidR="00E14907" w:rsidRPr="007A1106">
        <w:t>et med en bygg- og anleggsindeks, siden det er bygg- og anleggskomponenten i eiendommer</w:t>
      </w:r>
      <w:r w:rsidR="00343A58">
        <w:t>,</w:t>
      </w:r>
      <w:r w:rsidR="00E14907" w:rsidRPr="007A1106">
        <w:t xml:space="preserve"> som </w:t>
      </w:r>
      <w:r w:rsidR="00E14907">
        <w:t>depresierer og ikke tomten</w:t>
      </w:r>
      <w:r w:rsidR="00E14907" w:rsidRPr="007A1106">
        <w:t>.</w:t>
      </w:r>
      <w:r w:rsidR="00E14907">
        <w:t xml:space="preserve"> I praksis vil denne problematikken være belyses gjennom robusthetsjekker knyttet til nivåene på deflatorene.</w:t>
      </w:r>
    </w:p>
    <w:p w14:paraId="70D54869" w14:textId="6C657944" w:rsidR="00F600DE" w:rsidRPr="0055149C" w:rsidRDefault="00F600DE" w:rsidP="00B42394">
      <w:pPr>
        <w:rPr>
          <w:lang w:eastAsia="nb-NO"/>
        </w:rPr>
      </w:pPr>
      <w:r w:rsidRPr="0055149C">
        <w:rPr>
          <w:lang w:eastAsia="nb-NO"/>
        </w:rPr>
        <w:t xml:space="preserve">Statistisk sentralbyrå rapporterer samlede kapitaldeflatorer for kommunal sektor per kapitalform i nasjonalregnskapet. Dette er imidlertid en komposittdeflator, så det vil være mer relevant å bruke relevante næringsdeflatorer. For å kunne benytte oss av deflatorene på kommunedataene har vi hatt behov for å anslå samsvaret mellom næringene i nasjonalregnskapet og funksjonene i </w:t>
      </w:r>
      <w:r>
        <w:rPr>
          <w:lang w:eastAsia="nb-NO"/>
        </w:rPr>
        <w:t>KOSTRA</w:t>
      </w:r>
      <w:r w:rsidRPr="0055149C">
        <w:rPr>
          <w:lang w:eastAsia="nb-NO"/>
        </w:rPr>
        <w:t xml:space="preserve">. </w:t>
      </w:r>
      <w:r>
        <w:rPr>
          <w:lang w:eastAsia="nb-NO"/>
        </w:rPr>
        <w:t>Vi anvender</w:t>
      </w:r>
      <w:r w:rsidRPr="0055149C">
        <w:rPr>
          <w:lang w:eastAsia="nb-NO"/>
        </w:rPr>
        <w:t xml:space="preserve"> den mest disaggregerte versjonen av nasjonalregnskapet over næringer som er offentlig tilgjengelig (</w:t>
      </w:r>
      <w:r>
        <w:rPr>
          <w:lang w:eastAsia="nb-NO"/>
        </w:rPr>
        <w:t xml:space="preserve">det vil si </w:t>
      </w:r>
      <w:r w:rsidRPr="0055149C">
        <w:rPr>
          <w:lang w:eastAsia="nb-NO"/>
        </w:rPr>
        <w:t>interaksjonen mellom</w:t>
      </w:r>
      <w:r>
        <w:rPr>
          <w:lang w:eastAsia="nb-NO"/>
        </w:rPr>
        <w:t xml:space="preserve"> næringene i</w:t>
      </w:r>
      <w:r w:rsidRPr="0055149C">
        <w:rPr>
          <w:lang w:eastAsia="nb-NO"/>
        </w:rPr>
        <w:t xml:space="preserve"> A64</w:t>
      </w:r>
      <w:r>
        <w:rPr>
          <w:lang w:eastAsia="nb-NO"/>
        </w:rPr>
        <w:t xml:space="preserve"> andre revisjon</w:t>
      </w:r>
      <w:r w:rsidRPr="0055149C">
        <w:rPr>
          <w:lang w:eastAsia="nb-NO"/>
        </w:rPr>
        <w:t xml:space="preserve"> og </w:t>
      </w:r>
      <w:r>
        <w:rPr>
          <w:lang w:eastAsia="nb-NO"/>
        </w:rPr>
        <w:t xml:space="preserve">i </w:t>
      </w:r>
      <w:r w:rsidRPr="0055149C">
        <w:rPr>
          <w:lang w:eastAsia="nb-NO"/>
        </w:rPr>
        <w:t>hovednæringer andre revisjon</w:t>
      </w:r>
      <w:r>
        <w:rPr>
          <w:lang w:eastAsia="nb-NO"/>
        </w:rPr>
        <w:t>)</w:t>
      </w:r>
      <w:r w:rsidRPr="0055149C">
        <w:rPr>
          <w:lang w:eastAsia="nb-NO"/>
        </w:rPr>
        <w:t xml:space="preserve">. Den samme næringsinndelingen vil også </w:t>
      </w:r>
      <w:r w:rsidR="00D33C13">
        <w:rPr>
          <w:lang w:eastAsia="nb-NO"/>
        </w:rPr>
        <w:t>komme til anvendelse</w:t>
      </w:r>
      <w:r w:rsidRPr="0055149C">
        <w:rPr>
          <w:lang w:eastAsia="nb-NO"/>
        </w:rPr>
        <w:t xml:space="preserve"> </w:t>
      </w:r>
      <w:r w:rsidR="00D33C13">
        <w:rPr>
          <w:lang w:eastAsia="nb-NO"/>
        </w:rPr>
        <w:t>i</w:t>
      </w:r>
      <w:r w:rsidRPr="0055149C">
        <w:rPr>
          <w:lang w:eastAsia="nb-NO"/>
        </w:rPr>
        <w:t xml:space="preserve"> den nevnte avledningen av depresieringsrater. Vi har rapportert korrespondansen mellom nasjonalregnskapsnæringer og </w:t>
      </w:r>
      <w:r>
        <w:rPr>
          <w:lang w:eastAsia="nb-NO"/>
        </w:rPr>
        <w:t>KOSTRA</w:t>
      </w:r>
      <w:r w:rsidRPr="0055149C">
        <w:rPr>
          <w:lang w:eastAsia="nb-NO"/>
        </w:rPr>
        <w:t xml:space="preserve">-funksjonene i </w:t>
      </w:r>
      <w:r w:rsidRPr="0055149C">
        <w:rPr>
          <w:lang w:eastAsia="nb-NO"/>
        </w:rPr>
        <w:fldChar w:fldCharType="begin"/>
      </w:r>
      <w:r w:rsidRPr="0055149C">
        <w:rPr>
          <w:lang w:eastAsia="nb-NO"/>
        </w:rPr>
        <w:instrText xml:space="preserve"> REF _Ref176551918 \h </w:instrText>
      </w:r>
      <w:r w:rsidRPr="0055149C">
        <w:rPr>
          <w:lang w:eastAsia="nb-NO"/>
        </w:rPr>
      </w:r>
      <w:r w:rsidRPr="0055149C">
        <w:rPr>
          <w:lang w:eastAsia="nb-NO"/>
        </w:rPr>
        <w:fldChar w:fldCharType="separate"/>
      </w:r>
      <w:r w:rsidR="009B1DA8" w:rsidRPr="0055149C">
        <w:t xml:space="preserve">Tabell </w:t>
      </w:r>
      <w:r w:rsidR="009B1DA8">
        <w:rPr>
          <w:noProof/>
        </w:rPr>
        <w:t>3</w:t>
      </w:r>
      <w:r w:rsidR="009B1DA8" w:rsidRPr="0055149C">
        <w:t>.</w:t>
      </w:r>
      <w:r w:rsidR="009B1DA8">
        <w:rPr>
          <w:noProof/>
        </w:rPr>
        <w:t>2</w:t>
      </w:r>
      <w:r w:rsidRPr="0055149C">
        <w:rPr>
          <w:lang w:eastAsia="nb-NO"/>
        </w:rPr>
        <w:fldChar w:fldCharType="end"/>
      </w:r>
      <w:r w:rsidRPr="0055149C">
        <w:rPr>
          <w:lang w:eastAsia="nb-NO"/>
        </w:rPr>
        <w:t>.</w:t>
      </w:r>
      <w:r w:rsidRPr="0055149C">
        <w:rPr>
          <w:rStyle w:val="Fotnotereferanse"/>
          <w:lang w:eastAsia="nb-NO"/>
        </w:rPr>
        <w:footnoteReference w:id="18"/>
      </w:r>
    </w:p>
    <w:p w14:paraId="7F35F52D" w14:textId="3A5FC246" w:rsidR="00FA1B19" w:rsidRDefault="002304AE" w:rsidP="00FA1B19">
      <w:pPr>
        <w:rPr>
          <w:lang w:eastAsia="nb-NO"/>
        </w:rPr>
      </w:pPr>
      <w:r>
        <w:rPr>
          <w:lang w:eastAsia="nb-NO"/>
        </w:rPr>
        <w:t>Generelt er d</w:t>
      </w:r>
      <w:r w:rsidR="008125BC" w:rsidRPr="0055149C">
        <w:rPr>
          <w:lang w:eastAsia="nb-NO"/>
        </w:rPr>
        <w:t>e regionale forskjelle</w:t>
      </w:r>
      <w:r w:rsidR="00C46D91">
        <w:rPr>
          <w:lang w:eastAsia="nb-NO"/>
        </w:rPr>
        <w:t>ne</w:t>
      </w:r>
      <w:r w:rsidR="008125BC" w:rsidRPr="0055149C">
        <w:rPr>
          <w:lang w:eastAsia="nb-NO"/>
        </w:rPr>
        <w:t xml:space="preserve"> i eiendomsprisutviklinge</w:t>
      </w:r>
      <w:r>
        <w:rPr>
          <w:lang w:eastAsia="nb-NO"/>
        </w:rPr>
        <w:t>n viktig</w:t>
      </w:r>
      <w:r w:rsidR="008125BC" w:rsidRPr="0055149C">
        <w:rPr>
          <w:lang w:eastAsia="nb-NO"/>
        </w:rPr>
        <w:t xml:space="preserve"> for kommunal sektor og fortjener derfor mer oppmerksomhet.</w:t>
      </w:r>
      <w:bookmarkStart w:id="68" w:name="_Hlk160016895"/>
      <w:r>
        <w:rPr>
          <w:lang w:eastAsia="nb-NO"/>
        </w:rPr>
        <w:t xml:space="preserve"> </w:t>
      </w:r>
      <w:r w:rsidR="00153C00" w:rsidRPr="0055149C">
        <w:rPr>
          <w:lang w:eastAsia="nb-NO"/>
        </w:rPr>
        <w:t xml:space="preserve">Følgelig har vi isteden </w:t>
      </w:r>
      <w:r w:rsidR="00052BBA">
        <w:rPr>
          <w:lang w:eastAsia="nb-NO"/>
        </w:rPr>
        <w:t>tatt utgangspunkt i</w:t>
      </w:r>
      <w:r w:rsidR="00153C00" w:rsidRPr="0055149C">
        <w:rPr>
          <w:lang w:eastAsia="nb-NO"/>
        </w:rPr>
        <w:t xml:space="preserve"> </w:t>
      </w:r>
      <w:r w:rsidR="004B18B7" w:rsidRPr="0055149C">
        <w:rPr>
          <w:lang w:eastAsia="nb-NO"/>
        </w:rPr>
        <w:t>boligprisindeks</w:t>
      </w:r>
      <w:r w:rsidR="00570D11" w:rsidRPr="0055149C">
        <w:rPr>
          <w:lang w:eastAsia="nb-NO"/>
        </w:rPr>
        <w:t xml:space="preserve">en fra Statistisk sentralbyrås </w:t>
      </w:r>
      <w:r w:rsidR="00570D11" w:rsidRPr="0055149C">
        <w:rPr>
          <w:b/>
          <w:bCs/>
          <w:color w:val="3672B0" w:themeColor="accent2"/>
          <w:lang w:eastAsia="nb-NO"/>
        </w:rPr>
        <w:t>eiendomsprisstatistikk</w:t>
      </w:r>
      <w:r w:rsidR="004B18B7" w:rsidRPr="0055149C">
        <w:rPr>
          <w:color w:val="3672B0" w:themeColor="accent2"/>
          <w:lang w:eastAsia="nb-NO"/>
        </w:rPr>
        <w:t xml:space="preserve"> </w:t>
      </w:r>
      <w:r w:rsidR="004B18B7" w:rsidRPr="0055149C">
        <w:rPr>
          <w:lang w:eastAsia="nb-NO"/>
        </w:rPr>
        <w:t>som deflator for «faste eiendommer og anlegg»</w:t>
      </w:r>
      <w:r w:rsidR="009B17E7" w:rsidRPr="0055149C">
        <w:rPr>
          <w:lang w:eastAsia="nb-NO"/>
        </w:rPr>
        <w:t xml:space="preserve">. </w:t>
      </w:r>
      <w:r w:rsidR="00090395" w:rsidRPr="0055149C">
        <w:rPr>
          <w:lang w:eastAsia="nb-NO"/>
        </w:rPr>
        <w:t>Disse indeksene</w:t>
      </w:r>
      <w:r w:rsidR="00523842" w:rsidRPr="0055149C">
        <w:rPr>
          <w:lang w:eastAsia="nb-NO"/>
        </w:rPr>
        <w:t xml:space="preserve"> </w:t>
      </w:r>
      <w:r w:rsidR="00FA622B" w:rsidRPr="0055149C">
        <w:rPr>
          <w:lang w:eastAsia="nb-NO"/>
        </w:rPr>
        <w:t xml:space="preserve">skiller mellom elleve geografiske områder. De </w:t>
      </w:r>
      <w:r w:rsidR="00090395" w:rsidRPr="0055149C">
        <w:rPr>
          <w:lang w:eastAsia="nb-NO"/>
        </w:rPr>
        <w:t>inkluderer egne indekser for storbyene –</w:t>
      </w:r>
      <w:bookmarkEnd w:id="68"/>
      <w:r w:rsidR="00AF171B">
        <w:rPr>
          <w:lang w:eastAsia="nb-NO"/>
        </w:rPr>
        <w:t xml:space="preserve"> </w:t>
      </w:r>
      <w:r w:rsidR="004B18B7" w:rsidRPr="0055149C">
        <w:rPr>
          <w:lang w:eastAsia="nb-NO"/>
        </w:rPr>
        <w:t>Oslo og Bærum</w:t>
      </w:r>
      <w:r w:rsidR="00090395" w:rsidRPr="0055149C">
        <w:rPr>
          <w:lang w:eastAsia="nb-NO"/>
        </w:rPr>
        <w:t xml:space="preserve">, </w:t>
      </w:r>
      <w:r w:rsidR="004B18B7" w:rsidRPr="0055149C">
        <w:rPr>
          <w:lang w:eastAsia="nb-NO"/>
        </w:rPr>
        <w:t>Stavanger</w:t>
      </w:r>
      <w:r w:rsidR="00090395" w:rsidRPr="0055149C">
        <w:rPr>
          <w:lang w:eastAsia="nb-NO"/>
        </w:rPr>
        <w:t xml:space="preserve">, </w:t>
      </w:r>
      <w:r w:rsidR="004B18B7" w:rsidRPr="0055149C">
        <w:rPr>
          <w:lang w:eastAsia="nb-NO"/>
        </w:rPr>
        <w:t>Bergen</w:t>
      </w:r>
      <w:r w:rsidR="00090395" w:rsidRPr="0055149C">
        <w:rPr>
          <w:lang w:eastAsia="nb-NO"/>
        </w:rPr>
        <w:t xml:space="preserve"> og </w:t>
      </w:r>
      <w:r w:rsidR="004B18B7" w:rsidRPr="0055149C">
        <w:rPr>
          <w:lang w:eastAsia="nb-NO"/>
        </w:rPr>
        <w:t>Trondheim</w:t>
      </w:r>
      <w:r w:rsidR="001136F2" w:rsidRPr="0055149C">
        <w:rPr>
          <w:lang w:eastAsia="nb-NO"/>
        </w:rPr>
        <w:t xml:space="preserve">. De sju øvrige geografiske områdene er </w:t>
      </w:r>
      <w:r w:rsidR="004B18B7" w:rsidRPr="0055149C">
        <w:rPr>
          <w:lang w:eastAsia="nb-NO"/>
        </w:rPr>
        <w:t>Akershus ellers</w:t>
      </w:r>
      <w:r w:rsidR="001136F2" w:rsidRPr="0055149C">
        <w:rPr>
          <w:lang w:eastAsia="nb-NO"/>
        </w:rPr>
        <w:t xml:space="preserve">, Innlandet, </w:t>
      </w:r>
      <w:r w:rsidR="004B18B7" w:rsidRPr="0055149C">
        <w:rPr>
          <w:lang w:eastAsia="nb-NO"/>
        </w:rPr>
        <w:t>Østlandet ellers</w:t>
      </w:r>
      <w:r w:rsidR="001136F2" w:rsidRPr="0055149C">
        <w:rPr>
          <w:lang w:eastAsia="nb-NO"/>
        </w:rPr>
        <w:t xml:space="preserve">, </w:t>
      </w:r>
      <w:r w:rsidR="004B18B7" w:rsidRPr="0055149C">
        <w:rPr>
          <w:lang w:eastAsia="nb-NO"/>
        </w:rPr>
        <w:t>Agder og Rogaland ellers</w:t>
      </w:r>
      <w:r w:rsidR="001136F2" w:rsidRPr="0055149C">
        <w:rPr>
          <w:lang w:eastAsia="nb-NO"/>
        </w:rPr>
        <w:t xml:space="preserve">, </w:t>
      </w:r>
      <w:r w:rsidR="004B18B7" w:rsidRPr="0055149C">
        <w:rPr>
          <w:lang w:eastAsia="nb-NO"/>
        </w:rPr>
        <w:t>Vestlandet ellers</w:t>
      </w:r>
      <w:r w:rsidR="001136F2" w:rsidRPr="0055149C">
        <w:rPr>
          <w:lang w:eastAsia="nb-NO"/>
        </w:rPr>
        <w:t xml:space="preserve">, </w:t>
      </w:r>
      <w:r w:rsidR="004B18B7" w:rsidRPr="0055149C">
        <w:rPr>
          <w:lang w:eastAsia="nb-NO"/>
        </w:rPr>
        <w:t>Trøndelag ellers</w:t>
      </w:r>
      <w:r w:rsidR="001136F2" w:rsidRPr="0055149C">
        <w:rPr>
          <w:lang w:eastAsia="nb-NO"/>
        </w:rPr>
        <w:t xml:space="preserve"> og </w:t>
      </w:r>
      <w:r w:rsidR="004B18B7" w:rsidRPr="0055149C">
        <w:rPr>
          <w:lang w:eastAsia="nb-NO"/>
        </w:rPr>
        <w:t>Nord-Norge</w:t>
      </w:r>
      <w:r w:rsidR="001136F2" w:rsidRPr="0055149C">
        <w:rPr>
          <w:lang w:eastAsia="nb-NO"/>
        </w:rPr>
        <w:t>.</w:t>
      </w:r>
      <w:r w:rsidR="006B100F" w:rsidRPr="0055149C">
        <w:rPr>
          <w:lang w:eastAsia="nb-NO"/>
        </w:rPr>
        <w:t xml:space="preserve"> Rindal utgjør et spesielt tilfelle i denne sammenheng, idet kommunen i 2019 skiftet fylke fra Møre og Romsdal til Trøndelag. Vi har latt denne primærkommunen følge prisindeksen til Vestland ellers til og med 2018 og deretter prisindeksen til Trøndelag fra og me</w:t>
      </w:r>
      <w:r w:rsidR="00C318E1">
        <w:rPr>
          <w:lang w:eastAsia="nb-NO"/>
        </w:rPr>
        <w:t>d</w:t>
      </w:r>
      <w:r w:rsidR="006B100F" w:rsidRPr="0055149C">
        <w:rPr>
          <w:lang w:eastAsia="nb-NO"/>
        </w:rPr>
        <w:t xml:space="preserve"> 2019. </w:t>
      </w:r>
      <w:r w:rsidR="001136F2" w:rsidRPr="0055149C">
        <w:rPr>
          <w:lang w:eastAsia="nb-NO"/>
        </w:rPr>
        <w:t xml:space="preserve">I årene </w:t>
      </w:r>
      <w:r w:rsidR="00373D95" w:rsidRPr="0055149C">
        <w:rPr>
          <w:lang w:eastAsia="nb-NO"/>
        </w:rPr>
        <w:t>200</w:t>
      </w:r>
      <w:r w:rsidR="007F0A33" w:rsidRPr="0055149C">
        <w:rPr>
          <w:lang w:eastAsia="nb-NO"/>
        </w:rPr>
        <w:t>2 til</w:t>
      </w:r>
      <w:r w:rsidR="00373D95" w:rsidRPr="0055149C">
        <w:rPr>
          <w:lang w:eastAsia="nb-NO"/>
        </w:rPr>
        <w:t xml:space="preserve"> 2004 har vi kun indekser for Oslo og Bærum, </w:t>
      </w:r>
      <w:r w:rsidR="007F0A33" w:rsidRPr="0055149C">
        <w:rPr>
          <w:lang w:eastAsia="nb-NO"/>
        </w:rPr>
        <w:t xml:space="preserve">Akershus ellers og </w:t>
      </w:r>
      <w:r w:rsidR="006B100F" w:rsidRPr="0055149C">
        <w:rPr>
          <w:lang w:eastAsia="nb-NO"/>
        </w:rPr>
        <w:t>r</w:t>
      </w:r>
      <w:r w:rsidR="007F0A33" w:rsidRPr="0055149C">
        <w:rPr>
          <w:lang w:eastAsia="nb-NO"/>
        </w:rPr>
        <w:t xml:space="preserve">esten av landet. </w:t>
      </w:r>
      <w:r w:rsidR="00570D11" w:rsidRPr="0055149C">
        <w:rPr>
          <w:lang w:eastAsia="nb-NO"/>
        </w:rPr>
        <w:t>For disse årene</w:t>
      </w:r>
      <w:r w:rsidR="009F5AEC" w:rsidRPr="0055149C">
        <w:rPr>
          <w:lang w:eastAsia="nb-NO"/>
        </w:rPr>
        <w:t xml:space="preserve"> har vi lagt til grunn </w:t>
      </w:r>
      <w:r w:rsidR="00930B67" w:rsidRPr="0055149C">
        <w:rPr>
          <w:lang w:eastAsia="nb-NO"/>
        </w:rPr>
        <w:t>prisindeksen</w:t>
      </w:r>
      <w:r w:rsidR="009F5AEC" w:rsidRPr="0055149C">
        <w:rPr>
          <w:lang w:eastAsia="nb-NO"/>
        </w:rPr>
        <w:t xml:space="preserve"> for resten av landet </w:t>
      </w:r>
      <w:r w:rsidR="00930B67" w:rsidRPr="0055149C">
        <w:rPr>
          <w:lang w:eastAsia="nb-NO"/>
        </w:rPr>
        <w:t xml:space="preserve">som beste anslag </w:t>
      </w:r>
      <w:r w:rsidR="00570D11" w:rsidRPr="0055149C">
        <w:rPr>
          <w:lang w:eastAsia="nb-NO"/>
        </w:rPr>
        <w:t>på</w:t>
      </w:r>
      <w:r w:rsidR="00930B67" w:rsidRPr="0055149C">
        <w:rPr>
          <w:lang w:eastAsia="nb-NO"/>
        </w:rPr>
        <w:t xml:space="preserve"> prisutviklingen</w:t>
      </w:r>
      <w:r w:rsidR="009F5AEC" w:rsidRPr="0055149C">
        <w:rPr>
          <w:lang w:eastAsia="nb-NO"/>
        </w:rPr>
        <w:t xml:space="preserve"> </w:t>
      </w:r>
      <w:r w:rsidR="00930B67" w:rsidRPr="0055149C">
        <w:rPr>
          <w:lang w:eastAsia="nb-NO"/>
        </w:rPr>
        <w:t>i alle regionene utenfor Oslo og Akershus.</w:t>
      </w:r>
      <w:r w:rsidR="00720DD3" w:rsidRPr="0055149C">
        <w:rPr>
          <w:lang w:eastAsia="nb-NO"/>
        </w:rPr>
        <w:t xml:space="preserve"> Også disse boligprisindeksene har 2015 som basisår.</w:t>
      </w:r>
      <w:r w:rsidR="008125BC" w:rsidRPr="0055149C">
        <w:rPr>
          <w:rStyle w:val="Fotnotereferanse"/>
          <w:lang w:eastAsia="nb-NO"/>
        </w:rPr>
        <w:footnoteReference w:id="19"/>
      </w:r>
    </w:p>
    <w:p w14:paraId="38E95BF2" w14:textId="30EEAE9E" w:rsidR="00F600DE" w:rsidRPr="0055149C" w:rsidRDefault="00F600DE" w:rsidP="00F600DE">
      <w:pPr>
        <w:pStyle w:val="Bildetekst"/>
        <w:ind w:left="1440" w:hanging="1440"/>
      </w:pPr>
      <w:bookmarkStart w:id="69" w:name="_Ref176551918"/>
      <w:r w:rsidRPr="0055149C">
        <w:lastRenderedPageBreak/>
        <w:t xml:space="preserve">Tabell </w:t>
      </w:r>
      <w:fldSimple w:instr=" STYLEREF 1 \s ">
        <w:r w:rsidR="009B1DA8">
          <w:rPr>
            <w:noProof/>
          </w:rPr>
          <w:t>3</w:t>
        </w:r>
      </w:fldSimple>
      <w:r w:rsidRPr="0055149C">
        <w:t>.</w:t>
      </w:r>
      <w:fldSimple w:instr=" SEQ Tabell \* ARABIC \s 1 ">
        <w:r w:rsidR="009B1DA8">
          <w:rPr>
            <w:noProof/>
          </w:rPr>
          <w:t>2</w:t>
        </w:r>
      </w:fldSimple>
      <w:bookmarkEnd w:id="69"/>
      <w:r w:rsidRPr="0055149C">
        <w:tab/>
        <w:t>Korrespondansen mellom kommunale funksjoner og</w:t>
      </w:r>
      <w:r>
        <w:t xml:space="preserve"> </w:t>
      </w:r>
      <w:r w:rsidRPr="0055149C">
        <w:t>nasjonalregnskapsn</w:t>
      </w:r>
      <w:r>
        <w:t>æ</w:t>
      </w:r>
      <w:r w:rsidRPr="0055149C">
        <w:t>ringer som ligger til grunn for bruk av deflatorer og depresieringsrater</w:t>
      </w:r>
    </w:p>
    <w:tbl>
      <w:tblPr>
        <w:tblStyle w:val="Tabellrutenett"/>
        <w:tblW w:w="0" w:type="auto"/>
        <w:tblLook w:val="04A0" w:firstRow="1" w:lastRow="0" w:firstColumn="1" w:lastColumn="0" w:noHBand="0" w:noVBand="1"/>
      </w:tblPr>
      <w:tblGrid>
        <w:gridCol w:w="1049"/>
        <w:gridCol w:w="3102"/>
        <w:gridCol w:w="1219"/>
        <w:gridCol w:w="3123"/>
      </w:tblGrid>
      <w:tr w:rsidR="00F600DE" w:rsidRPr="0055149C" w14:paraId="615E6D8D" w14:textId="77777777" w:rsidTr="009238AE">
        <w:tc>
          <w:tcPr>
            <w:tcW w:w="4246" w:type="dxa"/>
            <w:gridSpan w:val="2"/>
            <w:tcBorders>
              <w:top w:val="single" w:sz="4" w:space="0" w:color="auto"/>
              <w:left w:val="single" w:sz="4" w:space="0" w:color="auto"/>
              <w:bottom w:val="nil"/>
              <w:right w:val="nil"/>
            </w:tcBorders>
            <w:shd w:val="clear" w:color="auto" w:fill="3672B0" w:themeFill="accent2"/>
            <w:vAlign w:val="center"/>
          </w:tcPr>
          <w:p w14:paraId="6B791825" w14:textId="77777777" w:rsidR="00F600DE" w:rsidRPr="00387045" w:rsidRDefault="00F600DE" w:rsidP="009238AE">
            <w:pPr>
              <w:jc w:val="left"/>
              <w:rPr>
                <w:b/>
                <w:bCs/>
                <w:color w:val="FFFFFF" w:themeColor="background1"/>
                <w:sz w:val="18"/>
                <w:szCs w:val="18"/>
              </w:rPr>
            </w:pPr>
            <w:r w:rsidRPr="00387045">
              <w:rPr>
                <w:b/>
                <w:bCs/>
                <w:color w:val="FFFFFF" w:themeColor="background1"/>
                <w:sz w:val="18"/>
                <w:szCs w:val="18"/>
              </w:rPr>
              <w:t>Kommunal funksjon</w:t>
            </w:r>
          </w:p>
        </w:tc>
        <w:tc>
          <w:tcPr>
            <w:tcW w:w="4247" w:type="dxa"/>
            <w:gridSpan w:val="2"/>
            <w:tcBorders>
              <w:top w:val="single" w:sz="4" w:space="0" w:color="auto"/>
              <w:left w:val="nil"/>
              <w:bottom w:val="nil"/>
              <w:right w:val="single" w:sz="4" w:space="0" w:color="auto"/>
            </w:tcBorders>
            <w:shd w:val="clear" w:color="auto" w:fill="3672B0" w:themeFill="accent2"/>
            <w:vAlign w:val="center"/>
          </w:tcPr>
          <w:p w14:paraId="1FA03D5A" w14:textId="77777777" w:rsidR="00F600DE" w:rsidRPr="00387045" w:rsidRDefault="00F600DE" w:rsidP="009238AE">
            <w:pPr>
              <w:jc w:val="left"/>
              <w:rPr>
                <w:b/>
                <w:bCs/>
                <w:color w:val="FFFFFF" w:themeColor="background1"/>
                <w:sz w:val="18"/>
                <w:szCs w:val="18"/>
              </w:rPr>
            </w:pPr>
            <w:r w:rsidRPr="00387045">
              <w:rPr>
                <w:b/>
                <w:bCs/>
                <w:color w:val="FFFFFF" w:themeColor="background1"/>
                <w:sz w:val="18"/>
                <w:szCs w:val="18"/>
              </w:rPr>
              <w:t>Nasjonalregnskapsnæring</w:t>
            </w:r>
          </w:p>
        </w:tc>
      </w:tr>
      <w:tr w:rsidR="00F600DE" w:rsidRPr="0055149C" w14:paraId="6E09330D" w14:textId="77777777" w:rsidTr="009238AE">
        <w:tc>
          <w:tcPr>
            <w:tcW w:w="1061" w:type="dxa"/>
            <w:tcBorders>
              <w:top w:val="nil"/>
              <w:left w:val="single" w:sz="4" w:space="0" w:color="auto"/>
              <w:bottom w:val="single" w:sz="4" w:space="0" w:color="auto"/>
              <w:right w:val="nil"/>
            </w:tcBorders>
            <w:shd w:val="clear" w:color="auto" w:fill="3672B0" w:themeFill="accent2"/>
            <w:vAlign w:val="center"/>
          </w:tcPr>
          <w:p w14:paraId="7E9D9B7A" w14:textId="77777777" w:rsidR="00F600DE" w:rsidRPr="00387045" w:rsidRDefault="00F600DE" w:rsidP="009238AE">
            <w:pPr>
              <w:jc w:val="center"/>
              <w:rPr>
                <w:b/>
                <w:bCs/>
                <w:color w:val="FFFFFF" w:themeColor="background1"/>
                <w:sz w:val="18"/>
                <w:szCs w:val="18"/>
              </w:rPr>
            </w:pPr>
            <w:r>
              <w:rPr>
                <w:b/>
                <w:bCs/>
                <w:color w:val="FFFFFF" w:themeColor="background1"/>
                <w:sz w:val="18"/>
                <w:szCs w:val="18"/>
              </w:rPr>
              <w:t>KOSTRA</w:t>
            </w:r>
            <w:r w:rsidRPr="00387045">
              <w:rPr>
                <w:b/>
                <w:bCs/>
                <w:color w:val="FFFFFF" w:themeColor="background1"/>
                <w:sz w:val="18"/>
                <w:szCs w:val="18"/>
              </w:rPr>
              <w:t>-kode</w:t>
            </w:r>
          </w:p>
        </w:tc>
        <w:tc>
          <w:tcPr>
            <w:tcW w:w="3185" w:type="dxa"/>
            <w:tcBorders>
              <w:top w:val="nil"/>
              <w:left w:val="nil"/>
              <w:bottom w:val="single" w:sz="4" w:space="0" w:color="auto"/>
              <w:right w:val="nil"/>
            </w:tcBorders>
            <w:shd w:val="clear" w:color="auto" w:fill="3672B0" w:themeFill="accent2"/>
            <w:vAlign w:val="center"/>
          </w:tcPr>
          <w:p w14:paraId="7F628EAD" w14:textId="77777777" w:rsidR="00F600DE" w:rsidRPr="00387045" w:rsidRDefault="00F600DE" w:rsidP="009238AE">
            <w:pPr>
              <w:rPr>
                <w:b/>
                <w:bCs/>
                <w:color w:val="FFFFFF" w:themeColor="background1"/>
                <w:sz w:val="18"/>
                <w:szCs w:val="18"/>
              </w:rPr>
            </w:pPr>
            <w:r w:rsidRPr="00387045">
              <w:rPr>
                <w:b/>
                <w:bCs/>
                <w:color w:val="FFFFFF" w:themeColor="background1"/>
                <w:sz w:val="18"/>
                <w:szCs w:val="18"/>
              </w:rPr>
              <w:t xml:space="preserve">Navn på </w:t>
            </w:r>
            <w:r>
              <w:rPr>
                <w:b/>
                <w:bCs/>
                <w:color w:val="FFFFFF" w:themeColor="background1"/>
                <w:sz w:val="18"/>
                <w:szCs w:val="18"/>
              </w:rPr>
              <w:t>KOSTRA</w:t>
            </w:r>
            <w:r w:rsidRPr="00387045">
              <w:rPr>
                <w:b/>
                <w:bCs/>
                <w:color w:val="FFFFFF" w:themeColor="background1"/>
                <w:sz w:val="18"/>
                <w:szCs w:val="18"/>
              </w:rPr>
              <w:t>-funksjon</w:t>
            </w:r>
          </w:p>
        </w:tc>
        <w:tc>
          <w:tcPr>
            <w:tcW w:w="1062" w:type="dxa"/>
            <w:tcBorders>
              <w:top w:val="nil"/>
              <w:left w:val="nil"/>
              <w:bottom w:val="single" w:sz="4" w:space="0" w:color="auto"/>
              <w:right w:val="nil"/>
            </w:tcBorders>
            <w:shd w:val="clear" w:color="auto" w:fill="3672B0" w:themeFill="accent2"/>
            <w:vAlign w:val="center"/>
          </w:tcPr>
          <w:p w14:paraId="030890B1" w14:textId="77777777" w:rsidR="00F600DE" w:rsidRPr="00387045" w:rsidRDefault="00F600DE" w:rsidP="009238AE">
            <w:pPr>
              <w:jc w:val="center"/>
              <w:rPr>
                <w:b/>
                <w:bCs/>
                <w:color w:val="FFFFFF" w:themeColor="background1"/>
                <w:sz w:val="18"/>
                <w:szCs w:val="18"/>
              </w:rPr>
            </w:pPr>
            <w:r w:rsidRPr="00387045">
              <w:rPr>
                <w:b/>
                <w:bCs/>
                <w:color w:val="FFFFFF" w:themeColor="background1"/>
                <w:sz w:val="18"/>
                <w:szCs w:val="18"/>
              </w:rPr>
              <w:t>NACE-Kode</w:t>
            </w:r>
          </w:p>
        </w:tc>
        <w:tc>
          <w:tcPr>
            <w:tcW w:w="3185" w:type="dxa"/>
            <w:tcBorders>
              <w:top w:val="nil"/>
              <w:left w:val="nil"/>
              <w:bottom w:val="single" w:sz="4" w:space="0" w:color="auto"/>
              <w:right w:val="single" w:sz="4" w:space="0" w:color="auto"/>
            </w:tcBorders>
            <w:shd w:val="clear" w:color="auto" w:fill="3672B0" w:themeFill="accent2"/>
            <w:vAlign w:val="center"/>
          </w:tcPr>
          <w:p w14:paraId="7AA383EE" w14:textId="77777777" w:rsidR="00F600DE" w:rsidRPr="00387045" w:rsidRDefault="00F600DE" w:rsidP="009238AE">
            <w:pPr>
              <w:jc w:val="left"/>
              <w:rPr>
                <w:b/>
                <w:bCs/>
                <w:color w:val="FFFFFF" w:themeColor="background1"/>
                <w:sz w:val="18"/>
                <w:szCs w:val="18"/>
              </w:rPr>
            </w:pPr>
            <w:r w:rsidRPr="00387045">
              <w:rPr>
                <w:b/>
                <w:bCs/>
                <w:color w:val="FFFFFF" w:themeColor="background1"/>
                <w:sz w:val="18"/>
                <w:szCs w:val="18"/>
              </w:rPr>
              <w:t>Navn på nasjonalregnskapsnæring</w:t>
            </w:r>
          </w:p>
        </w:tc>
      </w:tr>
      <w:tr w:rsidR="00F600DE" w:rsidRPr="0055149C" w14:paraId="18E37887"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1F878B9" w14:textId="77777777" w:rsidR="00F600DE" w:rsidRPr="00875F1E" w:rsidRDefault="00F600DE" w:rsidP="009238AE">
            <w:pPr>
              <w:jc w:val="center"/>
              <w:rPr>
                <w:b/>
                <w:bCs/>
                <w:color w:val="000000"/>
                <w:sz w:val="18"/>
                <w:szCs w:val="18"/>
              </w:rPr>
            </w:pPr>
            <w:r w:rsidRPr="00875F1E">
              <w:rPr>
                <w:color w:val="000000"/>
                <w:sz w:val="18"/>
                <w:szCs w:val="18"/>
              </w:rPr>
              <w:t>FGK14</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43C4CE9" w14:textId="77777777" w:rsidR="00F600DE" w:rsidRPr="00875F1E" w:rsidRDefault="00F600DE" w:rsidP="009238AE">
            <w:pPr>
              <w:jc w:val="left"/>
              <w:rPr>
                <w:b/>
                <w:bCs/>
                <w:color w:val="000000"/>
                <w:sz w:val="18"/>
                <w:szCs w:val="18"/>
              </w:rPr>
            </w:pPr>
            <w:r w:rsidRPr="00875F1E">
              <w:rPr>
                <w:color w:val="000000"/>
                <w:sz w:val="18"/>
                <w:szCs w:val="18"/>
              </w:rPr>
              <w:t>VAR-tjenester</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785F82A6" w14:textId="77777777" w:rsidR="00F600DE" w:rsidRPr="00875F1E" w:rsidRDefault="00F600DE" w:rsidP="009238AE">
            <w:pPr>
              <w:jc w:val="center"/>
              <w:rPr>
                <w:b/>
                <w:bCs/>
                <w:color w:val="000000"/>
                <w:sz w:val="18"/>
                <w:szCs w:val="18"/>
              </w:rPr>
            </w:pPr>
            <w:r w:rsidRPr="00875F1E">
              <w:rPr>
                <w:color w:val="000000"/>
                <w:sz w:val="18"/>
                <w:szCs w:val="18"/>
              </w:rPr>
              <w:t>36 til 39</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03240BC0" w14:textId="77777777" w:rsidR="00F600DE" w:rsidRPr="00875F1E" w:rsidRDefault="00F600DE" w:rsidP="009238AE">
            <w:pPr>
              <w:jc w:val="left"/>
              <w:rPr>
                <w:b/>
                <w:bCs/>
                <w:color w:val="000000"/>
                <w:sz w:val="18"/>
                <w:szCs w:val="18"/>
              </w:rPr>
            </w:pPr>
            <w:r w:rsidRPr="00875F1E">
              <w:rPr>
                <w:color w:val="000000"/>
                <w:sz w:val="18"/>
                <w:szCs w:val="18"/>
              </w:rPr>
              <w:t>VAR-tjenester</w:t>
            </w:r>
          </w:p>
        </w:tc>
      </w:tr>
      <w:tr w:rsidR="00F600DE" w:rsidRPr="0055149C" w14:paraId="7BC61492"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9939A3A" w14:textId="77777777" w:rsidR="00F600DE" w:rsidRPr="00875F1E" w:rsidRDefault="00F600DE" w:rsidP="009238AE">
            <w:pPr>
              <w:jc w:val="center"/>
              <w:rPr>
                <w:b/>
                <w:bCs/>
                <w:color w:val="000000"/>
                <w:sz w:val="18"/>
                <w:szCs w:val="18"/>
              </w:rPr>
            </w:pPr>
            <w:r w:rsidRPr="00875F1E">
              <w:rPr>
                <w:color w:val="000000"/>
                <w:sz w:val="18"/>
                <w:szCs w:val="18"/>
              </w:rPr>
              <w:t>FGF4</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E9082FA" w14:textId="77777777" w:rsidR="00F600DE" w:rsidRPr="00875F1E" w:rsidRDefault="00F600DE" w:rsidP="009238AE">
            <w:pPr>
              <w:jc w:val="left"/>
              <w:rPr>
                <w:b/>
                <w:bCs/>
                <w:color w:val="000000"/>
                <w:sz w:val="18"/>
                <w:szCs w:val="18"/>
              </w:rPr>
            </w:pPr>
            <w:r w:rsidRPr="00875F1E">
              <w:rPr>
                <w:color w:val="000000"/>
                <w:sz w:val="18"/>
                <w:szCs w:val="18"/>
              </w:rPr>
              <w:t>Samferdsel (</w:t>
            </w:r>
            <w:r w:rsidRPr="00875F1E">
              <w:rPr>
                <w:i/>
                <w:iCs/>
                <w:color w:val="000000"/>
                <w:sz w:val="18"/>
                <w:szCs w:val="18"/>
              </w:rPr>
              <w:t>fylkeskommunen</w:t>
            </w:r>
            <w:r w:rsidRPr="00875F1E">
              <w:rPr>
                <w:color w:val="000000"/>
                <w:sz w:val="18"/>
                <w:szCs w:val="18"/>
              </w:rPr>
              <w:t>)</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68FD9DD7" w14:textId="77777777" w:rsidR="00F600DE" w:rsidRPr="00875F1E" w:rsidRDefault="00F600DE" w:rsidP="009238AE">
            <w:pPr>
              <w:jc w:val="center"/>
              <w:rPr>
                <w:b/>
                <w:bCs/>
                <w:color w:val="000000"/>
                <w:sz w:val="18"/>
                <w:szCs w:val="18"/>
              </w:rPr>
            </w:pPr>
            <w:r w:rsidRPr="00875F1E">
              <w:rPr>
                <w:color w:val="000000"/>
                <w:sz w:val="18"/>
                <w:szCs w:val="18"/>
              </w:rPr>
              <w:t>49 til 52 utenom 49.5, 50.101 og 50.201</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649D25F5" w14:textId="77777777" w:rsidR="00F600DE" w:rsidRPr="00875F1E" w:rsidRDefault="00F600DE" w:rsidP="009238AE">
            <w:pPr>
              <w:jc w:val="left"/>
              <w:rPr>
                <w:b/>
                <w:bCs/>
                <w:color w:val="000000"/>
                <w:sz w:val="18"/>
                <w:szCs w:val="18"/>
              </w:rPr>
            </w:pPr>
            <w:r w:rsidRPr="00875F1E">
              <w:rPr>
                <w:color w:val="000000"/>
                <w:sz w:val="18"/>
                <w:szCs w:val="18"/>
              </w:rPr>
              <w:t>Transport utenom rørtransport og utenriks sjøfart</w:t>
            </w:r>
          </w:p>
        </w:tc>
      </w:tr>
      <w:tr w:rsidR="00F600DE" w:rsidRPr="0055149C" w14:paraId="17FCEA5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9102CCE" w14:textId="77777777" w:rsidR="00F600DE" w:rsidRPr="00875F1E" w:rsidRDefault="00F600DE" w:rsidP="009238AE">
            <w:pPr>
              <w:jc w:val="center"/>
              <w:rPr>
                <w:b/>
                <w:bCs/>
                <w:color w:val="000000"/>
                <w:sz w:val="18"/>
                <w:szCs w:val="18"/>
              </w:rPr>
            </w:pPr>
            <w:r w:rsidRPr="00875F1E">
              <w:rPr>
                <w:color w:val="000000"/>
                <w:sz w:val="18"/>
                <w:szCs w:val="18"/>
              </w:rPr>
              <w:t>FGK5</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C93E021" w14:textId="77777777" w:rsidR="00F600DE" w:rsidRPr="00875F1E" w:rsidRDefault="00F600DE" w:rsidP="009238AE">
            <w:pPr>
              <w:jc w:val="left"/>
              <w:rPr>
                <w:b/>
                <w:bCs/>
                <w:color w:val="000000"/>
                <w:sz w:val="18"/>
                <w:szCs w:val="18"/>
              </w:rPr>
            </w:pPr>
            <w:r w:rsidRPr="00875F1E">
              <w:rPr>
                <w:color w:val="000000"/>
                <w:sz w:val="18"/>
                <w:szCs w:val="18"/>
              </w:rPr>
              <w:t>Samferdsel (</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bottom w:val="single" w:sz="4" w:space="0" w:color="auto"/>
              <w:right w:val="single" w:sz="4" w:space="0" w:color="auto"/>
            </w:tcBorders>
            <w:shd w:val="clear" w:color="auto" w:fill="auto"/>
            <w:vAlign w:val="center"/>
          </w:tcPr>
          <w:p w14:paraId="500A5796"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37CEEA3D" w14:textId="77777777" w:rsidR="00F600DE" w:rsidRPr="00875F1E" w:rsidRDefault="00F600DE" w:rsidP="009238AE">
            <w:pPr>
              <w:jc w:val="left"/>
              <w:rPr>
                <w:b/>
                <w:bCs/>
                <w:color w:val="000000"/>
                <w:sz w:val="18"/>
                <w:szCs w:val="18"/>
              </w:rPr>
            </w:pPr>
          </w:p>
        </w:tc>
      </w:tr>
      <w:tr w:rsidR="00F600DE" w:rsidRPr="0055149C" w14:paraId="23264CEB"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CB7170C" w14:textId="77777777" w:rsidR="00F600DE" w:rsidRPr="00875F1E" w:rsidRDefault="00F600DE" w:rsidP="009238AE">
            <w:pPr>
              <w:jc w:val="center"/>
              <w:rPr>
                <w:b/>
                <w:bCs/>
                <w:color w:val="000000"/>
                <w:sz w:val="18"/>
                <w:szCs w:val="18"/>
              </w:rPr>
            </w:pPr>
            <w:r w:rsidRPr="00875F1E">
              <w:rPr>
                <w:color w:val="000000"/>
                <w:sz w:val="18"/>
                <w:szCs w:val="18"/>
              </w:rPr>
              <w:t>FGK16</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6FC0278" w14:textId="77777777" w:rsidR="00F600DE" w:rsidRPr="00875F1E" w:rsidRDefault="00F600DE" w:rsidP="009238AE">
            <w:pPr>
              <w:jc w:val="left"/>
              <w:rPr>
                <w:b/>
                <w:bCs/>
                <w:color w:val="000000"/>
                <w:sz w:val="18"/>
                <w:szCs w:val="18"/>
              </w:rPr>
            </w:pPr>
            <w:r w:rsidRPr="00875F1E">
              <w:rPr>
                <w:color w:val="000000"/>
                <w:sz w:val="18"/>
                <w:szCs w:val="18"/>
              </w:rPr>
              <w:t>Kommunale boliger</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3CF7B100" w14:textId="77777777" w:rsidR="00F600DE" w:rsidRPr="00875F1E" w:rsidRDefault="00F600DE" w:rsidP="009238AE">
            <w:pPr>
              <w:jc w:val="center"/>
              <w:rPr>
                <w:b/>
                <w:bCs/>
                <w:color w:val="000000"/>
                <w:sz w:val="18"/>
                <w:szCs w:val="18"/>
              </w:rPr>
            </w:pPr>
            <w:r w:rsidRPr="00875F1E">
              <w:rPr>
                <w:color w:val="000000"/>
                <w:sz w:val="18"/>
                <w:szCs w:val="18"/>
              </w:rPr>
              <w:t>68 utenom egne boligtjenester</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054E2D23" w14:textId="77777777" w:rsidR="00F600DE" w:rsidRPr="00875F1E" w:rsidRDefault="00F600DE" w:rsidP="009238AE">
            <w:pPr>
              <w:jc w:val="left"/>
              <w:rPr>
                <w:b/>
                <w:bCs/>
                <w:color w:val="000000"/>
                <w:sz w:val="18"/>
                <w:szCs w:val="18"/>
              </w:rPr>
            </w:pPr>
            <w:r w:rsidRPr="00875F1E">
              <w:rPr>
                <w:color w:val="000000"/>
                <w:sz w:val="18"/>
                <w:szCs w:val="18"/>
              </w:rPr>
              <w:t>Eiendom utenom boligtjenester</w:t>
            </w:r>
          </w:p>
        </w:tc>
      </w:tr>
      <w:tr w:rsidR="00F600DE" w:rsidRPr="0055149C" w14:paraId="1485903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0F618580" w14:textId="77777777" w:rsidR="00F600DE" w:rsidRPr="00875F1E" w:rsidRDefault="00F600DE" w:rsidP="009238AE">
            <w:pPr>
              <w:jc w:val="center"/>
              <w:rPr>
                <w:b/>
                <w:bCs/>
                <w:color w:val="000000"/>
                <w:sz w:val="18"/>
                <w:szCs w:val="18"/>
              </w:rPr>
            </w:pPr>
            <w:r w:rsidRPr="00875F1E">
              <w:rPr>
                <w:color w:val="000000"/>
                <w:sz w:val="18"/>
                <w:szCs w:val="18"/>
              </w:rPr>
              <w:t>FGF1</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B4B46D5" w14:textId="77777777" w:rsidR="00F600DE" w:rsidRPr="00875F1E" w:rsidRDefault="00F600DE" w:rsidP="009238AE">
            <w:pPr>
              <w:jc w:val="left"/>
              <w:rPr>
                <w:color w:val="000000"/>
                <w:sz w:val="18"/>
                <w:szCs w:val="18"/>
              </w:rPr>
            </w:pPr>
            <w:r w:rsidRPr="00875F1E">
              <w:rPr>
                <w:color w:val="000000"/>
                <w:sz w:val="18"/>
                <w:szCs w:val="18"/>
              </w:rPr>
              <w:t>Administrasjon og felles</w:t>
            </w:r>
            <w:r w:rsidRPr="00875F1E">
              <w:rPr>
                <w:color w:val="000000"/>
                <w:sz w:val="18"/>
                <w:szCs w:val="18"/>
              </w:rPr>
              <w:br/>
              <w:t>(</w:t>
            </w:r>
            <w:r w:rsidRPr="00875F1E">
              <w:rPr>
                <w:i/>
                <w:iCs/>
                <w:color w:val="000000"/>
                <w:sz w:val="18"/>
                <w:szCs w:val="18"/>
              </w:rPr>
              <w:t>fylkeskommune</w:t>
            </w:r>
            <w:r w:rsidRPr="00875F1E">
              <w:rPr>
                <w:color w:val="000000"/>
                <w:sz w:val="18"/>
                <w:szCs w:val="18"/>
              </w:rPr>
              <w:t>n)</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01E9303A" w14:textId="77777777" w:rsidR="00F600DE" w:rsidRPr="00875F1E" w:rsidRDefault="00F600DE" w:rsidP="009238AE">
            <w:pPr>
              <w:jc w:val="center"/>
              <w:rPr>
                <w:b/>
                <w:bCs/>
                <w:color w:val="000000"/>
                <w:sz w:val="18"/>
                <w:szCs w:val="18"/>
              </w:rPr>
            </w:pPr>
            <w:r w:rsidRPr="00875F1E">
              <w:rPr>
                <w:color w:val="000000"/>
                <w:sz w:val="18"/>
                <w:szCs w:val="18"/>
              </w:rPr>
              <w:t>84 utenom 84.22</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69EBC230" w14:textId="77777777" w:rsidR="00F600DE" w:rsidRPr="00875F1E" w:rsidRDefault="00F600DE" w:rsidP="009238AE">
            <w:pPr>
              <w:jc w:val="left"/>
              <w:rPr>
                <w:b/>
                <w:bCs/>
                <w:color w:val="000000"/>
                <w:sz w:val="18"/>
                <w:szCs w:val="18"/>
              </w:rPr>
            </w:pPr>
            <w:r w:rsidRPr="00875F1E">
              <w:rPr>
                <w:color w:val="000000"/>
                <w:sz w:val="18"/>
                <w:szCs w:val="18"/>
              </w:rPr>
              <w:t>Offentlig administrasjon</w:t>
            </w:r>
          </w:p>
        </w:tc>
      </w:tr>
      <w:tr w:rsidR="00F600DE" w:rsidRPr="0055149C" w14:paraId="454EEA5B"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2FA8A96" w14:textId="77777777" w:rsidR="00F600DE" w:rsidRPr="00875F1E" w:rsidRDefault="00F600DE" w:rsidP="009238AE">
            <w:pPr>
              <w:jc w:val="center"/>
              <w:rPr>
                <w:b/>
                <w:bCs/>
                <w:color w:val="000000"/>
                <w:sz w:val="18"/>
                <w:szCs w:val="18"/>
              </w:rPr>
            </w:pPr>
            <w:r w:rsidRPr="00875F1E">
              <w:rPr>
                <w:color w:val="000000"/>
                <w:sz w:val="18"/>
                <w:szCs w:val="18"/>
              </w:rPr>
              <w:t>FGK1</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0A378F4" w14:textId="77777777" w:rsidR="00F600DE" w:rsidRPr="00875F1E" w:rsidRDefault="00F600DE" w:rsidP="009238AE">
            <w:pPr>
              <w:jc w:val="left"/>
              <w:rPr>
                <w:b/>
                <w:bCs/>
                <w:color w:val="000000"/>
                <w:sz w:val="18"/>
                <w:szCs w:val="18"/>
              </w:rPr>
            </w:pPr>
            <w:r w:rsidRPr="00875F1E">
              <w:rPr>
                <w:color w:val="000000"/>
                <w:sz w:val="18"/>
                <w:szCs w:val="18"/>
              </w:rPr>
              <w:t>Administrasjon og felles</w:t>
            </w:r>
            <w:r w:rsidRPr="00875F1E">
              <w:rPr>
                <w:color w:val="000000"/>
                <w:sz w:val="18"/>
                <w:szCs w:val="18"/>
              </w:rPr>
              <w:br/>
              <w:t>(</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5A640806"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4A94B0C9" w14:textId="77777777" w:rsidR="00F600DE" w:rsidRPr="00875F1E" w:rsidRDefault="00F600DE" w:rsidP="009238AE">
            <w:pPr>
              <w:jc w:val="left"/>
              <w:rPr>
                <w:b/>
                <w:bCs/>
                <w:color w:val="000000"/>
                <w:sz w:val="18"/>
                <w:szCs w:val="18"/>
              </w:rPr>
            </w:pPr>
          </w:p>
        </w:tc>
      </w:tr>
      <w:tr w:rsidR="00F600DE" w:rsidRPr="0055149C" w14:paraId="3236BCB2"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F818F01" w14:textId="77777777" w:rsidR="00F600DE" w:rsidRPr="00875F1E" w:rsidRDefault="00F600DE" w:rsidP="009238AE">
            <w:pPr>
              <w:jc w:val="center"/>
              <w:rPr>
                <w:b/>
                <w:bCs/>
                <w:color w:val="000000"/>
                <w:sz w:val="18"/>
                <w:szCs w:val="18"/>
              </w:rPr>
            </w:pPr>
            <w:r w:rsidRPr="00875F1E">
              <w:rPr>
                <w:color w:val="000000"/>
                <w:sz w:val="18"/>
                <w:szCs w:val="18"/>
              </w:rPr>
              <w:t>FGK17</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858136C" w14:textId="77777777" w:rsidR="00F600DE" w:rsidRPr="00875F1E" w:rsidRDefault="00F600DE" w:rsidP="009238AE">
            <w:pPr>
              <w:jc w:val="left"/>
              <w:rPr>
                <w:b/>
                <w:bCs/>
                <w:color w:val="000000"/>
                <w:sz w:val="18"/>
                <w:szCs w:val="18"/>
              </w:rPr>
            </w:pPr>
            <w:r w:rsidRPr="00875F1E">
              <w:rPr>
                <w:color w:val="000000"/>
                <w:sz w:val="18"/>
                <w:szCs w:val="18"/>
              </w:rPr>
              <w:t>Brann- og ulykkesvern</w:t>
            </w:r>
          </w:p>
        </w:tc>
        <w:tc>
          <w:tcPr>
            <w:tcW w:w="1062" w:type="dxa"/>
            <w:vMerge/>
            <w:tcBorders>
              <w:left w:val="single" w:sz="4" w:space="0" w:color="auto"/>
              <w:right w:val="single" w:sz="4" w:space="0" w:color="auto"/>
            </w:tcBorders>
            <w:shd w:val="clear" w:color="auto" w:fill="auto"/>
            <w:vAlign w:val="center"/>
          </w:tcPr>
          <w:p w14:paraId="55EDEC07"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2384A18F" w14:textId="77777777" w:rsidR="00F600DE" w:rsidRPr="00875F1E" w:rsidRDefault="00F600DE" w:rsidP="009238AE">
            <w:pPr>
              <w:jc w:val="left"/>
              <w:rPr>
                <w:b/>
                <w:bCs/>
                <w:color w:val="000000"/>
                <w:sz w:val="18"/>
                <w:szCs w:val="18"/>
              </w:rPr>
            </w:pPr>
          </w:p>
        </w:tc>
      </w:tr>
      <w:tr w:rsidR="00F600DE" w:rsidRPr="0055149C" w14:paraId="01058BE2"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8F1D905" w14:textId="77777777" w:rsidR="00F600DE" w:rsidRPr="00875F1E" w:rsidRDefault="00F600DE" w:rsidP="009238AE">
            <w:pPr>
              <w:jc w:val="center"/>
              <w:rPr>
                <w:b/>
                <w:bCs/>
                <w:color w:val="000000"/>
                <w:sz w:val="18"/>
                <w:szCs w:val="18"/>
              </w:rPr>
            </w:pPr>
            <w:r w:rsidRPr="00875F1E">
              <w:rPr>
                <w:color w:val="000000"/>
                <w:sz w:val="18"/>
                <w:szCs w:val="18"/>
              </w:rPr>
              <w:t>FGF5</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11F8548" w14:textId="77777777" w:rsidR="00F600DE" w:rsidRPr="00875F1E" w:rsidRDefault="00F600DE" w:rsidP="009238AE">
            <w:pPr>
              <w:jc w:val="left"/>
              <w:rPr>
                <w:b/>
                <w:bCs/>
                <w:color w:val="000000"/>
                <w:sz w:val="18"/>
                <w:szCs w:val="18"/>
              </w:rPr>
            </w:pPr>
            <w:r w:rsidRPr="00875F1E">
              <w:rPr>
                <w:color w:val="000000"/>
                <w:sz w:val="18"/>
                <w:szCs w:val="18"/>
              </w:rPr>
              <w:t>Næringsforvaltning (</w:t>
            </w:r>
            <w:r w:rsidRPr="00875F1E">
              <w:rPr>
                <w:i/>
                <w:iCs/>
                <w:color w:val="000000"/>
                <w:sz w:val="18"/>
                <w:szCs w:val="18"/>
              </w:rPr>
              <w:t>fylkeskommunen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61490DB8"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4AA041B5" w14:textId="77777777" w:rsidR="00F600DE" w:rsidRPr="00875F1E" w:rsidRDefault="00F600DE" w:rsidP="009238AE">
            <w:pPr>
              <w:jc w:val="left"/>
              <w:rPr>
                <w:b/>
                <w:bCs/>
                <w:color w:val="000000"/>
                <w:sz w:val="18"/>
                <w:szCs w:val="18"/>
              </w:rPr>
            </w:pPr>
          </w:p>
        </w:tc>
      </w:tr>
      <w:tr w:rsidR="00F600DE" w:rsidRPr="0055149C" w14:paraId="546BA91D"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CD40962" w14:textId="77777777" w:rsidR="00F600DE" w:rsidRPr="00875F1E" w:rsidRDefault="00F600DE" w:rsidP="009238AE">
            <w:pPr>
              <w:jc w:val="center"/>
              <w:rPr>
                <w:b/>
                <w:bCs/>
                <w:color w:val="000000"/>
                <w:sz w:val="18"/>
                <w:szCs w:val="18"/>
              </w:rPr>
            </w:pPr>
            <w:r w:rsidRPr="00875F1E">
              <w:rPr>
                <w:color w:val="000000"/>
                <w:sz w:val="18"/>
                <w:szCs w:val="18"/>
              </w:rPr>
              <w:t>FGK4</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D78DBDA" w14:textId="77777777" w:rsidR="00F600DE" w:rsidRPr="00875F1E" w:rsidRDefault="00F600DE" w:rsidP="009238AE">
            <w:pPr>
              <w:jc w:val="left"/>
              <w:rPr>
                <w:b/>
                <w:bCs/>
                <w:color w:val="000000"/>
                <w:sz w:val="18"/>
                <w:szCs w:val="18"/>
              </w:rPr>
            </w:pPr>
            <w:r w:rsidRPr="00875F1E">
              <w:rPr>
                <w:color w:val="000000"/>
                <w:sz w:val="18"/>
                <w:szCs w:val="18"/>
              </w:rPr>
              <w:t>Næringsforvaltning (</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20972B0A"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625AE763" w14:textId="77777777" w:rsidR="00F600DE" w:rsidRPr="00875F1E" w:rsidRDefault="00F600DE" w:rsidP="009238AE">
            <w:pPr>
              <w:jc w:val="left"/>
              <w:rPr>
                <w:b/>
                <w:bCs/>
                <w:color w:val="000000"/>
                <w:sz w:val="18"/>
                <w:szCs w:val="18"/>
              </w:rPr>
            </w:pPr>
          </w:p>
        </w:tc>
      </w:tr>
      <w:tr w:rsidR="00F600DE" w:rsidRPr="0055149C" w14:paraId="14F978D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143A9CF" w14:textId="77777777" w:rsidR="00F600DE" w:rsidRPr="00875F1E" w:rsidRDefault="00F600DE" w:rsidP="009238AE">
            <w:pPr>
              <w:jc w:val="center"/>
              <w:rPr>
                <w:b/>
                <w:bCs/>
                <w:color w:val="000000"/>
                <w:sz w:val="18"/>
                <w:szCs w:val="18"/>
              </w:rPr>
            </w:pPr>
            <w:r w:rsidRPr="00875F1E">
              <w:rPr>
                <w:color w:val="000000"/>
                <w:sz w:val="18"/>
                <w:szCs w:val="18"/>
              </w:rPr>
              <w:t>FGF2</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BD62FBB" w14:textId="77777777" w:rsidR="00F600DE" w:rsidRPr="00875F1E" w:rsidRDefault="00F600DE" w:rsidP="009238AE">
            <w:pPr>
              <w:jc w:val="left"/>
              <w:rPr>
                <w:b/>
                <w:bCs/>
                <w:color w:val="000000"/>
                <w:sz w:val="18"/>
                <w:szCs w:val="18"/>
              </w:rPr>
            </w:pPr>
            <w:r w:rsidRPr="00875F1E">
              <w:rPr>
                <w:color w:val="000000"/>
                <w:sz w:val="18"/>
                <w:szCs w:val="18"/>
              </w:rPr>
              <w:t>Plan, byggesak og miljø</w:t>
            </w:r>
            <w:r w:rsidRPr="00875F1E">
              <w:rPr>
                <w:color w:val="000000"/>
                <w:sz w:val="18"/>
                <w:szCs w:val="18"/>
              </w:rPr>
              <w:br/>
              <w:t>(</w:t>
            </w:r>
            <w:r w:rsidRPr="00875F1E">
              <w:rPr>
                <w:i/>
                <w:iCs/>
                <w:color w:val="000000"/>
                <w:sz w:val="18"/>
                <w:szCs w:val="18"/>
              </w:rPr>
              <w:t>fylkeskommunen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42F2085A"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5A37425B" w14:textId="77777777" w:rsidR="00F600DE" w:rsidRPr="00875F1E" w:rsidRDefault="00F600DE" w:rsidP="009238AE">
            <w:pPr>
              <w:jc w:val="left"/>
              <w:rPr>
                <w:b/>
                <w:bCs/>
                <w:color w:val="000000"/>
                <w:sz w:val="18"/>
                <w:szCs w:val="18"/>
              </w:rPr>
            </w:pPr>
          </w:p>
        </w:tc>
      </w:tr>
      <w:tr w:rsidR="00F600DE" w:rsidRPr="0055149C" w14:paraId="0C56BB81"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19DE3DD" w14:textId="77777777" w:rsidR="00F600DE" w:rsidRPr="00875F1E" w:rsidRDefault="00F600DE" w:rsidP="009238AE">
            <w:pPr>
              <w:jc w:val="center"/>
              <w:rPr>
                <w:b/>
                <w:bCs/>
                <w:color w:val="000000"/>
                <w:sz w:val="18"/>
                <w:szCs w:val="18"/>
              </w:rPr>
            </w:pPr>
            <w:r w:rsidRPr="00875F1E">
              <w:rPr>
                <w:color w:val="000000"/>
                <w:sz w:val="18"/>
                <w:szCs w:val="18"/>
              </w:rPr>
              <w:t>FGK3</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13B769E" w14:textId="77777777" w:rsidR="00F600DE" w:rsidRPr="00875F1E" w:rsidRDefault="00F600DE" w:rsidP="009238AE">
            <w:pPr>
              <w:jc w:val="left"/>
              <w:rPr>
                <w:b/>
                <w:bCs/>
                <w:color w:val="000000"/>
                <w:sz w:val="18"/>
                <w:szCs w:val="18"/>
              </w:rPr>
            </w:pPr>
            <w:r w:rsidRPr="00875F1E">
              <w:rPr>
                <w:color w:val="000000"/>
                <w:sz w:val="18"/>
                <w:szCs w:val="18"/>
              </w:rPr>
              <w:t>Plan, byggesak og miljø</w:t>
            </w:r>
            <w:r w:rsidRPr="00875F1E">
              <w:rPr>
                <w:color w:val="000000"/>
                <w:sz w:val="18"/>
                <w:szCs w:val="18"/>
              </w:rPr>
              <w:br/>
              <w:t>(</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bottom w:val="single" w:sz="4" w:space="0" w:color="auto"/>
              <w:right w:val="single" w:sz="4" w:space="0" w:color="auto"/>
            </w:tcBorders>
            <w:shd w:val="clear" w:color="auto" w:fill="auto"/>
            <w:vAlign w:val="center"/>
          </w:tcPr>
          <w:p w14:paraId="4142635D"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2AEACA11" w14:textId="77777777" w:rsidR="00F600DE" w:rsidRPr="00875F1E" w:rsidRDefault="00F600DE" w:rsidP="009238AE">
            <w:pPr>
              <w:jc w:val="left"/>
              <w:rPr>
                <w:b/>
                <w:bCs/>
                <w:color w:val="000000"/>
                <w:sz w:val="18"/>
                <w:szCs w:val="18"/>
              </w:rPr>
            </w:pPr>
          </w:p>
        </w:tc>
      </w:tr>
      <w:tr w:rsidR="00F600DE" w:rsidRPr="0055149C" w14:paraId="1D281EFD"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66408B8" w14:textId="77777777" w:rsidR="00F600DE" w:rsidRPr="00875F1E" w:rsidRDefault="00F600DE" w:rsidP="009238AE">
            <w:pPr>
              <w:jc w:val="center"/>
              <w:rPr>
                <w:b/>
                <w:bCs/>
                <w:color w:val="000000"/>
                <w:sz w:val="18"/>
                <w:szCs w:val="18"/>
              </w:rPr>
            </w:pPr>
            <w:r w:rsidRPr="00875F1E">
              <w:rPr>
                <w:color w:val="000000"/>
                <w:sz w:val="18"/>
                <w:szCs w:val="18"/>
              </w:rPr>
              <w:t>FGK8b</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6AF7845" w14:textId="77777777" w:rsidR="00F600DE" w:rsidRPr="00875F1E" w:rsidRDefault="00F600DE" w:rsidP="009238AE">
            <w:pPr>
              <w:jc w:val="left"/>
              <w:rPr>
                <w:b/>
                <w:bCs/>
                <w:color w:val="000000"/>
                <w:sz w:val="18"/>
                <w:szCs w:val="18"/>
              </w:rPr>
            </w:pPr>
            <w:r w:rsidRPr="00875F1E">
              <w:rPr>
                <w:color w:val="000000"/>
                <w:sz w:val="18"/>
                <w:szCs w:val="18"/>
              </w:rPr>
              <w:t>Grunnskole</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44A5F1F7" w14:textId="77777777" w:rsidR="00F600DE" w:rsidRPr="00875F1E" w:rsidRDefault="00F600DE" w:rsidP="009238AE">
            <w:pPr>
              <w:jc w:val="center"/>
              <w:rPr>
                <w:b/>
                <w:bCs/>
                <w:color w:val="000000"/>
                <w:sz w:val="18"/>
                <w:szCs w:val="18"/>
              </w:rPr>
            </w:pPr>
            <w:r w:rsidRPr="00875F1E">
              <w:rPr>
                <w:color w:val="000000"/>
                <w:sz w:val="18"/>
                <w:szCs w:val="18"/>
              </w:rPr>
              <w:t>85</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2D407729" w14:textId="77777777" w:rsidR="00F600DE" w:rsidRPr="00875F1E" w:rsidRDefault="00F600DE" w:rsidP="009238AE">
            <w:pPr>
              <w:jc w:val="left"/>
              <w:rPr>
                <w:b/>
                <w:bCs/>
                <w:color w:val="000000"/>
                <w:sz w:val="18"/>
                <w:szCs w:val="18"/>
              </w:rPr>
            </w:pPr>
            <w:r w:rsidRPr="00875F1E">
              <w:rPr>
                <w:color w:val="000000"/>
                <w:sz w:val="18"/>
                <w:szCs w:val="18"/>
              </w:rPr>
              <w:t>Utdanning</w:t>
            </w:r>
          </w:p>
        </w:tc>
      </w:tr>
      <w:tr w:rsidR="00F600DE" w:rsidRPr="0055149C" w14:paraId="692C2A73"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7398124" w14:textId="77777777" w:rsidR="00F600DE" w:rsidRPr="00875F1E" w:rsidRDefault="00F600DE" w:rsidP="009238AE">
            <w:pPr>
              <w:jc w:val="center"/>
              <w:rPr>
                <w:b/>
                <w:bCs/>
                <w:color w:val="000000"/>
                <w:sz w:val="18"/>
                <w:szCs w:val="18"/>
              </w:rPr>
            </w:pPr>
            <w:r w:rsidRPr="00875F1E">
              <w:rPr>
                <w:color w:val="000000"/>
                <w:sz w:val="18"/>
                <w:szCs w:val="18"/>
              </w:rPr>
              <w:t>FGF7</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41C0284" w14:textId="77777777" w:rsidR="00F600DE" w:rsidRPr="00875F1E" w:rsidRDefault="00F600DE" w:rsidP="009238AE">
            <w:pPr>
              <w:jc w:val="left"/>
              <w:rPr>
                <w:b/>
                <w:bCs/>
                <w:color w:val="000000"/>
                <w:sz w:val="18"/>
                <w:szCs w:val="18"/>
              </w:rPr>
            </w:pPr>
            <w:r w:rsidRPr="00875F1E">
              <w:rPr>
                <w:color w:val="000000"/>
                <w:sz w:val="18"/>
                <w:szCs w:val="18"/>
              </w:rPr>
              <w:t>Videregående opplæring</w:t>
            </w:r>
          </w:p>
        </w:tc>
        <w:tc>
          <w:tcPr>
            <w:tcW w:w="1062" w:type="dxa"/>
            <w:vMerge/>
            <w:tcBorders>
              <w:left w:val="single" w:sz="4" w:space="0" w:color="auto"/>
              <w:bottom w:val="single" w:sz="4" w:space="0" w:color="auto"/>
              <w:right w:val="single" w:sz="4" w:space="0" w:color="auto"/>
            </w:tcBorders>
            <w:shd w:val="clear" w:color="auto" w:fill="auto"/>
            <w:vAlign w:val="center"/>
          </w:tcPr>
          <w:p w14:paraId="219963E3"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1499BE74" w14:textId="77777777" w:rsidR="00F600DE" w:rsidRPr="00875F1E" w:rsidRDefault="00F600DE" w:rsidP="009238AE">
            <w:pPr>
              <w:jc w:val="left"/>
              <w:rPr>
                <w:b/>
                <w:bCs/>
                <w:color w:val="000000"/>
                <w:sz w:val="18"/>
                <w:szCs w:val="18"/>
              </w:rPr>
            </w:pPr>
          </w:p>
        </w:tc>
      </w:tr>
      <w:tr w:rsidR="00F600DE" w:rsidRPr="0055149C" w14:paraId="01FB0D80"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E657476" w14:textId="77777777" w:rsidR="00F600DE" w:rsidRPr="00875F1E" w:rsidRDefault="00F600DE" w:rsidP="009238AE">
            <w:pPr>
              <w:jc w:val="center"/>
              <w:rPr>
                <w:b/>
                <w:bCs/>
                <w:color w:val="000000"/>
                <w:sz w:val="18"/>
                <w:szCs w:val="18"/>
              </w:rPr>
            </w:pPr>
            <w:r w:rsidRPr="00875F1E">
              <w:rPr>
                <w:color w:val="000000"/>
                <w:sz w:val="18"/>
                <w:szCs w:val="18"/>
              </w:rPr>
              <w:t>FGF8</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531C847" w14:textId="77777777" w:rsidR="00F600DE" w:rsidRPr="00875F1E" w:rsidRDefault="00F600DE" w:rsidP="009238AE">
            <w:pPr>
              <w:jc w:val="left"/>
              <w:rPr>
                <w:b/>
                <w:bCs/>
                <w:color w:val="000000"/>
                <w:sz w:val="18"/>
                <w:szCs w:val="18"/>
              </w:rPr>
            </w:pPr>
            <w:r w:rsidRPr="00875F1E">
              <w:rPr>
                <w:color w:val="000000"/>
                <w:sz w:val="18"/>
                <w:szCs w:val="18"/>
              </w:rPr>
              <w:t>Tannhelse</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1DD3DD6" w14:textId="77777777" w:rsidR="00F600DE" w:rsidRPr="00875F1E" w:rsidRDefault="00F600DE" w:rsidP="009238AE">
            <w:pPr>
              <w:jc w:val="center"/>
              <w:rPr>
                <w:b/>
                <w:bCs/>
                <w:color w:val="000000"/>
                <w:sz w:val="18"/>
                <w:szCs w:val="18"/>
              </w:rPr>
            </w:pPr>
            <w:r w:rsidRPr="00875F1E">
              <w:rPr>
                <w:color w:val="000000"/>
                <w:sz w:val="18"/>
                <w:szCs w:val="18"/>
              </w:rPr>
              <w:t>86</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6F99FFE6" w14:textId="77777777" w:rsidR="00F600DE" w:rsidRPr="00875F1E" w:rsidRDefault="00F600DE" w:rsidP="009238AE">
            <w:pPr>
              <w:jc w:val="left"/>
              <w:rPr>
                <w:b/>
                <w:bCs/>
                <w:color w:val="000000"/>
                <w:sz w:val="18"/>
                <w:szCs w:val="18"/>
              </w:rPr>
            </w:pPr>
            <w:r w:rsidRPr="00875F1E">
              <w:rPr>
                <w:color w:val="000000"/>
                <w:sz w:val="18"/>
                <w:szCs w:val="18"/>
              </w:rPr>
              <w:t>Helse</w:t>
            </w:r>
          </w:p>
        </w:tc>
      </w:tr>
      <w:tr w:rsidR="00F600DE" w:rsidRPr="0055149C" w14:paraId="49549B56"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17418D31" w14:textId="77777777" w:rsidR="00F600DE" w:rsidRPr="00875F1E" w:rsidRDefault="00F600DE" w:rsidP="009238AE">
            <w:pPr>
              <w:jc w:val="center"/>
              <w:rPr>
                <w:b/>
                <w:bCs/>
                <w:color w:val="000000"/>
                <w:sz w:val="18"/>
                <w:szCs w:val="18"/>
              </w:rPr>
            </w:pPr>
            <w:r w:rsidRPr="00875F1E">
              <w:rPr>
                <w:color w:val="000000"/>
                <w:sz w:val="18"/>
                <w:szCs w:val="18"/>
              </w:rPr>
              <w:t>FGK9</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8D2524A" w14:textId="77777777" w:rsidR="00F600DE" w:rsidRPr="00875F1E" w:rsidRDefault="00F600DE" w:rsidP="009238AE">
            <w:pPr>
              <w:jc w:val="left"/>
              <w:rPr>
                <w:b/>
                <w:bCs/>
                <w:color w:val="000000"/>
                <w:sz w:val="18"/>
                <w:szCs w:val="18"/>
              </w:rPr>
            </w:pPr>
            <w:r w:rsidRPr="00875F1E">
              <w:rPr>
                <w:color w:val="000000"/>
                <w:sz w:val="18"/>
                <w:szCs w:val="18"/>
              </w:rPr>
              <w:t>Helse og omsorg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47ABC849" w14:textId="77777777" w:rsidR="00F600DE" w:rsidRPr="00875F1E" w:rsidRDefault="00F600DE" w:rsidP="009238AE">
            <w:pPr>
              <w:jc w:val="center"/>
              <w:rPr>
                <w:b/>
                <w:bCs/>
                <w:color w:val="000000"/>
                <w:sz w:val="18"/>
                <w:szCs w:val="18"/>
              </w:rPr>
            </w:pPr>
            <w:r w:rsidRPr="00875F1E">
              <w:rPr>
                <w:color w:val="000000"/>
                <w:sz w:val="18"/>
                <w:szCs w:val="18"/>
              </w:rPr>
              <w:t>86 til 88</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242F6579" w14:textId="77777777" w:rsidR="00F600DE" w:rsidRPr="00875F1E" w:rsidRDefault="00F600DE" w:rsidP="009238AE">
            <w:pPr>
              <w:jc w:val="left"/>
              <w:rPr>
                <w:b/>
                <w:bCs/>
                <w:color w:val="000000"/>
                <w:sz w:val="18"/>
                <w:szCs w:val="18"/>
              </w:rPr>
            </w:pPr>
            <w:r w:rsidRPr="00875F1E">
              <w:rPr>
                <w:color w:val="000000"/>
                <w:sz w:val="18"/>
                <w:szCs w:val="18"/>
              </w:rPr>
              <w:t>Helse og omsorg</w:t>
            </w:r>
          </w:p>
        </w:tc>
      </w:tr>
      <w:tr w:rsidR="00F600DE" w:rsidRPr="0055149C" w14:paraId="493DB88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DD81DEA" w14:textId="77777777" w:rsidR="00F600DE" w:rsidRPr="00875F1E" w:rsidRDefault="00F600DE" w:rsidP="009238AE">
            <w:pPr>
              <w:jc w:val="center"/>
              <w:rPr>
                <w:b/>
                <w:bCs/>
                <w:color w:val="000000"/>
                <w:sz w:val="18"/>
                <w:szCs w:val="18"/>
              </w:rPr>
            </w:pPr>
            <w:r w:rsidRPr="00875F1E">
              <w:rPr>
                <w:color w:val="000000"/>
                <w:sz w:val="18"/>
                <w:szCs w:val="18"/>
              </w:rPr>
              <w:t>FGK7</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7007485" w14:textId="77777777" w:rsidR="00F600DE" w:rsidRPr="00875F1E" w:rsidRDefault="00F600DE" w:rsidP="009238AE">
            <w:pPr>
              <w:jc w:val="left"/>
              <w:rPr>
                <w:b/>
                <w:bCs/>
                <w:color w:val="000000"/>
                <w:sz w:val="18"/>
                <w:szCs w:val="18"/>
              </w:rPr>
            </w:pPr>
            <w:r w:rsidRPr="00875F1E">
              <w:rPr>
                <w:color w:val="000000"/>
                <w:sz w:val="18"/>
                <w:szCs w:val="18"/>
              </w:rPr>
              <w:t>Barnehage</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6782FC56" w14:textId="77777777" w:rsidR="00F600DE" w:rsidRPr="00875F1E" w:rsidRDefault="00F600DE" w:rsidP="009238AE">
            <w:pPr>
              <w:jc w:val="center"/>
              <w:rPr>
                <w:b/>
                <w:bCs/>
                <w:color w:val="000000"/>
                <w:sz w:val="18"/>
                <w:szCs w:val="18"/>
              </w:rPr>
            </w:pPr>
            <w:r w:rsidRPr="00875F1E">
              <w:rPr>
                <w:color w:val="000000"/>
                <w:sz w:val="18"/>
                <w:szCs w:val="18"/>
              </w:rPr>
              <w:t>87 til 88</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27177058" w14:textId="77777777" w:rsidR="00F600DE" w:rsidRPr="00875F1E" w:rsidRDefault="00F600DE" w:rsidP="009238AE">
            <w:pPr>
              <w:jc w:val="left"/>
              <w:rPr>
                <w:b/>
                <w:bCs/>
                <w:color w:val="000000"/>
                <w:sz w:val="18"/>
                <w:szCs w:val="18"/>
              </w:rPr>
            </w:pPr>
            <w:r w:rsidRPr="00875F1E">
              <w:rPr>
                <w:color w:val="000000"/>
                <w:sz w:val="18"/>
                <w:szCs w:val="18"/>
              </w:rPr>
              <w:t>Omsorg</w:t>
            </w:r>
          </w:p>
        </w:tc>
      </w:tr>
      <w:tr w:rsidR="00F600DE" w:rsidRPr="0055149C" w14:paraId="0ADC8C3C"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FDD2E11" w14:textId="77777777" w:rsidR="00F600DE" w:rsidRPr="00875F1E" w:rsidRDefault="00F600DE" w:rsidP="009238AE">
            <w:pPr>
              <w:jc w:val="center"/>
              <w:rPr>
                <w:b/>
                <w:bCs/>
                <w:color w:val="000000"/>
                <w:sz w:val="18"/>
                <w:szCs w:val="18"/>
              </w:rPr>
            </w:pPr>
            <w:r w:rsidRPr="00875F1E">
              <w:rPr>
                <w:color w:val="000000"/>
                <w:sz w:val="18"/>
                <w:szCs w:val="18"/>
              </w:rPr>
              <w:t>FGK13</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33D3B43" w14:textId="77777777" w:rsidR="00F600DE" w:rsidRPr="00875F1E" w:rsidRDefault="00F600DE" w:rsidP="009238AE">
            <w:pPr>
              <w:jc w:val="left"/>
              <w:rPr>
                <w:b/>
                <w:bCs/>
                <w:color w:val="000000"/>
                <w:sz w:val="18"/>
                <w:szCs w:val="18"/>
              </w:rPr>
            </w:pPr>
            <w:r w:rsidRPr="00875F1E">
              <w:rPr>
                <w:color w:val="000000"/>
                <w:sz w:val="18"/>
                <w:szCs w:val="18"/>
              </w:rPr>
              <w:t>Barnevern</w:t>
            </w:r>
          </w:p>
        </w:tc>
        <w:tc>
          <w:tcPr>
            <w:tcW w:w="1062" w:type="dxa"/>
            <w:vMerge/>
            <w:tcBorders>
              <w:left w:val="single" w:sz="4" w:space="0" w:color="auto"/>
              <w:right w:val="single" w:sz="4" w:space="0" w:color="auto"/>
            </w:tcBorders>
            <w:shd w:val="clear" w:color="auto" w:fill="auto"/>
            <w:vAlign w:val="center"/>
          </w:tcPr>
          <w:p w14:paraId="1F174133"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5A2CFC6B" w14:textId="77777777" w:rsidR="00F600DE" w:rsidRPr="00875F1E" w:rsidRDefault="00F600DE" w:rsidP="009238AE">
            <w:pPr>
              <w:jc w:val="left"/>
              <w:rPr>
                <w:b/>
                <w:bCs/>
                <w:color w:val="000000"/>
                <w:sz w:val="18"/>
                <w:szCs w:val="18"/>
              </w:rPr>
            </w:pPr>
          </w:p>
        </w:tc>
      </w:tr>
      <w:tr w:rsidR="00F600DE" w:rsidRPr="0055149C" w14:paraId="2FD8D461"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9FC9AD6" w14:textId="77777777" w:rsidR="00F600DE" w:rsidRPr="00875F1E" w:rsidRDefault="00F600DE" w:rsidP="009238AE">
            <w:pPr>
              <w:jc w:val="center"/>
              <w:rPr>
                <w:b/>
                <w:bCs/>
                <w:color w:val="000000"/>
                <w:sz w:val="18"/>
                <w:szCs w:val="18"/>
              </w:rPr>
            </w:pPr>
            <w:r w:rsidRPr="00875F1E">
              <w:rPr>
                <w:color w:val="000000"/>
                <w:sz w:val="18"/>
                <w:szCs w:val="18"/>
              </w:rPr>
              <w:t>FGK12</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ACCD0B1" w14:textId="77777777" w:rsidR="00F600DE" w:rsidRPr="00875F1E" w:rsidRDefault="00F600DE" w:rsidP="009238AE">
            <w:pPr>
              <w:jc w:val="left"/>
              <w:rPr>
                <w:b/>
                <w:bCs/>
                <w:color w:val="000000"/>
                <w:sz w:val="18"/>
                <w:szCs w:val="18"/>
              </w:rPr>
            </w:pPr>
            <w:r w:rsidRPr="00875F1E">
              <w:rPr>
                <w:color w:val="000000"/>
                <w:sz w:val="18"/>
                <w:szCs w:val="18"/>
              </w:rPr>
              <w:t>Sosialsektoren</w:t>
            </w:r>
          </w:p>
        </w:tc>
        <w:tc>
          <w:tcPr>
            <w:tcW w:w="1062" w:type="dxa"/>
            <w:vMerge/>
            <w:tcBorders>
              <w:left w:val="single" w:sz="4" w:space="0" w:color="auto"/>
              <w:bottom w:val="single" w:sz="4" w:space="0" w:color="auto"/>
              <w:right w:val="single" w:sz="4" w:space="0" w:color="auto"/>
            </w:tcBorders>
            <w:shd w:val="clear" w:color="auto" w:fill="auto"/>
            <w:vAlign w:val="center"/>
          </w:tcPr>
          <w:p w14:paraId="1E6F050C"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242162D2" w14:textId="77777777" w:rsidR="00F600DE" w:rsidRPr="00875F1E" w:rsidRDefault="00F600DE" w:rsidP="009238AE">
            <w:pPr>
              <w:jc w:val="left"/>
              <w:rPr>
                <w:b/>
                <w:bCs/>
                <w:color w:val="000000"/>
                <w:sz w:val="18"/>
                <w:szCs w:val="18"/>
              </w:rPr>
            </w:pPr>
          </w:p>
        </w:tc>
      </w:tr>
      <w:tr w:rsidR="00F600DE" w:rsidRPr="0055149C" w14:paraId="2F63F237"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C5848A8" w14:textId="77777777" w:rsidR="00F600DE" w:rsidRPr="00875F1E" w:rsidRDefault="00F600DE" w:rsidP="009238AE">
            <w:pPr>
              <w:jc w:val="center"/>
              <w:rPr>
                <w:color w:val="000000"/>
                <w:sz w:val="18"/>
                <w:szCs w:val="18"/>
              </w:rPr>
            </w:pPr>
            <w:r w:rsidRPr="00875F1E">
              <w:rPr>
                <w:color w:val="000000"/>
                <w:sz w:val="18"/>
                <w:szCs w:val="18"/>
              </w:rPr>
              <w:t>FGF3</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1E83071" w14:textId="77777777" w:rsidR="00F600DE" w:rsidRPr="00875F1E" w:rsidRDefault="00F600DE" w:rsidP="009238AE">
            <w:pPr>
              <w:jc w:val="left"/>
              <w:rPr>
                <w:color w:val="000000"/>
                <w:sz w:val="18"/>
                <w:szCs w:val="18"/>
              </w:rPr>
            </w:pPr>
            <w:r w:rsidRPr="00875F1E">
              <w:rPr>
                <w:color w:val="000000"/>
                <w:sz w:val="18"/>
                <w:szCs w:val="18"/>
              </w:rPr>
              <w:t>Kultursektoren (</w:t>
            </w:r>
            <w:r w:rsidRPr="00875F1E">
              <w:rPr>
                <w:i/>
                <w:iCs/>
                <w:color w:val="000000"/>
                <w:sz w:val="18"/>
                <w:szCs w:val="18"/>
              </w:rPr>
              <w:t>fylkeskommunen</w:t>
            </w:r>
            <w:r w:rsidRPr="00875F1E">
              <w:rPr>
                <w:color w:val="000000"/>
                <w:sz w:val="18"/>
                <w:szCs w:val="18"/>
              </w:rPr>
              <w:t>)</w:t>
            </w:r>
          </w:p>
        </w:tc>
        <w:tc>
          <w:tcPr>
            <w:tcW w:w="1062" w:type="dxa"/>
            <w:vMerge w:val="restart"/>
            <w:tcBorders>
              <w:left w:val="single" w:sz="4" w:space="0" w:color="auto"/>
              <w:right w:val="single" w:sz="4" w:space="0" w:color="auto"/>
            </w:tcBorders>
            <w:shd w:val="clear" w:color="auto" w:fill="auto"/>
            <w:vAlign w:val="center"/>
          </w:tcPr>
          <w:p w14:paraId="53974FF8" w14:textId="77777777" w:rsidR="00F600DE" w:rsidRPr="00875F1E" w:rsidRDefault="00F600DE" w:rsidP="009238AE">
            <w:pPr>
              <w:jc w:val="center"/>
              <w:rPr>
                <w:b/>
                <w:bCs/>
                <w:color w:val="000000"/>
                <w:sz w:val="18"/>
                <w:szCs w:val="18"/>
              </w:rPr>
            </w:pPr>
            <w:r w:rsidRPr="00875F1E">
              <w:rPr>
                <w:color w:val="000000"/>
                <w:sz w:val="18"/>
                <w:szCs w:val="18"/>
              </w:rPr>
              <w:t>90 til 92</w:t>
            </w:r>
          </w:p>
        </w:tc>
        <w:tc>
          <w:tcPr>
            <w:tcW w:w="3185" w:type="dxa"/>
            <w:vMerge w:val="restart"/>
            <w:tcBorders>
              <w:left w:val="single" w:sz="4" w:space="0" w:color="auto"/>
              <w:right w:val="single" w:sz="4" w:space="0" w:color="auto"/>
            </w:tcBorders>
            <w:shd w:val="clear" w:color="auto" w:fill="auto"/>
            <w:vAlign w:val="center"/>
          </w:tcPr>
          <w:p w14:paraId="6EE3ACAA" w14:textId="77777777" w:rsidR="00F600DE" w:rsidRPr="00875F1E" w:rsidRDefault="00F600DE" w:rsidP="009238AE">
            <w:pPr>
              <w:jc w:val="left"/>
              <w:rPr>
                <w:b/>
                <w:bCs/>
                <w:color w:val="000000"/>
                <w:sz w:val="18"/>
                <w:szCs w:val="18"/>
              </w:rPr>
            </w:pPr>
            <w:r w:rsidRPr="00875F1E">
              <w:rPr>
                <w:color w:val="000000"/>
                <w:sz w:val="18"/>
                <w:szCs w:val="18"/>
              </w:rPr>
              <w:t>Kunst, underholdning og spill</w:t>
            </w:r>
          </w:p>
        </w:tc>
      </w:tr>
      <w:tr w:rsidR="00F600DE" w:rsidRPr="0055149C" w14:paraId="2B6317CC"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84FF695" w14:textId="77777777" w:rsidR="00F600DE" w:rsidRPr="00875F1E" w:rsidRDefault="00F600DE" w:rsidP="009238AE">
            <w:pPr>
              <w:jc w:val="center"/>
              <w:rPr>
                <w:color w:val="000000"/>
                <w:sz w:val="18"/>
                <w:szCs w:val="18"/>
              </w:rPr>
            </w:pPr>
            <w:r w:rsidRPr="00875F1E">
              <w:rPr>
                <w:color w:val="000000"/>
                <w:sz w:val="18"/>
                <w:szCs w:val="18"/>
              </w:rPr>
              <w:t>FGK2</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1EB37A5D" w14:textId="77777777" w:rsidR="00F600DE" w:rsidRPr="00875F1E" w:rsidRDefault="00F600DE" w:rsidP="009238AE">
            <w:pPr>
              <w:jc w:val="left"/>
              <w:rPr>
                <w:color w:val="000000"/>
                <w:sz w:val="18"/>
                <w:szCs w:val="18"/>
              </w:rPr>
            </w:pPr>
            <w:r w:rsidRPr="00875F1E">
              <w:rPr>
                <w:color w:val="000000"/>
                <w:sz w:val="18"/>
                <w:szCs w:val="18"/>
              </w:rPr>
              <w:t>Kultursektoren (</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6669F928"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0A88564A" w14:textId="77777777" w:rsidR="00F600DE" w:rsidRPr="00875F1E" w:rsidRDefault="00F600DE" w:rsidP="009238AE">
            <w:pPr>
              <w:jc w:val="left"/>
              <w:rPr>
                <w:b/>
                <w:bCs/>
                <w:color w:val="000000"/>
                <w:sz w:val="18"/>
                <w:szCs w:val="18"/>
              </w:rPr>
            </w:pPr>
          </w:p>
        </w:tc>
      </w:tr>
      <w:tr w:rsidR="00F600DE" w:rsidRPr="0055149C" w14:paraId="0F0018E8"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1394A875" w14:textId="77777777" w:rsidR="00F600DE" w:rsidRPr="00875F1E" w:rsidRDefault="00F600DE" w:rsidP="009238AE">
            <w:pPr>
              <w:jc w:val="center"/>
              <w:rPr>
                <w:color w:val="000000"/>
                <w:sz w:val="18"/>
                <w:szCs w:val="18"/>
              </w:rPr>
            </w:pPr>
            <w:r w:rsidRPr="00875F1E">
              <w:rPr>
                <w:color w:val="000000"/>
                <w:sz w:val="18"/>
                <w:szCs w:val="18"/>
              </w:rPr>
              <w:t>FGK15</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90F3E96" w14:textId="77777777" w:rsidR="00F600DE" w:rsidRPr="00875F1E" w:rsidRDefault="00F600DE" w:rsidP="009238AE">
            <w:pPr>
              <w:jc w:val="left"/>
              <w:rPr>
                <w:color w:val="000000"/>
                <w:sz w:val="18"/>
                <w:szCs w:val="18"/>
              </w:rPr>
            </w:pPr>
            <w:r w:rsidRPr="00875F1E">
              <w:rPr>
                <w:color w:val="000000"/>
                <w:sz w:val="18"/>
                <w:szCs w:val="18"/>
              </w:rPr>
              <w:t>Kirke</w:t>
            </w:r>
          </w:p>
        </w:tc>
        <w:tc>
          <w:tcPr>
            <w:tcW w:w="1062" w:type="dxa"/>
            <w:tcBorders>
              <w:left w:val="single" w:sz="4" w:space="0" w:color="auto"/>
              <w:bottom w:val="single" w:sz="4" w:space="0" w:color="auto"/>
              <w:right w:val="single" w:sz="4" w:space="0" w:color="auto"/>
            </w:tcBorders>
            <w:shd w:val="clear" w:color="auto" w:fill="auto"/>
            <w:vAlign w:val="center"/>
          </w:tcPr>
          <w:p w14:paraId="68E0CF2A" w14:textId="77777777" w:rsidR="00F600DE" w:rsidRPr="00875F1E" w:rsidRDefault="00F600DE" w:rsidP="009238AE">
            <w:pPr>
              <w:jc w:val="center"/>
              <w:rPr>
                <w:b/>
                <w:bCs/>
                <w:color w:val="000000"/>
                <w:sz w:val="18"/>
                <w:szCs w:val="18"/>
              </w:rPr>
            </w:pPr>
            <w:r w:rsidRPr="00875F1E">
              <w:rPr>
                <w:color w:val="000000"/>
                <w:sz w:val="18"/>
                <w:szCs w:val="18"/>
              </w:rPr>
              <w:t>94 og 99</w:t>
            </w:r>
          </w:p>
        </w:tc>
        <w:tc>
          <w:tcPr>
            <w:tcW w:w="3185" w:type="dxa"/>
            <w:tcBorders>
              <w:left w:val="single" w:sz="4" w:space="0" w:color="auto"/>
              <w:bottom w:val="single" w:sz="4" w:space="0" w:color="auto"/>
              <w:right w:val="single" w:sz="4" w:space="0" w:color="auto"/>
            </w:tcBorders>
            <w:shd w:val="clear" w:color="auto" w:fill="auto"/>
            <w:vAlign w:val="center"/>
          </w:tcPr>
          <w:p w14:paraId="137873D3" w14:textId="77777777" w:rsidR="00F600DE" w:rsidRPr="00875F1E" w:rsidRDefault="00F600DE" w:rsidP="009238AE">
            <w:pPr>
              <w:jc w:val="left"/>
              <w:rPr>
                <w:b/>
                <w:bCs/>
                <w:color w:val="000000"/>
                <w:sz w:val="18"/>
                <w:szCs w:val="18"/>
              </w:rPr>
            </w:pPr>
            <w:r w:rsidRPr="00875F1E">
              <w:rPr>
                <w:color w:val="000000"/>
                <w:sz w:val="18"/>
                <w:szCs w:val="18"/>
              </w:rPr>
              <w:t>Medlemsorganisasjoner</w:t>
            </w:r>
          </w:p>
        </w:tc>
      </w:tr>
    </w:tbl>
    <w:p w14:paraId="1C36A9A8" w14:textId="763519BB" w:rsidR="00F600DE" w:rsidRPr="0055149C" w:rsidRDefault="00F600DE" w:rsidP="00F600DE">
      <w:pPr>
        <w:pStyle w:val="Source"/>
        <w:rPr>
          <w:lang w:eastAsia="nb-NO"/>
        </w:rPr>
      </w:pPr>
      <w:r w:rsidRPr="0055149C">
        <w:rPr>
          <w:lang w:eastAsia="nb-NO"/>
        </w:rPr>
        <w:t xml:space="preserve">Kilde: Vista Analyse basert på </w:t>
      </w:r>
      <w:r>
        <w:rPr>
          <w:lang w:eastAsia="nb-NO"/>
        </w:rPr>
        <w:t>KOSTRA</w:t>
      </w:r>
      <w:r w:rsidRPr="0055149C">
        <w:rPr>
          <w:lang w:eastAsia="nb-NO"/>
        </w:rPr>
        <w:t>-statistikken til Statistisk sentralbyrå</w:t>
      </w:r>
    </w:p>
    <w:p w14:paraId="00F2C260" w14:textId="311919D2" w:rsidR="00CE72DB" w:rsidRDefault="002304AE" w:rsidP="002304AE">
      <w:pPr>
        <w:rPr>
          <w:lang w:eastAsia="nb-NO"/>
        </w:rPr>
      </w:pPr>
      <w:r w:rsidRPr="0055149C">
        <w:rPr>
          <w:lang w:eastAsia="nb-NO"/>
        </w:rPr>
        <w:t xml:space="preserve">Regionale eiendomsprisindekser </w:t>
      </w:r>
      <w:r w:rsidR="00045855">
        <w:rPr>
          <w:lang w:eastAsia="nb-NO"/>
        </w:rPr>
        <w:t xml:space="preserve">er beskrivende for </w:t>
      </w:r>
      <w:r w:rsidRPr="0055149C">
        <w:rPr>
          <w:lang w:eastAsia="nb-NO"/>
        </w:rPr>
        <w:t xml:space="preserve">prisutviklingen til fast eiendom samlet, men ikke nødvendigvis kapitalslitet. </w:t>
      </w:r>
      <w:r w:rsidR="00AB48A0">
        <w:rPr>
          <w:lang w:eastAsia="nb-NO"/>
        </w:rPr>
        <w:t>Vi ønsker derfor å utnytte</w:t>
      </w:r>
      <w:r w:rsidR="00AB48A0" w:rsidRPr="0055149C">
        <w:rPr>
          <w:lang w:eastAsia="nb-NO"/>
        </w:rPr>
        <w:t xml:space="preserve"> bygg- og anleggsdeflatoren og anslag </w:t>
      </w:r>
      <w:r w:rsidR="00AB48A0" w:rsidRPr="0055149C">
        <w:rPr>
          <w:lang w:eastAsia="nb-NO"/>
        </w:rPr>
        <w:lastRenderedPageBreak/>
        <w:t>for tomteverdiens andel av eiendomsverdiene til å ta høyde for næringsmessig</w:t>
      </w:r>
      <w:r w:rsidR="00AB48A0">
        <w:rPr>
          <w:lang w:eastAsia="nb-NO"/>
        </w:rPr>
        <w:t>e</w:t>
      </w:r>
      <w:r w:rsidR="00AB48A0" w:rsidRPr="0055149C">
        <w:rPr>
          <w:lang w:eastAsia="nb-NO"/>
        </w:rPr>
        <w:t xml:space="preserve"> forskjeller i prisutviklingen for fast</w:t>
      </w:r>
      <w:r w:rsidR="00256108">
        <w:rPr>
          <w:lang w:eastAsia="nb-NO"/>
        </w:rPr>
        <w:t>e</w:t>
      </w:r>
      <w:r w:rsidR="00AB48A0" w:rsidRPr="0055149C">
        <w:rPr>
          <w:lang w:eastAsia="nb-NO"/>
        </w:rPr>
        <w:t xml:space="preserve"> eiendommer og anlegg</w:t>
      </w:r>
      <w:r w:rsidR="00AB48A0">
        <w:rPr>
          <w:lang w:eastAsia="nb-NO"/>
        </w:rPr>
        <w:t xml:space="preserve">. I praksis </w:t>
      </w:r>
      <w:r w:rsidR="007C0E98">
        <w:rPr>
          <w:lang w:eastAsia="nb-NO"/>
        </w:rPr>
        <w:t xml:space="preserve">korrigerer vi en </w:t>
      </w:r>
      <w:r w:rsidR="0013746E">
        <w:rPr>
          <w:lang w:eastAsia="nb-NO"/>
        </w:rPr>
        <w:t xml:space="preserve">andel av eiendomskapitalen med forholdstallet mellom </w:t>
      </w:r>
      <w:r w:rsidR="00BC1F22">
        <w:rPr>
          <w:lang w:eastAsia="nb-NO"/>
        </w:rPr>
        <w:t>bygg- og anleggs</w:t>
      </w:r>
      <w:r w:rsidR="00F81BE0">
        <w:rPr>
          <w:lang w:eastAsia="nb-NO"/>
        </w:rPr>
        <w:t>deflatoren</w:t>
      </w:r>
      <w:r w:rsidR="00BC1F22">
        <w:rPr>
          <w:lang w:eastAsia="nb-NO"/>
        </w:rPr>
        <w:t>e</w:t>
      </w:r>
      <w:r w:rsidR="00F81BE0">
        <w:rPr>
          <w:lang w:eastAsia="nb-NO"/>
        </w:rPr>
        <w:t xml:space="preserve"> for den </w:t>
      </w:r>
      <w:r w:rsidR="00BC1F22">
        <w:rPr>
          <w:lang w:eastAsia="nb-NO"/>
        </w:rPr>
        <w:t xml:space="preserve">berørte næringen og hele landet. </w:t>
      </w:r>
      <w:r w:rsidR="00E9563E">
        <w:rPr>
          <w:lang w:eastAsia="nb-NO"/>
        </w:rPr>
        <w:t>Andelen som korrigeres</w:t>
      </w:r>
      <w:r w:rsidR="008A5164">
        <w:rPr>
          <w:lang w:eastAsia="nb-NO"/>
        </w:rPr>
        <w:t>,</w:t>
      </w:r>
      <w:r w:rsidR="00E9563E">
        <w:rPr>
          <w:lang w:eastAsia="nb-NO"/>
        </w:rPr>
        <w:t xml:space="preserve"> tilsvarer bygg- og anleggskapitalens andel </w:t>
      </w:r>
      <w:r w:rsidR="001B6338">
        <w:rPr>
          <w:lang w:eastAsia="nb-NO"/>
        </w:rPr>
        <w:t>av eiendomskapitalen.</w:t>
      </w:r>
      <w:r w:rsidR="004147E3">
        <w:rPr>
          <w:lang w:eastAsia="nb-NO"/>
        </w:rPr>
        <w:t xml:space="preserve"> Tomteandelen er </w:t>
      </w:r>
      <w:r w:rsidR="0001774F">
        <w:rPr>
          <w:lang w:eastAsia="nb-NO"/>
        </w:rPr>
        <w:t>beheftet med stor</w:t>
      </w:r>
      <w:r w:rsidR="004147E3">
        <w:rPr>
          <w:lang w:eastAsia="nb-NO"/>
        </w:rPr>
        <w:t xml:space="preserve"> usikker</w:t>
      </w:r>
      <w:r w:rsidR="0001774F">
        <w:rPr>
          <w:lang w:eastAsia="nb-NO"/>
        </w:rPr>
        <w:t>het</w:t>
      </w:r>
      <w:r w:rsidR="00015F98">
        <w:rPr>
          <w:lang w:eastAsia="nb-NO"/>
        </w:rPr>
        <w:t xml:space="preserve"> og vil i praksis variere fra sted til sted</w:t>
      </w:r>
      <w:r w:rsidR="004147E3">
        <w:rPr>
          <w:lang w:eastAsia="nb-NO"/>
        </w:rPr>
        <w:t xml:space="preserve">, men basert på informasjon fra Statistisk sentralbyrå og egne kalibreringer av denne </w:t>
      </w:r>
      <w:r w:rsidR="00CC16EC">
        <w:rPr>
          <w:lang w:eastAsia="nb-NO"/>
        </w:rPr>
        <w:t xml:space="preserve">(se delkapittel </w:t>
      </w:r>
      <w:r w:rsidR="00CC16EC">
        <w:rPr>
          <w:lang w:eastAsia="nb-NO"/>
        </w:rPr>
        <w:fldChar w:fldCharType="begin"/>
      </w:r>
      <w:r w:rsidR="00CC16EC">
        <w:rPr>
          <w:lang w:eastAsia="nb-NO"/>
        </w:rPr>
        <w:instrText xml:space="preserve"> REF _Ref174721107 \r \h </w:instrText>
      </w:r>
      <w:r w:rsidR="00CC16EC">
        <w:rPr>
          <w:lang w:eastAsia="nb-NO"/>
        </w:rPr>
      </w:r>
      <w:r w:rsidR="00CC16EC">
        <w:rPr>
          <w:lang w:eastAsia="nb-NO"/>
        </w:rPr>
        <w:fldChar w:fldCharType="separate"/>
      </w:r>
      <w:r w:rsidR="009B1DA8">
        <w:rPr>
          <w:lang w:eastAsia="nb-NO"/>
        </w:rPr>
        <w:t>4.1.1</w:t>
      </w:r>
      <w:r w:rsidR="00CC16EC">
        <w:rPr>
          <w:lang w:eastAsia="nb-NO"/>
        </w:rPr>
        <w:fldChar w:fldCharType="end"/>
      </w:r>
      <w:r w:rsidR="00CC16EC">
        <w:rPr>
          <w:lang w:eastAsia="nb-NO"/>
        </w:rPr>
        <w:t xml:space="preserve"> om andeler av kapitalbeholdningen)</w:t>
      </w:r>
      <w:r w:rsidR="00F37109">
        <w:rPr>
          <w:lang w:eastAsia="nb-NO"/>
        </w:rPr>
        <w:t xml:space="preserve"> settes andelen uniformt til 0,35</w:t>
      </w:r>
      <w:r w:rsidR="002525BF">
        <w:rPr>
          <w:lang w:eastAsia="nb-NO"/>
        </w:rPr>
        <w:t xml:space="preserve">. </w:t>
      </w:r>
      <w:r w:rsidR="0003763C" w:rsidRPr="0055149C">
        <w:rPr>
          <w:lang w:eastAsia="nb-NO"/>
        </w:rPr>
        <w:t>(</w:t>
      </w:r>
      <w:r w:rsidR="002525BF">
        <w:rPr>
          <w:lang w:eastAsia="nb-NO"/>
        </w:rPr>
        <w:t>S</w:t>
      </w:r>
      <w:r w:rsidR="0003763C" w:rsidRPr="0055149C">
        <w:rPr>
          <w:lang w:eastAsia="nb-NO"/>
        </w:rPr>
        <w:t>e for eksempel Holmen 2022</w:t>
      </w:r>
      <w:r w:rsidR="0003763C">
        <w:rPr>
          <w:lang w:eastAsia="nb-NO"/>
        </w:rPr>
        <w:t>a</w:t>
      </w:r>
      <w:r w:rsidR="0003763C" w:rsidRPr="0055149C">
        <w:rPr>
          <w:lang w:eastAsia="nb-NO"/>
        </w:rPr>
        <w:t xml:space="preserve"> for hvordan dette kan gjøres</w:t>
      </w:r>
      <w:r w:rsidR="0003763C">
        <w:rPr>
          <w:lang w:eastAsia="nb-NO"/>
        </w:rPr>
        <w:t xml:space="preserve"> med ulike tomteandeler og anslag på tomteandeler</w:t>
      </w:r>
      <w:r w:rsidR="007B7D86">
        <w:rPr>
          <w:lang w:eastAsia="nb-NO"/>
        </w:rPr>
        <w:t xml:space="preserve"> og Liu 2016</w:t>
      </w:r>
      <w:r w:rsidR="00BC7AAB">
        <w:rPr>
          <w:lang w:eastAsia="nb-NO"/>
        </w:rPr>
        <w:t xml:space="preserve"> for en </w:t>
      </w:r>
      <w:r w:rsidR="00FF128E">
        <w:rPr>
          <w:lang w:eastAsia="nb-NO"/>
        </w:rPr>
        <w:t xml:space="preserve">relevant </w:t>
      </w:r>
      <w:r w:rsidR="00BC7AAB">
        <w:rPr>
          <w:lang w:eastAsia="nb-NO"/>
        </w:rPr>
        <w:t xml:space="preserve">analyse av arealverdsetting i </w:t>
      </w:r>
      <w:r w:rsidR="00FF128E">
        <w:rPr>
          <w:lang w:eastAsia="nb-NO"/>
        </w:rPr>
        <w:t xml:space="preserve">Norge i </w:t>
      </w:r>
      <w:r w:rsidR="00BC7AAB">
        <w:rPr>
          <w:lang w:eastAsia="nb-NO"/>
        </w:rPr>
        <w:t>regi av Statistisk sentralbyrå</w:t>
      </w:r>
      <w:r w:rsidR="0003763C" w:rsidRPr="0055149C">
        <w:rPr>
          <w:lang w:eastAsia="nb-NO"/>
        </w:rPr>
        <w:t>).</w:t>
      </w:r>
    </w:p>
    <w:p w14:paraId="708108DA" w14:textId="2CAC7241" w:rsidR="00CE72DB" w:rsidRDefault="00CE72DB" w:rsidP="002304AE">
      <w:pPr>
        <w:rPr>
          <w:lang w:eastAsia="nb-NO"/>
        </w:rPr>
      </w:pPr>
      <w:r>
        <w:rPr>
          <w:lang w:eastAsia="nb-NO"/>
        </w:rPr>
        <w:t xml:space="preserve">Basert på kapitalsammensetningen i Kostra har vi deretter aggregert kapitaldeflatorene opp på </w:t>
      </w:r>
      <w:r w:rsidR="00444851">
        <w:rPr>
          <w:lang w:eastAsia="nb-NO"/>
        </w:rPr>
        <w:t>funksjon</w:t>
      </w:r>
      <w:r w:rsidR="00704CAB">
        <w:rPr>
          <w:lang w:eastAsia="nb-NO"/>
        </w:rPr>
        <w:t xml:space="preserve">er, regioner og samlet nivå, slik at </w:t>
      </w:r>
      <w:r w:rsidR="0064286C">
        <w:rPr>
          <w:lang w:eastAsia="nb-NO"/>
        </w:rPr>
        <w:t xml:space="preserve">det er samsvar mellom våre disaggregerte og aggregerte delfatorer. Dette innebærer også at </w:t>
      </w:r>
      <w:r w:rsidR="002B789E">
        <w:rPr>
          <w:lang w:eastAsia="nb-NO"/>
        </w:rPr>
        <w:t xml:space="preserve">deflatorene vi </w:t>
      </w:r>
      <w:r w:rsidR="00121E37">
        <w:rPr>
          <w:lang w:eastAsia="nb-NO"/>
        </w:rPr>
        <w:t xml:space="preserve">anvender på funksjonsnivå også vil </w:t>
      </w:r>
      <w:r w:rsidR="0064286C">
        <w:rPr>
          <w:lang w:eastAsia="nb-NO"/>
        </w:rPr>
        <w:t>ta høyde for regionale forskjeller.</w:t>
      </w:r>
      <w:r w:rsidR="000027EE">
        <w:rPr>
          <w:lang w:eastAsia="nb-NO"/>
        </w:rPr>
        <w:t xml:space="preserve"> I våre aggregerte deflatorer er derimot </w:t>
      </w:r>
      <w:r w:rsidR="002B165A">
        <w:rPr>
          <w:lang w:eastAsia="nb-NO"/>
        </w:rPr>
        <w:t>de regionale forskjellene ikke synliggjort.</w:t>
      </w:r>
    </w:p>
    <w:p w14:paraId="51E627B2" w14:textId="18A37918" w:rsidR="00F5677A" w:rsidRPr="00F5677A" w:rsidRDefault="00F5677A" w:rsidP="00F5677A">
      <w:r w:rsidRPr="0055149C">
        <w:rPr>
          <w:lang w:eastAsia="nb-NO"/>
        </w:rPr>
        <w:t xml:space="preserve">Hovedtrekkene i kapitalberegningene i nasjonalregnskapet er i tråd med eldre dokumentasjon </w:t>
      </w:r>
      <w:r w:rsidR="00FD760A">
        <w:rPr>
          <w:lang w:eastAsia="nb-NO"/>
        </w:rPr>
        <w:t>(</w:t>
      </w:r>
      <w:r w:rsidRPr="0055149C">
        <w:t>Todsen 1997a og 1997b</w:t>
      </w:r>
      <w:r w:rsidR="00333B3A">
        <w:t xml:space="preserve">, og </w:t>
      </w:r>
      <w:r w:rsidR="00333B3A" w:rsidRPr="0055149C">
        <w:t>Amdal med flere 2016</w:t>
      </w:r>
      <w:r w:rsidRPr="0055149C">
        <w:t xml:space="preserve">), men har siden den gang </w:t>
      </w:r>
      <w:r w:rsidR="00A92BB4">
        <w:t xml:space="preserve">fulgt </w:t>
      </w:r>
      <w:r w:rsidRPr="0055149C">
        <w:t>utviklingen i internasjonal nasjonalregnskapsmetodikk (se for eksempel OECD 2001 og 2009). I tillegg har man blant annet kommet lenger i håndteringen av kvalitetsforbedringer i nasjonalregnskapets deflatore</w:t>
      </w:r>
      <w:r w:rsidR="0084273B">
        <w:t>r</w:t>
      </w:r>
      <w:r w:rsidRPr="0055149C">
        <w:t xml:space="preserve"> og immaterielle kapital som kapitalform, samt kartlagt depresieringsrater over kapitalformer og næringer (Barth med flere 2015 og 2016).</w:t>
      </w:r>
    </w:p>
    <w:p w14:paraId="5AB5EE03" w14:textId="66513B6B" w:rsidR="00E74630" w:rsidRPr="0055149C" w:rsidRDefault="00F218BA" w:rsidP="00E74630">
      <w:pPr>
        <w:pStyle w:val="Overskrift3"/>
      </w:pPr>
      <w:bookmarkStart w:id="70" w:name="_Ref182213969"/>
      <w:r w:rsidRPr="0055149C">
        <w:t xml:space="preserve">Data </w:t>
      </w:r>
      <w:r w:rsidR="00F93A9F" w:rsidRPr="0055149C">
        <w:t>knyttet til omstendighetene</w:t>
      </w:r>
      <w:bookmarkEnd w:id="70"/>
    </w:p>
    <w:p w14:paraId="60ED1561" w14:textId="729678AB" w:rsidR="00931BFA" w:rsidRPr="0055149C" w:rsidRDefault="007B003D" w:rsidP="00931BFA">
      <w:pPr>
        <w:rPr>
          <w:lang w:eastAsia="nb-NO"/>
        </w:rPr>
      </w:pPr>
      <w:r w:rsidRPr="0055149C">
        <w:rPr>
          <w:lang w:eastAsia="nb-NO"/>
        </w:rPr>
        <w:t>Som bakgrunn for de empiriske beregningene er det nyttig å tenke gjennom hvorfor kapitalkostnadene eventuelt er ulike mellom kommuner. En slik gjennomtenkning gir oss hypoteser om de empiriske utslagene og bidrar til å vurdere om de er robuste.</w:t>
      </w:r>
      <w:r w:rsidR="00A612E2" w:rsidRPr="0055149C">
        <w:rPr>
          <w:lang w:eastAsia="nb-NO"/>
        </w:rPr>
        <w:t xml:space="preserve"> </w:t>
      </w:r>
      <w:r w:rsidR="00A80155" w:rsidRPr="0055149C">
        <w:rPr>
          <w:lang w:eastAsia="nb-NO"/>
        </w:rPr>
        <w:t xml:space="preserve">I våre analyser ser vi </w:t>
      </w:r>
      <w:r w:rsidR="008E7E43">
        <w:rPr>
          <w:lang w:eastAsia="nb-NO"/>
        </w:rPr>
        <w:t>KOSTRA</w:t>
      </w:r>
      <w:r w:rsidR="00A80155" w:rsidRPr="0055149C">
        <w:rPr>
          <w:lang w:eastAsia="nb-NO"/>
        </w:rPr>
        <w:t xml:space="preserve">-tallene og våre </w:t>
      </w:r>
      <w:r w:rsidR="008F1FE6" w:rsidRPr="0055149C">
        <w:rPr>
          <w:lang w:eastAsia="nb-NO"/>
        </w:rPr>
        <w:t>mål for kapitalkostnader</w:t>
      </w:r>
      <w:r w:rsidR="007433C5">
        <w:rPr>
          <w:lang w:eastAsia="nb-NO"/>
        </w:rPr>
        <w:t>-</w:t>
      </w:r>
      <w:r w:rsidR="008F1FE6" w:rsidRPr="0055149C">
        <w:rPr>
          <w:lang w:eastAsia="nb-NO"/>
        </w:rPr>
        <w:t xml:space="preserve"> og</w:t>
      </w:r>
      <w:r w:rsidR="007433C5">
        <w:rPr>
          <w:lang w:eastAsia="nb-NO"/>
        </w:rPr>
        <w:t xml:space="preserve"> -</w:t>
      </w:r>
      <w:r w:rsidR="008F1FE6" w:rsidRPr="0055149C">
        <w:rPr>
          <w:lang w:eastAsia="nb-NO"/>
        </w:rPr>
        <w:t>utgifter opp mot en rekke kovariater</w:t>
      </w:r>
      <w:r w:rsidR="00307EA1" w:rsidRPr="0055149C">
        <w:rPr>
          <w:lang w:eastAsia="nb-NO"/>
        </w:rPr>
        <w:t xml:space="preserve"> på kommunenivå</w:t>
      </w:r>
      <w:r w:rsidR="008F1FE6" w:rsidRPr="0055149C">
        <w:rPr>
          <w:lang w:eastAsia="nb-NO"/>
        </w:rPr>
        <w:t xml:space="preserve">. </w:t>
      </w:r>
      <w:r w:rsidR="00931BFA" w:rsidRPr="0055149C">
        <w:rPr>
          <w:lang w:eastAsia="nb-NO"/>
        </w:rPr>
        <w:t xml:space="preserve">Til sammen dreier det seg </w:t>
      </w:r>
      <w:r w:rsidR="00FF15C6">
        <w:rPr>
          <w:lang w:eastAsia="nb-NO"/>
        </w:rPr>
        <w:t xml:space="preserve">om </w:t>
      </w:r>
      <w:r w:rsidR="00931BFA" w:rsidRPr="0055149C">
        <w:rPr>
          <w:lang w:eastAsia="nb-NO"/>
        </w:rPr>
        <w:t>tre grupper kovariater.</w:t>
      </w:r>
      <w:r w:rsidR="00F01950" w:rsidRPr="0055149C">
        <w:rPr>
          <w:lang w:eastAsia="nb-NO"/>
        </w:rPr>
        <w:t xml:space="preserve"> Flere aktuelle variabler inngår i </w:t>
      </w:r>
      <w:r w:rsidR="00EE1F18">
        <w:rPr>
          <w:lang w:eastAsia="nb-NO"/>
        </w:rPr>
        <w:t xml:space="preserve">utgiftsutjevningen i </w:t>
      </w:r>
      <w:r w:rsidR="00F01950" w:rsidRPr="0055149C">
        <w:rPr>
          <w:lang w:eastAsia="nb-NO"/>
        </w:rPr>
        <w:t>det kommunale inntektssystemet for kommunene. Vi har i tillegg identifisert flere mulige årsaker til variasjon i kapitalkostnadene i skalaegenskaper, demografisk utvikling, geografi og næringsøkonomi.</w:t>
      </w:r>
    </w:p>
    <w:p w14:paraId="02D1F15F" w14:textId="45903C0E" w:rsidR="00F74762" w:rsidRPr="0055149C" w:rsidRDefault="008C778C" w:rsidP="00931BFA">
      <w:pPr>
        <w:rPr>
          <w:lang w:eastAsia="nb-NO"/>
        </w:rPr>
      </w:pPr>
      <w:r w:rsidRPr="0055149C">
        <w:rPr>
          <w:lang w:eastAsia="nb-NO"/>
        </w:rPr>
        <w:t xml:space="preserve">For </w:t>
      </w:r>
      <w:r w:rsidR="00FF15C6">
        <w:rPr>
          <w:lang w:eastAsia="nb-NO"/>
        </w:rPr>
        <w:t xml:space="preserve">det </w:t>
      </w:r>
      <w:r w:rsidRPr="0055149C">
        <w:rPr>
          <w:lang w:eastAsia="nb-NO"/>
        </w:rPr>
        <w:t xml:space="preserve">første benytter vi </w:t>
      </w:r>
      <w:r w:rsidR="00F9589C" w:rsidRPr="0055149C">
        <w:rPr>
          <w:lang w:eastAsia="nb-NO"/>
        </w:rPr>
        <w:t>ulike klassifiseringer</w:t>
      </w:r>
      <w:r w:rsidR="00186526" w:rsidRPr="0055149C">
        <w:rPr>
          <w:lang w:eastAsia="nb-NO"/>
        </w:rPr>
        <w:t xml:space="preserve"> for kommunene. De</w:t>
      </w:r>
      <w:r w:rsidR="0004641A" w:rsidRPr="0055149C">
        <w:rPr>
          <w:lang w:eastAsia="nb-NO"/>
        </w:rPr>
        <w:t>tte inkluderer</w:t>
      </w:r>
      <w:r w:rsidR="00186526" w:rsidRPr="0055149C">
        <w:rPr>
          <w:lang w:eastAsia="nb-NO"/>
        </w:rPr>
        <w:t xml:space="preserve"> </w:t>
      </w:r>
      <w:r w:rsidR="002E6A0A" w:rsidRPr="0055149C">
        <w:rPr>
          <w:lang w:eastAsia="nb-NO"/>
        </w:rPr>
        <w:t>fylkesinndelingen</w:t>
      </w:r>
      <w:r w:rsidR="00C3180E" w:rsidRPr="0055149C">
        <w:rPr>
          <w:lang w:eastAsia="nb-NO"/>
        </w:rPr>
        <w:t xml:space="preserve"> </w:t>
      </w:r>
      <w:r w:rsidR="001A36B2" w:rsidRPr="0055149C">
        <w:rPr>
          <w:lang w:eastAsia="nb-NO"/>
        </w:rPr>
        <w:t>for perioden 2020 til 2023 og den seksdelte sentralitetsklassifiseringen fra 2023.</w:t>
      </w:r>
      <w:r w:rsidR="00210E31" w:rsidRPr="0055149C">
        <w:rPr>
          <w:lang w:eastAsia="nb-NO"/>
        </w:rPr>
        <w:t xml:space="preserve"> Data</w:t>
      </w:r>
      <w:r w:rsidR="0004641A" w:rsidRPr="0055149C">
        <w:rPr>
          <w:lang w:eastAsia="nb-NO"/>
        </w:rPr>
        <w:t>ene for</w:t>
      </w:r>
      <w:r w:rsidR="00E713BD" w:rsidRPr="0055149C">
        <w:rPr>
          <w:lang w:eastAsia="nb-NO"/>
        </w:rPr>
        <w:t xml:space="preserve"> topologiene er hentet fra Statistisk sentralbyrå.</w:t>
      </w:r>
      <w:r w:rsidR="00D87543" w:rsidRPr="0055149C">
        <w:rPr>
          <w:lang w:eastAsia="nb-NO"/>
        </w:rPr>
        <w:t xml:space="preserve"> </w:t>
      </w:r>
      <w:r w:rsidR="008045AD" w:rsidRPr="0055149C">
        <w:rPr>
          <w:lang w:eastAsia="nb-NO"/>
        </w:rPr>
        <w:t xml:space="preserve">For det andre </w:t>
      </w:r>
      <w:r w:rsidR="00467810" w:rsidRPr="0055149C">
        <w:rPr>
          <w:lang w:eastAsia="nb-NO"/>
        </w:rPr>
        <w:t xml:space="preserve">benytter vi oss av sentrale kovariater som ikke inngår direkte i </w:t>
      </w:r>
      <w:r w:rsidR="00EE1F18">
        <w:rPr>
          <w:lang w:eastAsia="nb-NO"/>
        </w:rPr>
        <w:t xml:space="preserve">utgiftsutjevningen </w:t>
      </w:r>
      <w:r w:rsidR="00A44859" w:rsidRPr="0055149C">
        <w:rPr>
          <w:lang w:eastAsia="nb-NO"/>
        </w:rPr>
        <w:t>i det hele tatt eller på samme form som vi analyserer</w:t>
      </w:r>
      <w:r w:rsidR="00467810" w:rsidRPr="0055149C">
        <w:rPr>
          <w:lang w:eastAsia="nb-NO"/>
        </w:rPr>
        <w:t xml:space="preserve">. </w:t>
      </w:r>
      <w:r w:rsidR="00931BFA" w:rsidRPr="0055149C">
        <w:rPr>
          <w:lang w:eastAsia="nb-NO"/>
        </w:rPr>
        <w:t>Disse dataene er hentet ut for perioden 2000 til 2023 når det har vært mulig, men minimum fra 2008 til 2022. Igjen er alle kommunene omregnet til strukturen for primærkommuner og fylkeskommuner som var gjeldende fra 2020 til 2023, der oppsplittingen av Snillfjord og Tysfjord er basert på befolkningsfordelingen på grunnkretsnivå i 2019</w:t>
      </w:r>
      <w:r w:rsidR="00C834F8" w:rsidRPr="0055149C">
        <w:rPr>
          <w:lang w:eastAsia="nb-NO"/>
        </w:rPr>
        <w:t xml:space="preserve"> med referanse til seksjon </w:t>
      </w:r>
      <w:r w:rsidR="00C834F8" w:rsidRPr="0055149C">
        <w:rPr>
          <w:lang w:eastAsia="nb-NO"/>
        </w:rPr>
        <w:fldChar w:fldCharType="begin"/>
      </w:r>
      <w:r w:rsidR="00C834F8" w:rsidRPr="0055149C">
        <w:rPr>
          <w:lang w:eastAsia="nb-NO"/>
        </w:rPr>
        <w:instrText xml:space="preserve"> REF _Ref176556372 \r \h </w:instrText>
      </w:r>
      <w:r w:rsidR="00186BD4" w:rsidRPr="0055149C">
        <w:rPr>
          <w:lang w:eastAsia="nb-NO"/>
        </w:rPr>
        <w:instrText xml:space="preserve"> \* MERGEFORMAT </w:instrText>
      </w:r>
      <w:r w:rsidR="00C834F8" w:rsidRPr="0055149C">
        <w:rPr>
          <w:lang w:eastAsia="nb-NO"/>
        </w:rPr>
      </w:r>
      <w:r w:rsidR="00C834F8" w:rsidRPr="0055149C">
        <w:rPr>
          <w:lang w:eastAsia="nb-NO"/>
        </w:rPr>
        <w:fldChar w:fldCharType="separate"/>
      </w:r>
      <w:r w:rsidR="009B1DA8">
        <w:rPr>
          <w:lang w:eastAsia="nb-NO"/>
        </w:rPr>
        <w:t>3.1.2</w:t>
      </w:r>
      <w:r w:rsidR="00C834F8" w:rsidRPr="0055149C">
        <w:rPr>
          <w:lang w:eastAsia="nb-NO"/>
        </w:rPr>
        <w:fldChar w:fldCharType="end"/>
      </w:r>
      <w:r w:rsidR="00931BFA" w:rsidRPr="0055149C">
        <w:rPr>
          <w:lang w:eastAsia="nb-NO"/>
        </w:rPr>
        <w:t>.</w:t>
      </w:r>
    </w:p>
    <w:p w14:paraId="4A18E595" w14:textId="7656D01D" w:rsidR="00931BFA" w:rsidRPr="0055149C" w:rsidRDefault="008D67FD" w:rsidP="00931BFA">
      <w:pPr>
        <w:rPr>
          <w:lang w:eastAsia="nb-NO"/>
        </w:rPr>
      </w:pPr>
      <w:r w:rsidRPr="0055149C">
        <w:rPr>
          <w:lang w:eastAsia="nb-NO"/>
        </w:rPr>
        <w:t xml:space="preserve">Våre utvalgte </w:t>
      </w:r>
      <w:r w:rsidR="00E40724" w:rsidRPr="0055149C">
        <w:rPr>
          <w:lang w:eastAsia="nb-NO"/>
        </w:rPr>
        <w:t>kovariater</w:t>
      </w:r>
      <w:r w:rsidR="00931BFA" w:rsidRPr="0055149C">
        <w:rPr>
          <w:lang w:eastAsia="nb-NO"/>
        </w:rPr>
        <w:t xml:space="preserve"> </w:t>
      </w:r>
      <w:r w:rsidR="00D075E0" w:rsidRPr="0055149C">
        <w:rPr>
          <w:lang w:eastAsia="nb-NO"/>
        </w:rPr>
        <w:t xml:space="preserve">vedrører </w:t>
      </w:r>
      <w:r w:rsidR="00DA2EF0" w:rsidRPr="0055149C">
        <w:rPr>
          <w:lang w:eastAsia="nb-NO"/>
        </w:rPr>
        <w:t xml:space="preserve">arbeidsmarkedet, </w:t>
      </w:r>
      <w:r w:rsidR="00D075E0" w:rsidRPr="0055149C">
        <w:rPr>
          <w:lang w:eastAsia="nb-NO"/>
        </w:rPr>
        <w:t>demografi</w:t>
      </w:r>
      <w:r w:rsidR="00DA2EF0" w:rsidRPr="0055149C">
        <w:rPr>
          <w:lang w:eastAsia="nb-NO"/>
        </w:rPr>
        <w:t>en</w:t>
      </w:r>
      <w:r w:rsidR="00D075E0" w:rsidRPr="0055149C">
        <w:rPr>
          <w:lang w:eastAsia="nb-NO"/>
        </w:rPr>
        <w:t xml:space="preserve">, </w:t>
      </w:r>
      <w:r w:rsidR="000F63DB" w:rsidRPr="0055149C">
        <w:rPr>
          <w:lang w:eastAsia="nb-NO"/>
        </w:rPr>
        <w:t>geografi</w:t>
      </w:r>
      <w:r w:rsidR="00DA2EF0" w:rsidRPr="0055149C">
        <w:rPr>
          <w:lang w:eastAsia="nb-NO"/>
        </w:rPr>
        <w:t>en</w:t>
      </w:r>
      <w:r w:rsidR="000F63DB" w:rsidRPr="0055149C">
        <w:rPr>
          <w:lang w:eastAsia="nb-NO"/>
        </w:rPr>
        <w:t xml:space="preserve"> og</w:t>
      </w:r>
      <w:r w:rsidR="00D075E0" w:rsidRPr="0055149C">
        <w:rPr>
          <w:lang w:eastAsia="nb-NO"/>
        </w:rPr>
        <w:t xml:space="preserve"> </w:t>
      </w:r>
      <w:r w:rsidR="00DA2EF0" w:rsidRPr="0055149C">
        <w:rPr>
          <w:lang w:eastAsia="nb-NO"/>
        </w:rPr>
        <w:t>produksjonen</w:t>
      </w:r>
      <w:r w:rsidR="00035E3F" w:rsidRPr="0055149C">
        <w:rPr>
          <w:lang w:eastAsia="nb-NO"/>
        </w:rPr>
        <w:t xml:space="preserve">, </w:t>
      </w:r>
      <w:r w:rsidR="00307EA1" w:rsidRPr="0055149C">
        <w:rPr>
          <w:lang w:eastAsia="nb-NO"/>
        </w:rPr>
        <w:t>der samtlige</w:t>
      </w:r>
      <w:r w:rsidR="00035E3F" w:rsidRPr="0055149C">
        <w:rPr>
          <w:lang w:eastAsia="nb-NO"/>
        </w:rPr>
        <w:t xml:space="preserve"> er hentet fra Statistisk sentralbyr</w:t>
      </w:r>
      <w:r w:rsidR="005E6559" w:rsidRPr="0055149C">
        <w:rPr>
          <w:lang w:eastAsia="nb-NO"/>
        </w:rPr>
        <w:t>å</w:t>
      </w:r>
      <w:r w:rsidR="00A2231A" w:rsidRPr="0055149C">
        <w:rPr>
          <w:lang w:eastAsia="nb-NO"/>
        </w:rPr>
        <w:t>.</w:t>
      </w:r>
      <w:r w:rsidR="00D075E0" w:rsidRPr="0055149C">
        <w:rPr>
          <w:lang w:eastAsia="nb-NO"/>
        </w:rPr>
        <w:t xml:space="preserve"> </w:t>
      </w:r>
      <w:r w:rsidR="00EB02F0" w:rsidRPr="0055149C">
        <w:rPr>
          <w:lang w:eastAsia="nb-NO"/>
        </w:rPr>
        <w:t xml:space="preserve">To særlig sentrale variabler er befolkning </w:t>
      </w:r>
      <w:r w:rsidR="007154A8" w:rsidRPr="0055149C">
        <w:rPr>
          <w:lang w:eastAsia="nb-NO"/>
        </w:rPr>
        <w:t>og sysselsetting.</w:t>
      </w:r>
      <w:r w:rsidR="00DC3F11" w:rsidRPr="0055149C">
        <w:rPr>
          <w:lang w:eastAsia="nb-NO"/>
        </w:rPr>
        <w:t xml:space="preserve"> Befolkningstallene er omregnet til årsgjennomsnitt og benyttes også til å </w:t>
      </w:r>
      <w:r w:rsidR="00DC3F11" w:rsidRPr="0055149C">
        <w:rPr>
          <w:lang w:eastAsia="nb-NO"/>
        </w:rPr>
        <w:lastRenderedPageBreak/>
        <w:t xml:space="preserve">normalisere andre nøkkeltall til å </w:t>
      </w:r>
      <w:r w:rsidR="0021182E" w:rsidRPr="0055149C">
        <w:rPr>
          <w:lang w:eastAsia="nb-NO"/>
        </w:rPr>
        <w:t xml:space="preserve">gjelde </w:t>
      </w:r>
      <w:r w:rsidR="00DC3F11" w:rsidRPr="0055149C">
        <w:rPr>
          <w:lang w:eastAsia="nb-NO"/>
        </w:rPr>
        <w:t xml:space="preserve">«per innbygger». Vi har hentet inn </w:t>
      </w:r>
      <w:r w:rsidR="0021182E" w:rsidRPr="0055149C">
        <w:rPr>
          <w:lang w:eastAsia="nb-NO"/>
        </w:rPr>
        <w:t>tall</w:t>
      </w:r>
      <w:r w:rsidR="00DC3F11" w:rsidRPr="0055149C">
        <w:rPr>
          <w:lang w:eastAsia="nb-NO"/>
        </w:rPr>
        <w:t xml:space="preserve"> for </w:t>
      </w:r>
      <w:r w:rsidR="002152B9" w:rsidRPr="0055149C">
        <w:rPr>
          <w:lang w:eastAsia="nb-NO"/>
        </w:rPr>
        <w:t>b</w:t>
      </w:r>
      <w:r w:rsidR="00E648F0" w:rsidRPr="0055149C">
        <w:rPr>
          <w:lang w:eastAsia="nb-NO"/>
        </w:rPr>
        <w:t xml:space="preserve">efolkning over alder, samt skilt mellom </w:t>
      </w:r>
      <w:r w:rsidR="007B623B" w:rsidRPr="0055149C">
        <w:rPr>
          <w:lang w:eastAsia="nb-NO"/>
        </w:rPr>
        <w:t>befolkning i tettsteder og i spredtbygd</w:t>
      </w:r>
      <w:r w:rsidR="007433C5">
        <w:rPr>
          <w:lang w:eastAsia="nb-NO"/>
        </w:rPr>
        <w:t>e</w:t>
      </w:r>
      <w:r w:rsidR="007B623B" w:rsidRPr="0055149C">
        <w:rPr>
          <w:lang w:eastAsia="nb-NO"/>
        </w:rPr>
        <w:t xml:space="preserve"> strøk.</w:t>
      </w:r>
      <w:r w:rsidR="002152B9" w:rsidRPr="0055149C">
        <w:rPr>
          <w:lang w:eastAsia="nb-NO"/>
        </w:rPr>
        <w:t xml:space="preserve"> For s</w:t>
      </w:r>
      <w:r w:rsidR="00671FD6" w:rsidRPr="0055149C">
        <w:rPr>
          <w:lang w:eastAsia="nb-NO"/>
        </w:rPr>
        <w:t xml:space="preserve">ysselsetting </w:t>
      </w:r>
      <w:r w:rsidR="002152B9" w:rsidRPr="0055149C">
        <w:rPr>
          <w:lang w:eastAsia="nb-NO"/>
        </w:rPr>
        <w:t xml:space="preserve">har vi hentet inn tall </w:t>
      </w:r>
      <w:r w:rsidR="00671FD6" w:rsidRPr="0055149C">
        <w:rPr>
          <w:lang w:eastAsia="nb-NO"/>
        </w:rPr>
        <w:t>over alder</w:t>
      </w:r>
      <w:r w:rsidR="007C66EC" w:rsidRPr="0055149C">
        <w:rPr>
          <w:lang w:eastAsia="nb-NO"/>
        </w:rPr>
        <w:t>, næring og</w:t>
      </w:r>
      <w:r w:rsidR="00E648F0" w:rsidRPr="0055149C">
        <w:rPr>
          <w:lang w:eastAsia="nb-NO"/>
        </w:rPr>
        <w:t xml:space="preserve"> utdanning</w:t>
      </w:r>
      <w:r w:rsidR="00432B54" w:rsidRPr="0055149C">
        <w:rPr>
          <w:lang w:eastAsia="nb-NO"/>
        </w:rPr>
        <w:t xml:space="preserve"> ved inngangen av fjerde kvartal</w:t>
      </w:r>
      <w:r w:rsidR="00E648F0" w:rsidRPr="0055149C">
        <w:rPr>
          <w:lang w:eastAsia="nb-NO"/>
        </w:rPr>
        <w:t>, samt skilt mellom arbeid</w:t>
      </w:r>
      <w:r w:rsidR="007433C5">
        <w:rPr>
          <w:lang w:eastAsia="nb-NO"/>
        </w:rPr>
        <w:t>s</w:t>
      </w:r>
      <w:r w:rsidR="00E648F0" w:rsidRPr="0055149C">
        <w:rPr>
          <w:lang w:eastAsia="nb-NO"/>
        </w:rPr>
        <w:t>sted og bosted.</w:t>
      </w:r>
      <w:r w:rsidR="00F73C08" w:rsidRPr="0055149C">
        <w:rPr>
          <w:lang w:eastAsia="nb-NO"/>
        </w:rPr>
        <w:t xml:space="preserve"> I forbindelse med våre undersøkelser av geografiske forhold har vi </w:t>
      </w:r>
      <w:r w:rsidR="007A2C47" w:rsidRPr="0055149C">
        <w:rPr>
          <w:lang w:eastAsia="nb-NO"/>
        </w:rPr>
        <w:t>inn</w:t>
      </w:r>
      <w:r w:rsidR="00F73C08" w:rsidRPr="0055149C">
        <w:rPr>
          <w:lang w:eastAsia="nb-NO"/>
        </w:rPr>
        <w:t>hentet tall for t</w:t>
      </w:r>
      <w:r w:rsidR="00B75A65" w:rsidRPr="0055149C">
        <w:rPr>
          <w:lang w:eastAsia="nb-NO"/>
        </w:rPr>
        <w:t>ettstedareal, ferskvannsareal og øvrig landareal</w:t>
      </w:r>
      <w:r w:rsidR="00F73C08" w:rsidRPr="0055149C">
        <w:rPr>
          <w:lang w:eastAsia="nb-NO"/>
        </w:rPr>
        <w:t>.</w:t>
      </w:r>
      <w:r w:rsidR="007A2C47" w:rsidRPr="0055149C">
        <w:rPr>
          <w:lang w:eastAsia="nb-NO"/>
        </w:rPr>
        <w:t xml:space="preserve"> I tillegg har vi samlet inn tall for g</w:t>
      </w:r>
      <w:r w:rsidR="000962FD" w:rsidRPr="0055149C">
        <w:rPr>
          <w:lang w:eastAsia="nb-NO"/>
        </w:rPr>
        <w:t>jennomsnittsalde</w:t>
      </w:r>
      <w:r w:rsidR="001D540C" w:rsidRPr="0055149C">
        <w:rPr>
          <w:lang w:eastAsia="nb-NO"/>
        </w:rPr>
        <w:t>r og g</w:t>
      </w:r>
      <w:r w:rsidR="000962FD" w:rsidRPr="0055149C">
        <w:rPr>
          <w:lang w:eastAsia="nb-NO"/>
        </w:rPr>
        <w:t>jennomsnittlig personinntekt</w:t>
      </w:r>
      <w:r w:rsidR="007A2C47" w:rsidRPr="0055149C">
        <w:rPr>
          <w:lang w:eastAsia="nb-NO"/>
        </w:rPr>
        <w:t>.</w:t>
      </w:r>
    </w:p>
    <w:p w14:paraId="4E45C7CB" w14:textId="7B4D84D6" w:rsidR="00236FB1" w:rsidRPr="0055149C" w:rsidRDefault="00236FB1" w:rsidP="00931BFA">
      <w:pPr>
        <w:rPr>
          <w:lang w:eastAsia="nb-NO"/>
        </w:rPr>
      </w:pPr>
      <w:r w:rsidRPr="0055149C">
        <w:rPr>
          <w:lang w:eastAsia="nb-NO"/>
        </w:rPr>
        <w:t xml:space="preserve">Basert på de innsamlede </w:t>
      </w:r>
      <w:r w:rsidR="0046279E" w:rsidRPr="0055149C">
        <w:rPr>
          <w:lang w:eastAsia="nb-NO"/>
        </w:rPr>
        <w:t>dataene utleder vi tolv kovariater</w:t>
      </w:r>
      <w:r w:rsidR="00436E45">
        <w:rPr>
          <w:lang w:eastAsia="nb-NO"/>
        </w:rPr>
        <w:t>,</w:t>
      </w:r>
      <w:r w:rsidR="0046279E" w:rsidRPr="0055149C">
        <w:rPr>
          <w:lang w:eastAsia="nb-NO"/>
        </w:rPr>
        <w:t xml:space="preserve"> som vi undersøker nærmere i våre empiriske analyser:</w:t>
      </w:r>
    </w:p>
    <w:p w14:paraId="5D048695" w14:textId="77777777" w:rsidR="0046279E" w:rsidRPr="0055149C" w:rsidRDefault="0046279E" w:rsidP="00916DDE">
      <w:pPr>
        <w:pStyle w:val="Vista-bl"/>
        <w:numPr>
          <w:ilvl w:val="0"/>
          <w:numId w:val="17"/>
        </w:numPr>
      </w:pPr>
      <w:r w:rsidRPr="0055149C">
        <w:t>Befolkning, årsgjennomsnitt</w:t>
      </w:r>
    </w:p>
    <w:p w14:paraId="11ABF99B" w14:textId="136EE224" w:rsidR="0046279E" w:rsidRPr="0055149C" w:rsidRDefault="0046279E" w:rsidP="00916DDE">
      <w:pPr>
        <w:pStyle w:val="Vista-bl"/>
        <w:numPr>
          <w:ilvl w:val="0"/>
          <w:numId w:val="17"/>
        </w:numPr>
      </w:pPr>
      <w:r w:rsidRPr="0055149C">
        <w:t>Intern reiseavstandsproxy</w:t>
      </w:r>
      <w:r w:rsidR="007F4B05">
        <w:t xml:space="preserve"> (</w:t>
      </w:r>
      <w:r w:rsidR="00DA1CAE">
        <w:t>summen av radien av en sirkel tilsvarende tettstedsarealet multiplisert med</w:t>
      </w:r>
      <w:r w:rsidR="007E0471">
        <w:t xml:space="preserve"> gjennomsnittlig befolkningsandel</w:t>
      </w:r>
      <w:r w:rsidR="00DA1CAE">
        <w:t xml:space="preserve"> i tettsted og radien av en sirkel tilsvarende resten av kommunearealet multiplisert med </w:t>
      </w:r>
      <w:r w:rsidR="007E0471">
        <w:t xml:space="preserve">gjennomsnittlig befolkningsandel for </w:t>
      </w:r>
      <w:r w:rsidR="00DA1CAE">
        <w:t>spredtbygd</w:t>
      </w:r>
      <w:r w:rsidR="007E0471">
        <w:t>e strøk</w:t>
      </w:r>
      <w:r w:rsidR="00DA1CAE">
        <w:t>, jamfør Holmen 2022</w:t>
      </w:r>
      <w:r w:rsidR="007E0471">
        <w:t>b</w:t>
      </w:r>
      <w:r w:rsidR="007F4B05">
        <w:t>)</w:t>
      </w:r>
    </w:p>
    <w:p w14:paraId="0D9367A8" w14:textId="5A462F77" w:rsidR="0046279E" w:rsidRPr="0055149C" w:rsidRDefault="0046279E" w:rsidP="00916DDE">
      <w:pPr>
        <w:pStyle w:val="Vista-bl"/>
        <w:numPr>
          <w:ilvl w:val="0"/>
          <w:numId w:val="17"/>
        </w:numPr>
      </w:pPr>
      <w:r w:rsidRPr="0055149C">
        <w:t xml:space="preserve">Årlig befolkningsvekst, </w:t>
      </w:r>
      <w:r w:rsidR="00856B74" w:rsidRPr="0055149C">
        <w:t xml:space="preserve">de </w:t>
      </w:r>
      <w:r w:rsidRPr="0055149C">
        <w:t>siste ti år</w:t>
      </w:r>
    </w:p>
    <w:p w14:paraId="6AFC6248" w14:textId="7044FD87" w:rsidR="0046279E" w:rsidRPr="0055149C" w:rsidRDefault="0046279E" w:rsidP="00916DDE">
      <w:pPr>
        <w:pStyle w:val="Vista-bl"/>
        <w:numPr>
          <w:ilvl w:val="0"/>
          <w:numId w:val="17"/>
        </w:numPr>
      </w:pPr>
      <w:r w:rsidRPr="0055149C">
        <w:t xml:space="preserve">Årlig sysselsettingsvekst etter bosted, </w:t>
      </w:r>
      <w:r w:rsidR="00856B74" w:rsidRPr="0055149C">
        <w:t xml:space="preserve">de </w:t>
      </w:r>
      <w:r w:rsidRPr="0055149C">
        <w:t>siste ti år</w:t>
      </w:r>
    </w:p>
    <w:p w14:paraId="6F536495" w14:textId="77777777" w:rsidR="0046279E" w:rsidRPr="0055149C" w:rsidRDefault="0046279E" w:rsidP="00916DDE">
      <w:pPr>
        <w:pStyle w:val="Vista-bl"/>
        <w:numPr>
          <w:ilvl w:val="0"/>
          <w:numId w:val="17"/>
        </w:numPr>
      </w:pPr>
      <w:r w:rsidRPr="0055149C">
        <w:t>Sysselsetting per innbygger, årsgjennomsnitt</w:t>
      </w:r>
    </w:p>
    <w:p w14:paraId="6D468EDA" w14:textId="77777777" w:rsidR="0046279E" w:rsidRPr="0055149C" w:rsidRDefault="0046279E" w:rsidP="00916DDE">
      <w:pPr>
        <w:pStyle w:val="Vista-bl"/>
        <w:numPr>
          <w:ilvl w:val="0"/>
          <w:numId w:val="17"/>
        </w:numPr>
      </w:pPr>
      <w:r w:rsidRPr="0055149C">
        <w:t>Gjennomsnittsalder</w:t>
      </w:r>
    </w:p>
    <w:p w14:paraId="46E34299" w14:textId="77777777" w:rsidR="0046279E" w:rsidRPr="0055149C" w:rsidRDefault="0046279E" w:rsidP="00916DDE">
      <w:pPr>
        <w:pStyle w:val="Vista-bl"/>
        <w:numPr>
          <w:ilvl w:val="0"/>
          <w:numId w:val="17"/>
        </w:numPr>
      </w:pPr>
      <w:r w:rsidRPr="0055149C">
        <w:t>Gjennomsnittlig personinntekt</w:t>
      </w:r>
    </w:p>
    <w:p w14:paraId="177EB5BC" w14:textId="77777777" w:rsidR="0046279E" w:rsidRPr="0055149C" w:rsidRDefault="0046279E" w:rsidP="00916DDE">
      <w:pPr>
        <w:pStyle w:val="Vista-bl"/>
        <w:numPr>
          <w:ilvl w:val="0"/>
          <w:numId w:val="17"/>
        </w:numPr>
      </w:pPr>
      <w:r w:rsidRPr="0055149C">
        <w:t>Andel med høyere utdanning blant sysselsatte</w:t>
      </w:r>
    </w:p>
    <w:p w14:paraId="730EB214" w14:textId="77777777" w:rsidR="0046279E" w:rsidRPr="0055149C" w:rsidRDefault="0046279E" w:rsidP="00916DDE">
      <w:pPr>
        <w:pStyle w:val="Vista-bl"/>
        <w:numPr>
          <w:ilvl w:val="0"/>
          <w:numId w:val="17"/>
        </w:numPr>
      </w:pPr>
      <w:r w:rsidRPr="0055149C">
        <w:t>Sysselsetting etter arbeidssted over sysselsetting etter bosted</w:t>
      </w:r>
    </w:p>
    <w:p w14:paraId="15D29FBB" w14:textId="4BD22152" w:rsidR="0046279E" w:rsidRPr="0055149C" w:rsidRDefault="0046279E" w:rsidP="00916DDE">
      <w:pPr>
        <w:pStyle w:val="Vista-bl"/>
        <w:numPr>
          <w:ilvl w:val="0"/>
          <w:numId w:val="17"/>
        </w:numPr>
      </w:pPr>
      <w:r w:rsidRPr="0055149C">
        <w:t>Herfindahl-indeks, næringskonsentrasjon</w:t>
      </w:r>
      <w:r w:rsidR="00392087">
        <w:t xml:space="preserve"> i privat sektor (basert på to</w:t>
      </w:r>
      <w:r w:rsidR="00337E9D">
        <w:t>-</w:t>
      </w:r>
      <w:r w:rsidR="00392087">
        <w:t>siffer NACE utenom NACE 84 til 88, jamfør</w:t>
      </w:r>
      <w:r w:rsidR="007F4B05">
        <w:t xml:space="preserve"> </w:t>
      </w:r>
      <w:r w:rsidR="007F4B05" w:rsidRPr="007F4B05">
        <w:t>Kommunal- og moderniseringsdepartementet 2020</w:t>
      </w:r>
      <w:r w:rsidR="00392087">
        <w:t>)</w:t>
      </w:r>
    </w:p>
    <w:p w14:paraId="4C468327" w14:textId="6E483388" w:rsidR="0046279E" w:rsidRPr="0055149C" w:rsidRDefault="0046279E" w:rsidP="00916DDE">
      <w:pPr>
        <w:pStyle w:val="Vista-bl"/>
        <w:numPr>
          <w:ilvl w:val="0"/>
          <w:numId w:val="17"/>
        </w:numPr>
      </w:pPr>
      <w:r w:rsidRPr="0055149C">
        <w:t>Sysselsettingsandel i vareproduksjon</w:t>
      </w:r>
      <w:r w:rsidR="00856B74" w:rsidRPr="0055149C">
        <w:t xml:space="preserve"> (NACE 1 til 43)</w:t>
      </w:r>
    </w:p>
    <w:p w14:paraId="48224E2D" w14:textId="012A8143" w:rsidR="0046279E" w:rsidRPr="0055149C" w:rsidRDefault="0046279E" w:rsidP="00916DDE">
      <w:pPr>
        <w:pStyle w:val="Vista-bl"/>
        <w:numPr>
          <w:ilvl w:val="0"/>
          <w:numId w:val="17"/>
        </w:numPr>
      </w:pPr>
      <w:r w:rsidRPr="0055149C">
        <w:t>Sysselsettingsandel i ikke-markedsrettede tjenester</w:t>
      </w:r>
      <w:r w:rsidR="00856B74" w:rsidRPr="0055149C">
        <w:t xml:space="preserve"> (NACE 84 til 99)</w:t>
      </w:r>
    </w:p>
    <w:p w14:paraId="5C886A03" w14:textId="259F8908" w:rsidR="00EC3384" w:rsidRDefault="00DD0F18" w:rsidP="00841D54">
      <w:pPr>
        <w:rPr>
          <w:lang w:eastAsia="nb-NO"/>
        </w:rPr>
      </w:pPr>
      <w:r w:rsidRPr="00DD0F18">
        <w:rPr>
          <w:lang w:eastAsia="nb-NO"/>
        </w:rPr>
        <w:t xml:space="preserve">Merk at flere av de listede kovariatene kan forventes å være sterkt korrelerte med hverandre. I våre empiriske undersøkelser </w:t>
      </w:r>
      <w:r w:rsidR="0068485B">
        <w:rPr>
          <w:lang w:eastAsia="nb-NO"/>
        </w:rPr>
        <w:t>vil</w:t>
      </w:r>
      <w:r w:rsidRPr="00DD0F18">
        <w:rPr>
          <w:lang w:eastAsia="nb-NO"/>
        </w:rPr>
        <w:t xml:space="preserve"> vi imidlertid </w:t>
      </w:r>
      <w:r w:rsidR="0068485B">
        <w:rPr>
          <w:lang w:eastAsia="nb-NO"/>
        </w:rPr>
        <w:t xml:space="preserve">behandle dem </w:t>
      </w:r>
      <w:r w:rsidRPr="00DD0F18">
        <w:rPr>
          <w:lang w:eastAsia="nb-NO"/>
        </w:rPr>
        <w:t>hver for seg</w:t>
      </w:r>
      <w:r w:rsidR="00241BCD">
        <w:rPr>
          <w:lang w:eastAsia="nb-NO"/>
        </w:rPr>
        <w:t>.</w:t>
      </w:r>
    </w:p>
    <w:p w14:paraId="2336C2F4" w14:textId="4CAA0D40" w:rsidR="00D04EA7" w:rsidRDefault="00931BFA" w:rsidP="00841D54">
      <w:pPr>
        <w:rPr>
          <w:lang w:eastAsia="nb-NO"/>
        </w:rPr>
      </w:pPr>
      <w:r w:rsidRPr="0055149C">
        <w:rPr>
          <w:lang w:eastAsia="nb-NO"/>
        </w:rPr>
        <w:t>For det tredje har vi hentet inn data for kriteriene i</w:t>
      </w:r>
      <w:r w:rsidR="00053456" w:rsidRPr="00053456">
        <w:rPr>
          <w:lang w:eastAsia="nb-NO"/>
        </w:rPr>
        <w:t xml:space="preserve"> </w:t>
      </w:r>
      <w:r w:rsidR="00053456">
        <w:rPr>
          <w:lang w:eastAsia="nb-NO"/>
        </w:rPr>
        <w:t>utgiftsutjevningen i</w:t>
      </w:r>
      <w:r w:rsidRPr="0055149C">
        <w:rPr>
          <w:lang w:eastAsia="nb-NO"/>
        </w:rPr>
        <w:t xml:space="preserve"> inntektssystemet</w:t>
      </w:r>
      <w:r w:rsidR="007677CE" w:rsidRPr="0055149C">
        <w:rPr>
          <w:lang w:eastAsia="nb-NO"/>
        </w:rPr>
        <w:t xml:space="preserve"> fra 2020 til 2022, altså de tre første årene etter implementeringen av Kommunereformen</w:t>
      </w:r>
      <w:r w:rsidRPr="0055149C">
        <w:rPr>
          <w:lang w:eastAsia="nb-NO"/>
        </w:rPr>
        <w:t>.</w:t>
      </w:r>
      <w:r w:rsidR="00A612E2" w:rsidRPr="0055149C">
        <w:rPr>
          <w:lang w:eastAsia="nb-NO"/>
        </w:rPr>
        <w:t xml:space="preserve"> </w:t>
      </w:r>
      <w:r w:rsidR="002347B1" w:rsidRPr="0055149C">
        <w:rPr>
          <w:lang w:eastAsia="nb-NO"/>
        </w:rPr>
        <w:t>Det dreier seg om t</w:t>
      </w:r>
      <w:r w:rsidR="007677CE" w:rsidRPr="0055149C">
        <w:rPr>
          <w:lang w:eastAsia="nb-NO"/>
        </w:rPr>
        <w:t>ot</w:t>
      </w:r>
      <w:r w:rsidR="002347B1" w:rsidRPr="0055149C">
        <w:rPr>
          <w:lang w:eastAsia="nb-NO"/>
        </w:rPr>
        <w:t xml:space="preserve">alt 40 kriterier for primærkommunene og </w:t>
      </w:r>
      <w:r w:rsidR="007677CE" w:rsidRPr="0055149C">
        <w:rPr>
          <w:lang w:eastAsia="nb-NO"/>
        </w:rPr>
        <w:t>2</w:t>
      </w:r>
      <w:r w:rsidR="007F161B" w:rsidRPr="0055149C">
        <w:rPr>
          <w:lang w:eastAsia="nb-NO"/>
        </w:rPr>
        <w:t>4</w:t>
      </w:r>
      <w:r w:rsidR="002347B1" w:rsidRPr="0055149C">
        <w:rPr>
          <w:lang w:eastAsia="nb-NO"/>
        </w:rPr>
        <w:t xml:space="preserve"> kriterier for fylkeskommunene</w:t>
      </w:r>
      <w:r w:rsidR="007677CE" w:rsidRPr="0055149C">
        <w:rPr>
          <w:lang w:eastAsia="nb-NO"/>
        </w:rPr>
        <w:t xml:space="preserve">, </w:t>
      </w:r>
      <w:r w:rsidR="007F161B" w:rsidRPr="0055149C">
        <w:rPr>
          <w:lang w:eastAsia="nb-NO"/>
        </w:rPr>
        <w:t>hvorav</w:t>
      </w:r>
      <w:r w:rsidR="007677CE" w:rsidRPr="0055149C">
        <w:rPr>
          <w:lang w:eastAsia="nb-NO"/>
        </w:rPr>
        <w:t xml:space="preserve"> </w:t>
      </w:r>
      <w:r w:rsidR="007F161B" w:rsidRPr="0055149C">
        <w:rPr>
          <w:lang w:eastAsia="nb-NO"/>
        </w:rPr>
        <w:t xml:space="preserve">alle kriteriene på primærkommunenivå og </w:t>
      </w:r>
      <w:r w:rsidR="007677CE" w:rsidRPr="0055149C">
        <w:rPr>
          <w:lang w:eastAsia="nb-NO"/>
        </w:rPr>
        <w:t>20 av kriteriene på fylkesnivå er stabile over tid</w:t>
      </w:r>
      <w:r w:rsidR="002347B1" w:rsidRPr="0055149C">
        <w:rPr>
          <w:lang w:eastAsia="nb-NO"/>
        </w:rPr>
        <w:t xml:space="preserve">. </w:t>
      </w:r>
      <w:r w:rsidR="007F161B" w:rsidRPr="0055149C">
        <w:rPr>
          <w:lang w:eastAsia="nb-NO"/>
        </w:rPr>
        <w:t>Kriteriedataene</w:t>
      </w:r>
      <w:r w:rsidRPr="0055149C">
        <w:rPr>
          <w:lang w:eastAsia="nb-NO"/>
        </w:rPr>
        <w:t xml:space="preserve"> </w:t>
      </w:r>
      <w:r w:rsidR="007C3506" w:rsidRPr="0055149C">
        <w:rPr>
          <w:lang w:eastAsia="nb-NO"/>
        </w:rPr>
        <w:t>er</w:t>
      </w:r>
      <w:r w:rsidRPr="0055149C">
        <w:rPr>
          <w:lang w:eastAsia="nb-NO"/>
        </w:rPr>
        <w:t xml:space="preserve"> </w:t>
      </w:r>
      <w:r w:rsidR="00A95E5D" w:rsidRPr="0055149C">
        <w:rPr>
          <w:lang w:eastAsia="nb-NO"/>
        </w:rPr>
        <w:t xml:space="preserve">innhentet fra Kommunal- og </w:t>
      </w:r>
      <w:r w:rsidR="007F161B" w:rsidRPr="0055149C">
        <w:rPr>
          <w:lang w:eastAsia="nb-NO"/>
        </w:rPr>
        <w:t>distrikts</w:t>
      </w:r>
      <w:r w:rsidR="00A95E5D" w:rsidRPr="0055149C">
        <w:rPr>
          <w:lang w:eastAsia="nb-NO"/>
        </w:rPr>
        <w:t>departeme</w:t>
      </w:r>
      <w:r w:rsidR="00A44859" w:rsidRPr="0055149C">
        <w:rPr>
          <w:lang w:eastAsia="nb-NO"/>
        </w:rPr>
        <w:t>nt</w:t>
      </w:r>
      <w:r w:rsidR="00A95E5D" w:rsidRPr="0055149C">
        <w:rPr>
          <w:lang w:eastAsia="nb-NO"/>
        </w:rPr>
        <w:t xml:space="preserve">et, skjønt </w:t>
      </w:r>
      <w:r w:rsidR="007C3506" w:rsidRPr="0055149C">
        <w:rPr>
          <w:lang w:eastAsia="nb-NO"/>
        </w:rPr>
        <w:t>de i stor grad baserer seg på data fra Statistisk sentralbyrå.</w:t>
      </w:r>
      <w:r w:rsidR="007F161B" w:rsidRPr="0055149C">
        <w:rPr>
          <w:lang w:eastAsia="nb-NO"/>
        </w:rPr>
        <w:t xml:space="preserve"> I våre anvendelser har vi kun benyttet kriteriene som inngår i de sektorielle vektene</w:t>
      </w:r>
      <w:r w:rsidR="00C91B99" w:rsidRPr="0055149C">
        <w:rPr>
          <w:lang w:eastAsia="nb-NO"/>
        </w:rPr>
        <w:t>. En oversikt over anvendelse</w:t>
      </w:r>
      <w:r w:rsidR="00841D54" w:rsidRPr="0055149C">
        <w:rPr>
          <w:lang w:eastAsia="nb-NO"/>
        </w:rPr>
        <w:t>r</w:t>
      </w:r>
      <w:r w:rsidR="00C91B99" w:rsidRPr="0055149C">
        <w:rPr>
          <w:lang w:eastAsia="nb-NO"/>
        </w:rPr>
        <w:t xml:space="preserve"> av </w:t>
      </w:r>
      <w:r w:rsidR="009B793A">
        <w:rPr>
          <w:lang w:eastAsia="nb-NO"/>
        </w:rPr>
        <w:t>kriteriene</w:t>
      </w:r>
      <w:r w:rsidR="00C91B99" w:rsidRPr="0055149C">
        <w:rPr>
          <w:lang w:eastAsia="nb-NO"/>
        </w:rPr>
        <w:t xml:space="preserve"> i</w:t>
      </w:r>
      <w:r w:rsidR="00841D54" w:rsidRPr="0055149C">
        <w:rPr>
          <w:lang w:eastAsia="nb-NO"/>
        </w:rPr>
        <w:t xml:space="preserve"> </w:t>
      </w:r>
      <w:r w:rsidR="006830F9">
        <w:rPr>
          <w:lang w:eastAsia="nb-NO"/>
        </w:rPr>
        <w:t xml:space="preserve">utgiftsutjevningen </w:t>
      </w:r>
      <w:r w:rsidR="00841D54" w:rsidRPr="0055149C">
        <w:rPr>
          <w:lang w:eastAsia="nb-NO"/>
        </w:rPr>
        <w:t>for primær</w:t>
      </w:r>
      <w:r w:rsidR="00C91B99" w:rsidRPr="0055149C">
        <w:rPr>
          <w:lang w:eastAsia="nb-NO"/>
        </w:rPr>
        <w:t>kommunene</w:t>
      </w:r>
      <w:r w:rsidR="00841D54" w:rsidRPr="0055149C">
        <w:rPr>
          <w:lang w:eastAsia="nb-NO"/>
        </w:rPr>
        <w:t xml:space="preserve"> og fylkeskommunene</w:t>
      </w:r>
      <w:r w:rsidR="009B793A">
        <w:rPr>
          <w:lang w:eastAsia="nb-NO"/>
        </w:rPr>
        <w:t xml:space="preserve"> fra 2022</w:t>
      </w:r>
      <w:r w:rsidR="00841D54" w:rsidRPr="0055149C">
        <w:rPr>
          <w:lang w:eastAsia="nb-NO"/>
        </w:rPr>
        <w:t xml:space="preserve">, gitt vår operasjonalisering av sektorinndelingen, gis i henholdsvis </w:t>
      </w:r>
      <w:r w:rsidR="00ED24C1">
        <w:rPr>
          <w:lang w:eastAsia="nb-NO"/>
        </w:rPr>
        <w:fldChar w:fldCharType="begin"/>
      </w:r>
      <w:r w:rsidR="00ED24C1">
        <w:rPr>
          <w:lang w:eastAsia="nb-NO"/>
        </w:rPr>
        <w:instrText xml:space="preserve"> REF _Ref182318037 \h </w:instrText>
      </w:r>
      <w:r w:rsidR="00ED24C1">
        <w:rPr>
          <w:lang w:eastAsia="nb-NO"/>
        </w:rPr>
      </w:r>
      <w:r w:rsidR="00ED24C1">
        <w:rPr>
          <w:lang w:eastAsia="nb-NO"/>
        </w:rPr>
        <w:fldChar w:fldCharType="separate"/>
      </w:r>
      <w:r w:rsidR="009B1DA8" w:rsidRPr="0055149C">
        <w:t xml:space="preserve">Tabell </w:t>
      </w:r>
      <w:r w:rsidR="009B1DA8">
        <w:rPr>
          <w:noProof/>
        </w:rPr>
        <w:t>3</w:t>
      </w:r>
      <w:r w:rsidR="009B1DA8" w:rsidRPr="0055149C">
        <w:t>.</w:t>
      </w:r>
      <w:r w:rsidR="009B1DA8">
        <w:rPr>
          <w:noProof/>
        </w:rPr>
        <w:t>3</w:t>
      </w:r>
      <w:r w:rsidR="00ED24C1">
        <w:rPr>
          <w:lang w:eastAsia="nb-NO"/>
        </w:rPr>
        <w:fldChar w:fldCharType="end"/>
      </w:r>
      <w:r w:rsidR="00ED24C1">
        <w:rPr>
          <w:lang w:eastAsia="nb-NO"/>
        </w:rPr>
        <w:t xml:space="preserve"> og </w:t>
      </w:r>
      <w:r w:rsidR="00ED24C1">
        <w:rPr>
          <w:lang w:eastAsia="nb-NO"/>
        </w:rPr>
        <w:fldChar w:fldCharType="begin"/>
      </w:r>
      <w:r w:rsidR="00ED24C1">
        <w:rPr>
          <w:lang w:eastAsia="nb-NO"/>
        </w:rPr>
        <w:instrText xml:space="preserve"> REF _Ref182318041 \h </w:instrText>
      </w:r>
      <w:r w:rsidR="00ED24C1">
        <w:rPr>
          <w:lang w:eastAsia="nb-NO"/>
        </w:rPr>
      </w:r>
      <w:r w:rsidR="00ED24C1">
        <w:rPr>
          <w:lang w:eastAsia="nb-NO"/>
        </w:rPr>
        <w:fldChar w:fldCharType="separate"/>
      </w:r>
      <w:r w:rsidR="009B1DA8" w:rsidRPr="0055149C">
        <w:t xml:space="preserve">Tabell </w:t>
      </w:r>
      <w:r w:rsidR="009B1DA8">
        <w:rPr>
          <w:noProof/>
        </w:rPr>
        <w:t>3</w:t>
      </w:r>
      <w:r w:rsidR="009B1DA8" w:rsidRPr="0055149C">
        <w:t>.</w:t>
      </w:r>
      <w:r w:rsidR="009B1DA8">
        <w:rPr>
          <w:noProof/>
        </w:rPr>
        <w:t>4</w:t>
      </w:r>
      <w:r w:rsidR="00ED24C1">
        <w:rPr>
          <w:lang w:eastAsia="nb-NO"/>
        </w:rPr>
        <w:fldChar w:fldCharType="end"/>
      </w:r>
      <w:r w:rsidR="00841D54" w:rsidRPr="0055149C">
        <w:rPr>
          <w:lang w:eastAsia="nb-NO"/>
        </w:rPr>
        <w:t>.</w:t>
      </w:r>
      <w:r w:rsidR="00071610" w:rsidRPr="0055149C">
        <w:rPr>
          <w:lang w:eastAsia="nb-NO"/>
        </w:rPr>
        <w:t xml:space="preserve"> Vi referer</w:t>
      </w:r>
      <w:r w:rsidR="00393697">
        <w:rPr>
          <w:lang w:eastAsia="nb-NO"/>
        </w:rPr>
        <w:t>er</w:t>
      </w:r>
      <w:r w:rsidR="00071610" w:rsidRPr="0055149C">
        <w:rPr>
          <w:lang w:eastAsia="nb-NO"/>
        </w:rPr>
        <w:t xml:space="preserve"> til </w:t>
      </w:r>
      <w:r w:rsidR="00AC11F6" w:rsidRPr="0055149C">
        <w:rPr>
          <w:lang w:eastAsia="nb-NO"/>
        </w:rPr>
        <w:t>Kommunal- og moderniseringsdepartementet (2021</w:t>
      </w:r>
      <w:r w:rsidR="00693BC5">
        <w:rPr>
          <w:lang w:eastAsia="nb-NO"/>
        </w:rPr>
        <w:t>a</w:t>
      </w:r>
      <w:r w:rsidR="00AC11F6" w:rsidRPr="0055149C">
        <w:rPr>
          <w:lang w:eastAsia="nb-NO"/>
        </w:rPr>
        <w:t>)</w:t>
      </w:r>
      <w:r w:rsidR="00071610" w:rsidRPr="0055149C">
        <w:rPr>
          <w:lang w:eastAsia="nb-NO"/>
        </w:rPr>
        <w:t xml:space="preserve"> for </w:t>
      </w:r>
      <w:r w:rsidR="002E637F" w:rsidRPr="0055149C">
        <w:rPr>
          <w:lang w:eastAsia="nb-NO"/>
        </w:rPr>
        <w:t xml:space="preserve">ytterligere detaljer og </w:t>
      </w:r>
      <w:r w:rsidR="00071610" w:rsidRPr="0055149C">
        <w:rPr>
          <w:lang w:eastAsia="nb-NO"/>
        </w:rPr>
        <w:t>nærmere dokumentasjon.</w:t>
      </w:r>
    </w:p>
    <w:p w14:paraId="70BBD4E7" w14:textId="58597382" w:rsidR="00AC11F6" w:rsidRPr="0055149C" w:rsidRDefault="00D87543" w:rsidP="00841D54">
      <w:pPr>
        <w:rPr>
          <w:lang w:eastAsia="nb-NO"/>
        </w:rPr>
      </w:pPr>
      <w:r w:rsidRPr="0055149C">
        <w:rPr>
          <w:lang w:eastAsia="nb-NO"/>
        </w:rPr>
        <w:t xml:space="preserve">I tillegg </w:t>
      </w:r>
      <w:r w:rsidR="00071610" w:rsidRPr="0055149C">
        <w:rPr>
          <w:lang w:eastAsia="nb-NO"/>
        </w:rPr>
        <w:t xml:space="preserve">har vi mottatt data fra Kommunal- og distriktsdepartementet for frie inntekter </w:t>
      </w:r>
      <w:r w:rsidR="00D04EA7" w:rsidRPr="0055149C">
        <w:rPr>
          <w:lang w:eastAsia="nb-NO"/>
        </w:rPr>
        <w:t xml:space="preserve">fra 2020 til 2022 </w:t>
      </w:r>
      <w:r w:rsidR="00071610" w:rsidRPr="0055149C">
        <w:rPr>
          <w:lang w:eastAsia="nb-NO"/>
        </w:rPr>
        <w:t>inkludert eiendomsskatt, inntekter fra konsesjonskraft og havbruksinntekter.</w:t>
      </w:r>
      <w:r w:rsidR="00D04EA7" w:rsidRPr="0055149C">
        <w:rPr>
          <w:lang w:eastAsia="nb-NO"/>
        </w:rPr>
        <w:t xml:space="preserve"> Produksjonsavgiften for vindkraft inngår ikke i tallene for denne tidsperioden.</w:t>
      </w:r>
    </w:p>
    <w:p w14:paraId="04437759" w14:textId="77777777" w:rsidR="004B03E3" w:rsidRDefault="004B03E3" w:rsidP="00B9323E">
      <w:pPr>
        <w:pStyle w:val="Bildetekst"/>
      </w:pPr>
      <w:bookmarkStart w:id="71" w:name="_Ref176791147"/>
      <w:r>
        <w:br w:type="page"/>
      </w:r>
    </w:p>
    <w:p w14:paraId="0130BF4E" w14:textId="6FCDBA1A" w:rsidR="00B9323E" w:rsidRPr="0055149C" w:rsidRDefault="00B9323E" w:rsidP="00B9323E">
      <w:pPr>
        <w:pStyle w:val="Bildetekst"/>
      </w:pPr>
      <w:bookmarkStart w:id="72" w:name="_Ref182318037"/>
      <w:r w:rsidRPr="0055149C">
        <w:lastRenderedPageBreak/>
        <w:t xml:space="preserve">Tabell </w:t>
      </w:r>
      <w:fldSimple w:instr=" STYLEREF 1 \s ">
        <w:r w:rsidR="009B1DA8">
          <w:rPr>
            <w:noProof/>
          </w:rPr>
          <w:t>3</w:t>
        </w:r>
      </w:fldSimple>
      <w:r w:rsidRPr="0055149C">
        <w:t>.</w:t>
      </w:r>
      <w:fldSimple w:instr=" SEQ Tabell \* ARABIC \s 1 ">
        <w:r w:rsidR="009B1DA8">
          <w:rPr>
            <w:noProof/>
          </w:rPr>
          <w:t>3</w:t>
        </w:r>
      </w:fldSimple>
      <w:bookmarkEnd w:id="71"/>
      <w:bookmarkEnd w:id="72"/>
      <w:r w:rsidRPr="0055149C">
        <w:tab/>
        <w:t>Anvendelser av kriterie</w:t>
      </w:r>
      <w:r w:rsidR="004B6062" w:rsidRPr="0055149C">
        <w:t>ne</w:t>
      </w:r>
      <w:r w:rsidRPr="0055149C">
        <w:t xml:space="preserve"> i </w:t>
      </w:r>
      <w:r w:rsidR="00E70963">
        <w:rPr>
          <w:lang w:eastAsia="nb-NO"/>
        </w:rPr>
        <w:t xml:space="preserve">utgiftsutjevningen i </w:t>
      </w:r>
      <w:r w:rsidRPr="0055149C">
        <w:t>inntektssystemet for primærkommunene over tjenestefunksjoner</w:t>
      </w:r>
      <w:r w:rsidR="00896C6B" w:rsidRPr="0055149C">
        <w:t>. Nummereringen av vektene var gjeldende fra 2020 til 2022.</w:t>
      </w:r>
    </w:p>
    <w:tbl>
      <w:tblPr>
        <w:tblStyle w:val="Tabellrutenett"/>
        <w:tblW w:w="0" w:type="auto"/>
        <w:tblLook w:val="04A0" w:firstRow="1" w:lastRow="0" w:firstColumn="1" w:lastColumn="0" w:noHBand="0" w:noVBand="1"/>
      </w:tblPr>
      <w:tblGrid>
        <w:gridCol w:w="3093"/>
        <w:gridCol w:w="1332"/>
        <w:gridCol w:w="678"/>
        <w:gridCol w:w="678"/>
        <w:gridCol w:w="678"/>
        <w:gridCol w:w="678"/>
        <w:gridCol w:w="678"/>
        <w:gridCol w:w="678"/>
      </w:tblGrid>
      <w:tr w:rsidR="00B9323E" w:rsidRPr="0055149C" w14:paraId="0621363A" w14:textId="77777777" w:rsidTr="009238AE">
        <w:trPr>
          <w:trHeight w:val="613"/>
        </w:trPr>
        <w:tc>
          <w:tcPr>
            <w:tcW w:w="4593" w:type="dxa"/>
            <w:gridSpan w:val="2"/>
            <w:tcBorders>
              <w:top w:val="single" w:sz="4" w:space="0" w:color="auto"/>
              <w:left w:val="single" w:sz="4" w:space="0" w:color="auto"/>
              <w:bottom w:val="nil"/>
              <w:right w:val="nil"/>
            </w:tcBorders>
            <w:shd w:val="clear" w:color="auto" w:fill="3672B0" w:themeFill="accent2"/>
            <w:vAlign w:val="center"/>
          </w:tcPr>
          <w:p w14:paraId="705835C3" w14:textId="0B3E1548"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Kriterium i inntektssystemet for primærkommunene</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03136F1B"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Grunnskolen</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1B9A1CA1"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Barnehagen</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0248FA5A"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Helse og omsorg</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44B8F91B"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Barnevernet</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07395350"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Sosialsektoren</w:t>
            </w:r>
          </w:p>
        </w:tc>
        <w:tc>
          <w:tcPr>
            <w:tcW w:w="650" w:type="dxa"/>
            <w:vMerge w:val="restart"/>
            <w:tcBorders>
              <w:top w:val="single" w:sz="4" w:space="0" w:color="auto"/>
              <w:left w:val="nil"/>
              <w:bottom w:val="nil"/>
              <w:right w:val="single" w:sz="4" w:space="0" w:color="auto"/>
            </w:tcBorders>
            <w:shd w:val="clear" w:color="auto" w:fill="3672B0" w:themeFill="accent2"/>
            <w:textDirection w:val="btLr"/>
            <w:vAlign w:val="center"/>
          </w:tcPr>
          <w:p w14:paraId="3D3DC7A7"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Admin. og felles</w:t>
            </w:r>
          </w:p>
        </w:tc>
      </w:tr>
      <w:tr w:rsidR="00B9323E" w:rsidRPr="0055149C" w14:paraId="4F12179E" w14:textId="77777777" w:rsidTr="00B9323E">
        <w:trPr>
          <w:trHeight w:val="798"/>
        </w:trPr>
        <w:tc>
          <w:tcPr>
            <w:tcW w:w="3221" w:type="dxa"/>
            <w:tcBorders>
              <w:top w:val="nil"/>
              <w:left w:val="single" w:sz="4" w:space="0" w:color="auto"/>
              <w:bottom w:val="single" w:sz="4" w:space="0" w:color="auto"/>
              <w:right w:val="nil"/>
            </w:tcBorders>
            <w:shd w:val="clear" w:color="auto" w:fill="3672B0" w:themeFill="accent2"/>
            <w:vAlign w:val="center"/>
          </w:tcPr>
          <w:p w14:paraId="183FD587" w14:textId="01824E16"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Innhold</w:t>
            </w:r>
          </w:p>
        </w:tc>
        <w:tc>
          <w:tcPr>
            <w:tcW w:w="1372" w:type="dxa"/>
            <w:tcBorders>
              <w:top w:val="nil"/>
              <w:left w:val="nil"/>
              <w:bottom w:val="single" w:sz="4" w:space="0" w:color="auto"/>
              <w:right w:val="nil"/>
            </w:tcBorders>
            <w:shd w:val="clear" w:color="auto" w:fill="3672B0" w:themeFill="accent2"/>
            <w:vAlign w:val="center"/>
          </w:tcPr>
          <w:p w14:paraId="7BDE2C63" w14:textId="415EDAB9"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Nummer</w:t>
            </w:r>
          </w:p>
        </w:tc>
        <w:tc>
          <w:tcPr>
            <w:tcW w:w="650" w:type="dxa"/>
            <w:vMerge/>
            <w:tcBorders>
              <w:top w:val="nil"/>
              <w:left w:val="nil"/>
              <w:bottom w:val="single" w:sz="4" w:space="0" w:color="auto"/>
              <w:right w:val="nil"/>
            </w:tcBorders>
            <w:shd w:val="clear" w:color="auto" w:fill="3672B0" w:themeFill="accent2"/>
            <w:textDirection w:val="btLr"/>
            <w:vAlign w:val="center"/>
          </w:tcPr>
          <w:p w14:paraId="1559BC84"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2EA1D2D2"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112184FA"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4DF7379F"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201DAF92"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single" w:sz="4" w:space="0" w:color="auto"/>
            </w:tcBorders>
            <w:shd w:val="clear" w:color="auto" w:fill="3672B0" w:themeFill="accent2"/>
            <w:textDirection w:val="btLr"/>
            <w:vAlign w:val="center"/>
          </w:tcPr>
          <w:p w14:paraId="2DE54197" w14:textId="77777777" w:rsidR="00B9323E" w:rsidRPr="00027E00" w:rsidRDefault="00B9323E" w:rsidP="00B9323E">
            <w:pPr>
              <w:jc w:val="center"/>
              <w:rPr>
                <w:b/>
                <w:bCs/>
                <w:color w:val="FFFFFF" w:themeColor="background1"/>
                <w:sz w:val="20"/>
                <w:szCs w:val="20"/>
              </w:rPr>
            </w:pPr>
          </w:p>
        </w:tc>
      </w:tr>
      <w:tr w:rsidR="00B9323E" w:rsidRPr="0055149C" w14:paraId="5802FB23" w14:textId="77777777" w:rsidTr="00B9323E">
        <w:tc>
          <w:tcPr>
            <w:tcW w:w="3221" w:type="dxa"/>
            <w:tcBorders>
              <w:top w:val="single" w:sz="4" w:space="0" w:color="auto"/>
              <w:left w:val="single" w:sz="4" w:space="0" w:color="auto"/>
              <w:bottom w:val="nil"/>
              <w:right w:val="nil"/>
            </w:tcBorders>
            <w:vAlign w:val="center"/>
          </w:tcPr>
          <w:p w14:paraId="4329F968" w14:textId="77777777" w:rsidR="00B9323E" w:rsidRPr="00F75927" w:rsidRDefault="00B9323E" w:rsidP="009238AE">
            <w:pPr>
              <w:rPr>
                <w:color w:val="000000"/>
                <w:sz w:val="20"/>
                <w:szCs w:val="20"/>
              </w:rPr>
            </w:pPr>
            <w:r w:rsidRPr="00F75927">
              <w:rPr>
                <w:color w:val="000000"/>
                <w:sz w:val="20"/>
                <w:szCs w:val="20"/>
              </w:rPr>
              <w:t>Dødelighetskriterium</w:t>
            </w:r>
          </w:p>
        </w:tc>
        <w:tc>
          <w:tcPr>
            <w:tcW w:w="1372" w:type="dxa"/>
            <w:tcBorders>
              <w:top w:val="single" w:sz="4" w:space="0" w:color="auto"/>
              <w:left w:val="nil"/>
              <w:bottom w:val="nil"/>
              <w:right w:val="single" w:sz="4" w:space="0" w:color="auto"/>
            </w:tcBorders>
            <w:vAlign w:val="center"/>
          </w:tcPr>
          <w:p w14:paraId="3C51D64F" w14:textId="77777777" w:rsidR="00B9323E" w:rsidRPr="00F75927" w:rsidRDefault="00B9323E" w:rsidP="009238AE">
            <w:pPr>
              <w:rPr>
                <w:color w:val="000000"/>
                <w:sz w:val="20"/>
                <w:szCs w:val="20"/>
              </w:rPr>
            </w:pPr>
            <w:r w:rsidRPr="00F75927">
              <w:rPr>
                <w:color w:val="000000"/>
                <w:sz w:val="20"/>
                <w:szCs w:val="20"/>
              </w:rPr>
              <w:t>Kriterium 3</w:t>
            </w:r>
          </w:p>
        </w:tc>
        <w:tc>
          <w:tcPr>
            <w:tcW w:w="650" w:type="dxa"/>
            <w:tcBorders>
              <w:top w:val="single" w:sz="4" w:space="0" w:color="auto"/>
              <w:left w:val="single" w:sz="4" w:space="0" w:color="auto"/>
              <w:bottom w:val="nil"/>
              <w:right w:val="nil"/>
            </w:tcBorders>
            <w:vAlign w:val="center"/>
          </w:tcPr>
          <w:p w14:paraId="2A977223" w14:textId="77777777" w:rsidR="00B9323E" w:rsidRPr="00F75927" w:rsidRDefault="00B9323E" w:rsidP="009238AE">
            <w:pPr>
              <w:jc w:val="center"/>
              <w:rPr>
                <w:color w:val="000000"/>
                <w:sz w:val="20"/>
                <w:szCs w:val="20"/>
              </w:rPr>
            </w:pPr>
          </w:p>
        </w:tc>
        <w:tc>
          <w:tcPr>
            <w:tcW w:w="650" w:type="dxa"/>
            <w:tcBorders>
              <w:top w:val="single" w:sz="4" w:space="0" w:color="auto"/>
              <w:left w:val="nil"/>
              <w:bottom w:val="nil"/>
              <w:right w:val="nil"/>
            </w:tcBorders>
            <w:vAlign w:val="center"/>
          </w:tcPr>
          <w:p w14:paraId="0F026F9A" w14:textId="77777777" w:rsidR="00B9323E" w:rsidRPr="00F75927" w:rsidRDefault="00B9323E" w:rsidP="009238AE">
            <w:pPr>
              <w:jc w:val="center"/>
              <w:rPr>
                <w:color w:val="000000"/>
                <w:sz w:val="20"/>
                <w:szCs w:val="20"/>
              </w:rPr>
            </w:pPr>
          </w:p>
        </w:tc>
        <w:tc>
          <w:tcPr>
            <w:tcW w:w="650" w:type="dxa"/>
            <w:tcBorders>
              <w:top w:val="single" w:sz="4" w:space="0" w:color="auto"/>
              <w:left w:val="nil"/>
              <w:bottom w:val="nil"/>
              <w:right w:val="nil"/>
            </w:tcBorders>
            <w:vAlign w:val="center"/>
          </w:tcPr>
          <w:p w14:paraId="6B8013F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single" w:sz="4" w:space="0" w:color="auto"/>
              <w:left w:val="nil"/>
              <w:bottom w:val="nil"/>
              <w:right w:val="nil"/>
            </w:tcBorders>
            <w:vAlign w:val="center"/>
          </w:tcPr>
          <w:p w14:paraId="2B8B3E08"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single" w:sz="4" w:space="0" w:color="auto"/>
              <w:left w:val="nil"/>
              <w:bottom w:val="nil"/>
              <w:right w:val="nil"/>
            </w:tcBorders>
            <w:vAlign w:val="center"/>
          </w:tcPr>
          <w:p w14:paraId="17D77514" w14:textId="77777777" w:rsidR="00B9323E" w:rsidRPr="00F75927" w:rsidRDefault="00B9323E" w:rsidP="009238AE">
            <w:pPr>
              <w:jc w:val="center"/>
              <w:rPr>
                <w:color w:val="000000"/>
                <w:sz w:val="20"/>
                <w:szCs w:val="20"/>
              </w:rPr>
            </w:pPr>
          </w:p>
        </w:tc>
        <w:tc>
          <w:tcPr>
            <w:tcW w:w="650" w:type="dxa"/>
            <w:tcBorders>
              <w:top w:val="single" w:sz="4" w:space="0" w:color="auto"/>
              <w:left w:val="nil"/>
              <w:bottom w:val="nil"/>
              <w:right w:val="single" w:sz="4" w:space="0" w:color="auto"/>
            </w:tcBorders>
            <w:vAlign w:val="center"/>
          </w:tcPr>
          <w:p w14:paraId="3FB32E46"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7B0D53AF"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569410A" w14:textId="77777777" w:rsidR="00B9323E" w:rsidRPr="00F75927" w:rsidRDefault="00B9323E" w:rsidP="009238AE">
            <w:pPr>
              <w:rPr>
                <w:color w:val="000000"/>
                <w:sz w:val="20"/>
                <w:szCs w:val="20"/>
              </w:rPr>
            </w:pPr>
            <w:r w:rsidRPr="00F75927">
              <w:rPr>
                <w:color w:val="000000"/>
                <w:sz w:val="20"/>
                <w:szCs w:val="20"/>
              </w:rPr>
              <w:t>Innbyggere 2 til 5 år</w:t>
            </w:r>
          </w:p>
        </w:tc>
        <w:tc>
          <w:tcPr>
            <w:tcW w:w="1372" w:type="dxa"/>
            <w:tcBorders>
              <w:top w:val="nil"/>
              <w:left w:val="nil"/>
              <w:bottom w:val="nil"/>
              <w:right w:val="single" w:sz="4" w:space="0" w:color="auto"/>
            </w:tcBorders>
            <w:shd w:val="clear" w:color="auto" w:fill="D4E2F2" w:themeFill="accent2" w:themeFillTint="33"/>
            <w:vAlign w:val="center"/>
          </w:tcPr>
          <w:p w14:paraId="31F0CF83" w14:textId="77777777" w:rsidR="00B9323E" w:rsidRPr="00F75927" w:rsidRDefault="00B9323E" w:rsidP="009238AE">
            <w:pPr>
              <w:rPr>
                <w:color w:val="000000"/>
                <w:sz w:val="20"/>
                <w:szCs w:val="20"/>
              </w:rPr>
            </w:pPr>
            <w:r w:rsidRPr="00F75927">
              <w:rPr>
                <w:color w:val="000000"/>
                <w:sz w:val="20"/>
                <w:szCs w:val="20"/>
              </w:rPr>
              <w:t>Kriterium 4</w:t>
            </w:r>
          </w:p>
        </w:tc>
        <w:tc>
          <w:tcPr>
            <w:tcW w:w="650" w:type="dxa"/>
            <w:tcBorders>
              <w:top w:val="nil"/>
              <w:left w:val="single" w:sz="4" w:space="0" w:color="auto"/>
              <w:bottom w:val="nil"/>
              <w:right w:val="nil"/>
            </w:tcBorders>
            <w:shd w:val="clear" w:color="auto" w:fill="D4E2F2" w:themeFill="accent2" w:themeFillTint="33"/>
            <w:vAlign w:val="center"/>
          </w:tcPr>
          <w:p w14:paraId="7E5594E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43D4FBC"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2F28AA9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6259E7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2C3D8191"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4EA069F2"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3350085C" w14:textId="77777777" w:rsidTr="00B9323E">
        <w:tc>
          <w:tcPr>
            <w:tcW w:w="3221" w:type="dxa"/>
            <w:tcBorders>
              <w:top w:val="nil"/>
              <w:left w:val="single" w:sz="4" w:space="0" w:color="auto"/>
              <w:bottom w:val="nil"/>
              <w:right w:val="nil"/>
            </w:tcBorders>
            <w:vAlign w:val="center"/>
          </w:tcPr>
          <w:p w14:paraId="49505A8F" w14:textId="77777777" w:rsidR="00B9323E" w:rsidRPr="00F75927" w:rsidRDefault="00B9323E" w:rsidP="009238AE">
            <w:pPr>
              <w:rPr>
                <w:color w:val="000000"/>
                <w:sz w:val="20"/>
                <w:szCs w:val="20"/>
              </w:rPr>
            </w:pPr>
            <w:r w:rsidRPr="00F75927">
              <w:rPr>
                <w:color w:val="000000"/>
                <w:sz w:val="20"/>
                <w:szCs w:val="20"/>
              </w:rPr>
              <w:t>Innbyggere 6 til 15 år</w:t>
            </w:r>
          </w:p>
        </w:tc>
        <w:tc>
          <w:tcPr>
            <w:tcW w:w="1372" w:type="dxa"/>
            <w:tcBorders>
              <w:top w:val="nil"/>
              <w:left w:val="nil"/>
              <w:bottom w:val="nil"/>
              <w:right w:val="single" w:sz="4" w:space="0" w:color="auto"/>
            </w:tcBorders>
            <w:vAlign w:val="center"/>
          </w:tcPr>
          <w:p w14:paraId="2AAEEEB3" w14:textId="77777777" w:rsidR="00B9323E" w:rsidRPr="00F75927" w:rsidRDefault="00B9323E" w:rsidP="009238AE">
            <w:pPr>
              <w:rPr>
                <w:color w:val="000000"/>
                <w:sz w:val="20"/>
                <w:szCs w:val="20"/>
              </w:rPr>
            </w:pPr>
            <w:r w:rsidRPr="00F75927">
              <w:rPr>
                <w:color w:val="000000"/>
                <w:sz w:val="20"/>
                <w:szCs w:val="20"/>
              </w:rPr>
              <w:t>Kriterium 5</w:t>
            </w:r>
          </w:p>
        </w:tc>
        <w:tc>
          <w:tcPr>
            <w:tcW w:w="650" w:type="dxa"/>
            <w:tcBorders>
              <w:top w:val="nil"/>
              <w:left w:val="single" w:sz="4" w:space="0" w:color="auto"/>
              <w:bottom w:val="nil"/>
              <w:right w:val="nil"/>
            </w:tcBorders>
            <w:vAlign w:val="center"/>
          </w:tcPr>
          <w:p w14:paraId="14081F33"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16A196A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01D8E89"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18F2000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16F6DEDD"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17D0761E"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19B50B02"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205D7263" w14:textId="77777777" w:rsidR="00B9323E" w:rsidRPr="00F75927" w:rsidRDefault="00B9323E" w:rsidP="009238AE">
            <w:pPr>
              <w:rPr>
                <w:color w:val="000000"/>
                <w:sz w:val="20"/>
                <w:szCs w:val="20"/>
              </w:rPr>
            </w:pPr>
            <w:r w:rsidRPr="00F75927">
              <w:rPr>
                <w:color w:val="000000"/>
                <w:sz w:val="20"/>
                <w:szCs w:val="20"/>
              </w:rPr>
              <w:t>Innbyggere 16 til 22 år</w:t>
            </w:r>
          </w:p>
        </w:tc>
        <w:tc>
          <w:tcPr>
            <w:tcW w:w="1372" w:type="dxa"/>
            <w:tcBorders>
              <w:top w:val="nil"/>
              <w:left w:val="nil"/>
              <w:bottom w:val="nil"/>
              <w:right w:val="single" w:sz="4" w:space="0" w:color="auto"/>
            </w:tcBorders>
            <w:shd w:val="clear" w:color="auto" w:fill="D4E2F2" w:themeFill="accent2" w:themeFillTint="33"/>
            <w:vAlign w:val="center"/>
          </w:tcPr>
          <w:p w14:paraId="3BFA05F3" w14:textId="77777777" w:rsidR="00B9323E" w:rsidRPr="00F75927" w:rsidRDefault="00B9323E" w:rsidP="009238AE">
            <w:pPr>
              <w:rPr>
                <w:color w:val="000000"/>
                <w:sz w:val="20"/>
                <w:szCs w:val="20"/>
              </w:rPr>
            </w:pPr>
            <w:r w:rsidRPr="00F75927">
              <w:rPr>
                <w:color w:val="000000"/>
                <w:sz w:val="20"/>
                <w:szCs w:val="20"/>
              </w:rPr>
              <w:t>Kriterium 6</w:t>
            </w:r>
          </w:p>
        </w:tc>
        <w:tc>
          <w:tcPr>
            <w:tcW w:w="650" w:type="dxa"/>
            <w:tcBorders>
              <w:top w:val="nil"/>
              <w:left w:val="single" w:sz="4" w:space="0" w:color="auto"/>
              <w:bottom w:val="nil"/>
              <w:right w:val="nil"/>
            </w:tcBorders>
            <w:shd w:val="clear" w:color="auto" w:fill="D4E2F2" w:themeFill="accent2" w:themeFillTint="33"/>
            <w:vAlign w:val="center"/>
          </w:tcPr>
          <w:p w14:paraId="01C307C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20E4897"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903A6E4"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C266819"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787456CD"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shd w:val="clear" w:color="auto" w:fill="D4E2F2" w:themeFill="accent2" w:themeFillTint="33"/>
            <w:vAlign w:val="center"/>
          </w:tcPr>
          <w:p w14:paraId="223300DE"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632C9B79" w14:textId="77777777" w:rsidTr="00B9323E">
        <w:tc>
          <w:tcPr>
            <w:tcW w:w="3221" w:type="dxa"/>
            <w:tcBorders>
              <w:top w:val="nil"/>
              <w:left w:val="single" w:sz="4" w:space="0" w:color="auto"/>
              <w:bottom w:val="nil"/>
              <w:right w:val="nil"/>
            </w:tcBorders>
            <w:vAlign w:val="center"/>
          </w:tcPr>
          <w:p w14:paraId="517414B5" w14:textId="77777777" w:rsidR="00B9323E" w:rsidRPr="00F75927" w:rsidRDefault="00B9323E" w:rsidP="009238AE">
            <w:pPr>
              <w:rPr>
                <w:color w:val="000000"/>
                <w:sz w:val="20"/>
                <w:szCs w:val="20"/>
              </w:rPr>
            </w:pPr>
            <w:r w:rsidRPr="00F75927">
              <w:rPr>
                <w:color w:val="000000"/>
                <w:sz w:val="20"/>
                <w:szCs w:val="20"/>
              </w:rPr>
              <w:t>Innbyggere 23 til 66 år</w:t>
            </w:r>
          </w:p>
        </w:tc>
        <w:tc>
          <w:tcPr>
            <w:tcW w:w="1372" w:type="dxa"/>
            <w:tcBorders>
              <w:top w:val="nil"/>
              <w:left w:val="nil"/>
              <w:bottom w:val="nil"/>
              <w:right w:val="single" w:sz="4" w:space="0" w:color="auto"/>
            </w:tcBorders>
            <w:vAlign w:val="center"/>
          </w:tcPr>
          <w:p w14:paraId="6D4B3A72" w14:textId="77777777" w:rsidR="00B9323E" w:rsidRPr="00F75927" w:rsidRDefault="00B9323E" w:rsidP="009238AE">
            <w:pPr>
              <w:rPr>
                <w:color w:val="000000"/>
                <w:sz w:val="20"/>
                <w:szCs w:val="20"/>
              </w:rPr>
            </w:pPr>
            <w:r w:rsidRPr="00F75927">
              <w:rPr>
                <w:color w:val="000000"/>
                <w:sz w:val="20"/>
                <w:szCs w:val="20"/>
              </w:rPr>
              <w:t>Kriterium 7</w:t>
            </w:r>
          </w:p>
        </w:tc>
        <w:tc>
          <w:tcPr>
            <w:tcW w:w="650" w:type="dxa"/>
            <w:tcBorders>
              <w:top w:val="nil"/>
              <w:left w:val="single" w:sz="4" w:space="0" w:color="auto"/>
              <w:bottom w:val="nil"/>
              <w:right w:val="nil"/>
            </w:tcBorders>
            <w:vAlign w:val="center"/>
          </w:tcPr>
          <w:p w14:paraId="7A0E0752"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073BC1D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1A87072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49294A2A"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00F0A8B"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vAlign w:val="center"/>
          </w:tcPr>
          <w:p w14:paraId="6C1455CD"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2AAEC2E1"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4155507E" w14:textId="77777777" w:rsidR="00B9323E" w:rsidRPr="00F75927" w:rsidRDefault="00B9323E" w:rsidP="009238AE">
            <w:pPr>
              <w:rPr>
                <w:color w:val="000000"/>
                <w:sz w:val="20"/>
                <w:szCs w:val="20"/>
              </w:rPr>
            </w:pPr>
            <w:r w:rsidRPr="00F75927">
              <w:rPr>
                <w:color w:val="000000"/>
                <w:sz w:val="20"/>
                <w:szCs w:val="20"/>
              </w:rPr>
              <w:t>Innbyggere 67 til 79 år</w:t>
            </w:r>
          </w:p>
        </w:tc>
        <w:tc>
          <w:tcPr>
            <w:tcW w:w="1372" w:type="dxa"/>
            <w:tcBorders>
              <w:top w:val="nil"/>
              <w:left w:val="nil"/>
              <w:bottom w:val="nil"/>
              <w:right w:val="single" w:sz="4" w:space="0" w:color="auto"/>
            </w:tcBorders>
            <w:shd w:val="clear" w:color="auto" w:fill="D4E2F2" w:themeFill="accent2" w:themeFillTint="33"/>
            <w:vAlign w:val="center"/>
          </w:tcPr>
          <w:p w14:paraId="00FDBBF5" w14:textId="77777777" w:rsidR="00B9323E" w:rsidRPr="00F75927" w:rsidRDefault="00B9323E" w:rsidP="009238AE">
            <w:pPr>
              <w:rPr>
                <w:color w:val="000000"/>
                <w:sz w:val="20"/>
                <w:szCs w:val="20"/>
              </w:rPr>
            </w:pPr>
            <w:r w:rsidRPr="00F75927">
              <w:rPr>
                <w:color w:val="000000"/>
                <w:sz w:val="20"/>
                <w:szCs w:val="20"/>
              </w:rPr>
              <w:t>Kriterium 8</w:t>
            </w:r>
          </w:p>
        </w:tc>
        <w:tc>
          <w:tcPr>
            <w:tcW w:w="650" w:type="dxa"/>
            <w:tcBorders>
              <w:top w:val="nil"/>
              <w:left w:val="single" w:sz="4" w:space="0" w:color="auto"/>
              <w:bottom w:val="nil"/>
              <w:right w:val="nil"/>
            </w:tcBorders>
            <w:shd w:val="clear" w:color="auto" w:fill="D4E2F2" w:themeFill="accent2" w:themeFillTint="33"/>
            <w:vAlign w:val="center"/>
          </w:tcPr>
          <w:p w14:paraId="212052BD"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012E0F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F4E6ECB"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1EFD1D0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F4EEFED"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42575042"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0853B836" w14:textId="77777777" w:rsidTr="00B9323E">
        <w:tc>
          <w:tcPr>
            <w:tcW w:w="3221" w:type="dxa"/>
            <w:tcBorders>
              <w:top w:val="nil"/>
              <w:left w:val="single" w:sz="4" w:space="0" w:color="auto"/>
              <w:bottom w:val="nil"/>
              <w:right w:val="nil"/>
            </w:tcBorders>
            <w:vAlign w:val="center"/>
          </w:tcPr>
          <w:p w14:paraId="0D76EF7C" w14:textId="77777777" w:rsidR="00B9323E" w:rsidRPr="00F75927" w:rsidRDefault="00B9323E" w:rsidP="009238AE">
            <w:pPr>
              <w:rPr>
                <w:color w:val="000000"/>
                <w:sz w:val="20"/>
                <w:szCs w:val="20"/>
              </w:rPr>
            </w:pPr>
            <w:r w:rsidRPr="00F75927">
              <w:rPr>
                <w:color w:val="000000"/>
                <w:sz w:val="20"/>
                <w:szCs w:val="20"/>
              </w:rPr>
              <w:t>Innbyggere 80 til 89 år</w:t>
            </w:r>
          </w:p>
        </w:tc>
        <w:tc>
          <w:tcPr>
            <w:tcW w:w="1372" w:type="dxa"/>
            <w:tcBorders>
              <w:top w:val="nil"/>
              <w:left w:val="nil"/>
              <w:bottom w:val="nil"/>
              <w:right w:val="single" w:sz="4" w:space="0" w:color="auto"/>
            </w:tcBorders>
            <w:vAlign w:val="center"/>
          </w:tcPr>
          <w:p w14:paraId="26CE0EF0" w14:textId="77777777" w:rsidR="00B9323E" w:rsidRPr="00F75927" w:rsidRDefault="00B9323E" w:rsidP="009238AE">
            <w:pPr>
              <w:rPr>
                <w:color w:val="000000"/>
                <w:sz w:val="20"/>
                <w:szCs w:val="20"/>
              </w:rPr>
            </w:pPr>
            <w:r w:rsidRPr="00F75927">
              <w:rPr>
                <w:color w:val="000000"/>
                <w:sz w:val="20"/>
                <w:szCs w:val="20"/>
              </w:rPr>
              <w:t>Kriterium 9</w:t>
            </w:r>
          </w:p>
        </w:tc>
        <w:tc>
          <w:tcPr>
            <w:tcW w:w="650" w:type="dxa"/>
            <w:tcBorders>
              <w:top w:val="nil"/>
              <w:left w:val="single" w:sz="4" w:space="0" w:color="auto"/>
              <w:bottom w:val="nil"/>
              <w:right w:val="nil"/>
            </w:tcBorders>
            <w:vAlign w:val="center"/>
          </w:tcPr>
          <w:p w14:paraId="4A1FCB1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0BE997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B11D32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25DE5B1B"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E59EFDA"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3B535E41"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26A736EE"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ECEA5DE" w14:textId="77777777" w:rsidR="00B9323E" w:rsidRPr="00F75927" w:rsidRDefault="00B9323E" w:rsidP="009238AE">
            <w:pPr>
              <w:rPr>
                <w:color w:val="000000"/>
                <w:sz w:val="20"/>
                <w:szCs w:val="20"/>
              </w:rPr>
            </w:pPr>
            <w:r w:rsidRPr="00F75927">
              <w:rPr>
                <w:color w:val="000000"/>
                <w:sz w:val="20"/>
                <w:szCs w:val="20"/>
              </w:rPr>
              <w:t>Innbyggere 90 år eller eldre</w:t>
            </w:r>
          </w:p>
        </w:tc>
        <w:tc>
          <w:tcPr>
            <w:tcW w:w="1372" w:type="dxa"/>
            <w:tcBorders>
              <w:top w:val="nil"/>
              <w:left w:val="nil"/>
              <w:bottom w:val="nil"/>
              <w:right w:val="single" w:sz="4" w:space="0" w:color="auto"/>
            </w:tcBorders>
            <w:shd w:val="clear" w:color="auto" w:fill="D4E2F2" w:themeFill="accent2" w:themeFillTint="33"/>
            <w:vAlign w:val="center"/>
          </w:tcPr>
          <w:p w14:paraId="28BDFC9B" w14:textId="77777777" w:rsidR="00B9323E" w:rsidRPr="00F75927" w:rsidRDefault="00B9323E" w:rsidP="009238AE">
            <w:pPr>
              <w:rPr>
                <w:color w:val="000000"/>
                <w:sz w:val="20"/>
                <w:szCs w:val="20"/>
              </w:rPr>
            </w:pPr>
            <w:r w:rsidRPr="00F75927">
              <w:rPr>
                <w:color w:val="000000"/>
                <w:sz w:val="20"/>
                <w:szCs w:val="20"/>
              </w:rPr>
              <w:t>Kriterium 10</w:t>
            </w:r>
          </w:p>
        </w:tc>
        <w:tc>
          <w:tcPr>
            <w:tcW w:w="650" w:type="dxa"/>
            <w:tcBorders>
              <w:top w:val="nil"/>
              <w:left w:val="single" w:sz="4" w:space="0" w:color="auto"/>
              <w:bottom w:val="nil"/>
              <w:right w:val="nil"/>
            </w:tcBorders>
            <w:shd w:val="clear" w:color="auto" w:fill="D4E2F2" w:themeFill="accent2" w:themeFillTint="33"/>
            <w:vAlign w:val="center"/>
          </w:tcPr>
          <w:p w14:paraId="1B90A0AD"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670C29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EE53DF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3B863DC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27FC3B62"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127ED467" w14:textId="77777777" w:rsidR="00B9323E" w:rsidRPr="00F75927" w:rsidRDefault="00B9323E" w:rsidP="009238AE">
            <w:pPr>
              <w:jc w:val="center"/>
              <w:rPr>
                <w:color w:val="000000"/>
                <w:sz w:val="20"/>
                <w:szCs w:val="20"/>
              </w:rPr>
            </w:pPr>
          </w:p>
        </w:tc>
      </w:tr>
      <w:tr w:rsidR="00B9323E" w:rsidRPr="0055149C" w14:paraId="163CF88A" w14:textId="77777777" w:rsidTr="00B9323E">
        <w:tc>
          <w:tcPr>
            <w:tcW w:w="3221" w:type="dxa"/>
            <w:tcBorders>
              <w:top w:val="nil"/>
              <w:left w:val="single" w:sz="4" w:space="0" w:color="auto"/>
              <w:bottom w:val="nil"/>
              <w:right w:val="nil"/>
            </w:tcBorders>
            <w:vAlign w:val="center"/>
          </w:tcPr>
          <w:p w14:paraId="77F3152F" w14:textId="77777777" w:rsidR="00B9323E" w:rsidRPr="00F75927" w:rsidRDefault="00B9323E" w:rsidP="009238AE">
            <w:pPr>
              <w:rPr>
                <w:color w:val="000000"/>
                <w:sz w:val="20"/>
                <w:szCs w:val="20"/>
              </w:rPr>
            </w:pPr>
            <w:r w:rsidRPr="00F75927">
              <w:rPr>
                <w:color w:val="000000"/>
                <w:sz w:val="20"/>
                <w:szCs w:val="20"/>
              </w:rPr>
              <w:t>Gradert basiskriterium</w:t>
            </w:r>
          </w:p>
        </w:tc>
        <w:tc>
          <w:tcPr>
            <w:tcW w:w="1372" w:type="dxa"/>
            <w:tcBorders>
              <w:top w:val="nil"/>
              <w:left w:val="nil"/>
              <w:bottom w:val="nil"/>
              <w:right w:val="single" w:sz="4" w:space="0" w:color="auto"/>
            </w:tcBorders>
            <w:vAlign w:val="center"/>
          </w:tcPr>
          <w:p w14:paraId="4380AC47" w14:textId="77777777" w:rsidR="00B9323E" w:rsidRPr="00F75927" w:rsidRDefault="00B9323E" w:rsidP="009238AE">
            <w:pPr>
              <w:rPr>
                <w:color w:val="000000"/>
                <w:sz w:val="20"/>
                <w:szCs w:val="20"/>
              </w:rPr>
            </w:pPr>
            <w:r w:rsidRPr="00F75927">
              <w:rPr>
                <w:color w:val="000000"/>
                <w:sz w:val="20"/>
                <w:szCs w:val="20"/>
              </w:rPr>
              <w:t>Kriterium 12</w:t>
            </w:r>
          </w:p>
        </w:tc>
        <w:tc>
          <w:tcPr>
            <w:tcW w:w="650" w:type="dxa"/>
            <w:tcBorders>
              <w:top w:val="nil"/>
              <w:left w:val="single" w:sz="4" w:space="0" w:color="auto"/>
              <w:bottom w:val="nil"/>
              <w:right w:val="nil"/>
            </w:tcBorders>
            <w:vAlign w:val="center"/>
          </w:tcPr>
          <w:p w14:paraId="3A5DF18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41081B7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F137AE0"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595DD5DD"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FE26E1A"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2CA6CE16"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348B9EC3"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3C1771BE" w14:textId="77777777" w:rsidR="00B9323E" w:rsidRPr="00F75927" w:rsidRDefault="00B9323E" w:rsidP="009238AE">
            <w:pPr>
              <w:rPr>
                <w:color w:val="000000"/>
                <w:sz w:val="20"/>
                <w:szCs w:val="20"/>
              </w:rPr>
            </w:pPr>
            <w:r w:rsidRPr="00F75927">
              <w:rPr>
                <w:color w:val="000000"/>
                <w:sz w:val="20"/>
                <w:szCs w:val="20"/>
              </w:rPr>
              <w:t>Reiseavstand innad i sone</w:t>
            </w:r>
          </w:p>
        </w:tc>
        <w:tc>
          <w:tcPr>
            <w:tcW w:w="1372" w:type="dxa"/>
            <w:tcBorders>
              <w:top w:val="nil"/>
              <w:left w:val="nil"/>
              <w:bottom w:val="nil"/>
              <w:right w:val="single" w:sz="4" w:space="0" w:color="auto"/>
            </w:tcBorders>
            <w:shd w:val="clear" w:color="auto" w:fill="D4E2F2" w:themeFill="accent2" w:themeFillTint="33"/>
            <w:vAlign w:val="center"/>
          </w:tcPr>
          <w:p w14:paraId="6A7354EC" w14:textId="77777777" w:rsidR="00B9323E" w:rsidRPr="00F75927" w:rsidRDefault="00B9323E" w:rsidP="009238AE">
            <w:pPr>
              <w:rPr>
                <w:color w:val="000000"/>
                <w:sz w:val="20"/>
                <w:szCs w:val="20"/>
              </w:rPr>
            </w:pPr>
            <w:r w:rsidRPr="00F75927">
              <w:rPr>
                <w:color w:val="000000"/>
                <w:sz w:val="20"/>
                <w:szCs w:val="20"/>
              </w:rPr>
              <w:t>Kriterium 13</w:t>
            </w:r>
          </w:p>
        </w:tc>
        <w:tc>
          <w:tcPr>
            <w:tcW w:w="650" w:type="dxa"/>
            <w:tcBorders>
              <w:top w:val="nil"/>
              <w:left w:val="single" w:sz="4" w:space="0" w:color="auto"/>
              <w:bottom w:val="nil"/>
              <w:right w:val="nil"/>
            </w:tcBorders>
            <w:shd w:val="clear" w:color="auto" w:fill="D4E2F2" w:themeFill="accent2" w:themeFillTint="33"/>
            <w:vAlign w:val="center"/>
          </w:tcPr>
          <w:p w14:paraId="658DC5D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0AEB965C"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AF4055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E7CA94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F75D844"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06F65E48" w14:textId="77777777" w:rsidR="00B9323E" w:rsidRPr="00F75927" w:rsidRDefault="00B9323E" w:rsidP="009238AE">
            <w:pPr>
              <w:jc w:val="center"/>
              <w:rPr>
                <w:color w:val="000000"/>
                <w:sz w:val="20"/>
                <w:szCs w:val="20"/>
              </w:rPr>
            </w:pPr>
          </w:p>
        </w:tc>
      </w:tr>
      <w:tr w:rsidR="00B9323E" w:rsidRPr="0055149C" w14:paraId="471B6343" w14:textId="77777777" w:rsidTr="00B9323E">
        <w:tc>
          <w:tcPr>
            <w:tcW w:w="3221" w:type="dxa"/>
            <w:tcBorders>
              <w:top w:val="nil"/>
              <w:left w:val="single" w:sz="4" w:space="0" w:color="auto"/>
              <w:bottom w:val="nil"/>
              <w:right w:val="nil"/>
            </w:tcBorders>
            <w:vAlign w:val="center"/>
          </w:tcPr>
          <w:p w14:paraId="6B5677ED" w14:textId="77777777" w:rsidR="00B9323E" w:rsidRPr="00F75927" w:rsidRDefault="00B9323E" w:rsidP="009238AE">
            <w:pPr>
              <w:rPr>
                <w:color w:val="000000"/>
                <w:sz w:val="20"/>
                <w:szCs w:val="20"/>
              </w:rPr>
            </w:pPr>
            <w:r w:rsidRPr="00F75927">
              <w:rPr>
                <w:color w:val="000000"/>
                <w:sz w:val="20"/>
                <w:szCs w:val="20"/>
              </w:rPr>
              <w:t>Reiseavstand innen nabokrets</w:t>
            </w:r>
          </w:p>
        </w:tc>
        <w:tc>
          <w:tcPr>
            <w:tcW w:w="1372" w:type="dxa"/>
            <w:tcBorders>
              <w:top w:val="nil"/>
              <w:left w:val="nil"/>
              <w:bottom w:val="nil"/>
              <w:right w:val="single" w:sz="4" w:space="0" w:color="auto"/>
            </w:tcBorders>
            <w:vAlign w:val="center"/>
          </w:tcPr>
          <w:p w14:paraId="6F43BE2C" w14:textId="77777777" w:rsidR="00B9323E" w:rsidRPr="00F75927" w:rsidRDefault="00B9323E" w:rsidP="009238AE">
            <w:pPr>
              <w:rPr>
                <w:color w:val="000000"/>
                <w:sz w:val="20"/>
                <w:szCs w:val="20"/>
              </w:rPr>
            </w:pPr>
            <w:r w:rsidRPr="00F75927">
              <w:rPr>
                <w:color w:val="000000"/>
                <w:sz w:val="20"/>
                <w:szCs w:val="20"/>
              </w:rPr>
              <w:t>Kriterium 15</w:t>
            </w:r>
          </w:p>
        </w:tc>
        <w:tc>
          <w:tcPr>
            <w:tcW w:w="650" w:type="dxa"/>
            <w:tcBorders>
              <w:top w:val="nil"/>
              <w:left w:val="single" w:sz="4" w:space="0" w:color="auto"/>
              <w:bottom w:val="nil"/>
              <w:right w:val="nil"/>
            </w:tcBorders>
            <w:vAlign w:val="center"/>
          </w:tcPr>
          <w:p w14:paraId="14E3A096"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B94650B"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06F54CF0"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0B954312"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83ABFA2"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00D6AF9A" w14:textId="77777777" w:rsidR="00B9323E" w:rsidRPr="00F75927" w:rsidRDefault="00B9323E" w:rsidP="009238AE">
            <w:pPr>
              <w:jc w:val="center"/>
              <w:rPr>
                <w:color w:val="000000"/>
                <w:sz w:val="20"/>
                <w:szCs w:val="20"/>
              </w:rPr>
            </w:pPr>
          </w:p>
        </w:tc>
      </w:tr>
      <w:tr w:rsidR="00B9323E" w:rsidRPr="0055149C" w14:paraId="100F89AD"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0BBE3A7" w14:textId="77777777" w:rsidR="00B9323E" w:rsidRPr="00F75927" w:rsidRDefault="00B9323E" w:rsidP="009238AE">
            <w:pPr>
              <w:rPr>
                <w:color w:val="000000"/>
                <w:sz w:val="20"/>
                <w:szCs w:val="20"/>
              </w:rPr>
            </w:pPr>
            <w:r w:rsidRPr="00F75927">
              <w:rPr>
                <w:color w:val="000000"/>
                <w:sz w:val="20"/>
                <w:szCs w:val="20"/>
              </w:rPr>
              <w:t>Innvandrere 6 til 15 år</w:t>
            </w:r>
          </w:p>
        </w:tc>
        <w:tc>
          <w:tcPr>
            <w:tcW w:w="1372" w:type="dxa"/>
            <w:tcBorders>
              <w:top w:val="nil"/>
              <w:left w:val="nil"/>
              <w:bottom w:val="nil"/>
              <w:right w:val="single" w:sz="4" w:space="0" w:color="auto"/>
            </w:tcBorders>
            <w:shd w:val="clear" w:color="auto" w:fill="D4E2F2" w:themeFill="accent2" w:themeFillTint="33"/>
            <w:vAlign w:val="center"/>
          </w:tcPr>
          <w:p w14:paraId="4319223C" w14:textId="77777777" w:rsidR="00B9323E" w:rsidRPr="00F75927" w:rsidRDefault="00B9323E" w:rsidP="009238AE">
            <w:pPr>
              <w:rPr>
                <w:color w:val="000000"/>
                <w:sz w:val="20"/>
                <w:szCs w:val="20"/>
              </w:rPr>
            </w:pPr>
            <w:r w:rsidRPr="00F75927">
              <w:rPr>
                <w:color w:val="000000"/>
                <w:sz w:val="20"/>
                <w:szCs w:val="20"/>
              </w:rPr>
              <w:t>Kriterium 17</w:t>
            </w:r>
          </w:p>
        </w:tc>
        <w:tc>
          <w:tcPr>
            <w:tcW w:w="650" w:type="dxa"/>
            <w:tcBorders>
              <w:top w:val="nil"/>
              <w:left w:val="single" w:sz="4" w:space="0" w:color="auto"/>
              <w:bottom w:val="nil"/>
              <w:right w:val="nil"/>
            </w:tcBorders>
            <w:shd w:val="clear" w:color="auto" w:fill="D4E2F2" w:themeFill="accent2" w:themeFillTint="33"/>
            <w:vAlign w:val="center"/>
          </w:tcPr>
          <w:p w14:paraId="364323D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8C32F2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2F48D31"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AD92FB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9098CE6"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7E6F54A7" w14:textId="77777777" w:rsidR="00B9323E" w:rsidRPr="00F75927" w:rsidRDefault="00B9323E" w:rsidP="009238AE">
            <w:pPr>
              <w:jc w:val="center"/>
              <w:rPr>
                <w:color w:val="000000"/>
                <w:sz w:val="20"/>
                <w:szCs w:val="20"/>
              </w:rPr>
            </w:pPr>
          </w:p>
        </w:tc>
      </w:tr>
      <w:tr w:rsidR="00B9323E" w:rsidRPr="0055149C" w14:paraId="2FA5C408" w14:textId="77777777" w:rsidTr="00B9323E">
        <w:tc>
          <w:tcPr>
            <w:tcW w:w="3221" w:type="dxa"/>
            <w:tcBorders>
              <w:top w:val="nil"/>
              <w:left w:val="single" w:sz="4" w:space="0" w:color="auto"/>
              <w:bottom w:val="nil"/>
              <w:right w:val="nil"/>
            </w:tcBorders>
            <w:vAlign w:val="center"/>
          </w:tcPr>
          <w:p w14:paraId="3F2160D4" w14:textId="3B41BCF7" w:rsidR="00B9323E" w:rsidRPr="00F75927" w:rsidRDefault="00B9323E" w:rsidP="009238AE">
            <w:pPr>
              <w:rPr>
                <w:color w:val="000000"/>
                <w:sz w:val="20"/>
                <w:szCs w:val="20"/>
              </w:rPr>
            </w:pPr>
            <w:r w:rsidRPr="00F75927">
              <w:rPr>
                <w:color w:val="000000"/>
                <w:sz w:val="20"/>
                <w:szCs w:val="20"/>
              </w:rPr>
              <w:t>Psykisk utviklingsh</w:t>
            </w:r>
            <w:r w:rsidR="007B2207" w:rsidRPr="00F75927">
              <w:rPr>
                <w:color w:val="000000"/>
                <w:sz w:val="20"/>
                <w:szCs w:val="20"/>
              </w:rPr>
              <w:t>emme</w:t>
            </w:r>
            <w:r w:rsidR="001B2C33" w:rsidRPr="00F75927">
              <w:rPr>
                <w:color w:val="000000"/>
                <w:sz w:val="20"/>
                <w:szCs w:val="20"/>
              </w:rPr>
              <w:t>de</w:t>
            </w:r>
            <w:r w:rsidRPr="00F75927">
              <w:rPr>
                <w:color w:val="000000"/>
                <w:sz w:val="20"/>
                <w:szCs w:val="20"/>
              </w:rPr>
              <w:t xml:space="preserve"> på minst 16 år</w:t>
            </w:r>
          </w:p>
        </w:tc>
        <w:tc>
          <w:tcPr>
            <w:tcW w:w="1372" w:type="dxa"/>
            <w:tcBorders>
              <w:top w:val="nil"/>
              <w:left w:val="nil"/>
              <w:bottom w:val="nil"/>
              <w:right w:val="single" w:sz="4" w:space="0" w:color="auto"/>
            </w:tcBorders>
            <w:vAlign w:val="center"/>
          </w:tcPr>
          <w:p w14:paraId="7E8C7A95" w14:textId="77777777" w:rsidR="00B9323E" w:rsidRPr="00F75927" w:rsidRDefault="00B9323E" w:rsidP="009238AE">
            <w:pPr>
              <w:rPr>
                <w:color w:val="000000"/>
                <w:sz w:val="20"/>
                <w:szCs w:val="20"/>
              </w:rPr>
            </w:pPr>
            <w:r w:rsidRPr="00F75927">
              <w:rPr>
                <w:color w:val="000000"/>
                <w:sz w:val="20"/>
                <w:szCs w:val="20"/>
              </w:rPr>
              <w:t>Kriterium 18</w:t>
            </w:r>
          </w:p>
        </w:tc>
        <w:tc>
          <w:tcPr>
            <w:tcW w:w="650" w:type="dxa"/>
            <w:tcBorders>
              <w:top w:val="nil"/>
              <w:left w:val="single" w:sz="4" w:space="0" w:color="auto"/>
              <w:bottom w:val="nil"/>
              <w:right w:val="nil"/>
            </w:tcBorders>
            <w:vAlign w:val="center"/>
          </w:tcPr>
          <w:p w14:paraId="6E47909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A834221"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88CD244"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3D6B523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93E0E2D"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3CB2BA67" w14:textId="77777777" w:rsidR="00B9323E" w:rsidRPr="00F75927" w:rsidRDefault="00B9323E" w:rsidP="009238AE">
            <w:pPr>
              <w:jc w:val="center"/>
              <w:rPr>
                <w:color w:val="000000"/>
                <w:sz w:val="20"/>
                <w:szCs w:val="20"/>
              </w:rPr>
            </w:pPr>
          </w:p>
        </w:tc>
      </w:tr>
      <w:tr w:rsidR="00B9323E" w:rsidRPr="0055149C" w14:paraId="0F75F887"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55E2CBE" w14:textId="77777777" w:rsidR="00B9323E" w:rsidRPr="00F75927" w:rsidRDefault="00B9323E" w:rsidP="009238AE">
            <w:pPr>
              <w:rPr>
                <w:color w:val="000000"/>
                <w:sz w:val="20"/>
                <w:szCs w:val="20"/>
              </w:rPr>
            </w:pPr>
            <w:r w:rsidRPr="00F75927">
              <w:rPr>
                <w:color w:val="000000"/>
                <w:sz w:val="20"/>
                <w:szCs w:val="20"/>
              </w:rPr>
              <w:t>Dødelighetskriterium</w:t>
            </w:r>
          </w:p>
        </w:tc>
        <w:tc>
          <w:tcPr>
            <w:tcW w:w="1372" w:type="dxa"/>
            <w:tcBorders>
              <w:top w:val="nil"/>
              <w:left w:val="nil"/>
              <w:bottom w:val="nil"/>
              <w:right w:val="single" w:sz="4" w:space="0" w:color="auto"/>
            </w:tcBorders>
            <w:shd w:val="clear" w:color="auto" w:fill="D4E2F2" w:themeFill="accent2" w:themeFillTint="33"/>
            <w:vAlign w:val="center"/>
          </w:tcPr>
          <w:p w14:paraId="08E73398" w14:textId="77777777" w:rsidR="00B9323E" w:rsidRPr="00F75927" w:rsidRDefault="00B9323E" w:rsidP="009238AE">
            <w:pPr>
              <w:rPr>
                <w:color w:val="000000"/>
                <w:sz w:val="20"/>
                <w:szCs w:val="20"/>
              </w:rPr>
            </w:pPr>
            <w:r w:rsidRPr="00F75927">
              <w:rPr>
                <w:color w:val="000000"/>
                <w:sz w:val="20"/>
                <w:szCs w:val="20"/>
              </w:rPr>
              <w:t>Kriterium 20</w:t>
            </w:r>
          </w:p>
        </w:tc>
        <w:tc>
          <w:tcPr>
            <w:tcW w:w="650" w:type="dxa"/>
            <w:tcBorders>
              <w:top w:val="nil"/>
              <w:left w:val="single" w:sz="4" w:space="0" w:color="auto"/>
              <w:bottom w:val="nil"/>
              <w:right w:val="nil"/>
            </w:tcBorders>
            <w:shd w:val="clear" w:color="auto" w:fill="D4E2F2" w:themeFill="accent2" w:themeFillTint="33"/>
            <w:vAlign w:val="center"/>
          </w:tcPr>
          <w:p w14:paraId="28B2F50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46F113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3F3641C"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0B5461D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F3921A9"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0DCD139C" w14:textId="77777777" w:rsidR="00B9323E" w:rsidRPr="00F75927" w:rsidRDefault="00B9323E" w:rsidP="009238AE">
            <w:pPr>
              <w:jc w:val="center"/>
              <w:rPr>
                <w:color w:val="000000"/>
                <w:sz w:val="20"/>
                <w:szCs w:val="20"/>
              </w:rPr>
            </w:pPr>
          </w:p>
        </w:tc>
      </w:tr>
      <w:tr w:rsidR="00B9323E" w:rsidRPr="0055149C" w14:paraId="7DF07189" w14:textId="77777777" w:rsidTr="00B9323E">
        <w:tc>
          <w:tcPr>
            <w:tcW w:w="3221" w:type="dxa"/>
            <w:tcBorders>
              <w:top w:val="nil"/>
              <w:left w:val="single" w:sz="4" w:space="0" w:color="auto"/>
              <w:bottom w:val="nil"/>
              <w:right w:val="nil"/>
            </w:tcBorders>
            <w:vAlign w:val="center"/>
          </w:tcPr>
          <w:p w14:paraId="3BCC1701" w14:textId="77777777" w:rsidR="00B9323E" w:rsidRPr="00F75927" w:rsidRDefault="00B9323E" w:rsidP="009238AE">
            <w:pPr>
              <w:rPr>
                <w:color w:val="000000"/>
                <w:sz w:val="20"/>
                <w:szCs w:val="20"/>
              </w:rPr>
            </w:pPr>
            <w:r w:rsidRPr="00F75927">
              <w:rPr>
                <w:color w:val="000000"/>
                <w:sz w:val="20"/>
                <w:szCs w:val="20"/>
              </w:rPr>
              <w:t>Uføre 18 til 49 år</w:t>
            </w:r>
          </w:p>
        </w:tc>
        <w:tc>
          <w:tcPr>
            <w:tcW w:w="1372" w:type="dxa"/>
            <w:tcBorders>
              <w:top w:val="nil"/>
              <w:left w:val="nil"/>
              <w:bottom w:val="nil"/>
              <w:right w:val="single" w:sz="4" w:space="0" w:color="auto"/>
            </w:tcBorders>
            <w:vAlign w:val="center"/>
          </w:tcPr>
          <w:p w14:paraId="1F9B518A" w14:textId="77777777" w:rsidR="00B9323E" w:rsidRPr="00F75927" w:rsidRDefault="00B9323E" w:rsidP="009238AE">
            <w:pPr>
              <w:rPr>
                <w:color w:val="000000"/>
                <w:sz w:val="20"/>
                <w:szCs w:val="20"/>
              </w:rPr>
            </w:pPr>
            <w:r w:rsidRPr="00F75927">
              <w:rPr>
                <w:color w:val="000000"/>
                <w:sz w:val="20"/>
                <w:szCs w:val="20"/>
              </w:rPr>
              <w:t>Kriterium 21</w:t>
            </w:r>
          </w:p>
        </w:tc>
        <w:tc>
          <w:tcPr>
            <w:tcW w:w="650" w:type="dxa"/>
            <w:tcBorders>
              <w:top w:val="nil"/>
              <w:left w:val="single" w:sz="4" w:space="0" w:color="auto"/>
              <w:bottom w:val="nil"/>
              <w:right w:val="nil"/>
            </w:tcBorders>
            <w:vAlign w:val="center"/>
          </w:tcPr>
          <w:p w14:paraId="2493DC3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77530C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5DE397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94F298C"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CF9DD3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vAlign w:val="center"/>
          </w:tcPr>
          <w:p w14:paraId="48A85C79" w14:textId="77777777" w:rsidR="00B9323E" w:rsidRPr="00F75927" w:rsidRDefault="00B9323E" w:rsidP="009238AE">
            <w:pPr>
              <w:jc w:val="center"/>
              <w:rPr>
                <w:color w:val="000000"/>
                <w:sz w:val="20"/>
                <w:szCs w:val="20"/>
              </w:rPr>
            </w:pPr>
          </w:p>
        </w:tc>
      </w:tr>
      <w:tr w:rsidR="00B9323E" w:rsidRPr="0055149C" w14:paraId="5A83F916"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C407DF9" w14:textId="23F2E088" w:rsidR="00B9323E" w:rsidRPr="00F75927" w:rsidRDefault="00B9323E" w:rsidP="009238AE">
            <w:pPr>
              <w:rPr>
                <w:color w:val="000000"/>
                <w:sz w:val="20"/>
                <w:szCs w:val="20"/>
              </w:rPr>
            </w:pPr>
            <w:r w:rsidRPr="00F75927">
              <w:rPr>
                <w:color w:val="000000"/>
                <w:sz w:val="20"/>
                <w:szCs w:val="20"/>
              </w:rPr>
              <w:t>Flyk</w:t>
            </w:r>
            <w:r w:rsidR="001E45C0" w:rsidRPr="00F75927">
              <w:rPr>
                <w:color w:val="000000"/>
                <w:sz w:val="20"/>
                <w:szCs w:val="20"/>
              </w:rPr>
              <w:t>t</w:t>
            </w:r>
            <w:r w:rsidRPr="00F75927">
              <w:rPr>
                <w:color w:val="000000"/>
                <w:sz w:val="20"/>
                <w:szCs w:val="20"/>
              </w:rPr>
              <w:t>ninger</w:t>
            </w:r>
          </w:p>
        </w:tc>
        <w:tc>
          <w:tcPr>
            <w:tcW w:w="1372" w:type="dxa"/>
            <w:tcBorders>
              <w:top w:val="nil"/>
              <w:left w:val="nil"/>
              <w:bottom w:val="nil"/>
              <w:right w:val="single" w:sz="4" w:space="0" w:color="auto"/>
            </w:tcBorders>
            <w:shd w:val="clear" w:color="auto" w:fill="D4E2F2" w:themeFill="accent2" w:themeFillTint="33"/>
            <w:vAlign w:val="center"/>
          </w:tcPr>
          <w:p w14:paraId="212D6DD6" w14:textId="77777777" w:rsidR="00B9323E" w:rsidRPr="00F75927" w:rsidRDefault="00B9323E" w:rsidP="009238AE">
            <w:pPr>
              <w:rPr>
                <w:color w:val="000000"/>
                <w:sz w:val="20"/>
                <w:szCs w:val="20"/>
              </w:rPr>
            </w:pPr>
            <w:r w:rsidRPr="00F75927">
              <w:rPr>
                <w:color w:val="000000"/>
                <w:sz w:val="20"/>
                <w:szCs w:val="20"/>
              </w:rPr>
              <w:t>Kriterium 22</w:t>
            </w:r>
          </w:p>
        </w:tc>
        <w:tc>
          <w:tcPr>
            <w:tcW w:w="650" w:type="dxa"/>
            <w:tcBorders>
              <w:top w:val="nil"/>
              <w:left w:val="single" w:sz="4" w:space="0" w:color="auto"/>
              <w:bottom w:val="nil"/>
              <w:right w:val="nil"/>
            </w:tcBorders>
            <w:shd w:val="clear" w:color="auto" w:fill="D4E2F2" w:themeFill="accent2" w:themeFillTint="33"/>
            <w:vAlign w:val="center"/>
          </w:tcPr>
          <w:p w14:paraId="66DB5CF1"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8897E3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DBBD6B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4A287F3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EA6752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shd w:val="clear" w:color="auto" w:fill="D4E2F2" w:themeFill="accent2" w:themeFillTint="33"/>
            <w:vAlign w:val="center"/>
          </w:tcPr>
          <w:p w14:paraId="22E8DD71" w14:textId="77777777" w:rsidR="00B9323E" w:rsidRPr="00F75927" w:rsidRDefault="00B9323E" w:rsidP="009238AE">
            <w:pPr>
              <w:jc w:val="center"/>
              <w:rPr>
                <w:color w:val="000000"/>
                <w:sz w:val="20"/>
                <w:szCs w:val="20"/>
              </w:rPr>
            </w:pPr>
          </w:p>
        </w:tc>
      </w:tr>
      <w:tr w:rsidR="00B9323E" w:rsidRPr="0055149C" w14:paraId="61D50FA4" w14:textId="77777777" w:rsidTr="00B9323E">
        <w:tc>
          <w:tcPr>
            <w:tcW w:w="3221" w:type="dxa"/>
            <w:tcBorders>
              <w:top w:val="nil"/>
              <w:left w:val="single" w:sz="4" w:space="0" w:color="auto"/>
              <w:bottom w:val="nil"/>
              <w:right w:val="nil"/>
            </w:tcBorders>
            <w:vAlign w:val="center"/>
          </w:tcPr>
          <w:p w14:paraId="13F7B44F" w14:textId="77777777" w:rsidR="00B9323E" w:rsidRPr="00F75927" w:rsidRDefault="00B9323E" w:rsidP="009238AE">
            <w:pPr>
              <w:rPr>
                <w:color w:val="000000"/>
                <w:sz w:val="20"/>
                <w:szCs w:val="20"/>
              </w:rPr>
            </w:pPr>
            <w:r w:rsidRPr="00F75927">
              <w:rPr>
                <w:color w:val="000000"/>
                <w:sz w:val="20"/>
                <w:szCs w:val="20"/>
              </w:rPr>
              <w:t>Opphopningsindeks</w:t>
            </w:r>
          </w:p>
        </w:tc>
        <w:tc>
          <w:tcPr>
            <w:tcW w:w="1372" w:type="dxa"/>
            <w:tcBorders>
              <w:top w:val="nil"/>
              <w:left w:val="nil"/>
              <w:bottom w:val="nil"/>
              <w:right w:val="single" w:sz="4" w:space="0" w:color="auto"/>
            </w:tcBorders>
            <w:vAlign w:val="center"/>
          </w:tcPr>
          <w:p w14:paraId="20CD0315" w14:textId="77777777" w:rsidR="00B9323E" w:rsidRPr="00F75927" w:rsidRDefault="00B9323E" w:rsidP="009238AE">
            <w:pPr>
              <w:rPr>
                <w:color w:val="000000"/>
                <w:sz w:val="20"/>
                <w:szCs w:val="20"/>
              </w:rPr>
            </w:pPr>
            <w:r w:rsidRPr="00F75927">
              <w:rPr>
                <w:color w:val="000000"/>
                <w:sz w:val="20"/>
                <w:szCs w:val="20"/>
              </w:rPr>
              <w:t>Kriterium 25</w:t>
            </w:r>
          </w:p>
        </w:tc>
        <w:tc>
          <w:tcPr>
            <w:tcW w:w="650" w:type="dxa"/>
            <w:tcBorders>
              <w:top w:val="nil"/>
              <w:left w:val="single" w:sz="4" w:space="0" w:color="auto"/>
              <w:bottom w:val="nil"/>
              <w:right w:val="nil"/>
            </w:tcBorders>
            <w:vAlign w:val="center"/>
          </w:tcPr>
          <w:p w14:paraId="73FC01E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5E32EB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1783730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8E1946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1066B8F"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vAlign w:val="center"/>
          </w:tcPr>
          <w:p w14:paraId="1E5945BC" w14:textId="77777777" w:rsidR="00B9323E" w:rsidRPr="00F75927" w:rsidRDefault="00B9323E" w:rsidP="009238AE">
            <w:pPr>
              <w:jc w:val="center"/>
              <w:rPr>
                <w:color w:val="000000"/>
                <w:sz w:val="20"/>
                <w:szCs w:val="20"/>
              </w:rPr>
            </w:pPr>
          </w:p>
        </w:tc>
      </w:tr>
      <w:tr w:rsidR="00B9323E" w:rsidRPr="0055149C" w14:paraId="1ACC894D"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45C5F852" w14:textId="77777777" w:rsidR="00B9323E" w:rsidRPr="00F75927" w:rsidRDefault="00B9323E" w:rsidP="009238AE">
            <w:pPr>
              <w:rPr>
                <w:color w:val="000000"/>
                <w:sz w:val="20"/>
                <w:szCs w:val="20"/>
              </w:rPr>
            </w:pPr>
            <w:r w:rsidRPr="00F75927">
              <w:rPr>
                <w:color w:val="000000"/>
                <w:sz w:val="20"/>
                <w:szCs w:val="20"/>
              </w:rPr>
              <w:t>Aleneboende 30 til 66 år</w:t>
            </w:r>
          </w:p>
        </w:tc>
        <w:tc>
          <w:tcPr>
            <w:tcW w:w="1372" w:type="dxa"/>
            <w:tcBorders>
              <w:top w:val="nil"/>
              <w:left w:val="nil"/>
              <w:bottom w:val="nil"/>
              <w:right w:val="single" w:sz="4" w:space="0" w:color="auto"/>
            </w:tcBorders>
            <w:shd w:val="clear" w:color="auto" w:fill="D4E2F2" w:themeFill="accent2" w:themeFillTint="33"/>
            <w:vAlign w:val="center"/>
          </w:tcPr>
          <w:p w14:paraId="56D43149" w14:textId="77777777" w:rsidR="00B9323E" w:rsidRPr="00F75927" w:rsidRDefault="00B9323E" w:rsidP="009238AE">
            <w:pPr>
              <w:rPr>
                <w:color w:val="000000"/>
                <w:sz w:val="20"/>
                <w:szCs w:val="20"/>
              </w:rPr>
            </w:pPr>
            <w:r w:rsidRPr="00F75927">
              <w:rPr>
                <w:color w:val="000000"/>
                <w:sz w:val="20"/>
                <w:szCs w:val="20"/>
              </w:rPr>
              <w:t>Kriterium 26</w:t>
            </w:r>
          </w:p>
        </w:tc>
        <w:tc>
          <w:tcPr>
            <w:tcW w:w="650" w:type="dxa"/>
            <w:tcBorders>
              <w:top w:val="nil"/>
              <w:left w:val="single" w:sz="4" w:space="0" w:color="auto"/>
              <w:bottom w:val="nil"/>
              <w:right w:val="nil"/>
            </w:tcBorders>
            <w:shd w:val="clear" w:color="auto" w:fill="D4E2F2" w:themeFill="accent2" w:themeFillTint="33"/>
            <w:vAlign w:val="center"/>
          </w:tcPr>
          <w:p w14:paraId="2573B302"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2A7265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4177F1C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182AB3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CEF53F7"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shd w:val="clear" w:color="auto" w:fill="D4E2F2" w:themeFill="accent2" w:themeFillTint="33"/>
            <w:vAlign w:val="center"/>
          </w:tcPr>
          <w:p w14:paraId="047515A8" w14:textId="77777777" w:rsidR="00B9323E" w:rsidRPr="00F75927" w:rsidRDefault="00B9323E" w:rsidP="009238AE">
            <w:pPr>
              <w:jc w:val="center"/>
              <w:rPr>
                <w:color w:val="000000"/>
                <w:sz w:val="20"/>
                <w:szCs w:val="20"/>
              </w:rPr>
            </w:pPr>
          </w:p>
        </w:tc>
      </w:tr>
      <w:tr w:rsidR="00B9323E" w:rsidRPr="0055149C" w14:paraId="663FD298" w14:textId="77777777" w:rsidTr="00B9323E">
        <w:tc>
          <w:tcPr>
            <w:tcW w:w="3221" w:type="dxa"/>
            <w:tcBorders>
              <w:top w:val="nil"/>
              <w:left w:val="single" w:sz="4" w:space="0" w:color="auto"/>
              <w:bottom w:val="nil"/>
              <w:right w:val="nil"/>
            </w:tcBorders>
            <w:vAlign w:val="center"/>
          </w:tcPr>
          <w:p w14:paraId="33BC1C73" w14:textId="77777777" w:rsidR="00B9323E" w:rsidRPr="00F75927" w:rsidRDefault="00B9323E" w:rsidP="009238AE">
            <w:pPr>
              <w:rPr>
                <w:color w:val="000000"/>
                <w:sz w:val="20"/>
                <w:szCs w:val="20"/>
              </w:rPr>
            </w:pPr>
            <w:r w:rsidRPr="00F75927">
              <w:rPr>
                <w:color w:val="000000"/>
                <w:sz w:val="20"/>
                <w:szCs w:val="20"/>
              </w:rPr>
              <w:t>Barn av aleneforsørger, 0 til 15 år</w:t>
            </w:r>
          </w:p>
        </w:tc>
        <w:tc>
          <w:tcPr>
            <w:tcW w:w="1372" w:type="dxa"/>
            <w:tcBorders>
              <w:top w:val="nil"/>
              <w:left w:val="nil"/>
              <w:bottom w:val="nil"/>
              <w:right w:val="single" w:sz="4" w:space="0" w:color="auto"/>
            </w:tcBorders>
            <w:vAlign w:val="center"/>
          </w:tcPr>
          <w:p w14:paraId="529C3A93" w14:textId="77777777" w:rsidR="00B9323E" w:rsidRPr="00F75927" w:rsidRDefault="00B9323E" w:rsidP="009238AE">
            <w:pPr>
              <w:rPr>
                <w:color w:val="000000"/>
                <w:sz w:val="20"/>
                <w:szCs w:val="20"/>
              </w:rPr>
            </w:pPr>
            <w:r w:rsidRPr="00F75927">
              <w:rPr>
                <w:color w:val="000000"/>
                <w:sz w:val="20"/>
                <w:szCs w:val="20"/>
              </w:rPr>
              <w:t>Kriterium 27</w:t>
            </w:r>
          </w:p>
        </w:tc>
        <w:tc>
          <w:tcPr>
            <w:tcW w:w="650" w:type="dxa"/>
            <w:tcBorders>
              <w:top w:val="nil"/>
              <w:left w:val="single" w:sz="4" w:space="0" w:color="auto"/>
              <w:bottom w:val="nil"/>
              <w:right w:val="nil"/>
            </w:tcBorders>
            <w:vAlign w:val="center"/>
          </w:tcPr>
          <w:p w14:paraId="4E7FE83A"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1BFCD63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DB280A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3FD5E0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3A0C2B13"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7FDD4227" w14:textId="77777777" w:rsidR="00B9323E" w:rsidRPr="00F75927" w:rsidRDefault="00B9323E" w:rsidP="009238AE">
            <w:pPr>
              <w:jc w:val="center"/>
              <w:rPr>
                <w:color w:val="000000"/>
                <w:sz w:val="20"/>
                <w:szCs w:val="20"/>
              </w:rPr>
            </w:pPr>
          </w:p>
        </w:tc>
      </w:tr>
      <w:tr w:rsidR="00B9323E" w:rsidRPr="0055149C" w14:paraId="14D2A616"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397EF7F2" w14:textId="77777777" w:rsidR="00B9323E" w:rsidRPr="00F75927" w:rsidRDefault="00B9323E" w:rsidP="009238AE">
            <w:pPr>
              <w:rPr>
                <w:color w:val="000000"/>
                <w:sz w:val="20"/>
                <w:szCs w:val="20"/>
              </w:rPr>
            </w:pPr>
            <w:r w:rsidRPr="00F75927">
              <w:rPr>
                <w:color w:val="000000"/>
                <w:sz w:val="20"/>
                <w:szCs w:val="20"/>
              </w:rPr>
              <w:t>Lavinntektskriterium</w:t>
            </w:r>
          </w:p>
        </w:tc>
        <w:tc>
          <w:tcPr>
            <w:tcW w:w="1372" w:type="dxa"/>
            <w:tcBorders>
              <w:top w:val="nil"/>
              <w:left w:val="nil"/>
              <w:bottom w:val="nil"/>
              <w:right w:val="single" w:sz="4" w:space="0" w:color="auto"/>
            </w:tcBorders>
            <w:shd w:val="clear" w:color="auto" w:fill="D4E2F2" w:themeFill="accent2" w:themeFillTint="33"/>
            <w:vAlign w:val="center"/>
          </w:tcPr>
          <w:p w14:paraId="56FAD9E0" w14:textId="77777777" w:rsidR="00B9323E" w:rsidRPr="00F75927" w:rsidRDefault="00B9323E" w:rsidP="009238AE">
            <w:pPr>
              <w:rPr>
                <w:color w:val="000000"/>
                <w:sz w:val="20"/>
                <w:szCs w:val="20"/>
              </w:rPr>
            </w:pPr>
            <w:r w:rsidRPr="00F75927">
              <w:rPr>
                <w:color w:val="000000"/>
                <w:sz w:val="20"/>
                <w:szCs w:val="20"/>
              </w:rPr>
              <w:t>Kriterium 28</w:t>
            </w:r>
          </w:p>
        </w:tc>
        <w:tc>
          <w:tcPr>
            <w:tcW w:w="650" w:type="dxa"/>
            <w:tcBorders>
              <w:top w:val="nil"/>
              <w:left w:val="single" w:sz="4" w:space="0" w:color="auto"/>
              <w:bottom w:val="nil"/>
              <w:right w:val="nil"/>
            </w:tcBorders>
            <w:shd w:val="clear" w:color="auto" w:fill="D4E2F2" w:themeFill="accent2" w:themeFillTint="33"/>
            <w:vAlign w:val="center"/>
          </w:tcPr>
          <w:p w14:paraId="708553D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45EE6DC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6F5F26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46189CE"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2CF04747"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18EB456A" w14:textId="77777777" w:rsidR="00B9323E" w:rsidRPr="00F75927" w:rsidRDefault="00B9323E" w:rsidP="009238AE">
            <w:pPr>
              <w:jc w:val="center"/>
              <w:rPr>
                <w:color w:val="000000"/>
                <w:sz w:val="20"/>
                <w:szCs w:val="20"/>
              </w:rPr>
            </w:pPr>
          </w:p>
        </w:tc>
      </w:tr>
      <w:tr w:rsidR="00B9323E" w:rsidRPr="0055149C" w14:paraId="3EBAA82C" w14:textId="77777777" w:rsidTr="00B9323E">
        <w:tc>
          <w:tcPr>
            <w:tcW w:w="3221" w:type="dxa"/>
            <w:tcBorders>
              <w:top w:val="nil"/>
              <w:left w:val="single" w:sz="4" w:space="0" w:color="auto"/>
              <w:bottom w:val="nil"/>
              <w:right w:val="nil"/>
            </w:tcBorders>
            <w:vAlign w:val="center"/>
          </w:tcPr>
          <w:p w14:paraId="703A64C5" w14:textId="77777777" w:rsidR="00B9323E" w:rsidRPr="00F75927" w:rsidRDefault="00B9323E" w:rsidP="009238AE">
            <w:pPr>
              <w:rPr>
                <w:color w:val="000000"/>
                <w:sz w:val="20"/>
                <w:szCs w:val="20"/>
              </w:rPr>
            </w:pPr>
            <w:r w:rsidRPr="00F75927">
              <w:rPr>
                <w:color w:val="000000"/>
                <w:sz w:val="20"/>
                <w:szCs w:val="20"/>
              </w:rPr>
              <w:t>Ettåringer uten kontantstøtte</w:t>
            </w:r>
          </w:p>
        </w:tc>
        <w:tc>
          <w:tcPr>
            <w:tcW w:w="1372" w:type="dxa"/>
            <w:tcBorders>
              <w:top w:val="nil"/>
              <w:left w:val="nil"/>
              <w:bottom w:val="nil"/>
              <w:right w:val="single" w:sz="4" w:space="0" w:color="auto"/>
            </w:tcBorders>
            <w:vAlign w:val="center"/>
          </w:tcPr>
          <w:p w14:paraId="0B38BE0C" w14:textId="77777777" w:rsidR="00B9323E" w:rsidRPr="00F75927" w:rsidRDefault="00B9323E" w:rsidP="009238AE">
            <w:pPr>
              <w:rPr>
                <w:color w:val="000000"/>
                <w:sz w:val="20"/>
                <w:szCs w:val="20"/>
              </w:rPr>
            </w:pPr>
            <w:r w:rsidRPr="00F75927">
              <w:rPr>
                <w:color w:val="000000"/>
                <w:sz w:val="20"/>
                <w:szCs w:val="20"/>
              </w:rPr>
              <w:t>Kriterium 32</w:t>
            </w:r>
          </w:p>
        </w:tc>
        <w:tc>
          <w:tcPr>
            <w:tcW w:w="650" w:type="dxa"/>
            <w:tcBorders>
              <w:top w:val="nil"/>
              <w:left w:val="single" w:sz="4" w:space="0" w:color="auto"/>
              <w:bottom w:val="nil"/>
              <w:right w:val="nil"/>
            </w:tcBorders>
            <w:vAlign w:val="center"/>
          </w:tcPr>
          <w:p w14:paraId="1ADF9C2B"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0F76CDE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5BC4E35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B51653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CA4605E"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7911E63D" w14:textId="77777777" w:rsidR="00B9323E" w:rsidRPr="00F75927" w:rsidRDefault="00B9323E" w:rsidP="009238AE">
            <w:pPr>
              <w:jc w:val="center"/>
              <w:rPr>
                <w:color w:val="000000"/>
                <w:sz w:val="20"/>
                <w:szCs w:val="20"/>
              </w:rPr>
            </w:pPr>
          </w:p>
        </w:tc>
      </w:tr>
      <w:tr w:rsidR="00B9323E" w:rsidRPr="0055149C" w14:paraId="3612BD03" w14:textId="77777777" w:rsidTr="00B9323E">
        <w:tc>
          <w:tcPr>
            <w:tcW w:w="3221" w:type="dxa"/>
            <w:tcBorders>
              <w:top w:val="nil"/>
              <w:left w:val="single" w:sz="4" w:space="0" w:color="auto"/>
              <w:bottom w:val="single" w:sz="4" w:space="0" w:color="auto"/>
              <w:right w:val="nil"/>
            </w:tcBorders>
            <w:shd w:val="clear" w:color="auto" w:fill="D4E2F2" w:themeFill="accent2" w:themeFillTint="33"/>
            <w:vAlign w:val="center"/>
          </w:tcPr>
          <w:p w14:paraId="19D27D1F" w14:textId="77777777" w:rsidR="00B9323E" w:rsidRPr="00F75927" w:rsidRDefault="00B9323E" w:rsidP="009238AE">
            <w:pPr>
              <w:rPr>
                <w:color w:val="000000"/>
                <w:sz w:val="20"/>
                <w:szCs w:val="20"/>
              </w:rPr>
            </w:pPr>
            <w:r w:rsidRPr="00F75927">
              <w:rPr>
                <w:color w:val="000000"/>
                <w:sz w:val="20"/>
                <w:szCs w:val="20"/>
              </w:rPr>
              <w:t>Antall med høyere utdanning</w:t>
            </w:r>
          </w:p>
        </w:tc>
        <w:tc>
          <w:tcPr>
            <w:tcW w:w="1372" w:type="dxa"/>
            <w:tcBorders>
              <w:top w:val="nil"/>
              <w:left w:val="nil"/>
              <w:bottom w:val="single" w:sz="4" w:space="0" w:color="auto"/>
              <w:right w:val="single" w:sz="4" w:space="0" w:color="auto"/>
            </w:tcBorders>
            <w:shd w:val="clear" w:color="auto" w:fill="D4E2F2" w:themeFill="accent2" w:themeFillTint="33"/>
            <w:vAlign w:val="center"/>
          </w:tcPr>
          <w:p w14:paraId="3B16DFA2" w14:textId="77777777" w:rsidR="00B9323E" w:rsidRPr="00F75927" w:rsidRDefault="00B9323E" w:rsidP="009238AE">
            <w:pPr>
              <w:rPr>
                <w:color w:val="000000"/>
                <w:sz w:val="20"/>
                <w:szCs w:val="20"/>
              </w:rPr>
            </w:pPr>
            <w:r w:rsidRPr="00F75927">
              <w:rPr>
                <w:color w:val="000000"/>
                <w:sz w:val="20"/>
                <w:szCs w:val="20"/>
              </w:rPr>
              <w:t>Kriterium 33</w:t>
            </w:r>
          </w:p>
        </w:tc>
        <w:tc>
          <w:tcPr>
            <w:tcW w:w="650" w:type="dxa"/>
            <w:tcBorders>
              <w:top w:val="nil"/>
              <w:left w:val="single" w:sz="4" w:space="0" w:color="auto"/>
              <w:bottom w:val="single" w:sz="4" w:space="0" w:color="auto"/>
              <w:right w:val="nil"/>
            </w:tcBorders>
            <w:shd w:val="clear" w:color="auto" w:fill="D4E2F2" w:themeFill="accent2" w:themeFillTint="33"/>
            <w:vAlign w:val="center"/>
          </w:tcPr>
          <w:p w14:paraId="778E2DBA"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nil"/>
            </w:tcBorders>
            <w:shd w:val="clear" w:color="auto" w:fill="D4E2F2" w:themeFill="accent2" w:themeFillTint="33"/>
            <w:vAlign w:val="center"/>
          </w:tcPr>
          <w:p w14:paraId="247D3DA5"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single" w:sz="4" w:space="0" w:color="auto"/>
              <w:right w:val="nil"/>
            </w:tcBorders>
            <w:shd w:val="clear" w:color="auto" w:fill="D4E2F2" w:themeFill="accent2" w:themeFillTint="33"/>
            <w:vAlign w:val="center"/>
          </w:tcPr>
          <w:p w14:paraId="73B2AD31"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nil"/>
            </w:tcBorders>
            <w:shd w:val="clear" w:color="auto" w:fill="D4E2F2" w:themeFill="accent2" w:themeFillTint="33"/>
            <w:vAlign w:val="center"/>
          </w:tcPr>
          <w:p w14:paraId="28AB313B"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nil"/>
            </w:tcBorders>
            <w:shd w:val="clear" w:color="auto" w:fill="D4E2F2" w:themeFill="accent2" w:themeFillTint="33"/>
            <w:vAlign w:val="center"/>
          </w:tcPr>
          <w:p w14:paraId="4A8C64CC"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single" w:sz="4" w:space="0" w:color="auto"/>
            </w:tcBorders>
            <w:shd w:val="clear" w:color="auto" w:fill="D4E2F2" w:themeFill="accent2" w:themeFillTint="33"/>
            <w:vAlign w:val="center"/>
          </w:tcPr>
          <w:p w14:paraId="0703C113" w14:textId="77777777" w:rsidR="00B9323E" w:rsidRPr="00F75927" w:rsidRDefault="00B9323E" w:rsidP="009238AE">
            <w:pPr>
              <w:jc w:val="center"/>
              <w:rPr>
                <w:color w:val="000000"/>
                <w:sz w:val="20"/>
                <w:szCs w:val="20"/>
              </w:rPr>
            </w:pPr>
          </w:p>
        </w:tc>
      </w:tr>
    </w:tbl>
    <w:p w14:paraId="3CC44A3B" w14:textId="43DE0F5E" w:rsidR="00B9323E" w:rsidRPr="0055149C" w:rsidRDefault="004B6062" w:rsidP="00707550">
      <w:pPr>
        <w:pStyle w:val="Source"/>
        <w:rPr>
          <w:lang w:eastAsia="nb-NO"/>
        </w:rPr>
      </w:pPr>
      <w:r w:rsidRPr="0055149C">
        <w:rPr>
          <w:lang w:eastAsia="nb-NO"/>
        </w:rPr>
        <w:t>Kilde: Vista Analyse basert på Kommunal- og distriktsdepartementets Grønt Hefte</w:t>
      </w:r>
      <w:r w:rsidR="00DC1F0D">
        <w:rPr>
          <w:lang w:eastAsia="nb-NO"/>
        </w:rPr>
        <w:t xml:space="preserve"> fra 2022</w:t>
      </w:r>
    </w:p>
    <w:p w14:paraId="0F4DF6FB" w14:textId="77777777" w:rsidR="00707550" w:rsidRDefault="00707550" w:rsidP="00B9323E">
      <w:pPr>
        <w:pStyle w:val="Bildetekst"/>
      </w:pPr>
      <w:bookmarkStart w:id="73" w:name="_Ref176791149"/>
      <w:r>
        <w:br w:type="page"/>
      </w:r>
    </w:p>
    <w:p w14:paraId="11324C0A" w14:textId="02A37D68" w:rsidR="00B9323E" w:rsidRPr="0055149C" w:rsidRDefault="00B9323E" w:rsidP="00B9323E">
      <w:pPr>
        <w:pStyle w:val="Bildetekst"/>
      </w:pPr>
      <w:bookmarkStart w:id="74" w:name="_Ref182318041"/>
      <w:r w:rsidRPr="0055149C">
        <w:lastRenderedPageBreak/>
        <w:t xml:space="preserve">Tabell </w:t>
      </w:r>
      <w:fldSimple w:instr=" STYLEREF 1 \s ">
        <w:r w:rsidR="009B1DA8">
          <w:rPr>
            <w:noProof/>
          </w:rPr>
          <w:t>3</w:t>
        </w:r>
      </w:fldSimple>
      <w:r w:rsidRPr="0055149C">
        <w:t>.</w:t>
      </w:r>
      <w:fldSimple w:instr=" SEQ Tabell \* ARABIC \s 1 ">
        <w:r w:rsidR="009B1DA8">
          <w:rPr>
            <w:noProof/>
          </w:rPr>
          <w:t>4</w:t>
        </w:r>
      </w:fldSimple>
      <w:bookmarkEnd w:id="73"/>
      <w:bookmarkEnd w:id="74"/>
      <w:r w:rsidRPr="0055149C">
        <w:t xml:space="preserve"> </w:t>
      </w:r>
      <w:r w:rsidRPr="0055149C">
        <w:tab/>
        <w:t>Anvendelser av kriterie</w:t>
      </w:r>
      <w:r w:rsidR="004B6062" w:rsidRPr="0055149C">
        <w:t>ne</w:t>
      </w:r>
      <w:r w:rsidRPr="0055149C">
        <w:t xml:space="preserve"> i </w:t>
      </w:r>
      <w:r w:rsidR="00E70963">
        <w:rPr>
          <w:lang w:eastAsia="nb-NO"/>
        </w:rPr>
        <w:t xml:space="preserve">utgiftsutjevningen i </w:t>
      </w:r>
      <w:r w:rsidRPr="0055149C">
        <w:t xml:space="preserve">inntektssystemet for </w:t>
      </w:r>
      <w:r w:rsidR="004B6062" w:rsidRPr="0055149C">
        <w:t>fylkes</w:t>
      </w:r>
      <w:r w:rsidRPr="0055149C">
        <w:t>kommunene over tjenestefunksjoner</w:t>
      </w:r>
      <w:r w:rsidR="00896C6B" w:rsidRPr="0055149C">
        <w:t>. Nummereringen av vektene var gjeldende for 2022.</w:t>
      </w:r>
    </w:p>
    <w:tbl>
      <w:tblPr>
        <w:tblStyle w:val="Tabellrutenett"/>
        <w:tblW w:w="0" w:type="auto"/>
        <w:tblLook w:val="04A0" w:firstRow="1" w:lastRow="0" w:firstColumn="1" w:lastColumn="0" w:noHBand="0" w:noVBand="1"/>
      </w:tblPr>
      <w:tblGrid>
        <w:gridCol w:w="3184"/>
        <w:gridCol w:w="1061"/>
        <w:gridCol w:w="2124"/>
        <w:gridCol w:w="708"/>
        <w:gridCol w:w="708"/>
        <w:gridCol w:w="708"/>
      </w:tblGrid>
      <w:tr w:rsidR="00B9323E" w:rsidRPr="0055149C" w14:paraId="69DA4996" w14:textId="77777777" w:rsidTr="009238AE">
        <w:trPr>
          <w:trHeight w:val="693"/>
        </w:trPr>
        <w:tc>
          <w:tcPr>
            <w:tcW w:w="6369" w:type="dxa"/>
            <w:gridSpan w:val="3"/>
            <w:tcBorders>
              <w:top w:val="single" w:sz="4" w:space="0" w:color="auto"/>
              <w:left w:val="single" w:sz="4" w:space="0" w:color="auto"/>
              <w:bottom w:val="nil"/>
              <w:right w:val="nil"/>
            </w:tcBorders>
            <w:shd w:val="clear" w:color="auto" w:fill="3672B0" w:themeFill="accent2"/>
            <w:vAlign w:val="center"/>
          </w:tcPr>
          <w:p w14:paraId="1CECE6B8" w14:textId="7255B541" w:rsidR="00B9323E" w:rsidRPr="0055149C" w:rsidRDefault="00B9323E" w:rsidP="00B9323E">
            <w:pPr>
              <w:jc w:val="center"/>
            </w:pPr>
            <w:r w:rsidRPr="0055149C">
              <w:rPr>
                <w:b/>
                <w:bCs/>
                <w:color w:val="FFFFFF" w:themeColor="background1"/>
                <w:sz w:val="18"/>
                <w:szCs w:val="18"/>
              </w:rPr>
              <w:t>Kriterium i inntektssystemet for fylkeskommunene</w:t>
            </w:r>
          </w:p>
        </w:tc>
        <w:tc>
          <w:tcPr>
            <w:tcW w:w="708" w:type="dxa"/>
            <w:vMerge w:val="restart"/>
            <w:tcBorders>
              <w:top w:val="single" w:sz="4" w:space="0" w:color="auto"/>
              <w:left w:val="nil"/>
              <w:bottom w:val="nil"/>
              <w:right w:val="nil"/>
            </w:tcBorders>
            <w:shd w:val="clear" w:color="auto" w:fill="3672B0" w:themeFill="accent2"/>
            <w:textDirection w:val="btLr"/>
            <w:vAlign w:val="center"/>
          </w:tcPr>
          <w:p w14:paraId="475BEF12" w14:textId="635728F1" w:rsidR="00B9323E" w:rsidRPr="0055149C" w:rsidRDefault="00B9323E" w:rsidP="00B9323E">
            <w:pPr>
              <w:jc w:val="center"/>
            </w:pPr>
            <w:r w:rsidRPr="0055149C">
              <w:rPr>
                <w:b/>
                <w:bCs/>
                <w:color w:val="FFFFFF" w:themeColor="background1"/>
                <w:sz w:val="20"/>
                <w:szCs w:val="20"/>
              </w:rPr>
              <w:t>Samferdsel</w:t>
            </w:r>
          </w:p>
        </w:tc>
        <w:tc>
          <w:tcPr>
            <w:tcW w:w="708" w:type="dxa"/>
            <w:vMerge w:val="restart"/>
            <w:tcBorders>
              <w:top w:val="single" w:sz="4" w:space="0" w:color="auto"/>
              <w:left w:val="nil"/>
              <w:bottom w:val="nil"/>
              <w:right w:val="nil"/>
            </w:tcBorders>
            <w:shd w:val="clear" w:color="auto" w:fill="3672B0" w:themeFill="accent2"/>
            <w:textDirection w:val="btLr"/>
            <w:vAlign w:val="center"/>
          </w:tcPr>
          <w:p w14:paraId="2CEF514B" w14:textId="21CA81B7" w:rsidR="00B9323E" w:rsidRPr="0055149C" w:rsidRDefault="00B9323E" w:rsidP="00B9323E">
            <w:pPr>
              <w:jc w:val="center"/>
            </w:pPr>
            <w:r w:rsidRPr="0055149C">
              <w:rPr>
                <w:b/>
                <w:bCs/>
                <w:color w:val="FFFFFF" w:themeColor="background1"/>
                <w:sz w:val="20"/>
                <w:szCs w:val="20"/>
              </w:rPr>
              <w:t>Videregående skole</w:t>
            </w:r>
          </w:p>
        </w:tc>
        <w:tc>
          <w:tcPr>
            <w:tcW w:w="708" w:type="dxa"/>
            <w:vMerge w:val="restart"/>
            <w:tcBorders>
              <w:top w:val="single" w:sz="4" w:space="0" w:color="auto"/>
              <w:left w:val="nil"/>
              <w:bottom w:val="nil"/>
              <w:right w:val="single" w:sz="4" w:space="0" w:color="auto"/>
            </w:tcBorders>
            <w:shd w:val="clear" w:color="auto" w:fill="3672B0" w:themeFill="accent2"/>
            <w:textDirection w:val="btLr"/>
            <w:vAlign w:val="center"/>
          </w:tcPr>
          <w:p w14:paraId="740E7638" w14:textId="70DF0CFD" w:rsidR="00B9323E" w:rsidRPr="0055149C" w:rsidRDefault="00B9323E" w:rsidP="00B9323E">
            <w:pPr>
              <w:jc w:val="center"/>
            </w:pPr>
            <w:r w:rsidRPr="0055149C">
              <w:rPr>
                <w:b/>
                <w:bCs/>
                <w:color w:val="FFFFFF" w:themeColor="background1"/>
                <w:sz w:val="20"/>
                <w:szCs w:val="20"/>
              </w:rPr>
              <w:t>Tannhelse</w:t>
            </w:r>
          </w:p>
        </w:tc>
      </w:tr>
      <w:tr w:rsidR="00B9323E" w:rsidRPr="0055149C" w14:paraId="46B197F2" w14:textId="77777777" w:rsidTr="00B9323E">
        <w:trPr>
          <w:trHeight w:val="1078"/>
        </w:trPr>
        <w:tc>
          <w:tcPr>
            <w:tcW w:w="3184" w:type="dxa"/>
            <w:tcBorders>
              <w:top w:val="nil"/>
              <w:left w:val="single" w:sz="4" w:space="0" w:color="auto"/>
              <w:bottom w:val="single" w:sz="4" w:space="0" w:color="auto"/>
              <w:right w:val="nil"/>
            </w:tcBorders>
            <w:shd w:val="clear" w:color="auto" w:fill="3672B0" w:themeFill="accent2"/>
            <w:vAlign w:val="center"/>
          </w:tcPr>
          <w:p w14:paraId="6D1682E7" w14:textId="71E726FF" w:rsidR="00B9323E" w:rsidRPr="0055149C" w:rsidRDefault="00B9323E" w:rsidP="00B9323E">
            <w:r w:rsidRPr="0055149C">
              <w:rPr>
                <w:b/>
                <w:bCs/>
                <w:color w:val="FFFFFF" w:themeColor="background1"/>
                <w:sz w:val="18"/>
                <w:szCs w:val="18"/>
              </w:rPr>
              <w:t>Innhold</w:t>
            </w:r>
          </w:p>
        </w:tc>
        <w:tc>
          <w:tcPr>
            <w:tcW w:w="3185" w:type="dxa"/>
            <w:gridSpan w:val="2"/>
            <w:tcBorders>
              <w:top w:val="nil"/>
              <w:left w:val="nil"/>
              <w:bottom w:val="single" w:sz="4" w:space="0" w:color="auto"/>
              <w:right w:val="nil"/>
            </w:tcBorders>
            <w:shd w:val="clear" w:color="auto" w:fill="3672B0" w:themeFill="accent2"/>
            <w:vAlign w:val="center"/>
          </w:tcPr>
          <w:p w14:paraId="7B82B382" w14:textId="34507227" w:rsidR="00B9323E" w:rsidRPr="0055149C" w:rsidRDefault="00B9323E" w:rsidP="00B9323E">
            <w:r w:rsidRPr="0055149C">
              <w:rPr>
                <w:b/>
                <w:bCs/>
                <w:color w:val="FFFFFF" w:themeColor="background1"/>
                <w:sz w:val="18"/>
                <w:szCs w:val="18"/>
              </w:rPr>
              <w:t>Nummer</w:t>
            </w:r>
          </w:p>
        </w:tc>
        <w:tc>
          <w:tcPr>
            <w:tcW w:w="708" w:type="dxa"/>
            <w:vMerge/>
            <w:tcBorders>
              <w:top w:val="nil"/>
              <w:left w:val="nil"/>
              <w:bottom w:val="single" w:sz="4" w:space="0" w:color="auto"/>
              <w:right w:val="nil"/>
            </w:tcBorders>
            <w:shd w:val="clear" w:color="auto" w:fill="3672B0" w:themeFill="accent2"/>
            <w:textDirection w:val="btLr"/>
            <w:vAlign w:val="center"/>
          </w:tcPr>
          <w:p w14:paraId="602D8AAB" w14:textId="77777777" w:rsidR="00B9323E" w:rsidRPr="0055149C" w:rsidRDefault="00B9323E" w:rsidP="00B9323E">
            <w:pPr>
              <w:rPr>
                <w:b/>
                <w:bCs/>
                <w:color w:val="FFFFFF" w:themeColor="background1"/>
                <w:sz w:val="20"/>
                <w:szCs w:val="20"/>
              </w:rPr>
            </w:pPr>
          </w:p>
        </w:tc>
        <w:tc>
          <w:tcPr>
            <w:tcW w:w="708" w:type="dxa"/>
            <w:vMerge/>
            <w:tcBorders>
              <w:top w:val="nil"/>
              <w:left w:val="nil"/>
              <w:bottom w:val="single" w:sz="4" w:space="0" w:color="auto"/>
              <w:right w:val="nil"/>
            </w:tcBorders>
            <w:shd w:val="clear" w:color="auto" w:fill="3672B0" w:themeFill="accent2"/>
            <w:textDirection w:val="btLr"/>
            <w:vAlign w:val="center"/>
          </w:tcPr>
          <w:p w14:paraId="4E2DB97B" w14:textId="77777777" w:rsidR="00B9323E" w:rsidRPr="0055149C" w:rsidRDefault="00B9323E" w:rsidP="00B9323E">
            <w:pPr>
              <w:rPr>
                <w:b/>
                <w:bCs/>
                <w:color w:val="FFFFFF" w:themeColor="background1"/>
                <w:sz w:val="20"/>
                <w:szCs w:val="20"/>
              </w:rPr>
            </w:pPr>
          </w:p>
        </w:tc>
        <w:tc>
          <w:tcPr>
            <w:tcW w:w="708" w:type="dxa"/>
            <w:vMerge/>
            <w:tcBorders>
              <w:top w:val="nil"/>
              <w:left w:val="nil"/>
              <w:bottom w:val="single" w:sz="4" w:space="0" w:color="auto"/>
              <w:right w:val="single" w:sz="4" w:space="0" w:color="auto"/>
            </w:tcBorders>
            <w:shd w:val="clear" w:color="auto" w:fill="3672B0" w:themeFill="accent2"/>
            <w:textDirection w:val="btLr"/>
            <w:vAlign w:val="center"/>
          </w:tcPr>
          <w:p w14:paraId="4B318B16" w14:textId="77777777" w:rsidR="00B9323E" w:rsidRPr="0055149C" w:rsidRDefault="00B9323E" w:rsidP="00B9323E">
            <w:pPr>
              <w:rPr>
                <w:b/>
                <w:bCs/>
                <w:color w:val="FFFFFF" w:themeColor="background1"/>
                <w:sz w:val="20"/>
                <w:szCs w:val="20"/>
              </w:rPr>
            </w:pPr>
          </w:p>
        </w:tc>
      </w:tr>
      <w:tr w:rsidR="00B9323E" w:rsidRPr="0055149C" w14:paraId="58CD507F" w14:textId="77777777" w:rsidTr="00B9323E">
        <w:tc>
          <w:tcPr>
            <w:tcW w:w="4245" w:type="dxa"/>
            <w:gridSpan w:val="2"/>
            <w:tcBorders>
              <w:top w:val="single" w:sz="4" w:space="0" w:color="auto"/>
              <w:left w:val="single" w:sz="4" w:space="0" w:color="auto"/>
              <w:bottom w:val="nil"/>
              <w:right w:val="nil"/>
            </w:tcBorders>
          </w:tcPr>
          <w:p w14:paraId="587D3BFD" w14:textId="76D18A0F" w:rsidR="00B9323E" w:rsidRPr="00F75927" w:rsidRDefault="00B9323E" w:rsidP="00B9323E">
            <w:pPr>
              <w:rPr>
                <w:color w:val="000000"/>
              </w:rPr>
            </w:pPr>
            <w:r w:rsidRPr="00F75927">
              <w:rPr>
                <w:color w:val="000000"/>
                <w:sz w:val="20"/>
                <w:szCs w:val="20"/>
              </w:rPr>
              <w:t>Innbyggere 1 til 18 år</w:t>
            </w:r>
          </w:p>
        </w:tc>
        <w:tc>
          <w:tcPr>
            <w:tcW w:w="2124" w:type="dxa"/>
            <w:tcBorders>
              <w:top w:val="single" w:sz="4" w:space="0" w:color="auto"/>
              <w:left w:val="nil"/>
              <w:bottom w:val="nil"/>
              <w:right w:val="single" w:sz="4" w:space="0" w:color="auto"/>
            </w:tcBorders>
          </w:tcPr>
          <w:p w14:paraId="5773464E" w14:textId="5FAA4627" w:rsidR="00B9323E" w:rsidRPr="00F75927" w:rsidRDefault="00B9323E" w:rsidP="00B9323E">
            <w:pPr>
              <w:rPr>
                <w:color w:val="000000"/>
              </w:rPr>
            </w:pPr>
            <w:r w:rsidRPr="00F75927">
              <w:rPr>
                <w:color w:val="000000"/>
                <w:sz w:val="20"/>
                <w:szCs w:val="20"/>
              </w:rPr>
              <w:t>Kriterium 3</w:t>
            </w:r>
          </w:p>
        </w:tc>
        <w:tc>
          <w:tcPr>
            <w:tcW w:w="708" w:type="dxa"/>
            <w:tcBorders>
              <w:top w:val="single" w:sz="4" w:space="0" w:color="auto"/>
              <w:left w:val="single" w:sz="4" w:space="0" w:color="auto"/>
              <w:bottom w:val="nil"/>
              <w:right w:val="nil"/>
            </w:tcBorders>
          </w:tcPr>
          <w:p w14:paraId="7C5CFFAA" w14:textId="77777777" w:rsidR="00B9323E" w:rsidRPr="00F75927" w:rsidRDefault="00B9323E" w:rsidP="00B9323E">
            <w:pPr>
              <w:jc w:val="center"/>
              <w:rPr>
                <w:color w:val="000000"/>
              </w:rPr>
            </w:pPr>
          </w:p>
        </w:tc>
        <w:tc>
          <w:tcPr>
            <w:tcW w:w="708" w:type="dxa"/>
            <w:tcBorders>
              <w:top w:val="single" w:sz="4" w:space="0" w:color="auto"/>
              <w:left w:val="nil"/>
              <w:bottom w:val="nil"/>
              <w:right w:val="nil"/>
            </w:tcBorders>
          </w:tcPr>
          <w:p w14:paraId="16C91B17" w14:textId="77777777" w:rsidR="00B9323E" w:rsidRPr="00F75927" w:rsidRDefault="00B9323E" w:rsidP="00B9323E">
            <w:pPr>
              <w:jc w:val="center"/>
              <w:rPr>
                <w:color w:val="000000"/>
              </w:rPr>
            </w:pPr>
          </w:p>
        </w:tc>
        <w:tc>
          <w:tcPr>
            <w:tcW w:w="708" w:type="dxa"/>
            <w:tcBorders>
              <w:top w:val="single" w:sz="4" w:space="0" w:color="auto"/>
              <w:left w:val="nil"/>
              <w:bottom w:val="nil"/>
              <w:right w:val="single" w:sz="4" w:space="0" w:color="auto"/>
            </w:tcBorders>
          </w:tcPr>
          <w:p w14:paraId="3C20FE6C" w14:textId="225224CE" w:rsidR="00B9323E" w:rsidRPr="00F75927" w:rsidRDefault="00B9323E" w:rsidP="00B9323E">
            <w:pPr>
              <w:jc w:val="center"/>
              <w:rPr>
                <w:color w:val="000000"/>
              </w:rPr>
            </w:pPr>
            <w:r w:rsidRPr="00F75927">
              <w:rPr>
                <w:color w:val="000000"/>
                <w:sz w:val="20"/>
                <w:szCs w:val="20"/>
              </w:rPr>
              <w:t>X</w:t>
            </w:r>
          </w:p>
        </w:tc>
      </w:tr>
      <w:tr w:rsidR="00B9323E" w:rsidRPr="0055149C" w14:paraId="5CF414E1"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65EF34A6" w14:textId="445AB61F" w:rsidR="00B9323E" w:rsidRPr="00F75927" w:rsidRDefault="00B9323E" w:rsidP="00B9323E">
            <w:pPr>
              <w:rPr>
                <w:color w:val="000000"/>
              </w:rPr>
            </w:pPr>
            <w:r w:rsidRPr="00F75927">
              <w:rPr>
                <w:color w:val="000000"/>
                <w:sz w:val="20"/>
                <w:szCs w:val="20"/>
              </w:rPr>
              <w:t>Innbyggere 16 til 18 år</w:t>
            </w:r>
          </w:p>
        </w:tc>
        <w:tc>
          <w:tcPr>
            <w:tcW w:w="2124" w:type="dxa"/>
            <w:tcBorders>
              <w:top w:val="nil"/>
              <w:left w:val="nil"/>
              <w:bottom w:val="nil"/>
              <w:right w:val="single" w:sz="4" w:space="0" w:color="auto"/>
            </w:tcBorders>
            <w:shd w:val="clear" w:color="auto" w:fill="D4E2F2" w:themeFill="accent2" w:themeFillTint="33"/>
          </w:tcPr>
          <w:p w14:paraId="24C3B5E6" w14:textId="6709A172" w:rsidR="00B9323E" w:rsidRPr="00F75927" w:rsidRDefault="00B9323E" w:rsidP="00B9323E">
            <w:pPr>
              <w:rPr>
                <w:color w:val="000000"/>
              </w:rPr>
            </w:pPr>
            <w:r w:rsidRPr="00F75927">
              <w:rPr>
                <w:color w:val="000000"/>
                <w:sz w:val="20"/>
                <w:szCs w:val="20"/>
              </w:rPr>
              <w:t>Kriterium 4</w:t>
            </w:r>
          </w:p>
        </w:tc>
        <w:tc>
          <w:tcPr>
            <w:tcW w:w="708" w:type="dxa"/>
            <w:tcBorders>
              <w:top w:val="nil"/>
              <w:left w:val="single" w:sz="4" w:space="0" w:color="auto"/>
              <w:bottom w:val="nil"/>
              <w:right w:val="nil"/>
            </w:tcBorders>
            <w:shd w:val="clear" w:color="auto" w:fill="D4E2F2" w:themeFill="accent2" w:themeFillTint="33"/>
          </w:tcPr>
          <w:p w14:paraId="0325FA1F" w14:textId="77777777" w:rsidR="00B9323E" w:rsidRPr="00F75927" w:rsidRDefault="00B9323E" w:rsidP="00B9323E">
            <w:pPr>
              <w:jc w:val="center"/>
              <w:rPr>
                <w:color w:val="000000"/>
              </w:rPr>
            </w:pPr>
          </w:p>
        </w:tc>
        <w:tc>
          <w:tcPr>
            <w:tcW w:w="708" w:type="dxa"/>
            <w:tcBorders>
              <w:top w:val="nil"/>
              <w:left w:val="nil"/>
              <w:bottom w:val="nil"/>
              <w:right w:val="nil"/>
            </w:tcBorders>
            <w:shd w:val="clear" w:color="auto" w:fill="D4E2F2" w:themeFill="accent2" w:themeFillTint="33"/>
          </w:tcPr>
          <w:p w14:paraId="62F92843" w14:textId="7783789D"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shd w:val="clear" w:color="auto" w:fill="D4E2F2" w:themeFill="accent2" w:themeFillTint="33"/>
          </w:tcPr>
          <w:p w14:paraId="0B8A8A9B" w14:textId="77777777" w:rsidR="00B9323E" w:rsidRPr="00F75927" w:rsidRDefault="00B9323E" w:rsidP="00B9323E">
            <w:pPr>
              <w:jc w:val="center"/>
              <w:rPr>
                <w:color w:val="000000"/>
              </w:rPr>
            </w:pPr>
          </w:p>
        </w:tc>
      </w:tr>
      <w:tr w:rsidR="00B9323E" w:rsidRPr="0055149C" w14:paraId="2B79770B" w14:textId="77777777" w:rsidTr="00B9323E">
        <w:tc>
          <w:tcPr>
            <w:tcW w:w="4245" w:type="dxa"/>
            <w:gridSpan w:val="2"/>
            <w:tcBorders>
              <w:top w:val="nil"/>
              <w:left w:val="single" w:sz="4" w:space="0" w:color="auto"/>
              <w:bottom w:val="nil"/>
              <w:right w:val="nil"/>
            </w:tcBorders>
          </w:tcPr>
          <w:p w14:paraId="7D6513B5" w14:textId="09B715F3" w:rsidR="00B9323E" w:rsidRPr="00F75927" w:rsidRDefault="00B9323E" w:rsidP="00B9323E">
            <w:pPr>
              <w:rPr>
                <w:color w:val="000000"/>
              </w:rPr>
            </w:pPr>
            <w:r w:rsidRPr="00F75927">
              <w:rPr>
                <w:color w:val="000000"/>
                <w:sz w:val="20"/>
                <w:szCs w:val="20"/>
              </w:rPr>
              <w:t>Innbyggere 19 til 20 år</w:t>
            </w:r>
          </w:p>
        </w:tc>
        <w:tc>
          <w:tcPr>
            <w:tcW w:w="2124" w:type="dxa"/>
            <w:tcBorders>
              <w:top w:val="nil"/>
              <w:left w:val="nil"/>
              <w:bottom w:val="nil"/>
              <w:right w:val="single" w:sz="4" w:space="0" w:color="auto"/>
            </w:tcBorders>
          </w:tcPr>
          <w:p w14:paraId="29B20157" w14:textId="4FD1C8F1" w:rsidR="00B9323E" w:rsidRPr="00F75927" w:rsidRDefault="00B9323E" w:rsidP="00B9323E">
            <w:pPr>
              <w:rPr>
                <w:color w:val="000000"/>
              </w:rPr>
            </w:pPr>
            <w:r w:rsidRPr="00F75927">
              <w:rPr>
                <w:color w:val="000000"/>
                <w:sz w:val="20"/>
                <w:szCs w:val="20"/>
              </w:rPr>
              <w:t>Kriterium 5</w:t>
            </w:r>
          </w:p>
        </w:tc>
        <w:tc>
          <w:tcPr>
            <w:tcW w:w="708" w:type="dxa"/>
            <w:tcBorders>
              <w:top w:val="nil"/>
              <w:left w:val="single" w:sz="4" w:space="0" w:color="auto"/>
              <w:bottom w:val="nil"/>
              <w:right w:val="nil"/>
            </w:tcBorders>
          </w:tcPr>
          <w:p w14:paraId="2CEA2060" w14:textId="77777777" w:rsidR="00B9323E" w:rsidRPr="00F75927" w:rsidRDefault="00B9323E" w:rsidP="00B9323E">
            <w:pPr>
              <w:jc w:val="center"/>
              <w:rPr>
                <w:color w:val="000000"/>
              </w:rPr>
            </w:pPr>
          </w:p>
        </w:tc>
        <w:tc>
          <w:tcPr>
            <w:tcW w:w="708" w:type="dxa"/>
            <w:tcBorders>
              <w:top w:val="nil"/>
              <w:left w:val="nil"/>
              <w:bottom w:val="nil"/>
              <w:right w:val="nil"/>
            </w:tcBorders>
          </w:tcPr>
          <w:p w14:paraId="2CE8DE70"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7CAA472D" w14:textId="3E16B232" w:rsidR="00B9323E" w:rsidRPr="00F75927" w:rsidRDefault="00B9323E" w:rsidP="00B9323E">
            <w:pPr>
              <w:jc w:val="center"/>
              <w:rPr>
                <w:color w:val="000000"/>
              </w:rPr>
            </w:pPr>
            <w:r w:rsidRPr="00F75927">
              <w:rPr>
                <w:color w:val="000000"/>
                <w:sz w:val="20"/>
                <w:szCs w:val="20"/>
              </w:rPr>
              <w:t>X</w:t>
            </w:r>
          </w:p>
        </w:tc>
      </w:tr>
      <w:tr w:rsidR="00B9323E" w:rsidRPr="0055149C" w14:paraId="296C0ABB"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52A7C47B" w14:textId="07BF108B" w:rsidR="00B9323E" w:rsidRPr="00F75927" w:rsidRDefault="00B9323E" w:rsidP="00B9323E">
            <w:pPr>
              <w:rPr>
                <w:color w:val="000000"/>
              </w:rPr>
            </w:pPr>
            <w:r w:rsidRPr="00F75927">
              <w:rPr>
                <w:color w:val="000000"/>
                <w:sz w:val="20"/>
                <w:szCs w:val="20"/>
              </w:rPr>
              <w:t>Innbyggere, minst 67 år</w:t>
            </w:r>
          </w:p>
        </w:tc>
        <w:tc>
          <w:tcPr>
            <w:tcW w:w="2124" w:type="dxa"/>
            <w:tcBorders>
              <w:top w:val="nil"/>
              <w:left w:val="nil"/>
              <w:bottom w:val="nil"/>
              <w:right w:val="single" w:sz="4" w:space="0" w:color="auto"/>
            </w:tcBorders>
            <w:shd w:val="clear" w:color="auto" w:fill="D4E2F2" w:themeFill="accent2" w:themeFillTint="33"/>
          </w:tcPr>
          <w:p w14:paraId="09297C74" w14:textId="47EA58F2" w:rsidR="00B9323E" w:rsidRPr="00F75927" w:rsidRDefault="00B9323E" w:rsidP="00B9323E">
            <w:pPr>
              <w:rPr>
                <w:color w:val="000000"/>
              </w:rPr>
            </w:pPr>
            <w:r w:rsidRPr="00F75927">
              <w:rPr>
                <w:color w:val="000000"/>
                <w:sz w:val="20"/>
                <w:szCs w:val="20"/>
              </w:rPr>
              <w:t>Kriterium 6</w:t>
            </w:r>
          </w:p>
        </w:tc>
        <w:tc>
          <w:tcPr>
            <w:tcW w:w="708" w:type="dxa"/>
            <w:tcBorders>
              <w:top w:val="nil"/>
              <w:left w:val="single" w:sz="4" w:space="0" w:color="auto"/>
              <w:bottom w:val="nil"/>
              <w:right w:val="nil"/>
            </w:tcBorders>
            <w:shd w:val="clear" w:color="auto" w:fill="D4E2F2" w:themeFill="accent2" w:themeFillTint="33"/>
          </w:tcPr>
          <w:p w14:paraId="1798127C" w14:textId="77777777" w:rsidR="00B9323E" w:rsidRPr="00F75927" w:rsidRDefault="00B9323E" w:rsidP="00B9323E">
            <w:pPr>
              <w:jc w:val="center"/>
              <w:rPr>
                <w:color w:val="000000"/>
              </w:rPr>
            </w:pPr>
          </w:p>
        </w:tc>
        <w:tc>
          <w:tcPr>
            <w:tcW w:w="708" w:type="dxa"/>
            <w:tcBorders>
              <w:top w:val="nil"/>
              <w:left w:val="nil"/>
              <w:bottom w:val="nil"/>
              <w:right w:val="nil"/>
            </w:tcBorders>
            <w:shd w:val="clear" w:color="auto" w:fill="D4E2F2" w:themeFill="accent2" w:themeFillTint="33"/>
          </w:tcPr>
          <w:p w14:paraId="4009D632"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shd w:val="clear" w:color="auto" w:fill="D4E2F2" w:themeFill="accent2" w:themeFillTint="33"/>
          </w:tcPr>
          <w:p w14:paraId="546B0A03" w14:textId="04631B74" w:rsidR="00B9323E" w:rsidRPr="00F75927" w:rsidRDefault="00B9323E" w:rsidP="00B9323E">
            <w:pPr>
              <w:jc w:val="center"/>
              <w:rPr>
                <w:color w:val="000000"/>
              </w:rPr>
            </w:pPr>
            <w:r w:rsidRPr="00F75927">
              <w:rPr>
                <w:color w:val="000000"/>
                <w:sz w:val="20"/>
                <w:szCs w:val="20"/>
              </w:rPr>
              <w:t>X</w:t>
            </w:r>
          </w:p>
        </w:tc>
      </w:tr>
      <w:tr w:rsidR="00B9323E" w:rsidRPr="0055149C" w14:paraId="0FAC29CD" w14:textId="77777777" w:rsidTr="00B9323E">
        <w:tc>
          <w:tcPr>
            <w:tcW w:w="4245" w:type="dxa"/>
            <w:gridSpan w:val="2"/>
            <w:tcBorders>
              <w:top w:val="nil"/>
              <w:left w:val="single" w:sz="4" w:space="0" w:color="auto"/>
              <w:bottom w:val="nil"/>
              <w:right w:val="nil"/>
            </w:tcBorders>
          </w:tcPr>
          <w:p w14:paraId="030F6F9F" w14:textId="6920D4F4" w:rsidR="00B9323E" w:rsidRPr="00F75927" w:rsidRDefault="00B9323E" w:rsidP="00B9323E">
            <w:pPr>
              <w:rPr>
                <w:color w:val="000000"/>
              </w:rPr>
            </w:pPr>
            <w:r w:rsidRPr="00F75927">
              <w:rPr>
                <w:color w:val="000000"/>
                <w:sz w:val="20"/>
                <w:szCs w:val="20"/>
              </w:rPr>
              <w:t>Psykisk utviklingshemmet, minst 18 år</w:t>
            </w:r>
          </w:p>
        </w:tc>
        <w:tc>
          <w:tcPr>
            <w:tcW w:w="2124" w:type="dxa"/>
            <w:tcBorders>
              <w:top w:val="nil"/>
              <w:left w:val="nil"/>
              <w:bottom w:val="nil"/>
              <w:right w:val="single" w:sz="4" w:space="0" w:color="auto"/>
            </w:tcBorders>
          </w:tcPr>
          <w:p w14:paraId="0239D479" w14:textId="2B968E1A" w:rsidR="00B9323E" w:rsidRPr="00F75927" w:rsidRDefault="00B9323E" w:rsidP="00B9323E">
            <w:pPr>
              <w:rPr>
                <w:color w:val="000000"/>
              </w:rPr>
            </w:pPr>
            <w:r w:rsidRPr="00F75927">
              <w:rPr>
                <w:color w:val="000000"/>
                <w:sz w:val="20"/>
                <w:szCs w:val="20"/>
              </w:rPr>
              <w:t>Kriterium 7</w:t>
            </w:r>
          </w:p>
        </w:tc>
        <w:tc>
          <w:tcPr>
            <w:tcW w:w="708" w:type="dxa"/>
            <w:tcBorders>
              <w:top w:val="nil"/>
              <w:left w:val="single" w:sz="4" w:space="0" w:color="auto"/>
              <w:bottom w:val="nil"/>
              <w:right w:val="nil"/>
            </w:tcBorders>
          </w:tcPr>
          <w:p w14:paraId="7F98D1CA" w14:textId="77777777" w:rsidR="00B9323E" w:rsidRPr="00F75927" w:rsidRDefault="00B9323E" w:rsidP="00B9323E">
            <w:pPr>
              <w:jc w:val="center"/>
              <w:rPr>
                <w:color w:val="000000"/>
              </w:rPr>
            </w:pPr>
          </w:p>
        </w:tc>
        <w:tc>
          <w:tcPr>
            <w:tcW w:w="708" w:type="dxa"/>
            <w:tcBorders>
              <w:top w:val="nil"/>
              <w:left w:val="nil"/>
              <w:bottom w:val="nil"/>
              <w:right w:val="nil"/>
            </w:tcBorders>
          </w:tcPr>
          <w:p w14:paraId="24B52D30"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5593518B" w14:textId="49D63FC8" w:rsidR="00B9323E" w:rsidRPr="00F75927" w:rsidRDefault="00B9323E" w:rsidP="00B9323E">
            <w:pPr>
              <w:jc w:val="center"/>
              <w:rPr>
                <w:color w:val="000000"/>
              </w:rPr>
            </w:pPr>
            <w:r w:rsidRPr="00F75927">
              <w:rPr>
                <w:color w:val="000000"/>
                <w:sz w:val="20"/>
                <w:szCs w:val="20"/>
              </w:rPr>
              <w:t>X</w:t>
            </w:r>
          </w:p>
        </w:tc>
      </w:tr>
      <w:tr w:rsidR="00B9323E" w:rsidRPr="0055149C" w14:paraId="0ED30198"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3FB418FF" w14:textId="3B59A84F" w:rsidR="00B9323E" w:rsidRPr="00F75927" w:rsidRDefault="00B9323E" w:rsidP="00B9323E">
            <w:pPr>
              <w:rPr>
                <w:color w:val="000000"/>
              </w:rPr>
            </w:pPr>
            <w:r w:rsidRPr="00F75927">
              <w:rPr>
                <w:color w:val="000000"/>
                <w:sz w:val="20"/>
                <w:szCs w:val="20"/>
              </w:rPr>
              <w:t>Søkere til høykost utdanning siste tre år</w:t>
            </w:r>
          </w:p>
        </w:tc>
        <w:tc>
          <w:tcPr>
            <w:tcW w:w="2124" w:type="dxa"/>
            <w:tcBorders>
              <w:top w:val="nil"/>
              <w:left w:val="nil"/>
              <w:bottom w:val="nil"/>
              <w:right w:val="single" w:sz="4" w:space="0" w:color="auto"/>
            </w:tcBorders>
            <w:shd w:val="clear" w:color="auto" w:fill="D4E2F2" w:themeFill="accent2" w:themeFillTint="33"/>
          </w:tcPr>
          <w:p w14:paraId="7B2FD429" w14:textId="799AB191" w:rsidR="00B9323E" w:rsidRPr="00F75927" w:rsidRDefault="00B9323E" w:rsidP="00B9323E">
            <w:pPr>
              <w:rPr>
                <w:color w:val="000000"/>
              </w:rPr>
            </w:pPr>
            <w:r w:rsidRPr="00F75927">
              <w:rPr>
                <w:color w:val="000000"/>
                <w:sz w:val="20"/>
                <w:szCs w:val="20"/>
              </w:rPr>
              <w:t>Kriterium 8</w:t>
            </w:r>
          </w:p>
        </w:tc>
        <w:tc>
          <w:tcPr>
            <w:tcW w:w="708" w:type="dxa"/>
            <w:tcBorders>
              <w:top w:val="nil"/>
              <w:left w:val="single" w:sz="4" w:space="0" w:color="auto"/>
              <w:bottom w:val="nil"/>
              <w:right w:val="nil"/>
            </w:tcBorders>
            <w:shd w:val="clear" w:color="auto" w:fill="D4E2F2" w:themeFill="accent2" w:themeFillTint="33"/>
          </w:tcPr>
          <w:p w14:paraId="74EB2DD0" w14:textId="77777777" w:rsidR="00B9323E" w:rsidRPr="00F75927" w:rsidRDefault="00B9323E" w:rsidP="00B9323E">
            <w:pPr>
              <w:jc w:val="center"/>
              <w:rPr>
                <w:color w:val="000000"/>
              </w:rPr>
            </w:pPr>
          </w:p>
        </w:tc>
        <w:tc>
          <w:tcPr>
            <w:tcW w:w="708" w:type="dxa"/>
            <w:tcBorders>
              <w:top w:val="nil"/>
              <w:left w:val="nil"/>
              <w:bottom w:val="nil"/>
              <w:right w:val="nil"/>
            </w:tcBorders>
            <w:shd w:val="clear" w:color="auto" w:fill="D4E2F2" w:themeFill="accent2" w:themeFillTint="33"/>
          </w:tcPr>
          <w:p w14:paraId="7D498DC1" w14:textId="3E9B03D5"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shd w:val="clear" w:color="auto" w:fill="D4E2F2" w:themeFill="accent2" w:themeFillTint="33"/>
          </w:tcPr>
          <w:p w14:paraId="09D0156F" w14:textId="77777777" w:rsidR="00B9323E" w:rsidRPr="00F75927" w:rsidRDefault="00B9323E" w:rsidP="00B9323E">
            <w:pPr>
              <w:jc w:val="center"/>
              <w:rPr>
                <w:color w:val="000000"/>
              </w:rPr>
            </w:pPr>
          </w:p>
        </w:tc>
      </w:tr>
      <w:tr w:rsidR="00B9323E" w:rsidRPr="0055149C" w14:paraId="40D40FDE" w14:textId="77777777" w:rsidTr="00B9323E">
        <w:tc>
          <w:tcPr>
            <w:tcW w:w="4245" w:type="dxa"/>
            <w:gridSpan w:val="2"/>
            <w:tcBorders>
              <w:top w:val="nil"/>
              <w:left w:val="single" w:sz="4" w:space="0" w:color="auto"/>
              <w:bottom w:val="nil"/>
              <w:right w:val="nil"/>
            </w:tcBorders>
          </w:tcPr>
          <w:p w14:paraId="6421E618" w14:textId="5BEEDB78" w:rsidR="00B9323E" w:rsidRPr="00F75927" w:rsidRDefault="00B9323E" w:rsidP="00B9323E">
            <w:pPr>
              <w:rPr>
                <w:color w:val="000000"/>
              </w:rPr>
            </w:pPr>
            <w:r w:rsidRPr="00F75927">
              <w:rPr>
                <w:color w:val="000000"/>
                <w:sz w:val="20"/>
                <w:szCs w:val="20"/>
              </w:rPr>
              <w:t>Søkere til læringsplass siste tre år</w:t>
            </w:r>
          </w:p>
        </w:tc>
        <w:tc>
          <w:tcPr>
            <w:tcW w:w="2124" w:type="dxa"/>
            <w:tcBorders>
              <w:top w:val="nil"/>
              <w:left w:val="nil"/>
              <w:bottom w:val="nil"/>
              <w:right w:val="single" w:sz="4" w:space="0" w:color="auto"/>
            </w:tcBorders>
          </w:tcPr>
          <w:p w14:paraId="038507C1" w14:textId="7566634E" w:rsidR="00B9323E" w:rsidRPr="00F75927" w:rsidRDefault="00B9323E" w:rsidP="00B9323E">
            <w:pPr>
              <w:rPr>
                <w:color w:val="000000"/>
              </w:rPr>
            </w:pPr>
            <w:r w:rsidRPr="00F75927">
              <w:rPr>
                <w:color w:val="000000"/>
                <w:sz w:val="20"/>
                <w:szCs w:val="20"/>
              </w:rPr>
              <w:t>Kriterium 9</w:t>
            </w:r>
          </w:p>
        </w:tc>
        <w:tc>
          <w:tcPr>
            <w:tcW w:w="708" w:type="dxa"/>
            <w:tcBorders>
              <w:top w:val="nil"/>
              <w:left w:val="single" w:sz="4" w:space="0" w:color="auto"/>
              <w:bottom w:val="nil"/>
              <w:right w:val="nil"/>
            </w:tcBorders>
          </w:tcPr>
          <w:p w14:paraId="21873335" w14:textId="77777777" w:rsidR="00B9323E" w:rsidRPr="00F75927" w:rsidRDefault="00B9323E" w:rsidP="00B9323E">
            <w:pPr>
              <w:jc w:val="center"/>
              <w:rPr>
                <w:color w:val="000000"/>
              </w:rPr>
            </w:pPr>
          </w:p>
        </w:tc>
        <w:tc>
          <w:tcPr>
            <w:tcW w:w="708" w:type="dxa"/>
            <w:tcBorders>
              <w:top w:val="nil"/>
              <w:left w:val="nil"/>
              <w:bottom w:val="nil"/>
              <w:right w:val="nil"/>
            </w:tcBorders>
          </w:tcPr>
          <w:p w14:paraId="5AC445A7" w14:textId="73FCA9EF"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tcPr>
          <w:p w14:paraId="36B109DC" w14:textId="77777777" w:rsidR="00B9323E" w:rsidRPr="00F75927" w:rsidRDefault="00B9323E" w:rsidP="00B9323E">
            <w:pPr>
              <w:jc w:val="center"/>
              <w:rPr>
                <w:color w:val="000000"/>
              </w:rPr>
            </w:pPr>
          </w:p>
        </w:tc>
      </w:tr>
      <w:tr w:rsidR="00B9323E" w:rsidRPr="0055149C" w14:paraId="0B5EB257"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1D8A2DA3" w14:textId="3F1026BE" w:rsidR="00B9323E" w:rsidRPr="00F75927" w:rsidRDefault="00B9323E" w:rsidP="00B9323E">
            <w:pPr>
              <w:rPr>
                <w:color w:val="000000"/>
              </w:rPr>
            </w:pPr>
            <w:r w:rsidRPr="00F75927">
              <w:rPr>
                <w:color w:val="000000"/>
                <w:sz w:val="20"/>
                <w:szCs w:val="20"/>
              </w:rPr>
              <w:t>Reiseavstand til 11 000 innbyggere</w:t>
            </w:r>
          </w:p>
        </w:tc>
        <w:tc>
          <w:tcPr>
            <w:tcW w:w="2124" w:type="dxa"/>
            <w:tcBorders>
              <w:top w:val="nil"/>
              <w:left w:val="nil"/>
              <w:bottom w:val="nil"/>
              <w:right w:val="single" w:sz="4" w:space="0" w:color="auto"/>
            </w:tcBorders>
            <w:shd w:val="clear" w:color="auto" w:fill="D4E2F2" w:themeFill="accent2" w:themeFillTint="33"/>
          </w:tcPr>
          <w:p w14:paraId="59057678" w14:textId="69AB16AC" w:rsidR="00B9323E" w:rsidRPr="00F75927" w:rsidRDefault="00B9323E" w:rsidP="00B9323E">
            <w:pPr>
              <w:rPr>
                <w:color w:val="000000"/>
              </w:rPr>
            </w:pPr>
            <w:r w:rsidRPr="00F75927">
              <w:rPr>
                <w:color w:val="000000"/>
                <w:sz w:val="20"/>
                <w:szCs w:val="20"/>
              </w:rPr>
              <w:t>Kriterium 10</w:t>
            </w:r>
          </w:p>
        </w:tc>
        <w:tc>
          <w:tcPr>
            <w:tcW w:w="708" w:type="dxa"/>
            <w:tcBorders>
              <w:top w:val="nil"/>
              <w:left w:val="single" w:sz="4" w:space="0" w:color="auto"/>
              <w:bottom w:val="nil"/>
              <w:right w:val="nil"/>
            </w:tcBorders>
            <w:shd w:val="clear" w:color="auto" w:fill="D4E2F2" w:themeFill="accent2" w:themeFillTint="33"/>
          </w:tcPr>
          <w:p w14:paraId="419EB289" w14:textId="6391A18B"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shd w:val="clear" w:color="auto" w:fill="D4E2F2" w:themeFill="accent2" w:themeFillTint="33"/>
          </w:tcPr>
          <w:p w14:paraId="0033FC8D" w14:textId="64EF4243"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shd w:val="clear" w:color="auto" w:fill="D4E2F2" w:themeFill="accent2" w:themeFillTint="33"/>
          </w:tcPr>
          <w:p w14:paraId="656C6B56" w14:textId="77777777" w:rsidR="00B9323E" w:rsidRPr="00F75927" w:rsidRDefault="00B9323E" w:rsidP="00B9323E">
            <w:pPr>
              <w:jc w:val="center"/>
              <w:rPr>
                <w:color w:val="000000"/>
              </w:rPr>
            </w:pPr>
          </w:p>
        </w:tc>
      </w:tr>
      <w:tr w:rsidR="00B9323E" w:rsidRPr="0055149C" w14:paraId="6216F470" w14:textId="77777777" w:rsidTr="00B9323E">
        <w:tc>
          <w:tcPr>
            <w:tcW w:w="4245" w:type="dxa"/>
            <w:gridSpan w:val="2"/>
            <w:tcBorders>
              <w:top w:val="nil"/>
              <w:left w:val="single" w:sz="4" w:space="0" w:color="auto"/>
              <w:bottom w:val="nil"/>
              <w:right w:val="nil"/>
            </w:tcBorders>
          </w:tcPr>
          <w:p w14:paraId="1FF52160" w14:textId="49CDEC57" w:rsidR="00B9323E" w:rsidRPr="00F75927" w:rsidRDefault="00B9323E" w:rsidP="00B9323E">
            <w:pPr>
              <w:rPr>
                <w:color w:val="000000"/>
              </w:rPr>
            </w:pPr>
            <w:r w:rsidRPr="00F75927">
              <w:rPr>
                <w:color w:val="000000"/>
                <w:sz w:val="20"/>
                <w:szCs w:val="20"/>
              </w:rPr>
              <w:t>Innbyggere i spredtbygde strøk</w:t>
            </w:r>
          </w:p>
        </w:tc>
        <w:tc>
          <w:tcPr>
            <w:tcW w:w="2124" w:type="dxa"/>
            <w:tcBorders>
              <w:top w:val="nil"/>
              <w:left w:val="nil"/>
              <w:bottom w:val="nil"/>
              <w:right w:val="single" w:sz="4" w:space="0" w:color="auto"/>
            </w:tcBorders>
          </w:tcPr>
          <w:p w14:paraId="1A0E2137" w14:textId="7BF0A3F0" w:rsidR="00B9323E" w:rsidRPr="00F75927" w:rsidRDefault="00B9323E" w:rsidP="00B9323E">
            <w:pPr>
              <w:rPr>
                <w:color w:val="000000"/>
              </w:rPr>
            </w:pPr>
            <w:r w:rsidRPr="00F75927">
              <w:rPr>
                <w:color w:val="000000"/>
                <w:sz w:val="20"/>
                <w:szCs w:val="20"/>
              </w:rPr>
              <w:t>Kriterium 11</w:t>
            </w:r>
          </w:p>
        </w:tc>
        <w:tc>
          <w:tcPr>
            <w:tcW w:w="708" w:type="dxa"/>
            <w:tcBorders>
              <w:top w:val="nil"/>
              <w:left w:val="single" w:sz="4" w:space="0" w:color="auto"/>
              <w:bottom w:val="nil"/>
              <w:right w:val="nil"/>
            </w:tcBorders>
          </w:tcPr>
          <w:p w14:paraId="2B1CFD72" w14:textId="59CE2253"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tcPr>
          <w:p w14:paraId="1233B650"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64E5E1DE" w14:textId="77777777" w:rsidR="00B9323E" w:rsidRPr="00F75927" w:rsidRDefault="00B9323E" w:rsidP="00B9323E">
            <w:pPr>
              <w:jc w:val="center"/>
              <w:rPr>
                <w:color w:val="000000"/>
              </w:rPr>
            </w:pPr>
          </w:p>
        </w:tc>
      </w:tr>
      <w:tr w:rsidR="00B9323E" w:rsidRPr="0055149C" w14:paraId="29B24F20"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25BEC757" w14:textId="5407B8F8" w:rsidR="00B9323E" w:rsidRPr="00F75927" w:rsidRDefault="00B9323E" w:rsidP="00B9323E">
            <w:pPr>
              <w:rPr>
                <w:color w:val="000000"/>
              </w:rPr>
            </w:pPr>
            <w:r w:rsidRPr="00F75927">
              <w:rPr>
                <w:color w:val="000000"/>
                <w:sz w:val="20"/>
                <w:szCs w:val="20"/>
              </w:rPr>
              <w:t>Skalert sysselsatte etter arbeidsted</w:t>
            </w:r>
          </w:p>
        </w:tc>
        <w:tc>
          <w:tcPr>
            <w:tcW w:w="2124" w:type="dxa"/>
            <w:tcBorders>
              <w:top w:val="nil"/>
              <w:left w:val="nil"/>
              <w:bottom w:val="nil"/>
              <w:right w:val="single" w:sz="4" w:space="0" w:color="auto"/>
            </w:tcBorders>
            <w:shd w:val="clear" w:color="auto" w:fill="D4E2F2" w:themeFill="accent2" w:themeFillTint="33"/>
          </w:tcPr>
          <w:p w14:paraId="22F21113" w14:textId="474FF4BC" w:rsidR="00B9323E" w:rsidRPr="00F75927" w:rsidRDefault="00B9323E" w:rsidP="00B9323E">
            <w:pPr>
              <w:rPr>
                <w:color w:val="000000"/>
              </w:rPr>
            </w:pPr>
            <w:r w:rsidRPr="00F75927">
              <w:rPr>
                <w:color w:val="000000"/>
                <w:sz w:val="20"/>
                <w:szCs w:val="20"/>
              </w:rPr>
              <w:t>Kriterium 13</w:t>
            </w:r>
          </w:p>
        </w:tc>
        <w:tc>
          <w:tcPr>
            <w:tcW w:w="708" w:type="dxa"/>
            <w:tcBorders>
              <w:top w:val="nil"/>
              <w:left w:val="single" w:sz="4" w:space="0" w:color="auto"/>
              <w:bottom w:val="nil"/>
              <w:right w:val="nil"/>
            </w:tcBorders>
            <w:shd w:val="clear" w:color="auto" w:fill="D4E2F2" w:themeFill="accent2" w:themeFillTint="33"/>
          </w:tcPr>
          <w:p w14:paraId="3B85CFC8" w14:textId="616CA6B0"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shd w:val="clear" w:color="auto" w:fill="D4E2F2" w:themeFill="accent2" w:themeFillTint="33"/>
          </w:tcPr>
          <w:p w14:paraId="1781093F"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shd w:val="clear" w:color="auto" w:fill="D4E2F2" w:themeFill="accent2" w:themeFillTint="33"/>
          </w:tcPr>
          <w:p w14:paraId="4C4C6458" w14:textId="77777777" w:rsidR="00B9323E" w:rsidRPr="00F75927" w:rsidRDefault="00B9323E" w:rsidP="00B9323E">
            <w:pPr>
              <w:jc w:val="center"/>
              <w:rPr>
                <w:color w:val="000000"/>
              </w:rPr>
            </w:pPr>
          </w:p>
        </w:tc>
      </w:tr>
      <w:tr w:rsidR="00B9323E" w:rsidRPr="0055149C" w14:paraId="2DAE5536" w14:textId="77777777" w:rsidTr="00B9323E">
        <w:tc>
          <w:tcPr>
            <w:tcW w:w="4245" w:type="dxa"/>
            <w:gridSpan w:val="2"/>
            <w:tcBorders>
              <w:top w:val="nil"/>
              <w:left w:val="single" w:sz="4" w:space="0" w:color="auto"/>
              <w:bottom w:val="nil"/>
              <w:right w:val="nil"/>
            </w:tcBorders>
          </w:tcPr>
          <w:p w14:paraId="5AAE42D1" w14:textId="20439857" w:rsidR="00B9323E" w:rsidRPr="00F75927" w:rsidRDefault="00B9323E" w:rsidP="00B9323E">
            <w:pPr>
              <w:rPr>
                <w:color w:val="000000"/>
              </w:rPr>
            </w:pPr>
            <w:r w:rsidRPr="00F75927">
              <w:rPr>
                <w:color w:val="000000"/>
                <w:sz w:val="20"/>
                <w:szCs w:val="20"/>
              </w:rPr>
              <w:t>Normerte fergekostnader</w:t>
            </w:r>
          </w:p>
        </w:tc>
        <w:tc>
          <w:tcPr>
            <w:tcW w:w="2124" w:type="dxa"/>
            <w:tcBorders>
              <w:top w:val="nil"/>
              <w:left w:val="nil"/>
              <w:bottom w:val="nil"/>
              <w:right w:val="single" w:sz="4" w:space="0" w:color="auto"/>
            </w:tcBorders>
          </w:tcPr>
          <w:p w14:paraId="6A4628E9" w14:textId="5C37F262" w:rsidR="00B9323E" w:rsidRPr="00F75927" w:rsidRDefault="00B9323E" w:rsidP="00B9323E">
            <w:pPr>
              <w:rPr>
                <w:color w:val="000000"/>
              </w:rPr>
            </w:pPr>
            <w:r w:rsidRPr="00F75927">
              <w:rPr>
                <w:color w:val="000000"/>
                <w:sz w:val="20"/>
                <w:szCs w:val="20"/>
              </w:rPr>
              <w:t>Kriterium 14</w:t>
            </w:r>
          </w:p>
        </w:tc>
        <w:tc>
          <w:tcPr>
            <w:tcW w:w="708" w:type="dxa"/>
            <w:tcBorders>
              <w:top w:val="nil"/>
              <w:left w:val="single" w:sz="4" w:space="0" w:color="auto"/>
              <w:bottom w:val="nil"/>
              <w:right w:val="nil"/>
            </w:tcBorders>
          </w:tcPr>
          <w:p w14:paraId="209C5C72" w14:textId="695A7CF4"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tcPr>
          <w:p w14:paraId="2993472D"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121E40F3" w14:textId="77777777" w:rsidR="00B9323E" w:rsidRPr="00F75927" w:rsidRDefault="00B9323E" w:rsidP="00B9323E">
            <w:pPr>
              <w:jc w:val="center"/>
              <w:rPr>
                <w:color w:val="000000"/>
              </w:rPr>
            </w:pPr>
          </w:p>
        </w:tc>
      </w:tr>
      <w:tr w:rsidR="00B9323E" w:rsidRPr="0055149C" w14:paraId="4FC4A404" w14:textId="77777777" w:rsidTr="00B9323E">
        <w:trPr>
          <w:trHeight w:val="327"/>
        </w:trPr>
        <w:tc>
          <w:tcPr>
            <w:tcW w:w="4245" w:type="dxa"/>
            <w:gridSpan w:val="2"/>
            <w:tcBorders>
              <w:top w:val="nil"/>
              <w:left w:val="single" w:sz="4" w:space="0" w:color="auto"/>
              <w:bottom w:val="nil"/>
              <w:right w:val="nil"/>
            </w:tcBorders>
            <w:shd w:val="clear" w:color="auto" w:fill="D4E2F2" w:themeFill="accent2" w:themeFillTint="33"/>
          </w:tcPr>
          <w:p w14:paraId="2A82118A" w14:textId="4F78974C" w:rsidR="00B9323E" w:rsidRPr="00F75927" w:rsidRDefault="00B9323E" w:rsidP="00B9323E">
            <w:pPr>
              <w:rPr>
                <w:color w:val="000000"/>
              </w:rPr>
            </w:pPr>
            <w:r w:rsidRPr="00F75927">
              <w:rPr>
                <w:color w:val="000000"/>
                <w:sz w:val="20"/>
                <w:szCs w:val="20"/>
              </w:rPr>
              <w:t>Kystlinje i alt</w:t>
            </w:r>
          </w:p>
        </w:tc>
        <w:tc>
          <w:tcPr>
            <w:tcW w:w="2124" w:type="dxa"/>
            <w:tcBorders>
              <w:top w:val="nil"/>
              <w:left w:val="nil"/>
              <w:bottom w:val="nil"/>
              <w:right w:val="single" w:sz="4" w:space="0" w:color="auto"/>
            </w:tcBorders>
            <w:shd w:val="clear" w:color="auto" w:fill="D4E2F2" w:themeFill="accent2" w:themeFillTint="33"/>
          </w:tcPr>
          <w:p w14:paraId="5AE79D38" w14:textId="605125B6" w:rsidR="00B9323E" w:rsidRPr="00F75927" w:rsidRDefault="00B9323E" w:rsidP="00B9323E">
            <w:pPr>
              <w:rPr>
                <w:color w:val="000000"/>
              </w:rPr>
            </w:pPr>
            <w:r w:rsidRPr="00F75927">
              <w:rPr>
                <w:color w:val="000000"/>
                <w:sz w:val="20"/>
                <w:szCs w:val="20"/>
              </w:rPr>
              <w:t>Kriterium 15</w:t>
            </w:r>
          </w:p>
        </w:tc>
        <w:tc>
          <w:tcPr>
            <w:tcW w:w="708" w:type="dxa"/>
            <w:tcBorders>
              <w:top w:val="nil"/>
              <w:left w:val="single" w:sz="4" w:space="0" w:color="auto"/>
              <w:bottom w:val="nil"/>
              <w:right w:val="nil"/>
            </w:tcBorders>
            <w:shd w:val="clear" w:color="auto" w:fill="D4E2F2" w:themeFill="accent2" w:themeFillTint="33"/>
          </w:tcPr>
          <w:p w14:paraId="02874F21" w14:textId="24208E8F"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shd w:val="clear" w:color="auto" w:fill="D4E2F2" w:themeFill="accent2" w:themeFillTint="33"/>
          </w:tcPr>
          <w:p w14:paraId="1BF35A0A"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shd w:val="clear" w:color="auto" w:fill="D4E2F2" w:themeFill="accent2" w:themeFillTint="33"/>
          </w:tcPr>
          <w:p w14:paraId="61D1FC30" w14:textId="77777777" w:rsidR="00B9323E" w:rsidRPr="00F75927" w:rsidRDefault="00B9323E" w:rsidP="00B9323E">
            <w:pPr>
              <w:jc w:val="center"/>
              <w:rPr>
                <w:color w:val="000000"/>
              </w:rPr>
            </w:pPr>
          </w:p>
        </w:tc>
      </w:tr>
      <w:tr w:rsidR="00B9323E" w:rsidRPr="0055149C" w14:paraId="064FEAA6" w14:textId="77777777" w:rsidTr="00B9323E">
        <w:tc>
          <w:tcPr>
            <w:tcW w:w="4245" w:type="dxa"/>
            <w:gridSpan w:val="2"/>
            <w:tcBorders>
              <w:top w:val="nil"/>
              <w:left w:val="single" w:sz="4" w:space="0" w:color="auto"/>
              <w:bottom w:val="nil"/>
              <w:right w:val="nil"/>
            </w:tcBorders>
          </w:tcPr>
          <w:p w14:paraId="4F3C991E" w14:textId="1009DCD1" w:rsidR="00B9323E" w:rsidRPr="00F75927" w:rsidRDefault="00B9323E" w:rsidP="00B9323E">
            <w:pPr>
              <w:rPr>
                <w:color w:val="000000"/>
              </w:rPr>
            </w:pPr>
            <w:r w:rsidRPr="00F75927">
              <w:rPr>
                <w:color w:val="000000"/>
                <w:sz w:val="20"/>
                <w:szCs w:val="20"/>
              </w:rPr>
              <w:t>Normerte båtkostnader</w:t>
            </w:r>
          </w:p>
        </w:tc>
        <w:tc>
          <w:tcPr>
            <w:tcW w:w="2124" w:type="dxa"/>
            <w:tcBorders>
              <w:top w:val="nil"/>
              <w:left w:val="nil"/>
              <w:bottom w:val="nil"/>
              <w:right w:val="single" w:sz="4" w:space="0" w:color="auto"/>
            </w:tcBorders>
          </w:tcPr>
          <w:p w14:paraId="62CAE8CA" w14:textId="656901BC" w:rsidR="00B9323E" w:rsidRPr="00F75927" w:rsidRDefault="00B9323E" w:rsidP="00B9323E">
            <w:pPr>
              <w:rPr>
                <w:color w:val="000000"/>
              </w:rPr>
            </w:pPr>
            <w:r w:rsidRPr="00F75927">
              <w:rPr>
                <w:color w:val="000000"/>
                <w:sz w:val="20"/>
                <w:szCs w:val="20"/>
              </w:rPr>
              <w:t>Kriterium 16</w:t>
            </w:r>
          </w:p>
        </w:tc>
        <w:tc>
          <w:tcPr>
            <w:tcW w:w="708" w:type="dxa"/>
            <w:tcBorders>
              <w:top w:val="nil"/>
              <w:left w:val="single" w:sz="4" w:space="0" w:color="auto"/>
              <w:bottom w:val="nil"/>
              <w:right w:val="nil"/>
            </w:tcBorders>
          </w:tcPr>
          <w:p w14:paraId="1D5185DF" w14:textId="087471E7"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tcPr>
          <w:p w14:paraId="5B89727C" w14:textId="5B372ADC" w:rsidR="00B9323E" w:rsidRPr="00F75927" w:rsidRDefault="000C3B83" w:rsidP="00B9323E">
            <w:pPr>
              <w:jc w:val="center"/>
              <w:rPr>
                <w:color w:val="000000"/>
              </w:rPr>
            </w:pPr>
            <w:r w:rsidRPr="00F75927">
              <w:rPr>
                <w:color w:val="000000"/>
              </w:rPr>
              <w:t>-</w:t>
            </w:r>
          </w:p>
        </w:tc>
        <w:tc>
          <w:tcPr>
            <w:tcW w:w="708" w:type="dxa"/>
            <w:tcBorders>
              <w:top w:val="nil"/>
              <w:left w:val="nil"/>
              <w:bottom w:val="nil"/>
              <w:right w:val="single" w:sz="4" w:space="0" w:color="auto"/>
            </w:tcBorders>
          </w:tcPr>
          <w:p w14:paraId="42F9DAE9" w14:textId="77777777" w:rsidR="00B9323E" w:rsidRPr="00F75927" w:rsidRDefault="00B9323E" w:rsidP="00B9323E">
            <w:pPr>
              <w:jc w:val="center"/>
              <w:rPr>
                <w:color w:val="000000"/>
              </w:rPr>
            </w:pPr>
          </w:p>
        </w:tc>
      </w:tr>
      <w:tr w:rsidR="00B9323E" w:rsidRPr="0055149C" w14:paraId="47D364B8" w14:textId="77777777" w:rsidTr="00B9323E">
        <w:tc>
          <w:tcPr>
            <w:tcW w:w="4245" w:type="dxa"/>
            <w:gridSpan w:val="2"/>
            <w:tcBorders>
              <w:top w:val="nil"/>
              <w:left w:val="single" w:sz="4" w:space="0" w:color="auto"/>
              <w:bottom w:val="single" w:sz="4" w:space="0" w:color="auto"/>
              <w:right w:val="nil"/>
            </w:tcBorders>
            <w:shd w:val="clear" w:color="auto" w:fill="D4E2F2" w:themeFill="accent2" w:themeFillTint="33"/>
          </w:tcPr>
          <w:p w14:paraId="521E1A3D" w14:textId="76424DE8" w:rsidR="00B9323E" w:rsidRPr="00F75927" w:rsidRDefault="00B9323E" w:rsidP="00B9323E">
            <w:pPr>
              <w:rPr>
                <w:color w:val="000000"/>
              </w:rPr>
            </w:pPr>
            <w:r w:rsidRPr="00F75927">
              <w:rPr>
                <w:color w:val="000000"/>
                <w:sz w:val="20"/>
                <w:szCs w:val="20"/>
              </w:rPr>
              <w:t>Vedlikehold fylkesvei</w:t>
            </w:r>
          </w:p>
        </w:tc>
        <w:tc>
          <w:tcPr>
            <w:tcW w:w="2124" w:type="dxa"/>
            <w:tcBorders>
              <w:top w:val="nil"/>
              <w:left w:val="nil"/>
              <w:bottom w:val="single" w:sz="4" w:space="0" w:color="auto"/>
              <w:right w:val="single" w:sz="4" w:space="0" w:color="auto"/>
            </w:tcBorders>
            <w:shd w:val="clear" w:color="auto" w:fill="D4E2F2" w:themeFill="accent2" w:themeFillTint="33"/>
          </w:tcPr>
          <w:p w14:paraId="67E164D5" w14:textId="68B3B6D0" w:rsidR="00B9323E" w:rsidRPr="00F75927" w:rsidRDefault="00B9323E" w:rsidP="00B9323E">
            <w:pPr>
              <w:rPr>
                <w:color w:val="000000"/>
              </w:rPr>
            </w:pPr>
            <w:r w:rsidRPr="00F75927">
              <w:rPr>
                <w:color w:val="000000"/>
                <w:sz w:val="20"/>
                <w:szCs w:val="20"/>
              </w:rPr>
              <w:t>Kriterium 17</w:t>
            </w:r>
          </w:p>
        </w:tc>
        <w:tc>
          <w:tcPr>
            <w:tcW w:w="708" w:type="dxa"/>
            <w:tcBorders>
              <w:top w:val="nil"/>
              <w:left w:val="single" w:sz="4" w:space="0" w:color="auto"/>
              <w:bottom w:val="single" w:sz="4" w:space="0" w:color="auto"/>
              <w:right w:val="nil"/>
            </w:tcBorders>
            <w:shd w:val="clear" w:color="auto" w:fill="D4E2F2" w:themeFill="accent2" w:themeFillTint="33"/>
          </w:tcPr>
          <w:p w14:paraId="4CE634F1" w14:textId="51793B61"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single" w:sz="4" w:space="0" w:color="auto"/>
              <w:right w:val="nil"/>
            </w:tcBorders>
            <w:shd w:val="clear" w:color="auto" w:fill="D4E2F2" w:themeFill="accent2" w:themeFillTint="33"/>
          </w:tcPr>
          <w:p w14:paraId="3689DB2A" w14:textId="77777777" w:rsidR="00B9323E" w:rsidRPr="00F75927" w:rsidRDefault="00B9323E" w:rsidP="00B9323E">
            <w:pPr>
              <w:jc w:val="center"/>
              <w:rPr>
                <w:color w:val="000000"/>
              </w:rPr>
            </w:pPr>
          </w:p>
        </w:tc>
        <w:tc>
          <w:tcPr>
            <w:tcW w:w="708" w:type="dxa"/>
            <w:tcBorders>
              <w:top w:val="nil"/>
              <w:left w:val="nil"/>
              <w:bottom w:val="single" w:sz="4" w:space="0" w:color="auto"/>
              <w:right w:val="single" w:sz="4" w:space="0" w:color="auto"/>
            </w:tcBorders>
            <w:shd w:val="clear" w:color="auto" w:fill="D4E2F2" w:themeFill="accent2" w:themeFillTint="33"/>
          </w:tcPr>
          <w:p w14:paraId="61A9BD63" w14:textId="77777777" w:rsidR="00B9323E" w:rsidRPr="00F75927" w:rsidRDefault="00B9323E" w:rsidP="00B9323E">
            <w:pPr>
              <w:jc w:val="center"/>
              <w:rPr>
                <w:color w:val="000000"/>
              </w:rPr>
            </w:pPr>
          </w:p>
        </w:tc>
      </w:tr>
    </w:tbl>
    <w:p w14:paraId="22E6FEC5" w14:textId="49871A9A" w:rsidR="004B6062" w:rsidRPr="0055149C" w:rsidRDefault="004B6062" w:rsidP="004B6062">
      <w:pPr>
        <w:pStyle w:val="Source"/>
        <w:rPr>
          <w:lang w:eastAsia="nb-NO"/>
        </w:rPr>
      </w:pPr>
      <w:r w:rsidRPr="0055149C">
        <w:rPr>
          <w:lang w:eastAsia="nb-NO"/>
        </w:rPr>
        <w:t>Kilde: Vista Analyse basert på Kommunal- og distriktsdepartementets Grønt Hefte</w:t>
      </w:r>
      <w:r w:rsidR="00DC1F0D">
        <w:rPr>
          <w:lang w:eastAsia="nb-NO"/>
        </w:rPr>
        <w:t xml:space="preserve"> fra 2022</w:t>
      </w:r>
    </w:p>
    <w:p w14:paraId="2DC12787" w14:textId="3E661476" w:rsidR="00414EEA" w:rsidRDefault="00C10DBC" w:rsidP="009C6054">
      <w:pPr>
        <w:pStyle w:val="Overskrift2"/>
      </w:pPr>
      <w:bookmarkStart w:id="75" w:name="_Toc182321015"/>
      <w:r>
        <w:t>Metodikk</w:t>
      </w:r>
      <w:bookmarkEnd w:id="75"/>
    </w:p>
    <w:p w14:paraId="39BE45CE" w14:textId="152D5461" w:rsidR="00C10DBC" w:rsidRPr="00C10DBC" w:rsidRDefault="00C10DBC" w:rsidP="00C10DBC">
      <w:pPr>
        <w:rPr>
          <w:lang w:eastAsia="nb-NO"/>
        </w:rPr>
      </w:pPr>
      <w:r>
        <w:rPr>
          <w:lang w:eastAsia="nb-NO"/>
        </w:rPr>
        <w:t xml:space="preserve">I det følgende redegjør vi for metodikken som </w:t>
      </w:r>
      <w:r w:rsidR="00E27A4C">
        <w:rPr>
          <w:lang w:eastAsia="nb-NO"/>
        </w:rPr>
        <w:t xml:space="preserve">ligger </w:t>
      </w:r>
      <w:r>
        <w:rPr>
          <w:lang w:eastAsia="nb-NO"/>
        </w:rPr>
        <w:t xml:space="preserve">til grunn for våre empiriske undersøkelser. Vi starter med måling av kapitalvariabler, før vi vender oppmerksomheten </w:t>
      </w:r>
      <w:r w:rsidR="00732CAC">
        <w:rPr>
          <w:lang w:eastAsia="nb-NO"/>
        </w:rPr>
        <w:t>mot</w:t>
      </w:r>
      <w:r>
        <w:rPr>
          <w:lang w:eastAsia="nb-NO"/>
        </w:rPr>
        <w:t xml:space="preserve"> økonometrisk metodikk.</w:t>
      </w:r>
    </w:p>
    <w:p w14:paraId="03DB5A15" w14:textId="3769B0DD" w:rsidR="00E66E7F" w:rsidRDefault="00E66E7F" w:rsidP="004A5EB3">
      <w:pPr>
        <w:pStyle w:val="Overskrift3"/>
      </w:pPr>
      <w:bookmarkStart w:id="76" w:name="_Ref167675495"/>
      <w:bookmarkStart w:id="77" w:name="_Ref177896768"/>
      <w:r w:rsidRPr="0055149C">
        <w:t xml:space="preserve">Måling av </w:t>
      </w:r>
      <w:bookmarkEnd w:id="76"/>
      <w:r w:rsidR="00C10DBC">
        <w:t>kapitalvariabler</w:t>
      </w:r>
      <w:bookmarkEnd w:id="77"/>
    </w:p>
    <w:p w14:paraId="43C8A632" w14:textId="2B363059" w:rsidR="00C10DBC" w:rsidRPr="00C10DBC" w:rsidRDefault="00C10DBC" w:rsidP="00C10DBC">
      <w:pPr>
        <w:rPr>
          <w:lang w:eastAsia="nb-NO"/>
        </w:rPr>
      </w:pPr>
      <w:r>
        <w:rPr>
          <w:lang w:eastAsia="nb-NO"/>
        </w:rPr>
        <w:t xml:space="preserve">I det følgende gjennomgår </w:t>
      </w:r>
      <w:r w:rsidR="007F7071">
        <w:rPr>
          <w:lang w:eastAsia="nb-NO"/>
        </w:rPr>
        <w:t>v</w:t>
      </w:r>
      <w:r>
        <w:rPr>
          <w:lang w:eastAsia="nb-NO"/>
        </w:rPr>
        <w:t>i målingen av kapitalvariablene i studien. Vi sta</w:t>
      </w:r>
      <w:r w:rsidR="007F7071">
        <w:rPr>
          <w:lang w:eastAsia="nb-NO"/>
        </w:rPr>
        <w:t>r</w:t>
      </w:r>
      <w:r>
        <w:rPr>
          <w:lang w:eastAsia="nb-NO"/>
        </w:rPr>
        <w:t>ter med realkapitalbeholdningen, før vi tar for oss kapitalkostnadene.</w:t>
      </w:r>
    </w:p>
    <w:p w14:paraId="35F4C780" w14:textId="1AFDE19B" w:rsidR="00E66E7F" w:rsidRPr="0055149C" w:rsidRDefault="00C51B78" w:rsidP="00E66E7F">
      <w:pPr>
        <w:rPr>
          <w:lang w:eastAsia="nb-NO"/>
        </w:rPr>
      </w:pPr>
      <w:bookmarkStart w:id="78" w:name="_Hlk176857149"/>
      <w:r w:rsidRPr="0055149C">
        <w:rPr>
          <w:lang w:eastAsia="nb-NO"/>
        </w:rPr>
        <w:lastRenderedPageBreak/>
        <w:t xml:space="preserve">I </w:t>
      </w:r>
      <w:r w:rsidR="00A1566E">
        <w:rPr>
          <w:lang w:eastAsia="nb-NO"/>
        </w:rPr>
        <w:t>våre empiriske undersøkelser</w:t>
      </w:r>
      <w:r w:rsidRPr="0055149C">
        <w:rPr>
          <w:lang w:eastAsia="nb-NO"/>
        </w:rPr>
        <w:t xml:space="preserve"> måler vi realkapitalbeholdningen fra utgangen av 2002 til utgangen av 2022. I våre etterfølgende analyser vil vi imidlertid fokusere på perioden fra 2010 til 2022, og da særlig 2022, ettersom PIM gjerne er avhengig</w:t>
      </w:r>
      <w:r w:rsidR="007F7071">
        <w:rPr>
          <w:lang w:eastAsia="nb-NO"/>
        </w:rPr>
        <w:t>e</w:t>
      </w:r>
      <w:r w:rsidRPr="0055149C">
        <w:rPr>
          <w:lang w:eastAsia="nb-NO"/>
        </w:rPr>
        <w:t xml:space="preserve"> av lange tidsserier for å </w:t>
      </w:r>
      <w:r w:rsidR="00732CAC">
        <w:rPr>
          <w:lang w:eastAsia="nb-NO"/>
        </w:rPr>
        <w:t xml:space="preserve">gi </w:t>
      </w:r>
      <w:r w:rsidRPr="0055149C">
        <w:rPr>
          <w:lang w:eastAsia="nb-NO"/>
        </w:rPr>
        <w:t>brukbare resultater. Vi benytter oss av seks alternative mål for beholdningen:</w:t>
      </w:r>
    </w:p>
    <w:p w14:paraId="20AC70B0" w14:textId="738D7BAB" w:rsidR="000F5B32" w:rsidRPr="0055149C" w:rsidRDefault="005D60B0" w:rsidP="00916DDE">
      <w:pPr>
        <w:pStyle w:val="Vista-bl"/>
        <w:numPr>
          <w:ilvl w:val="0"/>
          <w:numId w:val="18"/>
        </w:numPr>
      </w:pPr>
      <w:r w:rsidRPr="0055149C">
        <w:t xml:space="preserve">DM basert på </w:t>
      </w:r>
      <w:r w:rsidR="00EB77C9" w:rsidRPr="0055149C">
        <w:t>rapportering</w:t>
      </w:r>
      <w:r w:rsidRPr="0055149C">
        <w:t xml:space="preserve"> på art</w:t>
      </w:r>
    </w:p>
    <w:p w14:paraId="2E89A733" w14:textId="475AEB1E" w:rsidR="000F5B32" w:rsidRPr="0055149C" w:rsidRDefault="005D60B0" w:rsidP="00916DDE">
      <w:pPr>
        <w:pStyle w:val="Vista-bl"/>
        <w:numPr>
          <w:ilvl w:val="0"/>
          <w:numId w:val="18"/>
        </w:numPr>
      </w:pPr>
      <w:r w:rsidRPr="0055149C">
        <w:t xml:space="preserve">PIM med disaggregerte deflatorer og </w:t>
      </w:r>
      <w:r w:rsidR="00950A5A" w:rsidRPr="0055149C">
        <w:t xml:space="preserve">disaggregerte </w:t>
      </w:r>
      <w:r w:rsidRPr="0055149C">
        <w:t>depresieringsrater</w:t>
      </w:r>
      <w:r w:rsidR="000F5B32" w:rsidRPr="0055149C">
        <w:t xml:space="preserve">, basert på </w:t>
      </w:r>
      <w:r w:rsidR="00EB77C9" w:rsidRPr="0055149C">
        <w:t>rapportering</w:t>
      </w:r>
      <w:r w:rsidR="000F5B32" w:rsidRPr="0055149C">
        <w:t xml:space="preserve"> på art</w:t>
      </w:r>
    </w:p>
    <w:p w14:paraId="0F6DFE34" w14:textId="142532B1" w:rsidR="000F5B32" w:rsidRPr="0055149C" w:rsidRDefault="000F5B32" w:rsidP="00916DDE">
      <w:pPr>
        <w:pStyle w:val="Vista-bl"/>
        <w:numPr>
          <w:ilvl w:val="0"/>
          <w:numId w:val="18"/>
        </w:numPr>
      </w:pPr>
      <w:r w:rsidRPr="0055149C">
        <w:t xml:space="preserve">PIM med aggregerte deflatorer og disaggregerte depresieringsrater, basert på </w:t>
      </w:r>
      <w:r w:rsidR="00EB77C9" w:rsidRPr="0055149C">
        <w:t>rapportering</w:t>
      </w:r>
      <w:r w:rsidRPr="0055149C">
        <w:t xml:space="preserve"> på </w:t>
      </w:r>
      <w:r w:rsidR="00DC0DBD" w:rsidRPr="0055149C">
        <w:t>funksjon</w:t>
      </w:r>
    </w:p>
    <w:p w14:paraId="4EB1D935" w14:textId="651D4FD9" w:rsidR="000F5B32" w:rsidRPr="0055149C" w:rsidRDefault="000F5B32" w:rsidP="00916DDE">
      <w:pPr>
        <w:pStyle w:val="Vista-bl"/>
        <w:numPr>
          <w:ilvl w:val="0"/>
          <w:numId w:val="18"/>
        </w:numPr>
      </w:pPr>
      <w:r w:rsidRPr="0055149C">
        <w:t>PIM med</w:t>
      </w:r>
      <w:r w:rsidR="003220DD">
        <w:t>-</w:t>
      </w:r>
      <w:r w:rsidRPr="0055149C">
        <w:t xml:space="preserve"> disaggregerte deflatorer og aggregerte depresieringsrater, basert på </w:t>
      </w:r>
      <w:r w:rsidR="00EB77C9" w:rsidRPr="0055149C">
        <w:t>rapportering</w:t>
      </w:r>
      <w:r w:rsidRPr="0055149C">
        <w:t xml:space="preserve"> på </w:t>
      </w:r>
      <w:r w:rsidR="00DC0DBD" w:rsidRPr="0055149C">
        <w:t>funksjon</w:t>
      </w:r>
    </w:p>
    <w:p w14:paraId="175D302B" w14:textId="2585F553" w:rsidR="000F5B32" w:rsidRPr="0055149C" w:rsidRDefault="000F5B32" w:rsidP="00916DDE">
      <w:pPr>
        <w:pStyle w:val="Vista-bl"/>
        <w:numPr>
          <w:ilvl w:val="0"/>
          <w:numId w:val="18"/>
        </w:numPr>
      </w:pPr>
      <w:r w:rsidRPr="0055149C">
        <w:t xml:space="preserve">PIM med disaggregerte deflatorer og disaggregerte depresieringsrater, basert på </w:t>
      </w:r>
      <w:r w:rsidR="00EB77C9" w:rsidRPr="0055149C">
        <w:t>rapportering</w:t>
      </w:r>
      <w:r w:rsidRPr="0055149C">
        <w:t xml:space="preserve"> på </w:t>
      </w:r>
      <w:r w:rsidR="00DC0DBD" w:rsidRPr="0055149C">
        <w:t>funksjon</w:t>
      </w:r>
    </w:p>
    <w:p w14:paraId="15DFAF1E" w14:textId="03CF9267" w:rsidR="000F5B32" w:rsidRPr="0055149C" w:rsidRDefault="000F5B32" w:rsidP="00916DDE">
      <w:pPr>
        <w:pStyle w:val="Vista-bl"/>
        <w:numPr>
          <w:ilvl w:val="0"/>
          <w:numId w:val="18"/>
        </w:numPr>
      </w:pPr>
      <w:r w:rsidRPr="0055149C">
        <w:t xml:space="preserve">PIM med aggregerte deflatorer og aggregerte depresieringsrater, basert på </w:t>
      </w:r>
      <w:r w:rsidR="00EB77C9" w:rsidRPr="0055149C">
        <w:t>rapportering</w:t>
      </w:r>
      <w:r w:rsidRPr="0055149C">
        <w:t xml:space="preserve"> på </w:t>
      </w:r>
      <w:r w:rsidR="00DC0DBD" w:rsidRPr="0055149C">
        <w:t>funksjon</w:t>
      </w:r>
    </w:p>
    <w:p w14:paraId="75948E92" w14:textId="388D5558" w:rsidR="003A5D4E" w:rsidRPr="0055149C" w:rsidRDefault="000F5B32" w:rsidP="00E66E7F">
      <w:pPr>
        <w:rPr>
          <w:lang w:eastAsia="nb-NO"/>
        </w:rPr>
      </w:pPr>
      <w:r w:rsidRPr="0055149C">
        <w:rPr>
          <w:lang w:eastAsia="nb-NO"/>
        </w:rPr>
        <w:t>K1</w:t>
      </w:r>
      <w:r w:rsidR="00E5511F" w:rsidRPr="0055149C">
        <w:rPr>
          <w:lang w:eastAsia="nb-NO"/>
        </w:rPr>
        <w:t xml:space="preserve"> er de</w:t>
      </w:r>
      <w:r w:rsidR="007F7071">
        <w:rPr>
          <w:lang w:eastAsia="nb-NO"/>
        </w:rPr>
        <w:t>t</w:t>
      </w:r>
      <w:r w:rsidR="00E5511F" w:rsidRPr="0055149C">
        <w:rPr>
          <w:lang w:eastAsia="nb-NO"/>
        </w:rPr>
        <w:t xml:space="preserve"> eneste realkapitalmålet der vi benytter direkte metode (DM). Målet </w:t>
      </w:r>
      <w:r w:rsidR="00DC0DBD" w:rsidRPr="0055149C">
        <w:rPr>
          <w:lang w:eastAsia="nb-NO"/>
        </w:rPr>
        <w:t>tilsvarer realkapitalbeholdningen oppgitt</w:t>
      </w:r>
      <w:r w:rsidR="00D90FE6" w:rsidRPr="0055149C">
        <w:rPr>
          <w:lang w:eastAsia="nb-NO"/>
        </w:rPr>
        <w:t xml:space="preserve"> med dekomponering over de tre realkapitalartene redegjort for i </w:t>
      </w:r>
      <w:r w:rsidR="000B15F2" w:rsidRPr="0055149C">
        <w:rPr>
          <w:lang w:eastAsia="nb-NO"/>
        </w:rPr>
        <w:t>seksjon</w:t>
      </w:r>
      <w:r w:rsidR="00915338" w:rsidRPr="0055149C">
        <w:rPr>
          <w:lang w:eastAsia="nb-NO"/>
        </w:rPr>
        <w:t xml:space="preserve"> </w:t>
      </w:r>
      <w:r w:rsidR="00915338" w:rsidRPr="0055149C">
        <w:rPr>
          <w:lang w:eastAsia="nb-NO"/>
        </w:rPr>
        <w:fldChar w:fldCharType="begin"/>
      </w:r>
      <w:r w:rsidR="00915338" w:rsidRPr="0055149C">
        <w:rPr>
          <w:lang w:eastAsia="nb-NO"/>
        </w:rPr>
        <w:instrText xml:space="preserve"> REF _Ref166249059 \r \h </w:instrText>
      </w:r>
      <w:r w:rsidR="00915338" w:rsidRPr="0055149C">
        <w:rPr>
          <w:lang w:eastAsia="nb-NO"/>
        </w:rPr>
      </w:r>
      <w:r w:rsidR="00915338" w:rsidRPr="0055149C">
        <w:rPr>
          <w:lang w:eastAsia="nb-NO"/>
        </w:rPr>
        <w:fldChar w:fldCharType="separate"/>
      </w:r>
      <w:r w:rsidR="009B1DA8">
        <w:rPr>
          <w:lang w:eastAsia="nb-NO"/>
        </w:rPr>
        <w:t>3.1.1</w:t>
      </w:r>
      <w:r w:rsidR="00915338" w:rsidRPr="0055149C">
        <w:rPr>
          <w:lang w:eastAsia="nb-NO"/>
        </w:rPr>
        <w:fldChar w:fldCharType="end"/>
      </w:r>
      <w:r w:rsidR="00D90FE6" w:rsidRPr="0055149C">
        <w:rPr>
          <w:lang w:eastAsia="nb-NO"/>
        </w:rPr>
        <w:t xml:space="preserve">, nærmere bestemt </w:t>
      </w:r>
      <w:r w:rsidR="00F50124">
        <w:rPr>
          <w:lang w:eastAsia="nb-NO"/>
        </w:rPr>
        <w:t xml:space="preserve">over </w:t>
      </w:r>
      <w:r w:rsidR="00DB76D3" w:rsidRPr="0055149C">
        <w:rPr>
          <w:lang w:eastAsia="nb-NO"/>
        </w:rPr>
        <w:t>fast eiendom og anlegg, maskiner, utstyr og transportmidler, og immaterielle eiendeler.</w:t>
      </w:r>
      <w:r w:rsidR="00C325D0" w:rsidRPr="0055149C">
        <w:rPr>
          <w:lang w:eastAsia="nb-NO"/>
        </w:rPr>
        <w:t xml:space="preserve"> </w:t>
      </w:r>
      <w:r w:rsidR="003A5D4E" w:rsidRPr="0055149C">
        <w:rPr>
          <w:lang w:eastAsia="nb-NO"/>
        </w:rPr>
        <w:t>Den faste realkapitalbeholdningen</w:t>
      </w:r>
      <w:r w:rsidR="00A16450" w:rsidRPr="0055149C">
        <w:rPr>
          <w:lang w:eastAsia="nb-NO"/>
        </w:rPr>
        <w:t xml:space="preserve"> </w:t>
      </w:r>
      <w:r w:rsidR="001868CE" w:rsidRPr="0055149C">
        <w:rPr>
          <w:lang w:eastAsia="nb-NO"/>
        </w:rPr>
        <w:t>målt i årsslutt DM tilsvarer den bokførte faste realkapitalbeholdningen.</w:t>
      </w:r>
    </w:p>
    <w:p w14:paraId="689618CE" w14:textId="7E7424A9" w:rsidR="00FC7715" w:rsidRPr="0055149C" w:rsidRDefault="00A77EFE" w:rsidP="00FE1132">
      <w:pPr>
        <w:rPr>
          <w:lang w:eastAsia="nb-NO"/>
        </w:rPr>
      </w:pPr>
      <w:r w:rsidRPr="0055149C">
        <w:rPr>
          <w:lang w:eastAsia="nb-NO"/>
        </w:rPr>
        <w:t xml:space="preserve">K2 </w:t>
      </w:r>
      <w:r w:rsidR="00E5511F" w:rsidRPr="0055149C">
        <w:rPr>
          <w:lang w:eastAsia="nb-NO"/>
        </w:rPr>
        <w:t xml:space="preserve">til K6 er alle eksempler på </w:t>
      </w:r>
      <w:r w:rsidR="004F3940" w:rsidRPr="0055149C">
        <w:rPr>
          <w:lang w:eastAsia="nb-NO"/>
        </w:rPr>
        <w:t xml:space="preserve">anvendelser av </w:t>
      </w:r>
      <w:r w:rsidR="000D5381" w:rsidRPr="0055149C">
        <w:rPr>
          <w:lang w:eastAsia="nb-NO"/>
        </w:rPr>
        <w:t>PIM</w:t>
      </w:r>
      <w:r w:rsidR="004F3940" w:rsidRPr="0055149C">
        <w:rPr>
          <w:lang w:eastAsia="nb-NO"/>
        </w:rPr>
        <w:t xml:space="preserve">, der man summerer investeringsvolum </w:t>
      </w:r>
      <w:r w:rsidR="0068485B">
        <w:rPr>
          <w:lang w:eastAsia="nb-NO"/>
        </w:rPr>
        <w:t xml:space="preserve">etter kapitalslit </w:t>
      </w:r>
      <w:r w:rsidR="004F3940" w:rsidRPr="0055149C">
        <w:rPr>
          <w:lang w:eastAsia="nb-NO"/>
        </w:rPr>
        <w:t>over tid.</w:t>
      </w:r>
      <w:r w:rsidR="00897C51" w:rsidRPr="0055149C">
        <w:rPr>
          <w:lang w:eastAsia="nb-NO"/>
        </w:rPr>
        <w:t xml:space="preserve"> </w:t>
      </w:r>
      <w:r w:rsidR="00D26A91" w:rsidRPr="0055149C">
        <w:rPr>
          <w:lang w:eastAsia="nb-NO"/>
        </w:rPr>
        <w:t xml:space="preserve">I beregningene begrenser vi kapitalbeholdningene nedad til null for </w:t>
      </w:r>
      <w:r w:rsidR="0084103F" w:rsidRPr="0055149C">
        <w:rPr>
          <w:lang w:eastAsia="nb-NO"/>
        </w:rPr>
        <w:t>hver di</w:t>
      </w:r>
      <w:r w:rsidR="007F7071">
        <w:rPr>
          <w:lang w:eastAsia="nb-NO"/>
        </w:rPr>
        <w:t>s</w:t>
      </w:r>
      <w:r w:rsidR="0084103F" w:rsidRPr="0055149C">
        <w:rPr>
          <w:lang w:eastAsia="nb-NO"/>
        </w:rPr>
        <w:t>aggregert beholdning</w:t>
      </w:r>
      <w:r w:rsidR="00D26A91" w:rsidRPr="0055149C">
        <w:rPr>
          <w:lang w:eastAsia="nb-NO"/>
        </w:rPr>
        <w:t>.</w:t>
      </w:r>
      <w:r w:rsidR="00FC7715" w:rsidRPr="0055149C">
        <w:rPr>
          <w:lang w:eastAsia="nb-NO"/>
        </w:rPr>
        <w:t xml:space="preserve"> I våre anvendelser av PIM beregner vi ikke bare kapitalslitet knyttet til inngående kapitalbeholdning, men også </w:t>
      </w:r>
      <w:r w:rsidR="00C60642" w:rsidRPr="0055149C">
        <w:rPr>
          <w:lang w:eastAsia="nb-NO"/>
        </w:rPr>
        <w:t>kapitalslitet knyttet til hvert års</w:t>
      </w:r>
      <w:r w:rsidR="00FC7715" w:rsidRPr="0055149C">
        <w:rPr>
          <w:lang w:eastAsia="nb-NO"/>
        </w:rPr>
        <w:t xml:space="preserve"> </w:t>
      </w:r>
      <w:r w:rsidR="00CE345C" w:rsidRPr="0055149C">
        <w:rPr>
          <w:lang w:eastAsia="nb-NO"/>
        </w:rPr>
        <w:t>investeringer</w:t>
      </w:r>
      <w:r w:rsidR="00C60642" w:rsidRPr="0055149C">
        <w:rPr>
          <w:lang w:eastAsia="nb-NO"/>
        </w:rPr>
        <w:t>. Disse antas å finne sted</w:t>
      </w:r>
      <w:r w:rsidR="00CE345C" w:rsidRPr="0055149C">
        <w:rPr>
          <w:lang w:eastAsia="nb-NO"/>
        </w:rPr>
        <w:t xml:space="preserve"> </w:t>
      </w:r>
      <w:r w:rsidR="00C60642" w:rsidRPr="0055149C">
        <w:rPr>
          <w:lang w:eastAsia="nb-NO"/>
        </w:rPr>
        <w:t xml:space="preserve">midt </w:t>
      </w:r>
      <w:r w:rsidR="00CE345C" w:rsidRPr="0055149C">
        <w:rPr>
          <w:lang w:eastAsia="nb-NO"/>
        </w:rPr>
        <w:t xml:space="preserve">i året, i tråd </w:t>
      </w:r>
      <w:r w:rsidR="00FC7715" w:rsidRPr="0055149C">
        <w:rPr>
          <w:lang w:eastAsia="nb-NO"/>
        </w:rPr>
        <w:t>med anbefalingene til OECD (2009).</w:t>
      </w:r>
    </w:p>
    <w:p w14:paraId="217FE6FA" w14:textId="2F5FFA31" w:rsidR="00C51B78" w:rsidRPr="0055149C" w:rsidRDefault="00C51B78" w:rsidP="00C51B78">
      <w:pPr>
        <w:rPr>
          <w:lang w:eastAsia="nb-NO"/>
        </w:rPr>
      </w:pPr>
      <w:r w:rsidRPr="0055149C">
        <w:rPr>
          <w:lang w:eastAsia="nb-NO"/>
        </w:rPr>
        <w:t xml:space="preserve">Ettersom datagrunnlaget fra </w:t>
      </w:r>
      <w:r w:rsidR="008E7E43">
        <w:rPr>
          <w:lang w:eastAsia="nb-NO"/>
        </w:rPr>
        <w:t>KOSTRA</w:t>
      </w:r>
      <w:r w:rsidRPr="0055149C">
        <w:rPr>
          <w:lang w:eastAsia="nb-NO"/>
        </w:rPr>
        <w:t xml:space="preserve"> ikke bryter ned realkapitalmassen på art og funksjon samtidig, beregner vi ikke realkapitalbeholdninger </w:t>
      </w:r>
      <w:r w:rsidR="004B03E3">
        <w:rPr>
          <w:lang w:eastAsia="nb-NO"/>
        </w:rPr>
        <w:t>med en slik nedbryting</w:t>
      </w:r>
      <w:r w:rsidRPr="0055149C">
        <w:rPr>
          <w:lang w:eastAsia="nb-NO"/>
        </w:rPr>
        <w:t>. En slik oppsplitting vanskeliggjøres ytterligere ved at ikke de samme variablene er tilgjengelig på artsnivå og funksjonsnivå. I prinsippet vil man kunne anslå fordelingen ved å benytte seg av andre datakilder som nasjonalregnskapet, men det skal mye til for at diasaggregeringen skal gi mer enn det koster. Dessuten ville det vært utfordrende å legitimere endringer i inntektssystemet med såpass syntetiske data.</w:t>
      </w:r>
    </w:p>
    <w:p w14:paraId="42CCD9DD" w14:textId="274F2086" w:rsidR="00C51B78" w:rsidRPr="0055149C" w:rsidRDefault="00C51B78" w:rsidP="00C51B78">
      <w:pPr>
        <w:rPr>
          <w:lang w:eastAsia="nb-NO"/>
        </w:rPr>
      </w:pPr>
      <w:r w:rsidRPr="0055149C">
        <w:rPr>
          <w:lang w:eastAsia="nb-NO"/>
        </w:rPr>
        <w:t>Realkapitalbeholdningen målt ved PIM tilsvarer de depresierte bruttoinvestering</w:t>
      </w:r>
      <w:r w:rsidR="004B03E3">
        <w:rPr>
          <w:lang w:eastAsia="nb-NO"/>
        </w:rPr>
        <w:t>sstrømmene</w:t>
      </w:r>
      <w:r w:rsidRPr="0055149C">
        <w:rPr>
          <w:lang w:eastAsia="nb-NO"/>
        </w:rPr>
        <w:t xml:space="preserve"> i fast realkapital over tid og er formalisert i Tekstboks 3.1. I beregningene av kapitaltall har vi deflatert alle strømningsvariablene med bruttoinvesteringsdeflatorer som gjenspeiler kapitalprisene midt i året. Beholdningsstørrelsene ved årsslutt er deflatert med deflatorer for kapitalprisene i slutten av hvert år. Etter at realkapitalbeholdningen er beregnet, omregner vi den til løpende priser basert på bruttoinvesteringsdeflatorene.</w:t>
      </w:r>
    </w:p>
    <w:p w14:paraId="47CED358" w14:textId="26D19925" w:rsidR="00C51B78" w:rsidRPr="0055149C" w:rsidRDefault="00C51B78" w:rsidP="00C51B78">
      <w:pPr>
        <w:rPr>
          <w:lang w:eastAsia="nb-NO"/>
        </w:rPr>
      </w:pPr>
      <w:r w:rsidRPr="0055149C">
        <w:rPr>
          <w:lang w:eastAsia="nb-NO"/>
        </w:rPr>
        <w:t>K2 skiller seg fra de øvrige PIM-målene ved at man fokuserer på art med både disaggregerte deflatorer og disaggregerte depresieringsrater. Ettersom modellen krever bruk av disaggregerte bruttoinvesteringstall på art, har vi benyttet oss av anslåtte investeringstall på art. Disse er redegjort nærmere for i seksjon 3.2.2. Som inngående beholdninger for 200</w:t>
      </w:r>
      <w:r w:rsidR="00F50124">
        <w:rPr>
          <w:lang w:eastAsia="nb-NO"/>
        </w:rPr>
        <w:t>3</w:t>
      </w:r>
      <w:r w:rsidRPr="0055149C">
        <w:rPr>
          <w:lang w:eastAsia="nb-NO"/>
        </w:rPr>
        <w:t xml:space="preserve"> bruker vi simpelthen beholdningene på art som oppgis i regnskapet</w:t>
      </w:r>
      <w:r w:rsidR="00F50124">
        <w:rPr>
          <w:lang w:eastAsia="nb-NO"/>
        </w:rPr>
        <w:t xml:space="preserve"> i 2002</w:t>
      </w:r>
      <w:r w:rsidRPr="0055149C">
        <w:rPr>
          <w:lang w:eastAsia="nb-NO"/>
        </w:rPr>
        <w:t xml:space="preserve">. Her kunne man ha oppjustert </w:t>
      </w:r>
      <w:r w:rsidRPr="0055149C">
        <w:rPr>
          <w:lang w:eastAsia="nb-NO"/>
        </w:rPr>
        <w:lastRenderedPageBreak/>
        <w:t xml:space="preserve">beholdningene basert </w:t>
      </w:r>
      <w:r w:rsidR="00E27A4C">
        <w:rPr>
          <w:lang w:eastAsia="nb-NO"/>
        </w:rPr>
        <w:t xml:space="preserve">på </w:t>
      </w:r>
      <w:r w:rsidRPr="0055149C">
        <w:rPr>
          <w:lang w:eastAsia="nb-NO"/>
        </w:rPr>
        <w:t>avviket mellom PIM og DM i årene man ser på (se Holmen 2022</w:t>
      </w:r>
      <w:r w:rsidR="007E0471">
        <w:rPr>
          <w:lang w:eastAsia="nb-NO"/>
        </w:rPr>
        <w:t>a</w:t>
      </w:r>
      <w:r w:rsidRPr="0055149C">
        <w:rPr>
          <w:lang w:eastAsia="nb-NO"/>
        </w:rPr>
        <w:t xml:space="preserve"> for hvordan dette gjøres), men vi har valgt heller å gjøre det enkelt på dette punktet.</w:t>
      </w:r>
      <w:r w:rsidR="00655B78">
        <w:rPr>
          <w:lang w:eastAsia="nb-NO"/>
        </w:rPr>
        <w:t xml:space="preserve"> </w:t>
      </w:r>
      <w:r w:rsidR="007052A3">
        <w:rPr>
          <w:lang w:eastAsia="nb-NO"/>
        </w:rPr>
        <w:t>Valget</w:t>
      </w:r>
      <w:r w:rsidR="00655B78">
        <w:rPr>
          <w:lang w:eastAsia="nb-NO"/>
        </w:rPr>
        <w:t xml:space="preserve"> skyldes også at </w:t>
      </w:r>
      <w:r w:rsidR="007052A3">
        <w:rPr>
          <w:lang w:eastAsia="nb-NO"/>
        </w:rPr>
        <w:t>kapital</w:t>
      </w:r>
      <w:r w:rsidR="002F6082">
        <w:rPr>
          <w:lang w:eastAsia="nb-NO"/>
        </w:rPr>
        <w:t xml:space="preserve">beholdningene på denne tiden ble satt relativt ad hoc ved opprettelsen av Kostra og dermed ikke </w:t>
      </w:r>
      <w:r w:rsidR="007052A3">
        <w:rPr>
          <w:lang w:eastAsia="nb-NO"/>
        </w:rPr>
        <w:t>følger direkte</w:t>
      </w:r>
      <w:r w:rsidR="002F6082">
        <w:rPr>
          <w:lang w:eastAsia="nb-NO"/>
        </w:rPr>
        <w:t xml:space="preserve"> </w:t>
      </w:r>
      <w:r w:rsidR="007052A3">
        <w:rPr>
          <w:lang w:eastAsia="nb-NO"/>
        </w:rPr>
        <w:t>av</w:t>
      </w:r>
      <w:r w:rsidR="002F6082">
        <w:rPr>
          <w:lang w:eastAsia="nb-NO"/>
        </w:rPr>
        <w:t xml:space="preserve"> historisk </w:t>
      </w:r>
      <w:r w:rsidR="007052A3">
        <w:rPr>
          <w:lang w:eastAsia="nb-NO"/>
        </w:rPr>
        <w:t>bokføring.</w:t>
      </w:r>
    </w:p>
    <w:p w14:paraId="646A69DE" w14:textId="78D80F78" w:rsidR="00977E5E" w:rsidRPr="0055149C" w:rsidRDefault="00C51B78" w:rsidP="00C51B78">
      <w:pPr>
        <w:rPr>
          <w:lang w:eastAsia="nb-NO"/>
        </w:rPr>
      </w:pPr>
      <w:r w:rsidRPr="0055149C">
        <w:rPr>
          <w:lang w:eastAsia="nb-NO"/>
        </w:rPr>
        <w:t xml:space="preserve">K3 til K6 er i hovedsak like med oppbrytning av beregningene over funksjoner, men modellene skiller seg fra hverandre ved at de baserer seg på ulike kombinasjoner av disaggregerte og aggregerte deflatorer og depresieringsrater. Hensikten med å variere disse forutsetningene er å kaste lys over deres betydning. Igjen tar vi utgangspunkt i den inngående kapitalbeholdningen i 2003 når vi skal anslå den inngående beholdningen </w:t>
      </w:r>
      <w:r w:rsidR="000D2471">
        <w:rPr>
          <w:lang w:eastAsia="nb-NO"/>
        </w:rPr>
        <w:t>fram til</w:t>
      </w:r>
      <w:r w:rsidRPr="0055149C">
        <w:rPr>
          <w:lang w:eastAsia="nb-NO"/>
        </w:rPr>
        <w:t xml:space="preserve"> 2022. For disse modellene mangler vi imidlertid nedbryting av beholdningen på funksjon. Vi anslår hver funksjons andel av den inngående beholdningen basert på størrelsesforholdene mellom hver funksjons PIM-estimat for etterfølgende år når den inngående beholdningen settes til null.</w:t>
      </w:r>
    </w:p>
    <w:p w14:paraId="63F4F291" w14:textId="2D51731B" w:rsidR="00E768E3" w:rsidRDefault="00C51B78" w:rsidP="00C51B78">
      <w:pPr>
        <w:rPr>
          <w:lang w:eastAsia="nb-NO"/>
        </w:rPr>
      </w:pPr>
      <w:r w:rsidRPr="0055149C">
        <w:rPr>
          <w:lang w:eastAsia="nb-NO"/>
        </w:rPr>
        <w:t>Kostnader og utgifter relatert til kommunenes realkapital kan måles på flere forskjellige måter</w:t>
      </w:r>
      <w:r w:rsidR="008D580C">
        <w:rPr>
          <w:lang w:eastAsia="nb-NO"/>
        </w:rPr>
        <w:t xml:space="preserve"> med henvisning til</w:t>
      </w:r>
      <w:r w:rsidR="00E768E3" w:rsidRPr="0055149C">
        <w:rPr>
          <w:lang w:eastAsia="nb-NO"/>
        </w:rPr>
        <w:t xml:space="preserve"> formaliser</w:t>
      </w:r>
      <w:r w:rsidR="008D580C">
        <w:rPr>
          <w:lang w:eastAsia="nb-NO"/>
        </w:rPr>
        <w:t>ingen av</w:t>
      </w:r>
      <w:r w:rsidR="00E768E3" w:rsidRPr="0055149C">
        <w:rPr>
          <w:lang w:eastAsia="nb-NO"/>
        </w:rPr>
        <w:t xml:space="preserve"> beregningene av </w:t>
      </w:r>
      <w:r w:rsidR="008D580C">
        <w:rPr>
          <w:lang w:eastAsia="nb-NO"/>
        </w:rPr>
        <w:t>kapitalkostnadene og kapitalkostnadene</w:t>
      </w:r>
      <w:r w:rsidR="00E768E3" w:rsidRPr="0055149C">
        <w:rPr>
          <w:lang w:eastAsia="nb-NO"/>
        </w:rPr>
        <w:t xml:space="preserve"> i </w:t>
      </w:r>
      <w:r w:rsidR="00E768E3" w:rsidRPr="0055149C">
        <w:rPr>
          <w:lang w:eastAsia="nb-NO"/>
        </w:rPr>
        <w:fldChar w:fldCharType="begin"/>
      </w:r>
      <w:r w:rsidR="00E768E3" w:rsidRPr="0055149C">
        <w:rPr>
          <w:lang w:eastAsia="nb-NO"/>
        </w:rPr>
        <w:instrText xml:space="preserve"> REF _Ref176538243 \h </w:instrText>
      </w:r>
      <w:r w:rsidR="00E768E3" w:rsidRPr="0055149C">
        <w:rPr>
          <w:lang w:eastAsia="nb-NO"/>
        </w:rPr>
      </w:r>
      <w:r w:rsidR="00E768E3" w:rsidRPr="0055149C">
        <w:rPr>
          <w:lang w:eastAsia="nb-NO"/>
        </w:rPr>
        <w:fldChar w:fldCharType="separate"/>
      </w:r>
      <w:r w:rsidR="009B1DA8" w:rsidRPr="0055149C">
        <w:t xml:space="preserve">Tekstboks </w:t>
      </w:r>
      <w:r w:rsidR="009B1DA8">
        <w:rPr>
          <w:noProof/>
        </w:rPr>
        <w:t>3</w:t>
      </w:r>
      <w:r w:rsidR="009B1DA8" w:rsidRPr="0055149C">
        <w:t>.</w:t>
      </w:r>
      <w:r w:rsidR="009B1DA8">
        <w:rPr>
          <w:noProof/>
        </w:rPr>
        <w:t>1</w:t>
      </w:r>
      <w:r w:rsidR="00E768E3" w:rsidRPr="0055149C">
        <w:rPr>
          <w:lang w:eastAsia="nb-NO"/>
        </w:rPr>
        <w:fldChar w:fldCharType="end"/>
      </w:r>
      <w:r w:rsidR="00E768E3" w:rsidRPr="0055149C">
        <w:rPr>
          <w:lang w:eastAsia="nb-NO"/>
        </w:rPr>
        <w:t>. Gjennom våre empiriske analyser baserer vi oss på de følgende målene</w:t>
      </w:r>
      <w:r w:rsidR="00975E0D" w:rsidRPr="0055149C">
        <w:rPr>
          <w:lang w:eastAsia="nb-NO"/>
        </w:rPr>
        <w:t>:</w:t>
      </w:r>
    </w:p>
    <w:p w14:paraId="69AA36FC" w14:textId="77777777" w:rsidR="00E768E3" w:rsidRPr="0055149C" w:rsidRDefault="00E768E3" w:rsidP="00916DDE">
      <w:pPr>
        <w:pStyle w:val="Vista-bl"/>
        <w:numPr>
          <w:ilvl w:val="0"/>
          <w:numId w:val="19"/>
        </w:numPr>
      </w:pPr>
      <w:r w:rsidRPr="0055149C">
        <w:t>Bruttoinvesteringsutgifter</w:t>
      </w:r>
    </w:p>
    <w:p w14:paraId="420C5BC1" w14:textId="77777777" w:rsidR="00E768E3" w:rsidRPr="0055149C" w:rsidRDefault="00E768E3" w:rsidP="00916DDE">
      <w:pPr>
        <w:pStyle w:val="Vista-bl"/>
        <w:numPr>
          <w:ilvl w:val="0"/>
          <w:numId w:val="19"/>
        </w:numPr>
      </w:pPr>
      <w:r w:rsidRPr="0055149C">
        <w:t>Bruttoinvesteringsstrømmer</w:t>
      </w:r>
    </w:p>
    <w:p w14:paraId="6F28DEC4" w14:textId="77777777" w:rsidR="00E768E3" w:rsidRPr="0055149C" w:rsidRDefault="00E768E3" w:rsidP="00916DDE">
      <w:pPr>
        <w:pStyle w:val="Vista-bl"/>
        <w:numPr>
          <w:ilvl w:val="0"/>
          <w:numId w:val="19"/>
        </w:numPr>
      </w:pPr>
      <w:r w:rsidRPr="0055149C">
        <w:t>Kapitalslit målt ved DM</w:t>
      </w:r>
    </w:p>
    <w:p w14:paraId="0DF6F560" w14:textId="568E93BB" w:rsidR="00E768E3" w:rsidRPr="0055149C" w:rsidRDefault="00E768E3" w:rsidP="00916DDE">
      <w:pPr>
        <w:pStyle w:val="Vista-bl"/>
        <w:numPr>
          <w:ilvl w:val="0"/>
          <w:numId w:val="19"/>
        </w:numPr>
      </w:pPr>
      <w:r w:rsidRPr="0055149C">
        <w:t>Kapitalslit målt ved PIM over kapitalarter med disaggregerte deflatorer og disaggregerte depresieringsrater</w:t>
      </w:r>
    </w:p>
    <w:p w14:paraId="56301434" w14:textId="211E909B" w:rsidR="00E768E3" w:rsidRPr="0055149C" w:rsidRDefault="00E768E3" w:rsidP="00916DDE">
      <w:pPr>
        <w:pStyle w:val="Vista-bl"/>
        <w:numPr>
          <w:ilvl w:val="0"/>
          <w:numId w:val="19"/>
        </w:numPr>
      </w:pPr>
      <w:r w:rsidRPr="0055149C">
        <w:t>Kapitalslit målt ved PIM over tjenestefunksjoner med disaggregerte deflatorer og disaggregerte depresieringsrater</w:t>
      </w:r>
    </w:p>
    <w:p w14:paraId="0D83EECD" w14:textId="535EB130" w:rsidR="00E768E3" w:rsidRPr="0055149C" w:rsidRDefault="00E768E3" w:rsidP="00916DDE">
      <w:pPr>
        <w:pStyle w:val="Vista-bl"/>
        <w:numPr>
          <w:ilvl w:val="0"/>
          <w:numId w:val="19"/>
        </w:numPr>
      </w:pPr>
      <w:r w:rsidRPr="0055149C">
        <w:t>Kapitalslit målt ved PIM over tjenestefunksjoner med aggregerte deflatorer og disaggregerte depresieringsrater</w:t>
      </w:r>
    </w:p>
    <w:p w14:paraId="196CF522" w14:textId="3C1E33E7" w:rsidR="00E768E3" w:rsidRPr="0055149C" w:rsidRDefault="00E768E3" w:rsidP="00916DDE">
      <w:pPr>
        <w:pStyle w:val="Vista-bl"/>
        <w:numPr>
          <w:ilvl w:val="0"/>
          <w:numId w:val="19"/>
        </w:numPr>
      </w:pPr>
      <w:r w:rsidRPr="0055149C">
        <w:t>Kapitalslit målt ved PIM over tjenestefunksjoner med disaggregerte deflatorer og aggregerte depresieringsrater</w:t>
      </w:r>
    </w:p>
    <w:p w14:paraId="0404D7D9" w14:textId="6DBA074C" w:rsidR="00E768E3" w:rsidRPr="0055149C" w:rsidRDefault="00E768E3" w:rsidP="00916DDE">
      <w:pPr>
        <w:pStyle w:val="Vista-bl"/>
        <w:numPr>
          <w:ilvl w:val="0"/>
          <w:numId w:val="19"/>
        </w:numPr>
      </w:pPr>
      <w:r w:rsidRPr="0055149C">
        <w:t>Kapitalslit målt ved PIM over tjenestefunksjoner med disaggregerte deflatorer og disaggregerte depresieringsrater</w:t>
      </w:r>
    </w:p>
    <w:p w14:paraId="48D93FAD" w14:textId="14B6DB69" w:rsidR="00E768E3" w:rsidRPr="0055149C" w:rsidRDefault="00E768E3" w:rsidP="00916DDE">
      <w:pPr>
        <w:pStyle w:val="Vista-bl"/>
        <w:numPr>
          <w:ilvl w:val="0"/>
          <w:numId w:val="19"/>
        </w:numPr>
      </w:pPr>
      <w:r w:rsidRPr="0055149C">
        <w:t>Summen av kapitalslit og rentekostnader målt ved PIM over kapitalarter med disaggregerte deflatorer, disaggregerte depresieringsrater og løpende rente</w:t>
      </w:r>
    </w:p>
    <w:p w14:paraId="516CB141" w14:textId="53B87C81" w:rsidR="00E768E3" w:rsidRPr="0055149C" w:rsidRDefault="00E768E3" w:rsidP="00916DDE">
      <w:pPr>
        <w:pStyle w:val="Vista-bl"/>
        <w:numPr>
          <w:ilvl w:val="0"/>
          <w:numId w:val="19"/>
        </w:numPr>
      </w:pPr>
      <w:r w:rsidRPr="0055149C">
        <w:t>Summen av kapitalslit og rentekostnader målt ved PIM over tjenestefunksjoner med disaggregerte deflatorer, disaggregerte depresieringsrater og fast rente</w:t>
      </w:r>
    </w:p>
    <w:p w14:paraId="51D8E98C" w14:textId="678D4125" w:rsidR="00E768E3" w:rsidRPr="0055149C" w:rsidRDefault="00E768E3" w:rsidP="00916DDE">
      <w:pPr>
        <w:pStyle w:val="Vista-bl"/>
        <w:numPr>
          <w:ilvl w:val="0"/>
          <w:numId w:val="19"/>
        </w:numPr>
      </w:pPr>
      <w:r w:rsidRPr="0055149C">
        <w:t>Summen av kapitalslit og rentekostnader målt ved PIM over tjenestefunksjoner med disaggregerte deflatorer, disaggregerte depresieringsrater og løpende rente</w:t>
      </w:r>
    </w:p>
    <w:p w14:paraId="309C22B1" w14:textId="310911F1" w:rsidR="00BA6E9D" w:rsidRPr="0055149C" w:rsidRDefault="00E768E3" w:rsidP="00916DDE">
      <w:pPr>
        <w:pStyle w:val="Vista-bl"/>
        <w:numPr>
          <w:ilvl w:val="0"/>
          <w:numId w:val="19"/>
        </w:numPr>
      </w:pPr>
      <w:r w:rsidRPr="0055149C">
        <w:t>Kapitaltjenester målt ved disaggregerte deflatorer, disaggregerte depresieringsrater og løpende rente</w:t>
      </w:r>
    </w:p>
    <w:p w14:paraId="70F6140D" w14:textId="44021ACD" w:rsidR="00BA6E9D" w:rsidRPr="0055149C" w:rsidRDefault="006E5E11" w:rsidP="00916DDE">
      <w:pPr>
        <w:pStyle w:val="Vista-bl"/>
        <w:numPr>
          <w:ilvl w:val="0"/>
          <w:numId w:val="19"/>
        </w:numPr>
      </w:pPr>
      <w:r w:rsidRPr="0055149C">
        <w:t>L</w:t>
      </w:r>
      <w:r w:rsidR="00BA6E9D" w:rsidRPr="0055149C">
        <w:t xml:space="preserve">øpende rentekostnader målt ved PIM på funksjonsnivå med </w:t>
      </w:r>
      <w:r w:rsidRPr="0055149C">
        <w:t>disaggregerte deflatorer, disaggregerte depresieringsrater</w:t>
      </w:r>
    </w:p>
    <w:p w14:paraId="4EDC157C" w14:textId="7DF0A5AF" w:rsidR="006E5E11" w:rsidRPr="0055149C" w:rsidRDefault="006E5E11" w:rsidP="00916DDE">
      <w:pPr>
        <w:pStyle w:val="Vista-bl"/>
        <w:numPr>
          <w:ilvl w:val="0"/>
          <w:numId w:val="19"/>
        </w:numPr>
      </w:pPr>
      <w:r w:rsidRPr="0055149C">
        <w:t>B</w:t>
      </w:r>
      <w:r w:rsidR="00BA6E9D" w:rsidRPr="0055149C">
        <w:t>ruttodriftsutgifter og kapitalslit målt ved DM</w:t>
      </w:r>
    </w:p>
    <w:p w14:paraId="754D650C" w14:textId="1FCAF28E" w:rsidR="00BA6E9D" w:rsidRPr="0055149C" w:rsidRDefault="00BA6E9D" w:rsidP="00916DDE">
      <w:pPr>
        <w:pStyle w:val="Vista-bl"/>
        <w:numPr>
          <w:ilvl w:val="0"/>
          <w:numId w:val="19"/>
        </w:numPr>
      </w:pPr>
      <w:r w:rsidRPr="0055149C">
        <w:t xml:space="preserve">Bruttodriftsutgifter og kapitalslit målt ved PIM på funksjonsnivå </w:t>
      </w:r>
      <w:r w:rsidR="006E5E11" w:rsidRPr="0055149C">
        <w:t>med disaggregerte deflatorer og disaggregerte depresieringsrater</w:t>
      </w:r>
    </w:p>
    <w:p w14:paraId="255ADA08" w14:textId="47C80162" w:rsidR="00BA6E9D" w:rsidRPr="0055149C" w:rsidRDefault="00BA6E9D" w:rsidP="00916DDE">
      <w:pPr>
        <w:pStyle w:val="Vista-bl"/>
        <w:numPr>
          <w:ilvl w:val="0"/>
          <w:numId w:val="19"/>
        </w:numPr>
      </w:pPr>
      <w:r w:rsidRPr="0055149C">
        <w:t xml:space="preserve">Bruttodriftsutgifter, kapitalslit og rentekostnader målt ved PIM på funksjonsnivå med </w:t>
      </w:r>
      <w:r w:rsidR="006E5E11" w:rsidRPr="0055149C">
        <w:t xml:space="preserve">disaggregerte deflatorer, disaggregerte depresieringsrater </w:t>
      </w:r>
      <w:r w:rsidRPr="0055149C">
        <w:t>og løpende rente</w:t>
      </w:r>
    </w:p>
    <w:p w14:paraId="2F906E6C" w14:textId="3B70E39D" w:rsidR="00430C13" w:rsidRDefault="00DA0E24" w:rsidP="00DA0E24">
      <w:pPr>
        <w:rPr>
          <w:lang w:eastAsia="nb-NO"/>
        </w:rPr>
      </w:pPr>
      <w:r w:rsidRPr="0055149C">
        <w:rPr>
          <w:lang w:eastAsia="nb-NO"/>
        </w:rPr>
        <w:t xml:space="preserve">I våre </w:t>
      </w:r>
      <w:r w:rsidR="00CD7439" w:rsidRPr="0055149C">
        <w:rPr>
          <w:lang w:eastAsia="nb-NO"/>
        </w:rPr>
        <w:t xml:space="preserve">empiriske </w:t>
      </w:r>
      <w:r w:rsidRPr="0055149C">
        <w:rPr>
          <w:lang w:eastAsia="nb-NO"/>
        </w:rPr>
        <w:t xml:space="preserve">undersøkelser av kommunenes kapitalkostnader og deres sammenhenger med kommunenes driftsøkonomi og omgivelsene fokuserer vi på kapitalkostnads- og utgiftsmålene </w:t>
      </w:r>
      <w:r w:rsidRPr="0055149C">
        <w:rPr>
          <w:lang w:eastAsia="nb-NO"/>
        </w:rPr>
        <w:lastRenderedPageBreak/>
        <w:t>M1 til M12.</w:t>
      </w:r>
      <w:r w:rsidR="00CD7439" w:rsidRPr="0055149C">
        <w:rPr>
          <w:lang w:eastAsia="nb-NO"/>
        </w:rPr>
        <w:t xml:space="preserve"> Når vi i undersøkelsene av kapitalkostnader og kommunal driftsøkonomi beveger oss ned på funksjonsnivå, tar vi for oss målene </w:t>
      </w:r>
      <w:r w:rsidRPr="0055149C">
        <w:rPr>
          <w:lang w:eastAsia="nb-NO"/>
        </w:rPr>
        <w:t>M3, M5, M11</w:t>
      </w:r>
      <w:r w:rsidR="00CD7439" w:rsidRPr="0055149C">
        <w:rPr>
          <w:lang w:eastAsia="nb-NO"/>
        </w:rPr>
        <w:t xml:space="preserve"> og M13</w:t>
      </w:r>
      <w:r w:rsidR="00577C41">
        <w:rPr>
          <w:lang w:eastAsia="nb-NO"/>
        </w:rPr>
        <w:t>.</w:t>
      </w:r>
    </w:p>
    <w:tbl>
      <w:tblPr>
        <w:tblW w:w="8505" w:type="dxa"/>
        <w:tblLayout w:type="fixed"/>
        <w:tblCellMar>
          <w:left w:w="0" w:type="dxa"/>
          <w:right w:w="0" w:type="dxa"/>
        </w:tblCellMar>
        <w:tblLook w:val="04A0" w:firstRow="1" w:lastRow="0" w:firstColumn="1" w:lastColumn="0" w:noHBand="0" w:noVBand="1"/>
      </w:tblPr>
      <w:tblGrid>
        <w:gridCol w:w="8505"/>
      </w:tblGrid>
      <w:tr w:rsidR="00430C13" w:rsidRPr="0055149C" w14:paraId="5CD2DFD0" w14:textId="77777777" w:rsidTr="009238AE">
        <w:tc>
          <w:tcPr>
            <w:tcW w:w="8505" w:type="dxa"/>
            <w:tcBorders>
              <w:bottom w:val="single" w:sz="2" w:space="0" w:color="162F5C" w:themeColor="accent1"/>
            </w:tcBorders>
          </w:tcPr>
          <w:p w14:paraId="484A134A" w14:textId="6AA903E5" w:rsidR="00430C13" w:rsidRPr="0055149C" w:rsidRDefault="00430C13" w:rsidP="009238AE">
            <w:pPr>
              <w:pStyle w:val="CaptionTextframe"/>
            </w:pPr>
            <w:bookmarkStart w:id="79" w:name="_Ref176538243"/>
            <w:r w:rsidRPr="0055149C">
              <w:t xml:space="preserve">Tekstboks </w:t>
            </w:r>
            <w:fldSimple w:instr=" STYLEREF 1 \s ">
              <w:r w:rsidR="009B1DA8">
                <w:rPr>
                  <w:noProof/>
                </w:rPr>
                <w:t>3</w:t>
              </w:r>
            </w:fldSimple>
            <w:r w:rsidRPr="0055149C">
              <w:t>.</w:t>
            </w:r>
            <w:fldSimple w:instr=" SEQ Tekstboks \* ARABIC \s 1 ">
              <w:r w:rsidR="009B1DA8">
                <w:rPr>
                  <w:noProof/>
                </w:rPr>
                <w:t>1</w:t>
              </w:r>
            </w:fldSimple>
            <w:bookmarkEnd w:id="79"/>
            <w:r w:rsidRPr="0055149C">
              <w:tab/>
              <w:t>Matematisk presisering av kapitalkostnadsberegningene estimert ved PIM med beskrivelse av analogien til DM</w:t>
            </w:r>
          </w:p>
        </w:tc>
      </w:tr>
      <w:tr w:rsidR="00430C13" w:rsidRPr="0055149C" w14:paraId="483380AC" w14:textId="77777777" w:rsidTr="009238AE">
        <w:tc>
          <w:tcPr>
            <w:tcW w:w="8505" w:type="dxa"/>
            <w:tcBorders>
              <w:top w:val="single" w:sz="2" w:space="0" w:color="162F5C" w:themeColor="accent1"/>
              <w:bottom w:val="single" w:sz="2" w:space="0" w:color="162F5C" w:themeColor="accent1"/>
            </w:tcBorders>
          </w:tcPr>
          <w:p w14:paraId="20E117EA" w14:textId="002B19DE" w:rsidR="00430C13" w:rsidRDefault="00430C13" w:rsidP="009238AE">
            <w:pPr>
              <w:pStyle w:val="KeyMsgBoxText"/>
              <w:keepNext/>
            </w:pPr>
            <w:r>
              <w:t>I det følgende</w:t>
            </w:r>
            <w:r w:rsidRPr="0055149C">
              <w:t xml:space="preserve"> sammenfatter </w:t>
            </w:r>
            <w:r w:rsidR="006221D0">
              <w:t xml:space="preserve">vi </w:t>
            </w:r>
            <w:r w:rsidRPr="0055149C">
              <w:t xml:space="preserve">de sentrale likningene ved bruk av </w:t>
            </w:r>
            <w:r>
              <w:t>«</w:t>
            </w:r>
            <w:r w:rsidR="006F28E2">
              <w:rPr>
                <w:i/>
                <w:iCs/>
              </w:rPr>
              <w:t>P</w:t>
            </w:r>
            <w:r w:rsidRPr="00AB52BA">
              <w:rPr>
                <w:i/>
                <w:iCs/>
              </w:rPr>
              <w:t xml:space="preserve">erpetual </w:t>
            </w:r>
            <w:r w:rsidR="006F28E2">
              <w:rPr>
                <w:i/>
                <w:iCs/>
              </w:rPr>
              <w:t>I</w:t>
            </w:r>
            <w:r w:rsidRPr="00AB52BA">
              <w:rPr>
                <w:i/>
                <w:iCs/>
              </w:rPr>
              <w:t xml:space="preserve">nventory </w:t>
            </w:r>
            <w:r w:rsidR="006F28E2">
              <w:rPr>
                <w:i/>
                <w:iCs/>
              </w:rPr>
              <w:t>M</w:t>
            </w:r>
            <w:r w:rsidRPr="00AB52BA">
              <w:rPr>
                <w:i/>
                <w:iCs/>
              </w:rPr>
              <w:t>ethod</w:t>
            </w:r>
            <w:r>
              <w:t>» (</w:t>
            </w:r>
            <w:r w:rsidRPr="0055149C">
              <w:t>PIM</w:t>
            </w:r>
            <w:r>
              <w:t>)</w:t>
            </w:r>
            <w:r w:rsidRPr="0055149C">
              <w:t xml:space="preserve">. Vi angir også analogien til </w:t>
            </w:r>
            <w:r>
              <w:t>«</w:t>
            </w:r>
            <w:r w:rsidR="00001BB3" w:rsidRPr="008672F0">
              <w:rPr>
                <w:i/>
                <w:iCs/>
              </w:rPr>
              <w:t>Direkte</w:t>
            </w:r>
            <w:r w:rsidRPr="00AB52BA">
              <w:rPr>
                <w:i/>
                <w:iCs/>
              </w:rPr>
              <w:t xml:space="preserve"> </w:t>
            </w:r>
            <w:r w:rsidR="006F28E2">
              <w:rPr>
                <w:i/>
                <w:iCs/>
              </w:rPr>
              <w:t>M</w:t>
            </w:r>
            <w:r w:rsidRPr="00AB52BA">
              <w:rPr>
                <w:i/>
                <w:iCs/>
              </w:rPr>
              <w:t>e</w:t>
            </w:r>
            <w:r w:rsidR="00001BB3">
              <w:rPr>
                <w:i/>
                <w:iCs/>
              </w:rPr>
              <w:t>tode</w:t>
            </w:r>
            <w:r>
              <w:t>» (</w:t>
            </w:r>
            <w:r w:rsidRPr="0055149C">
              <w:t>DM</w:t>
            </w:r>
            <w:r>
              <w:t>)</w:t>
            </w:r>
            <w:r w:rsidRPr="0055149C">
              <w:t xml:space="preserve"> underveis. Variablene </w:t>
            </w:r>
            <m:oMath>
              <m:sSub>
                <m:sSubPr>
                  <m:ctrlPr>
                    <w:rPr>
                      <w:rFonts w:ascii="Cambria Math" w:hAnsi="Cambria Math"/>
                      <w:i/>
                    </w:rPr>
                  </m:ctrlPr>
                </m:sSubPr>
                <m:e>
                  <m:r>
                    <w:rPr>
                      <w:rFonts w:ascii="Cambria Math" w:hAnsi="Cambria Math"/>
                    </w:rPr>
                    <m:t>K</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Pr="0055149C">
              <w:t xml:space="preserve">, </w:t>
            </w:r>
            <m:oMath>
              <m:sSub>
                <m:sSubPr>
                  <m:ctrlPr>
                    <w:rPr>
                      <w:rFonts w:ascii="Cambria Math" w:hAnsi="Cambria Math"/>
                      <w:i/>
                    </w:rPr>
                  </m:ctrlPr>
                </m:sSubPr>
                <m:e>
                  <m:r>
                    <w:rPr>
                      <w:rFonts w:ascii="Cambria Math" w:hAnsi="Cambria Math"/>
                    </w:rPr>
                    <m:t>D</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RK</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PG</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KT</m:t>
                  </m:r>
                </m:e>
                <m:sub>
                  <m:r>
                    <w:rPr>
                      <w:rFonts w:ascii="Cambria Math" w:hAnsi="Cambria Math"/>
                    </w:rPr>
                    <m:t>i,t</m:t>
                  </m:r>
                </m:sub>
              </m:sSub>
            </m:oMath>
            <w:r w:rsidRPr="0055149C">
              <w:t xml:space="preserve"> </w:t>
            </w:r>
            <w:r w:rsidRPr="00B441EC">
              <w:t xml:space="preserve">og </w:t>
            </w:r>
            <m:oMath>
              <m:sSub>
                <m:sSubPr>
                  <m:ctrlPr>
                    <w:rPr>
                      <w:rFonts w:ascii="Cambria Math" w:hAnsi="Cambria Math"/>
                      <w:i/>
                    </w:rPr>
                  </m:ctrlPr>
                </m:sSubPr>
                <m:e>
                  <m:r>
                    <w:rPr>
                      <w:rFonts w:ascii="Cambria Math" w:hAnsi="Cambria Math"/>
                    </w:rPr>
                    <m:t>KTUP</m:t>
                  </m:r>
                </m:e>
                <m:sub>
                  <m:r>
                    <w:rPr>
                      <w:rFonts w:ascii="Cambria Math" w:hAnsi="Cambria Math"/>
                    </w:rPr>
                    <m:t>i,t</m:t>
                  </m:r>
                </m:sub>
              </m:sSub>
            </m:oMath>
            <w:r w:rsidRPr="00B441EC">
              <w:t xml:space="preserve"> angir </w:t>
            </w:r>
            <w:r w:rsidRPr="0055149C">
              <w:t>henholdsvis fast realkapitalbeholdning</w:t>
            </w:r>
            <w:r w:rsidR="001D5AE4">
              <w:t>,</w:t>
            </w:r>
            <w:r w:rsidRPr="0055149C">
              <w:t xml:space="preserve"> bruttoinvestering</w:t>
            </w:r>
            <w:r>
              <w:t>er</w:t>
            </w:r>
            <w:r w:rsidRPr="0055149C">
              <w:t xml:space="preserve"> i fast realkapital, kapitaldepresieringer, rentekostnader, prisgevinster på kapitalen, samlede kapitaltjenester </w:t>
            </w:r>
            <w:r w:rsidRPr="00B441EC">
              <w:t xml:space="preserve">og kapitaltjenester utenom prisgevinsten på kapitalen for komponent </w:t>
            </w:r>
            <m:oMath>
              <m:r>
                <w:rPr>
                  <w:rFonts w:ascii="Cambria Math" w:hAnsi="Cambria Math"/>
                </w:rPr>
                <m:t>i</m:t>
              </m:r>
            </m:oMath>
            <w:r w:rsidRPr="00B441EC">
              <w:t xml:space="preserve"> i form av kapitalform eller </w:t>
            </w:r>
            <w:r w:rsidR="005A1099">
              <w:t xml:space="preserve">funksjon </w:t>
            </w:r>
            <w:r w:rsidR="00394720">
              <w:t xml:space="preserve">for en gitt </w:t>
            </w:r>
            <w:r w:rsidR="009C7433">
              <w:t>region</w:t>
            </w:r>
            <w:r w:rsidR="00394720">
              <w:t xml:space="preserve"> </w:t>
            </w:r>
            <w:r w:rsidR="005A1099">
              <w:t>i</w:t>
            </w:r>
            <w:r w:rsidRPr="00B441EC">
              <w:t xml:space="preserve"> år </w:t>
            </w:r>
            <m:oMath>
              <m:r>
                <w:rPr>
                  <w:rFonts w:ascii="Cambria Math" w:hAnsi="Cambria Math"/>
                </w:rPr>
                <m:t>t</m:t>
              </m:r>
            </m:oMath>
            <w:r w:rsidRPr="00B441EC">
              <w:t xml:space="preserve">. Videre beskriver parameterne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t xml:space="preserve"> </w:t>
            </w:r>
            <w:r w:rsidRPr="00B441EC">
              <w:t xml:space="preserve">og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a</m:t>
                  </m:r>
                </m:sup>
              </m:sSubSup>
            </m:oMath>
            <w:r w:rsidRPr="00B441EC">
              <w:t xml:space="preserve"> henholdsvis </w:t>
            </w:r>
            <w:r>
              <w:t xml:space="preserve">volumbasert </w:t>
            </w:r>
            <w:r w:rsidRPr="00B441EC">
              <w:t>depresieringsrat</w:t>
            </w:r>
            <w:r>
              <w:t>e</w:t>
            </w:r>
            <w:r w:rsidRPr="00B441EC">
              <w:t xml:space="preserve"> </w:t>
            </w:r>
            <w:r w:rsidR="0022742D">
              <w:t xml:space="preserve">og </w:t>
            </w:r>
            <w:r w:rsidRPr="00B441EC">
              <w:t>gjennoms</w:t>
            </w:r>
            <w:r w:rsidRPr="0055149C">
              <w:t xml:space="preserve">nittlig prisvekst for </w:t>
            </w:r>
            <w:r>
              <w:t>komponent</w:t>
            </w:r>
            <w:r w:rsidRPr="0055149C">
              <w:t xml:space="preserve"> </w:t>
            </w:r>
            <m:oMath>
              <m:r>
                <w:rPr>
                  <w:rFonts w:ascii="Cambria Math" w:hAnsi="Cambria Math"/>
                </w:rPr>
                <m:t>i</m:t>
              </m:r>
            </m:oMath>
            <w:r>
              <w:t xml:space="preserve">, mens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representerer den nominelle rentesatsen </w:t>
            </w:r>
            <w:r w:rsidR="00813D77">
              <w:t>i</w:t>
            </w:r>
            <w:r>
              <w:t xml:space="preserve"> år </w:t>
            </w:r>
            <m:oMath>
              <m:r>
                <w:rPr>
                  <w:rFonts w:ascii="Cambria Math" w:hAnsi="Cambria Math"/>
                </w:rPr>
                <m:t>t</m:t>
              </m:r>
            </m:oMath>
            <w:r w:rsidR="00813D77">
              <w:t>. A</w:t>
            </w:r>
            <w:r>
              <w:t xml:space="preserve">vhengig av valg av rente kan </w:t>
            </w:r>
            <w:r w:rsidR="00813D77">
              <w:t xml:space="preserve">rentesatsen </w:t>
            </w:r>
            <w:r>
              <w:t xml:space="preserve">være tidsavhengig eller tidsinvariant. </w:t>
            </w:r>
            <w:r w:rsidRPr="0055149C">
              <w:t>Kapitalmassen kan ikke depresieres</w:t>
            </w:r>
            <w:r>
              <w:t xml:space="preserve"> lenger ned enn</w:t>
            </w:r>
            <w:r w:rsidRPr="0055149C">
              <w:t xml:space="preserve"> til </w:t>
            </w:r>
            <w:r>
              <w:t>n</w:t>
            </w:r>
            <w:r w:rsidRPr="0055149C">
              <w:t>ull.</w:t>
            </w:r>
            <w:r>
              <w:t xml:space="preserve"> Ved PIM har vi:</w:t>
            </w:r>
          </w:p>
          <w:p w14:paraId="765F2E51" w14:textId="77777777" w:rsidR="00430C13" w:rsidRPr="0055149C" w:rsidRDefault="00430C13" w:rsidP="009238AE">
            <w:pPr>
              <w:pStyle w:val="KeyMsgBoxText"/>
              <w:keepNext/>
              <w:rPr>
                <w:i/>
                <w:iCs/>
              </w:rPr>
            </w:pPr>
            <w:r w:rsidRPr="0055149C">
              <w:rPr>
                <w:i/>
                <w:iCs/>
              </w:rPr>
              <w:t>Fast realkapitalbeholdning:</w:t>
            </w:r>
          </w:p>
          <w:p w14:paraId="3C80D01D"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k</m:t>
                        </m:r>
                      </m:sub>
                    </m:sSub>
                  </m:e>
                </m:d>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e>
                  <m:sup>
                    <m:r>
                      <w:rPr>
                        <w:rFonts w:ascii="Cambria Math" w:hAnsi="Cambria Math"/>
                      </w:rPr>
                      <m:t>0.5</m:t>
                    </m:r>
                  </m:sup>
                </m:sSup>
                <m:sSub>
                  <m:sSubPr>
                    <m:ctrlPr>
                      <w:rPr>
                        <w:rFonts w:ascii="Cambria Math" w:hAnsi="Cambria Math"/>
                        <w:i/>
                      </w:rPr>
                    </m:ctrlPr>
                  </m:sSubPr>
                  <m:e>
                    <m:r>
                      <w:rPr>
                        <w:rFonts w:ascii="Cambria Math" w:hAnsi="Cambria Math"/>
                      </w:rPr>
                      <m:t>I</m:t>
                    </m:r>
                  </m:e>
                  <m:sub>
                    <m:r>
                      <w:rPr>
                        <w:rFonts w:ascii="Cambria Math" w:hAnsi="Cambria Math"/>
                      </w:rPr>
                      <m:t>i</m:t>
                    </m:r>
                  </m:sub>
                </m:sSub>
              </m:oMath>
            </m:oMathPara>
          </w:p>
          <w:p w14:paraId="34BCB796" w14:textId="77777777" w:rsidR="00430C13" w:rsidRPr="0055149C" w:rsidRDefault="00430C13" w:rsidP="009238AE">
            <w:pPr>
              <w:pStyle w:val="KeyMsgBoxText"/>
              <w:keepNext/>
              <w:rPr>
                <w:i/>
                <w:iCs/>
              </w:rPr>
            </w:pPr>
            <w:r w:rsidRPr="0055149C">
              <w:rPr>
                <w:i/>
                <w:iCs/>
              </w:rPr>
              <w:t>Kapitalslit:</w:t>
            </w:r>
          </w:p>
          <w:p w14:paraId="46DBC12B"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i</m:t>
                            </m:r>
                          </m:sub>
                        </m:sSub>
                      </m:e>
                    </m:d>
                  </m:e>
                  <m:sup>
                    <m:r>
                      <w:rPr>
                        <w:rFonts w:ascii="Cambria Math" w:hAnsi="Cambria Math"/>
                      </w:rPr>
                      <m:t>0.5</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i,t</m:t>
                    </m:r>
                  </m:sub>
                </m:sSub>
              </m:oMath>
            </m:oMathPara>
          </w:p>
          <w:p w14:paraId="778E79FE" w14:textId="77777777" w:rsidR="00430C13" w:rsidRPr="0055149C" w:rsidRDefault="00430C13" w:rsidP="009238AE">
            <w:pPr>
              <w:pStyle w:val="KeyMsgBoxText"/>
              <w:keepNext/>
              <w:rPr>
                <w:i/>
                <w:iCs/>
              </w:rPr>
            </w:pPr>
            <w:r w:rsidRPr="0055149C">
              <w:rPr>
                <w:i/>
                <w:iCs/>
              </w:rPr>
              <w:t>Rentekostnader:</w:t>
            </w:r>
          </w:p>
          <w:p w14:paraId="2FEAEA47"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m:t>
                            </m:r>
                          </m:sub>
                        </m:sSub>
                      </m:e>
                    </m:d>
                  </m:e>
                  <m:sup>
                    <m:r>
                      <w:rPr>
                        <w:rFonts w:ascii="Cambria Math" w:hAnsi="Cambria Math"/>
                      </w:rPr>
                      <m:t>0.5</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i,t</m:t>
                    </m:r>
                  </m:sub>
                </m:sSub>
              </m:oMath>
            </m:oMathPara>
          </w:p>
          <w:p w14:paraId="622A79F0" w14:textId="77777777" w:rsidR="00430C13" w:rsidRPr="0055149C" w:rsidRDefault="00430C13" w:rsidP="009238AE">
            <w:pPr>
              <w:pStyle w:val="KeyMsgBoxText"/>
              <w:keepNext/>
              <w:rPr>
                <w:i/>
                <w:iCs/>
              </w:rPr>
            </w:pPr>
            <w:r w:rsidRPr="0055149C">
              <w:rPr>
                <w:i/>
                <w:iCs/>
              </w:rPr>
              <w:t>Prisgevinst:</w:t>
            </w:r>
          </w:p>
          <w:p w14:paraId="1294C55B"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PG</m:t>
                    </m:r>
                  </m:e>
                  <m:sub>
                    <m:r>
                      <w:rPr>
                        <w:rFonts w:ascii="Cambria Math" w:hAnsi="Cambria Math"/>
                      </w:rPr>
                      <m:t>i,t</m:t>
                    </m:r>
                  </m:sub>
                </m:sSub>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a</m:t>
                    </m:r>
                  </m:sup>
                </m:sSubSup>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a</m:t>
                            </m:r>
                          </m:sup>
                        </m:sSubSup>
                      </m:e>
                    </m:d>
                  </m:e>
                  <m:sup>
                    <m:r>
                      <w:rPr>
                        <w:rFonts w:ascii="Cambria Math" w:hAnsi="Cambria Math"/>
                      </w:rPr>
                      <m:t>0.5</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i,t</m:t>
                    </m:r>
                  </m:sub>
                </m:sSub>
              </m:oMath>
            </m:oMathPara>
          </w:p>
          <w:p w14:paraId="7063ED60" w14:textId="77777777" w:rsidR="00430C13" w:rsidRPr="0055149C" w:rsidRDefault="00430C13" w:rsidP="009238AE">
            <w:pPr>
              <w:pStyle w:val="KeyMsgBoxText"/>
              <w:keepNext/>
              <w:rPr>
                <w:i/>
                <w:iCs/>
              </w:rPr>
            </w:pPr>
            <w:r w:rsidRPr="0055149C">
              <w:rPr>
                <w:i/>
                <w:iCs/>
              </w:rPr>
              <w:t>Kapitaltjenester:</w:t>
            </w:r>
          </w:p>
          <w:p w14:paraId="44967A5B"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KT</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PG</m:t>
                    </m:r>
                  </m:e>
                  <m:sub>
                    <m:r>
                      <w:rPr>
                        <w:rFonts w:ascii="Cambria Math" w:hAnsi="Cambria Math"/>
                      </w:rPr>
                      <m:t>i,t</m:t>
                    </m:r>
                  </m:sub>
                </m:sSub>
              </m:oMath>
            </m:oMathPara>
          </w:p>
          <w:p w14:paraId="5BE0BFE9" w14:textId="77777777" w:rsidR="00430C13" w:rsidRPr="00B441EC" w:rsidRDefault="00430C13" w:rsidP="009238AE">
            <w:pPr>
              <w:pStyle w:val="KeyMsgBoxText"/>
              <w:keepNext/>
              <w:rPr>
                <w:i/>
                <w:iCs/>
              </w:rPr>
            </w:pPr>
            <w:r>
              <w:rPr>
                <w:i/>
                <w:iCs/>
              </w:rPr>
              <w:t>Kapitaltjenester utenom prisutvikling</w:t>
            </w:r>
            <w:r w:rsidRPr="0055149C">
              <w:rPr>
                <w:i/>
                <w:iCs/>
              </w:rPr>
              <w:t>:</w:t>
            </w:r>
          </w:p>
          <w:p w14:paraId="582F3917" w14:textId="77777777" w:rsidR="00430C13" w:rsidRDefault="00000000" w:rsidP="009238AE">
            <w:pPr>
              <w:pStyle w:val="KeyMsgBoxText"/>
              <w:keepNext/>
            </w:pPr>
            <m:oMathPara>
              <m:oMath>
                <m:sSub>
                  <m:sSubPr>
                    <m:ctrlPr>
                      <w:rPr>
                        <w:rFonts w:ascii="Cambria Math" w:hAnsi="Cambria Math"/>
                        <w:i/>
                      </w:rPr>
                    </m:ctrlPr>
                  </m:sSubPr>
                  <m:e>
                    <m:r>
                      <w:rPr>
                        <w:rFonts w:ascii="Cambria Math" w:hAnsi="Cambria Math"/>
                      </w:rPr>
                      <m:t>KTUP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RK</m:t>
                    </m:r>
                  </m:e>
                  <m:sub>
                    <m:r>
                      <w:rPr>
                        <w:rFonts w:ascii="Cambria Math" w:hAnsi="Cambria Math"/>
                      </w:rPr>
                      <m:t>i,t</m:t>
                    </m:r>
                  </m:sub>
                </m:sSub>
              </m:oMath>
            </m:oMathPara>
          </w:p>
          <w:p w14:paraId="26AE1354" w14:textId="238FBFC9" w:rsidR="00430C13" w:rsidRDefault="00430C13" w:rsidP="009238AE">
            <w:pPr>
              <w:pStyle w:val="KeyMsgBoxText"/>
              <w:keepNext/>
            </w:pPr>
            <w:r>
              <w:t>Den f</w:t>
            </w:r>
            <w:r w:rsidRPr="006D7EE4">
              <w:t>ast</w:t>
            </w:r>
            <w:r>
              <w:t>e</w:t>
            </w:r>
            <w:r w:rsidRPr="006D7EE4">
              <w:t xml:space="preserve"> realkapitalbeholdningen</w:t>
            </w:r>
            <w:r>
              <w:t xml:space="preserve"> og kapitalslitet kan leses rett ut fra regnskapet fra DM. Videre benyttes de samme formlene for prisgevinsten og kapitaltjenester med og uten prisutvikling for DM som for PIM. For rentekostnadene kan </w:t>
            </w:r>
            <w:r w:rsidR="002503F5">
              <w:t>renten</w:t>
            </w:r>
            <w:r>
              <w:t xml:space="preserve"> på gjelden i prinsippet avledes direkte fra årsregnskapet, men ikke </w:t>
            </w:r>
            <w:r w:rsidR="002503F5">
              <w:t>renten</w:t>
            </w:r>
            <w:r>
              <w:t xml:space="preserve"> på egenkapitalen. Vi velger imidlertid å bruke samme </w:t>
            </w:r>
            <w:r w:rsidR="00544BFC">
              <w:t>rente</w:t>
            </w:r>
            <w:r w:rsidR="00EB31F5">
              <w:t xml:space="preserve"> </w:t>
            </w:r>
            <w:r>
              <w:t xml:space="preserve">for </w:t>
            </w:r>
            <w:r w:rsidR="0020704C">
              <w:t>hele realkapitalbeholdningen</w:t>
            </w:r>
            <w:r>
              <w:t xml:space="preserve"> i dette tilfellet. Vi benytter oss av en tidsvarierende og en tidsinvariant rentesats.</w:t>
            </w:r>
          </w:p>
          <w:p w14:paraId="7F284D89" w14:textId="075744CD" w:rsidR="00430C13" w:rsidRPr="0055149C" w:rsidRDefault="00430C13" w:rsidP="009238AE">
            <w:pPr>
              <w:pStyle w:val="KeyMsgBoxText"/>
              <w:keepNext/>
            </w:pPr>
            <w:r w:rsidRPr="0055149C">
              <w:t xml:space="preserve">Samtlige variabler deflateres i alle likningene, der beholdningsstørrelsene deflateres med deflatorer ved årsskiftet og strømningsstørrelsen deflateres med deflatorer ved midten av året. Vi skiller ikke mellom generell prisvekst og kapitalspesifikk prisvekst. Resultatene omregnes </w:t>
            </w:r>
            <w:r w:rsidR="00481CAF">
              <w:t xml:space="preserve">til </w:t>
            </w:r>
            <w:r w:rsidRPr="0055149C">
              <w:t>2022-priser før presentasjon av resultatene.</w:t>
            </w:r>
          </w:p>
        </w:tc>
      </w:tr>
    </w:tbl>
    <w:p w14:paraId="7ADC22B8" w14:textId="77777777" w:rsidR="00430C13" w:rsidRPr="00430C13" w:rsidRDefault="00430C13" w:rsidP="00430C13">
      <w:pPr>
        <w:pStyle w:val="Source"/>
        <w:rPr>
          <w:lang w:eastAsia="nb-NO"/>
        </w:rPr>
      </w:pPr>
      <w:r w:rsidRPr="0055149C">
        <w:rPr>
          <w:lang w:eastAsia="nb-NO"/>
        </w:rPr>
        <w:t>Kilde: Vista Analyse</w:t>
      </w:r>
    </w:p>
    <w:p w14:paraId="26416030" w14:textId="4CF67A37" w:rsidR="00E768E3" w:rsidRPr="0055149C" w:rsidRDefault="00E768E3" w:rsidP="00C90ED4">
      <w:pPr>
        <w:rPr>
          <w:lang w:eastAsia="nb-NO"/>
        </w:rPr>
      </w:pPr>
      <w:r w:rsidRPr="0055149C">
        <w:rPr>
          <w:lang w:eastAsia="nb-NO"/>
        </w:rPr>
        <w:lastRenderedPageBreak/>
        <w:t>Vi benytter to varianter av bruttoinvesteringsutgifter som mål for realutgiftene –</w:t>
      </w:r>
      <w:r w:rsidR="00930324" w:rsidRPr="0055149C">
        <w:rPr>
          <w:lang w:eastAsia="nb-NO"/>
        </w:rPr>
        <w:t xml:space="preserve"> </w:t>
      </w:r>
      <w:r w:rsidRPr="0055149C">
        <w:rPr>
          <w:lang w:eastAsia="nb-NO"/>
        </w:rPr>
        <w:t xml:space="preserve">bruttoinvesteringsutgifter </w:t>
      </w:r>
      <w:r w:rsidR="00DA0E24" w:rsidRPr="0055149C">
        <w:rPr>
          <w:lang w:eastAsia="nb-NO"/>
        </w:rPr>
        <w:t xml:space="preserve">(M1) </w:t>
      </w:r>
      <w:r w:rsidRPr="0055149C">
        <w:rPr>
          <w:lang w:eastAsia="nb-NO"/>
        </w:rPr>
        <w:t>og bruttoinvesteringsstrøm</w:t>
      </w:r>
      <w:r w:rsidR="00F11885" w:rsidRPr="0055149C">
        <w:rPr>
          <w:lang w:eastAsia="nb-NO"/>
        </w:rPr>
        <w:t>mer</w:t>
      </w:r>
      <w:r w:rsidR="00DA0E24" w:rsidRPr="0055149C">
        <w:rPr>
          <w:lang w:eastAsia="nb-NO"/>
        </w:rPr>
        <w:t xml:space="preserve"> (M2)</w:t>
      </w:r>
      <w:r w:rsidRPr="0055149C">
        <w:rPr>
          <w:lang w:eastAsia="nb-NO"/>
        </w:rPr>
        <w:t xml:space="preserve">. </w:t>
      </w:r>
      <w:r w:rsidR="00F11885" w:rsidRPr="0055149C">
        <w:rPr>
          <w:lang w:eastAsia="nb-NO"/>
        </w:rPr>
        <w:t xml:space="preserve">Forstavelsen </w:t>
      </w:r>
      <w:r w:rsidR="0071176E">
        <w:rPr>
          <w:lang w:eastAsia="nb-NO"/>
        </w:rPr>
        <w:t>«</w:t>
      </w:r>
      <w:r w:rsidR="00F11885" w:rsidRPr="0039459A">
        <w:t>brutto</w:t>
      </w:r>
      <w:r w:rsidR="0071176E">
        <w:t>»</w:t>
      </w:r>
      <w:r w:rsidR="00F11885" w:rsidRPr="004C35BB">
        <w:t xml:space="preserve"> reflekterer i de</w:t>
      </w:r>
      <w:r w:rsidR="00F11885" w:rsidRPr="0055149C">
        <w:rPr>
          <w:lang w:eastAsia="nb-NO"/>
        </w:rPr>
        <w:t xml:space="preserve">tte tilfellet at det dreier </w:t>
      </w:r>
      <w:r w:rsidR="004C35BB">
        <w:rPr>
          <w:lang w:eastAsia="nb-NO"/>
        </w:rPr>
        <w:t xml:space="preserve">seg </w:t>
      </w:r>
      <w:r w:rsidR="00F11885" w:rsidRPr="0055149C">
        <w:rPr>
          <w:lang w:eastAsia="nb-NO"/>
        </w:rPr>
        <w:t>om investeringer før depresieringer er trukket fra. Bruttoinvesterings</w:t>
      </w:r>
      <w:r w:rsidR="00961140">
        <w:rPr>
          <w:lang w:eastAsia="nb-NO"/>
        </w:rPr>
        <w:softHyphen/>
      </w:r>
      <w:r w:rsidR="00F11885" w:rsidRPr="0055149C">
        <w:rPr>
          <w:lang w:eastAsia="nb-NO"/>
        </w:rPr>
        <w:t xml:space="preserve">utgifter </w:t>
      </w:r>
      <w:r w:rsidR="00CD7439" w:rsidRPr="0055149C">
        <w:rPr>
          <w:lang w:eastAsia="nb-NO"/>
        </w:rPr>
        <w:t xml:space="preserve">reflekterer positive nye investeringer og reinvesteringer i fast realkapital, men neglisjerer salg av realkapitalen. </w:t>
      </w:r>
      <w:r w:rsidR="00C11C6A" w:rsidRPr="0055149C">
        <w:rPr>
          <w:lang w:eastAsia="nb-NO"/>
        </w:rPr>
        <w:t xml:space="preserve">Denne variabelen oppgis over funksjoner i </w:t>
      </w:r>
      <w:r w:rsidR="008E7E43">
        <w:rPr>
          <w:lang w:eastAsia="nb-NO"/>
        </w:rPr>
        <w:t>KOSTRA</w:t>
      </w:r>
      <w:r w:rsidR="00C11C6A" w:rsidRPr="0055149C">
        <w:rPr>
          <w:lang w:eastAsia="nb-NO"/>
        </w:rPr>
        <w:t>.</w:t>
      </w:r>
      <w:r w:rsidR="00F11885" w:rsidRPr="0055149C">
        <w:rPr>
          <w:lang w:eastAsia="nb-NO"/>
        </w:rPr>
        <w:t xml:space="preserve"> </w:t>
      </w:r>
      <w:r w:rsidR="00930324" w:rsidRPr="0055149C">
        <w:rPr>
          <w:lang w:eastAsia="nb-NO"/>
        </w:rPr>
        <w:t>B</w:t>
      </w:r>
      <w:r w:rsidR="00CD7439" w:rsidRPr="0055149C">
        <w:rPr>
          <w:lang w:eastAsia="nb-NO"/>
        </w:rPr>
        <w:t>ruttoinvesteringsstrømme</w:t>
      </w:r>
      <w:r w:rsidR="00F11885" w:rsidRPr="0055149C">
        <w:rPr>
          <w:lang w:eastAsia="nb-NO"/>
        </w:rPr>
        <w:t>r</w:t>
      </w:r>
      <w:r w:rsidR="00CD7439" w:rsidRPr="0055149C">
        <w:rPr>
          <w:lang w:eastAsia="nb-NO"/>
        </w:rPr>
        <w:t xml:space="preserve"> </w:t>
      </w:r>
      <w:r w:rsidR="00F11885" w:rsidRPr="0055149C">
        <w:rPr>
          <w:lang w:eastAsia="nb-NO"/>
        </w:rPr>
        <w:t>korrigerer derimot for salg av realkapitalen. Bruttoinvesteringsstrømmer omtales vanligvis bare som bruttoinvesteringer, men vi legger til endelsen «strømmer» for å redusere forvirring rundt begrepet og klargjøre skillet overfor bruttodrift</w:t>
      </w:r>
      <w:r w:rsidR="007E3F75">
        <w:rPr>
          <w:lang w:eastAsia="nb-NO"/>
        </w:rPr>
        <w:t>s</w:t>
      </w:r>
      <w:r w:rsidR="00F11885" w:rsidRPr="0055149C">
        <w:rPr>
          <w:lang w:eastAsia="nb-NO"/>
        </w:rPr>
        <w:t>utgifter.</w:t>
      </w:r>
    </w:p>
    <w:p w14:paraId="2A16B5F2" w14:textId="6A3F07E0" w:rsidR="00F11885" w:rsidRPr="0055149C" w:rsidRDefault="00F11885" w:rsidP="00C90ED4">
      <w:pPr>
        <w:rPr>
          <w:lang w:eastAsia="nb-NO"/>
        </w:rPr>
      </w:pPr>
      <w:r w:rsidRPr="0055149C">
        <w:rPr>
          <w:lang w:eastAsia="nb-NO"/>
        </w:rPr>
        <w:t xml:space="preserve">Bruttoinvesteringsvariablene skiller seg fra de øvrige anvendte målene for kapitalkostnader og </w:t>
      </w:r>
      <w:r w:rsidR="00961140">
        <w:rPr>
          <w:lang w:eastAsia="nb-NO"/>
        </w:rPr>
        <w:br/>
        <w:t>-</w:t>
      </w:r>
      <w:r w:rsidRPr="0055149C">
        <w:rPr>
          <w:lang w:eastAsia="nb-NO"/>
        </w:rPr>
        <w:t>utgifter ved at de er uavhengige av hvordan realkapitalbeholdningen estimeres. En</w:t>
      </w:r>
      <w:r w:rsidR="00185B78" w:rsidRPr="0055149C">
        <w:rPr>
          <w:lang w:eastAsia="nb-NO"/>
        </w:rPr>
        <w:t xml:space="preserve"> annen</w:t>
      </w:r>
      <w:r w:rsidRPr="0055149C">
        <w:rPr>
          <w:lang w:eastAsia="nb-NO"/>
        </w:rPr>
        <w:t xml:space="preserve"> forskjell er at de </w:t>
      </w:r>
      <w:r w:rsidR="008D580C">
        <w:rPr>
          <w:lang w:eastAsia="nb-NO"/>
        </w:rPr>
        <w:t xml:space="preserve">strengt tatt </w:t>
      </w:r>
      <w:r w:rsidRPr="0055149C">
        <w:rPr>
          <w:lang w:eastAsia="nb-NO"/>
        </w:rPr>
        <w:t>er utgiftsmål og ikke kostnadsmål</w:t>
      </w:r>
      <w:r w:rsidR="008D580C">
        <w:rPr>
          <w:lang w:eastAsia="nb-NO"/>
        </w:rPr>
        <w:t xml:space="preserve">, selv om vi </w:t>
      </w:r>
      <w:r w:rsidR="00961140">
        <w:rPr>
          <w:lang w:eastAsia="nb-NO"/>
        </w:rPr>
        <w:t xml:space="preserve">for </w:t>
      </w:r>
      <w:r w:rsidR="008D580C">
        <w:rPr>
          <w:lang w:eastAsia="nb-NO"/>
        </w:rPr>
        <w:t>enkelhets skyld i stor grad vil omtale samtlige mål som kapitalkostnadsmål</w:t>
      </w:r>
      <w:r w:rsidRPr="0055149C">
        <w:rPr>
          <w:lang w:eastAsia="nb-NO"/>
        </w:rPr>
        <w:t>.</w:t>
      </w:r>
    </w:p>
    <w:p w14:paraId="0323A1AD" w14:textId="7546B7CD" w:rsidR="00AA0E5A" w:rsidRDefault="00AA0E5A" w:rsidP="00AA0E5A">
      <w:pPr>
        <w:rPr>
          <w:lang w:eastAsia="nb-NO"/>
        </w:rPr>
      </w:pPr>
      <w:r>
        <w:rPr>
          <w:lang w:eastAsia="nb-NO"/>
        </w:rPr>
        <w:t>Kapitalslitet representeres som kapitalkostnadsmål ved M3 til M8, der målingen i M3 skjer ved DM, målingen i M4 skjer ved PIM og disaggregerte egenskaper over kapitalarter og M5 til M8 skjer ved PIM og kombinasjoner av disaggregerte og aggregerte kapitaldeflatorer og depresieringsrater. Ideelt sett burde kapitalestimeringen vært gjennomført på disaggregerte kapitalarter og tjenestefunksjoner samtidig. Datagrunnlaget l</w:t>
      </w:r>
      <w:r w:rsidR="00F8060F">
        <w:rPr>
          <w:lang w:eastAsia="nb-NO"/>
        </w:rPr>
        <w:t>e</w:t>
      </w:r>
      <w:r>
        <w:rPr>
          <w:lang w:eastAsia="nb-NO"/>
        </w:rPr>
        <w:t>gger imidlertid ikke til rette for en slik disaggregering. Eventuelle forsøk på å anslå fordelingen av kapitalarter over tjenestefunksjoner ville trolig ført til et delvis syntetisk datasett og neppe tilfredsstilt det kommunale inntektssystemets krav til nøyaktighet. Vi refererer til seksjon</w:t>
      </w:r>
      <w:r w:rsidR="005038F6">
        <w:rPr>
          <w:lang w:eastAsia="nb-NO"/>
        </w:rPr>
        <w:t xml:space="preserve"> </w:t>
      </w:r>
      <w:r>
        <w:rPr>
          <w:lang w:eastAsia="nb-NO"/>
        </w:rPr>
        <w:fldChar w:fldCharType="begin"/>
      </w:r>
      <w:r>
        <w:rPr>
          <w:lang w:eastAsia="nb-NO"/>
        </w:rPr>
        <w:instrText xml:space="preserve"> REF _Ref178638784 \r \h </w:instrText>
      </w:r>
      <w:r>
        <w:rPr>
          <w:lang w:eastAsia="nb-NO"/>
        </w:rPr>
      </w:r>
      <w:r>
        <w:rPr>
          <w:lang w:eastAsia="nb-NO"/>
        </w:rPr>
        <w:fldChar w:fldCharType="separate"/>
      </w:r>
      <w:r w:rsidR="009B1DA8">
        <w:rPr>
          <w:lang w:eastAsia="nb-NO"/>
        </w:rPr>
        <w:t>2.1.3</w:t>
      </w:r>
      <w:r>
        <w:rPr>
          <w:lang w:eastAsia="nb-NO"/>
        </w:rPr>
        <w:fldChar w:fldCharType="end"/>
      </w:r>
      <w:r>
        <w:rPr>
          <w:lang w:eastAsia="nb-NO"/>
        </w:rPr>
        <w:t xml:space="preserve"> for diskusjoner om styrker og </w:t>
      </w:r>
      <w:r w:rsidR="00F8060F">
        <w:rPr>
          <w:lang w:eastAsia="nb-NO"/>
        </w:rPr>
        <w:t>svakheter</w:t>
      </w:r>
      <w:r>
        <w:rPr>
          <w:lang w:eastAsia="nb-NO"/>
        </w:rPr>
        <w:t xml:space="preserve"> ved PIM og D</w:t>
      </w:r>
      <w:r w:rsidR="005038F6">
        <w:rPr>
          <w:lang w:eastAsia="nb-NO"/>
        </w:rPr>
        <w:t>M</w:t>
      </w:r>
      <w:r>
        <w:rPr>
          <w:lang w:eastAsia="nb-NO"/>
        </w:rPr>
        <w:t>.</w:t>
      </w:r>
    </w:p>
    <w:p w14:paraId="08FE183B" w14:textId="73B80B4B" w:rsidR="00AA0E5A" w:rsidRDefault="00AA0E5A" w:rsidP="00AA0E5A">
      <w:pPr>
        <w:rPr>
          <w:lang w:eastAsia="nb-NO"/>
        </w:rPr>
      </w:pPr>
      <w:r>
        <w:rPr>
          <w:lang w:eastAsia="nb-NO"/>
        </w:rPr>
        <w:t>Vekslingen mellom disaggregerte og aggregerte deflatorer og depresieringsrater kan ses på som robusthetsjekker på hvordan målefeil i kapitaldeflatorene og depresieringsratene slår ut på kapitalkostnadene. I tillegg har vi undersøkt utslaget av feilvurderinger i nivået på prisveksten på kapitalen og depresieringsratene</w:t>
      </w:r>
      <w:r w:rsidR="0070610D">
        <w:rPr>
          <w:lang w:eastAsia="nb-NO"/>
        </w:rPr>
        <w:t>. Målefeilene er vurdert</w:t>
      </w:r>
      <w:r>
        <w:rPr>
          <w:lang w:eastAsia="nb-NO"/>
        </w:rPr>
        <w:t xml:space="preserve"> ved å ta for oss hvilke utslag 20 prosent høyere eller lavere kapitalprisvekt eller depresieringsrater </w:t>
      </w:r>
      <w:r w:rsidR="00E375A6">
        <w:rPr>
          <w:lang w:eastAsia="nb-NO"/>
        </w:rPr>
        <w:t xml:space="preserve">gir seg </w:t>
      </w:r>
      <w:r>
        <w:rPr>
          <w:lang w:eastAsia="nb-NO"/>
        </w:rPr>
        <w:t>i kapitalslitet for PIM estimert med disaggregerte kapitalegenskaper basert på både kapitalarter og tjenestefunksjoner.</w:t>
      </w:r>
    </w:p>
    <w:p w14:paraId="06B70FD1" w14:textId="2E487CC6" w:rsidR="00112219" w:rsidRDefault="00AA0E5A" w:rsidP="00112219">
      <w:pPr>
        <w:rPr>
          <w:lang w:eastAsia="nb-NO"/>
        </w:rPr>
      </w:pPr>
      <w:r>
        <w:rPr>
          <w:lang w:eastAsia="nb-NO"/>
        </w:rPr>
        <w:t xml:space="preserve">Fra et prinsipielt ståsted er det ikke noen spesiell grunn til å forskjellsbehandle kapitalkostnader og rentekostnader. </w:t>
      </w:r>
      <w:r w:rsidR="00B64154">
        <w:t>I våre empiriske analyser tilnærmer vi oss rentekostnadene på to måter. I den ene varianten operer</w:t>
      </w:r>
      <w:r w:rsidR="008C2B6B">
        <w:t>er</w:t>
      </w:r>
      <w:r w:rsidR="00B64154">
        <w:t xml:space="preserve"> vi med en fast rente. </w:t>
      </w:r>
      <w:r w:rsidR="00216B37">
        <w:t xml:space="preserve">Denne er </w:t>
      </w:r>
      <w:r w:rsidR="00B64154">
        <w:t>kalkulasjons</w:t>
      </w:r>
      <w:r w:rsidR="002503F5">
        <w:t>renten</w:t>
      </w:r>
      <w:r w:rsidR="00B64154">
        <w:t xml:space="preserve"> på fire prosent anbefalt av Finansdepartementet (2021) for investeringer med et tidsperspektiv på opptil 40 år. Omregnet til nominelle termer basert på inflasjonsmålet på to prosent, som Norges Bank styrer rentesettingen etter (Finansdepartementet 2018), tilsvarer dette en nominell rente på 6,08 prosent. I den andre varianten operer</w:t>
      </w:r>
      <w:r w:rsidR="008C2B6B">
        <w:t>er</w:t>
      </w:r>
      <w:r w:rsidR="00B64154">
        <w:t xml:space="preserve"> vi med løpende rente. I dette tilfellet lar vi </w:t>
      </w:r>
      <w:r w:rsidR="00112219">
        <w:t>den kommunale kalkyle</w:t>
      </w:r>
      <w:r w:rsidR="002503F5">
        <w:t>renten</w:t>
      </w:r>
      <w:r w:rsidR="00112219">
        <w:t xml:space="preserve"> for selvkosttjenester utgjøre </w:t>
      </w:r>
      <w:r w:rsidR="00112219" w:rsidRPr="00112219">
        <w:t>rentefoten</w:t>
      </w:r>
      <w:r w:rsidR="00B64154" w:rsidRPr="00112219">
        <w:t xml:space="preserve"> </w:t>
      </w:r>
      <w:r w:rsidR="00112219" w:rsidRPr="00112219">
        <w:rPr>
          <w:lang w:eastAsia="nb-NO"/>
        </w:rPr>
        <w:t xml:space="preserve">(Kommunal- og moderniseringsdepartementet </w:t>
      </w:r>
      <w:r w:rsidR="00112219" w:rsidRPr="00112219">
        <w:rPr>
          <w:color w:val="auto"/>
        </w:rPr>
        <w:t>2019a)</w:t>
      </w:r>
      <w:r w:rsidR="00B64154" w:rsidRPr="00112219">
        <w:t xml:space="preserve"> og legger til en risikopremie på 1,5 prosent i tråd med vurderingene til </w:t>
      </w:r>
      <w:r w:rsidR="00B64154" w:rsidRPr="00112219">
        <w:rPr>
          <w:lang w:eastAsia="nb-NO"/>
        </w:rPr>
        <w:t>Hagen-utvalget (NOU 2012:16).</w:t>
      </w:r>
      <w:r w:rsidR="00112219" w:rsidRPr="00112219">
        <w:rPr>
          <w:lang w:eastAsia="nb-NO"/>
        </w:rPr>
        <w:t xml:space="preserve"> Denne </w:t>
      </w:r>
      <w:r w:rsidR="002503F5">
        <w:rPr>
          <w:lang w:eastAsia="nb-NO"/>
        </w:rPr>
        <w:t>renten</w:t>
      </w:r>
      <w:r w:rsidR="00112219" w:rsidRPr="00112219">
        <w:rPr>
          <w:lang w:eastAsia="nb-NO"/>
        </w:rPr>
        <w:t xml:space="preserve"> er nominell, som er utgangspunktet for våre statusberegninger for 2022.</w:t>
      </w:r>
      <w:r w:rsidR="00112219" w:rsidRPr="00112219">
        <w:rPr>
          <w:rStyle w:val="Fotnotereferanse"/>
          <w:lang w:eastAsia="nb-NO"/>
        </w:rPr>
        <w:footnoteReference w:id="20"/>
      </w:r>
    </w:p>
    <w:p w14:paraId="2B3BC4B3" w14:textId="2A083E0F" w:rsidR="00B64154" w:rsidRDefault="00B64154" w:rsidP="00B64154">
      <w:r>
        <w:lastRenderedPageBreak/>
        <w:t xml:space="preserve">I kapitalkostnadsmålene M9 legger vi til grunn PIM-estimatene basert på PIM over kapitalarter med disaggregerte </w:t>
      </w:r>
      <w:r w:rsidR="00D5007D">
        <w:t>kapitaldeflatorer og depresieringsrater</w:t>
      </w:r>
      <w:r>
        <w:t xml:space="preserve"> og løpende rente. Videre legger vi i M10 og M11 til grunn PIM-estimatene basert på PIM over tjenestefunksjoner med disaggregerte </w:t>
      </w:r>
      <w:r w:rsidRPr="00D5007D">
        <w:t>realkapitalparametere</w:t>
      </w:r>
      <w:r>
        <w:t xml:space="preserve"> og henholdsvis fast og løpende rente. I M12 tar vi utgangspunkt i M11, men </w:t>
      </w:r>
      <w:r w:rsidR="00AC4341">
        <w:t xml:space="preserve">i tillegg </w:t>
      </w:r>
      <w:r>
        <w:t xml:space="preserve">legger </w:t>
      </w:r>
      <w:r w:rsidR="00362F5A">
        <w:t>vi</w:t>
      </w:r>
      <w:r>
        <w:t xml:space="preserve"> til den forventede prisgevinsten på realkapitalen, utregnet som prisgevinsten over perioden innad i </w:t>
      </w:r>
      <w:r w:rsidR="009B0CAA">
        <w:t>hver enkelt tjenestefunksjon eller kapitalart</w:t>
      </w:r>
      <w:r>
        <w:t>. Dette målet er kjent som kapitaltjenester og tar i våre utregninger også implisitt hensyn til kryssvirkninger mellom prisendringer på den ene siden og rentekostnader og depresieringer på den andre siden.</w:t>
      </w:r>
    </w:p>
    <w:p w14:paraId="1E35E6BE" w14:textId="215C10C2" w:rsidR="002F7BA1" w:rsidRPr="0055149C" w:rsidRDefault="00B64154" w:rsidP="00185B78">
      <w:r>
        <w:t xml:space="preserve">I våre undersøkelser av sammenhengen mellom kapitalkostnadsmålene og kriteriene i </w:t>
      </w:r>
      <w:r w:rsidR="00DB0C9C">
        <w:rPr>
          <w:lang w:eastAsia="nb-NO"/>
        </w:rPr>
        <w:t xml:space="preserve">utgiftsutjevningen </w:t>
      </w:r>
      <w:r>
        <w:t xml:space="preserve">legger vi bruttodriftsutgifter til tre utvalgte kostnadsmål. Disse samlevariablene betegnes </w:t>
      </w:r>
      <w:r w:rsidR="00AC4341">
        <w:t xml:space="preserve">som </w:t>
      </w:r>
      <w:r>
        <w:t>M14, M15 og M16 og de løpende bruttodriftsutgiftene summeres ved henholdsvis kapitalslit målt ved DM (M3) og ved PIM på funksjonsnivå med disaggregerte realkapitalparametere med (M5) og uten løpende rente (M11). I dekomponeringen av kostnadsmålene tar vi i tillegg for oss rentekostnader med disaggregerte realkapitalparametere og løpende rente (M13), så vel som M3 og M5.</w:t>
      </w:r>
    </w:p>
    <w:p w14:paraId="42922E9A" w14:textId="4EA2FE8C" w:rsidR="002F7BA1" w:rsidRPr="0055149C" w:rsidRDefault="00845590" w:rsidP="002F7BA1">
      <w:pPr>
        <w:pStyle w:val="Overskrift3"/>
      </w:pPr>
      <w:bookmarkStart w:id="80" w:name="_Ref178425510"/>
      <w:r w:rsidRPr="0055149C">
        <w:t>Økonometrisk analyse</w:t>
      </w:r>
      <w:bookmarkEnd w:id="80"/>
    </w:p>
    <w:p w14:paraId="3FF62341" w14:textId="118DAFE7" w:rsidR="00765F95" w:rsidRDefault="00765F95" w:rsidP="002F7BA1">
      <w:pPr>
        <w:rPr>
          <w:lang w:eastAsia="nb-NO"/>
        </w:rPr>
      </w:pPr>
      <w:r>
        <w:rPr>
          <w:lang w:eastAsia="nb-NO"/>
        </w:rPr>
        <w:t xml:space="preserve">I våre undersøkelser av hvordan kapitalkostnadsmålene forholder seg til omgivelsene, kommuneøkonomien og kriteriene i </w:t>
      </w:r>
      <w:r w:rsidR="00626048">
        <w:rPr>
          <w:lang w:eastAsia="nb-NO"/>
        </w:rPr>
        <w:t xml:space="preserve">utgiftsutjevningen </w:t>
      </w:r>
      <w:r>
        <w:rPr>
          <w:lang w:eastAsia="nb-NO"/>
        </w:rPr>
        <w:t xml:space="preserve">benytter vi oss til dels av økonometrisk analyse. Mer spesifikt anvender vi ulike varianter av ordinær lineær minste kvadraters metode. Disse analysene kan ses på som mer komplekse korrelasjonsanalyser enn de ordinære parvise korrelasjonsanalysene. Estimeringen er gjennomført med </w:t>
      </w:r>
      <w:r w:rsidRPr="0055149C">
        <w:rPr>
          <w:lang w:eastAsia="nb-NO"/>
        </w:rPr>
        <w:t>heteroskedastisitetsrobuste</w:t>
      </w:r>
      <w:r>
        <w:rPr>
          <w:lang w:eastAsia="nb-NO"/>
        </w:rPr>
        <w:t xml:space="preserve"> standardavvik, som innebærer at vi tar hensyn til at standard</w:t>
      </w:r>
      <w:r w:rsidR="00FB03D9">
        <w:rPr>
          <w:lang w:eastAsia="nb-NO"/>
        </w:rPr>
        <w:t>a</w:t>
      </w:r>
      <w:r>
        <w:rPr>
          <w:lang w:eastAsia="nb-NO"/>
        </w:rPr>
        <w:t>vviket til residualen i regresjonene kan avhenge av forklaringsvariablenes størrelse.</w:t>
      </w:r>
      <w:r w:rsidR="000719B7">
        <w:rPr>
          <w:lang w:eastAsia="nb-NO"/>
        </w:rPr>
        <w:t xml:space="preserve"> </w:t>
      </w:r>
      <w:r>
        <w:rPr>
          <w:lang w:eastAsia="nb-NO"/>
        </w:rPr>
        <w:t>Vi referer</w:t>
      </w:r>
      <w:r w:rsidR="00362F5A">
        <w:rPr>
          <w:lang w:eastAsia="nb-NO"/>
        </w:rPr>
        <w:t>er</w:t>
      </w:r>
      <w:r>
        <w:rPr>
          <w:lang w:eastAsia="nb-NO"/>
        </w:rPr>
        <w:t xml:space="preserve"> til </w:t>
      </w:r>
      <w:r w:rsidR="00FB03D9" w:rsidRPr="00FB03D9">
        <w:rPr>
          <w:lang w:eastAsia="nb-NO"/>
        </w:rPr>
        <w:t>Stock</w:t>
      </w:r>
      <w:r w:rsidR="00FB03D9">
        <w:rPr>
          <w:lang w:eastAsia="nb-NO"/>
        </w:rPr>
        <w:t xml:space="preserve"> og Watson (2020) for en innføring og Greene (2018) for en videre fordypning</w:t>
      </w:r>
      <w:r>
        <w:rPr>
          <w:lang w:eastAsia="nb-NO"/>
        </w:rPr>
        <w:t>.</w:t>
      </w:r>
    </w:p>
    <w:p w14:paraId="2FC2AE33" w14:textId="26C89AE8" w:rsidR="00765F95" w:rsidRPr="0055149C" w:rsidRDefault="00B82819" w:rsidP="002F7BA1">
      <w:pPr>
        <w:rPr>
          <w:lang w:eastAsia="nb-NO"/>
        </w:rPr>
      </w:pPr>
      <w:r>
        <w:rPr>
          <w:lang w:eastAsia="nb-NO"/>
        </w:rPr>
        <w:t>I de første regresjon</w:t>
      </w:r>
      <w:r w:rsidR="003969CB">
        <w:rPr>
          <w:lang w:eastAsia="nb-NO"/>
        </w:rPr>
        <w:t>s</w:t>
      </w:r>
      <w:r>
        <w:rPr>
          <w:lang w:eastAsia="nb-NO"/>
        </w:rPr>
        <w:t xml:space="preserve">analysene tar vi for oss betinget samvariasjon mellom kapitalkostnadene og kovariatene. Disse analysene er redegjort for i </w:t>
      </w:r>
      <w:r>
        <w:rPr>
          <w:lang w:eastAsia="nb-NO"/>
        </w:rPr>
        <w:fldChar w:fldCharType="begin"/>
      </w:r>
      <w:r>
        <w:rPr>
          <w:lang w:eastAsia="nb-NO"/>
        </w:rPr>
        <w:instrText xml:space="preserve"> REF _Ref177107666 \h </w:instrText>
      </w:r>
      <w:r>
        <w:rPr>
          <w:lang w:eastAsia="nb-NO"/>
        </w:rPr>
      </w:r>
      <w:r>
        <w:rPr>
          <w:lang w:eastAsia="nb-NO"/>
        </w:rPr>
        <w:fldChar w:fldCharType="separate"/>
      </w:r>
      <w:r w:rsidR="009B1DA8" w:rsidRPr="0055149C">
        <w:t xml:space="preserve">Tekstboks </w:t>
      </w:r>
      <w:r w:rsidR="009B1DA8">
        <w:rPr>
          <w:noProof/>
        </w:rPr>
        <w:t>3</w:t>
      </w:r>
      <w:r w:rsidR="009B1DA8" w:rsidRPr="0055149C">
        <w:t>.</w:t>
      </w:r>
      <w:r w:rsidR="009B1DA8">
        <w:rPr>
          <w:noProof/>
        </w:rPr>
        <w:t>2</w:t>
      </w:r>
      <w:r>
        <w:rPr>
          <w:lang w:eastAsia="nb-NO"/>
        </w:rPr>
        <w:fldChar w:fldCharType="end"/>
      </w:r>
      <w:r>
        <w:rPr>
          <w:lang w:eastAsia="nb-NO"/>
        </w:rPr>
        <w:t>.</w:t>
      </w:r>
    </w:p>
    <w:tbl>
      <w:tblPr>
        <w:tblW w:w="8505" w:type="dxa"/>
        <w:tblLayout w:type="fixed"/>
        <w:tblCellMar>
          <w:left w:w="0" w:type="dxa"/>
          <w:right w:w="0" w:type="dxa"/>
        </w:tblCellMar>
        <w:tblLook w:val="04A0" w:firstRow="1" w:lastRow="0" w:firstColumn="1" w:lastColumn="0" w:noHBand="0" w:noVBand="1"/>
      </w:tblPr>
      <w:tblGrid>
        <w:gridCol w:w="8505"/>
      </w:tblGrid>
      <w:tr w:rsidR="002F7BA1" w:rsidRPr="0055149C" w14:paraId="211CE4AB" w14:textId="77777777" w:rsidTr="00BF4F43">
        <w:trPr>
          <w:trHeight w:val="407"/>
        </w:trPr>
        <w:tc>
          <w:tcPr>
            <w:tcW w:w="8505" w:type="dxa"/>
            <w:tcBorders>
              <w:bottom w:val="single" w:sz="2" w:space="0" w:color="162F5C" w:themeColor="accent1"/>
            </w:tcBorders>
          </w:tcPr>
          <w:p w14:paraId="37646253" w14:textId="246C123D" w:rsidR="002F7BA1" w:rsidRPr="0055149C" w:rsidRDefault="002F7BA1" w:rsidP="009238AE">
            <w:pPr>
              <w:pStyle w:val="CaptionTextframe"/>
            </w:pPr>
            <w:bookmarkStart w:id="81" w:name="_Ref177107666"/>
            <w:r w:rsidRPr="0055149C">
              <w:lastRenderedPageBreak/>
              <w:t xml:space="preserve">Tekstboks </w:t>
            </w:r>
            <w:fldSimple w:instr=" STYLEREF 1 \s ">
              <w:r w:rsidR="009B1DA8">
                <w:rPr>
                  <w:noProof/>
                </w:rPr>
                <w:t>3</w:t>
              </w:r>
            </w:fldSimple>
            <w:r w:rsidRPr="0055149C">
              <w:t>.</w:t>
            </w:r>
            <w:fldSimple w:instr=" SEQ Tekstboks \* ARABIC \s 1 ">
              <w:r w:rsidR="009B1DA8">
                <w:rPr>
                  <w:noProof/>
                </w:rPr>
                <w:t>2</w:t>
              </w:r>
            </w:fldSimple>
            <w:bookmarkEnd w:id="81"/>
            <w:r w:rsidRPr="0055149C">
              <w:tab/>
            </w:r>
            <w:r w:rsidR="0076319C" w:rsidRPr="0055149C">
              <w:t>Økonometrisk</w:t>
            </w:r>
            <w:r w:rsidRPr="0055149C">
              <w:t xml:space="preserve"> </w:t>
            </w:r>
            <w:r w:rsidR="00F520C0" w:rsidRPr="0055149C">
              <w:t>analyse av betinget samvariasjon</w:t>
            </w:r>
            <w:r w:rsidR="00B82819">
              <w:t xml:space="preserve"> mellom kapitalkostnadene og kovariatene, gitt bruttodriftsutgiftene</w:t>
            </w:r>
          </w:p>
        </w:tc>
      </w:tr>
      <w:tr w:rsidR="002F7BA1" w:rsidRPr="0055149C" w14:paraId="282E3884" w14:textId="77777777" w:rsidTr="009238AE">
        <w:tc>
          <w:tcPr>
            <w:tcW w:w="8505" w:type="dxa"/>
            <w:tcBorders>
              <w:top w:val="single" w:sz="2" w:space="0" w:color="162F5C" w:themeColor="accent1"/>
              <w:bottom w:val="single" w:sz="2" w:space="0" w:color="162F5C" w:themeColor="accent1"/>
            </w:tcBorders>
          </w:tcPr>
          <w:p w14:paraId="07F08CD7" w14:textId="219CEAFC" w:rsidR="00F759F7" w:rsidRPr="0055149C" w:rsidRDefault="00B61D76" w:rsidP="009238AE">
            <w:pPr>
              <w:pStyle w:val="KeyMsgBoxText"/>
              <w:keepNext/>
            </w:pPr>
            <w:r w:rsidRPr="0055149C">
              <w:t>Alternative mål for k</w:t>
            </w:r>
            <w:r w:rsidR="001E4BED" w:rsidRPr="0055149C">
              <w:t>apitalkostnad</w:t>
            </w:r>
            <w:r w:rsidR="0055149C">
              <w:t>er</w:t>
            </w:r>
            <w:r w:rsidRPr="0055149C">
              <w:t xml:space="preserve"> </w:t>
            </w:r>
            <w:r w:rsidR="001E4BED" w:rsidRPr="0055149C">
              <w:t xml:space="preserve">er </w:t>
            </w:r>
            <w:r w:rsidR="00227B01" w:rsidRPr="0055149C">
              <w:t xml:space="preserve">i </w:t>
            </w:r>
            <w:r w:rsidR="001E4BED" w:rsidRPr="0055149C">
              <w:t xml:space="preserve">varierende grad korrelert med bruttodriftsutgifter over tjenestesektorer. Det er derfor godt mulig at en del av korrelasjonen mellom kapitalkostnadsmål og ulike forhold i omgivelsene </w:t>
            </w:r>
            <w:r w:rsidR="00DA1E25" w:rsidRPr="0055149C">
              <w:t xml:space="preserve">også </w:t>
            </w:r>
            <w:r w:rsidR="001E4BED" w:rsidRPr="0055149C">
              <w:t xml:space="preserve">vil være reflektert i </w:t>
            </w:r>
            <w:r w:rsidR="00DA1E25" w:rsidRPr="0055149C">
              <w:t>korrelasjonen mellom bruttodriftsutgiftene og vedkommende kovariater.</w:t>
            </w:r>
            <w:r w:rsidR="0055149C">
              <w:t xml:space="preserve"> </w:t>
            </w:r>
            <w:r w:rsidR="00DA1E25" w:rsidRPr="0055149C">
              <w:t>Vi ønsker imidlertid å belyse sammenhengen mellom kapitalkostnadene og de respektive kovariatene, som ikke går gjennom bruttodrift</w:t>
            </w:r>
            <w:r w:rsidR="00980314">
              <w:t>s</w:t>
            </w:r>
            <w:r w:rsidR="00DA1E25" w:rsidRPr="0055149C">
              <w:t xml:space="preserve">utgiftene. </w:t>
            </w:r>
            <w:r w:rsidR="00F759F7" w:rsidRPr="0055149C">
              <w:t>I denne sammenhengen benytter vi oss av to tilnærminger.</w:t>
            </w:r>
          </w:p>
          <w:p w14:paraId="5239295C" w14:textId="615D324C" w:rsidR="00F759F7" w:rsidRPr="0055149C" w:rsidRDefault="00F759F7" w:rsidP="00F759F7">
            <w:pPr>
              <w:pStyle w:val="KeyMsgBoxText"/>
              <w:keepNext/>
            </w:pPr>
            <w:r w:rsidRPr="0055149C">
              <w:t>I begge tilfellene normaliserer vi samtlige variabler til standardnormalfordelingen basert på deres respektive gjennomsnitt og standardfeil. Dette sikrer at resultatene blir sammenliknbare med standardnormalfordelingen. Merk at hvis man foretatar en regresjon ved den ordinære og lineære minste kvadraters metode mellom en utfallsvariabel og en forklaringsvariabel etter en slik normalisering, vil regresjonskoeffisienten sammenfalle med korrelasjonskoeffisienten.</w:t>
            </w:r>
          </w:p>
          <w:p w14:paraId="0D30A519" w14:textId="521C8D05" w:rsidR="00F520C0" w:rsidRPr="0055149C" w:rsidRDefault="0055149C" w:rsidP="0055149C">
            <w:pPr>
              <w:pStyle w:val="KeyMsgBoxText"/>
              <w:keepNext/>
            </w:pPr>
            <w:r w:rsidRPr="0055149C">
              <w:t xml:space="preserve">For kommune </w:t>
            </w:r>
            <m:oMath>
              <m:r>
                <w:rPr>
                  <w:rFonts w:ascii="Cambria Math" w:hAnsi="Cambria Math"/>
                </w:rPr>
                <m:t>r</m:t>
              </m:r>
            </m:oMath>
            <w:r w:rsidRPr="0055149C">
              <w:t xml:space="preserve"> i år </w:t>
            </w:r>
            <m:oMath>
              <m:r>
                <w:rPr>
                  <w:rFonts w:ascii="Cambria Math" w:hAnsi="Cambria Math"/>
                </w:rPr>
                <m:t>t</m:t>
              </m:r>
            </m:oMath>
            <w:r w:rsidRPr="0055149C">
              <w:t xml:space="preserve"> lar vi </w:t>
            </w:r>
            <m:oMath>
              <m:sSubSup>
                <m:sSubSupPr>
                  <m:ctrlPr>
                    <w:rPr>
                      <w:rFonts w:ascii="Cambria Math" w:hAnsi="Cambria Math"/>
                      <w:i/>
                    </w:rPr>
                  </m:ctrlPr>
                </m:sSubSupPr>
                <m:e>
                  <m:r>
                    <w:rPr>
                      <w:rFonts w:ascii="Cambria Math" w:hAnsi="Cambria Math"/>
                    </w:rPr>
                    <m:t>x</m:t>
                  </m:r>
                </m:e>
                <m:sub>
                  <m:r>
                    <w:rPr>
                      <w:rFonts w:ascii="Cambria Math" w:hAnsi="Cambria Math"/>
                    </w:rPr>
                    <m:t>r,t</m:t>
                  </m:r>
                </m:sub>
                <m:sup>
                  <m:r>
                    <w:rPr>
                      <w:rFonts w:ascii="Cambria Math" w:hAnsi="Cambria Math"/>
                    </w:rPr>
                    <m:t>j</m:t>
                  </m:r>
                </m:sup>
              </m:sSubSup>
            </m:oMath>
            <w:r w:rsidRPr="0055149C">
              <w:t xml:space="preserve"> være kovariat </w:t>
            </w:r>
            <m:oMath>
              <m:r>
                <w:rPr>
                  <w:rFonts w:ascii="Cambria Math" w:hAnsi="Cambria Math"/>
                </w:rPr>
                <m:t>j</m:t>
              </m:r>
            </m:oMath>
            <w:r w:rsidRPr="0055149C">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r,t</m:t>
                  </m:r>
                </m:sub>
                <m:sup>
                  <m:r>
                    <w:rPr>
                      <w:rFonts w:ascii="Cambria Math" w:hAnsi="Cambria Math"/>
                    </w:rPr>
                    <m:t>k</m:t>
                  </m:r>
                </m:sup>
              </m:sSubSup>
            </m:oMath>
            <w:r w:rsidRPr="0055149C">
              <w:t xml:space="preserve"> være kapitalkostnadsmål</w:t>
            </w:r>
            <w:r w:rsidRPr="0055149C">
              <w:rPr>
                <w:rFonts w:ascii="Cambria Math" w:hAnsi="Cambria Math"/>
                <w:i/>
              </w:rPr>
              <w:t xml:space="preserve"> </w:t>
            </w:r>
            <m:oMath>
              <m:r>
                <w:rPr>
                  <w:rFonts w:ascii="Cambria Math" w:hAnsi="Cambria Math"/>
                </w:rPr>
                <m:t>k</m:t>
              </m:r>
            </m:oMath>
            <w:r w:rsidRPr="0055149C">
              <w:t xml:space="preserve"> og </w:t>
            </w:r>
            <m:oMath>
              <m:sSub>
                <m:sSubPr>
                  <m:ctrlPr>
                    <w:rPr>
                      <w:rFonts w:ascii="Cambria Math" w:hAnsi="Cambria Math"/>
                      <w:i/>
                    </w:rPr>
                  </m:ctrlPr>
                </m:sSubPr>
                <m:e>
                  <m:r>
                    <w:rPr>
                      <w:rFonts w:ascii="Cambria Math" w:hAnsi="Cambria Math"/>
                    </w:rPr>
                    <m:t>z</m:t>
                  </m:r>
                </m:e>
                <m:sub>
                  <m:r>
                    <w:rPr>
                      <w:rFonts w:ascii="Cambria Math" w:hAnsi="Cambria Math"/>
                    </w:rPr>
                    <m:t>r,t</m:t>
                  </m:r>
                </m:sub>
              </m:sSub>
            </m:oMath>
            <w:r w:rsidRPr="0055149C">
              <w:t xml:space="preserve"> være </w:t>
            </w:r>
            <w:r w:rsidR="00DE7821">
              <w:t xml:space="preserve">kontrollvariabelen, altså </w:t>
            </w:r>
            <w:r w:rsidRPr="0055149C">
              <w:t>bruttodriftsutgifter. Videre lar vi deres gjennomsnitt være henholdsvis</w:t>
            </w:r>
            <w:r w:rsidR="00DE7821">
              <w:t xml:space="preserve"> </w:t>
            </w:r>
            <m:oMath>
              <m:sSubSup>
                <m:sSubSupPr>
                  <m:ctrlPr>
                    <w:rPr>
                      <w:rFonts w:ascii="Cambria Math" w:hAnsi="Cambria Math"/>
                      <w:i/>
                    </w:rPr>
                  </m:ctrlPr>
                </m:sSubSupPr>
                <m:e>
                  <m:r>
                    <w:rPr>
                      <w:rFonts w:ascii="Cambria Math" w:hAnsi="Cambria Math"/>
                    </w:rPr>
                    <m:t>x</m:t>
                  </m:r>
                </m:e>
                <m:sub>
                  <m:r>
                    <m:rPr>
                      <m:sty m:val="p"/>
                    </m:rPr>
                    <w:rPr>
                      <w:rFonts w:ascii="Cambria Math" w:hAnsi="Cambria Math"/>
                    </w:rPr>
                    <m:t>μ</m:t>
                  </m:r>
                </m:sub>
                <m:sup>
                  <m:r>
                    <w:rPr>
                      <w:rFonts w:ascii="Cambria Math" w:hAnsi="Cambria Math"/>
                    </w:rPr>
                    <m:t>k</m:t>
                  </m:r>
                </m:sup>
              </m:sSubSup>
            </m:oMath>
            <w:r w:rsidR="00DE7821">
              <w:t>,</w:t>
            </w:r>
            <w:r w:rsidRPr="0055149C">
              <w:t xml:space="preserve"> </w:t>
            </w:r>
            <m:oMath>
              <m:sSubSup>
                <m:sSubSupPr>
                  <m:ctrlPr>
                    <w:rPr>
                      <w:rFonts w:ascii="Cambria Math" w:hAnsi="Cambria Math"/>
                      <w:i/>
                    </w:rPr>
                  </m:ctrlPr>
                </m:sSubSupPr>
                <m:e>
                  <m:r>
                    <w:rPr>
                      <w:rFonts w:ascii="Cambria Math" w:hAnsi="Cambria Math"/>
                    </w:rPr>
                    <m:t>y</m:t>
                  </m:r>
                </m:e>
                <m:sub>
                  <m:r>
                    <m:rPr>
                      <m:sty m:val="p"/>
                    </m:rPr>
                    <w:rPr>
                      <w:rFonts w:ascii="Cambria Math" w:hAnsi="Cambria Math"/>
                    </w:rPr>
                    <m:t>μ</m:t>
                  </m:r>
                </m:sub>
                <m:sup>
                  <m:r>
                    <w:rPr>
                      <w:rFonts w:ascii="Cambria Math" w:hAnsi="Cambria Math"/>
                    </w:rPr>
                    <m:t>j</m:t>
                  </m:r>
                </m:sup>
              </m:sSubSup>
            </m:oMath>
            <w:r w:rsidRPr="0055149C">
              <w:t xml:space="preserve"> og </w:t>
            </w:r>
            <m:oMath>
              <m:sSub>
                <m:sSubPr>
                  <m:ctrlPr>
                    <w:rPr>
                      <w:rFonts w:ascii="Cambria Math" w:hAnsi="Cambria Math"/>
                      <w:i/>
                    </w:rPr>
                  </m:ctrlPr>
                </m:sSubPr>
                <m:e>
                  <m:r>
                    <w:rPr>
                      <w:rFonts w:ascii="Cambria Math" w:hAnsi="Cambria Math"/>
                    </w:rPr>
                    <m:t>z</m:t>
                  </m:r>
                </m:e>
                <m:sub>
                  <m:r>
                    <m:rPr>
                      <m:sty m:val="p"/>
                    </m:rPr>
                    <w:rPr>
                      <w:rFonts w:ascii="Cambria Math" w:hAnsi="Cambria Math"/>
                    </w:rPr>
                    <m:t>μ</m:t>
                  </m:r>
                </m:sub>
              </m:sSub>
            </m:oMath>
            <w:r w:rsidRPr="0055149C">
              <w:t>, og deres standardavvik være henholdsvis</w:t>
            </w:r>
            <w:r w:rsidR="00DE7821">
              <w:t xml:space="preserve"> </w:t>
            </w:r>
            <m:oMath>
              <m:sSubSup>
                <m:sSubSupPr>
                  <m:ctrlPr>
                    <w:rPr>
                      <w:rFonts w:ascii="Cambria Math" w:hAnsi="Cambria Math"/>
                      <w:i/>
                    </w:rPr>
                  </m:ctrlPr>
                </m:sSubSupPr>
                <m:e>
                  <m:r>
                    <w:rPr>
                      <w:rFonts w:ascii="Cambria Math" w:hAnsi="Cambria Math"/>
                    </w:rPr>
                    <m:t>x</m:t>
                  </m:r>
                </m:e>
                <m:sub>
                  <m:r>
                    <m:rPr>
                      <m:sty m:val="p"/>
                    </m:rPr>
                    <w:rPr>
                      <w:rFonts w:ascii="Cambria Math" w:hAnsi="Cambria Math"/>
                    </w:rPr>
                    <m:t>σ</m:t>
                  </m:r>
                </m:sub>
                <m:sup>
                  <m:r>
                    <w:rPr>
                      <w:rFonts w:ascii="Cambria Math" w:hAnsi="Cambria Math"/>
                    </w:rPr>
                    <m:t>k</m:t>
                  </m:r>
                </m:sup>
              </m:sSubSup>
            </m:oMath>
            <w:r w:rsidR="00DE7821">
              <w:t>,</w:t>
            </w:r>
            <w:r w:rsidRPr="0055149C">
              <w:t xml:space="preserve"> </w:t>
            </w:r>
            <m:oMath>
              <m:sSubSup>
                <m:sSubSupPr>
                  <m:ctrlPr>
                    <w:rPr>
                      <w:rFonts w:ascii="Cambria Math" w:hAnsi="Cambria Math"/>
                      <w:i/>
                    </w:rPr>
                  </m:ctrlPr>
                </m:sSubSupPr>
                <m:e>
                  <m:r>
                    <w:rPr>
                      <w:rFonts w:ascii="Cambria Math" w:hAnsi="Cambria Math"/>
                    </w:rPr>
                    <m:t>y</m:t>
                  </m:r>
                </m:e>
                <m:sub>
                  <m:r>
                    <m:rPr>
                      <m:sty m:val="p"/>
                    </m:rPr>
                    <w:rPr>
                      <w:rFonts w:ascii="Cambria Math" w:hAnsi="Cambria Math"/>
                    </w:rPr>
                    <m:t>σ</m:t>
                  </m:r>
                </m:sub>
                <m:sup>
                  <m:r>
                    <w:rPr>
                      <w:rFonts w:ascii="Cambria Math" w:hAnsi="Cambria Math"/>
                    </w:rPr>
                    <m:t>j</m:t>
                  </m:r>
                </m:sup>
              </m:sSubSup>
            </m:oMath>
            <w:r w:rsidRPr="0055149C">
              <w:t xml:space="preserve"> og </w:t>
            </w:r>
            <m:oMath>
              <m:sSub>
                <m:sSubPr>
                  <m:ctrlPr>
                    <w:rPr>
                      <w:rFonts w:ascii="Cambria Math" w:hAnsi="Cambria Math"/>
                      <w:i/>
                    </w:rPr>
                  </m:ctrlPr>
                </m:sSubPr>
                <m:e>
                  <m:r>
                    <w:rPr>
                      <w:rFonts w:ascii="Cambria Math" w:hAnsi="Cambria Math"/>
                    </w:rPr>
                    <m:t>z</m:t>
                  </m:r>
                </m:e>
                <m:sub>
                  <m:r>
                    <m:rPr>
                      <m:sty m:val="p"/>
                    </m:rPr>
                    <w:rPr>
                      <w:rFonts w:ascii="Cambria Math" w:hAnsi="Cambria Math"/>
                    </w:rPr>
                    <m:t>σ</m:t>
                  </m:r>
                </m:sub>
              </m:sSub>
            </m:oMath>
            <w:r w:rsidRPr="0055149C">
              <w:t>. Dere</w:t>
            </w:r>
            <w:r w:rsidR="00597E78">
              <w:t>s</w:t>
            </w:r>
            <w:r w:rsidRPr="0055149C">
              <w:t xml:space="preserve"> harmoniserte motstykker</w:t>
            </w:r>
            <w:r w:rsidR="00597E78">
              <w:t>,</w:t>
            </w:r>
            <w:r w:rsidRPr="0055149C">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k</m:t>
                  </m:r>
                </m:sup>
              </m:sSubSup>
            </m:oMath>
            <w:r w:rsidR="00DE7821">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r,t</m:t>
                  </m:r>
                </m:sub>
                <m:sup>
                  <m:r>
                    <w:rPr>
                      <w:rFonts w:ascii="Cambria Math" w:hAnsi="Cambria Math"/>
                    </w:rPr>
                    <m:t>i</m:t>
                  </m:r>
                </m:sup>
              </m:sSubSup>
            </m:oMath>
            <w:r w:rsidRPr="0055149C">
              <w:t xml:space="preserve"> og </w:t>
            </w:r>
            <m:oMath>
              <m:sSub>
                <m:sSubPr>
                  <m:ctrlPr>
                    <w:rPr>
                      <w:rFonts w:ascii="Cambria Math" w:hAnsi="Cambria Math" w:cstheme="minorHAnsi"/>
                      <w:i/>
                      <w:szCs w:val="24"/>
                    </w:rPr>
                  </m:ctrlPr>
                </m:sSubPr>
                <m:e>
                  <m:acc>
                    <m:accPr>
                      <m:chr m:val="̃"/>
                      <m:ctrlPr>
                        <w:rPr>
                          <w:rFonts w:ascii="Cambria Math" w:hAnsi="Cambria Math" w:cstheme="minorHAnsi"/>
                          <w:i/>
                          <w:szCs w:val="24"/>
                        </w:rPr>
                      </m:ctrlPr>
                    </m:accPr>
                    <m:e>
                      <m:r>
                        <w:rPr>
                          <w:rFonts w:ascii="Cambria Math" w:hAnsi="Cambria Math" w:cstheme="minorHAnsi"/>
                          <w:szCs w:val="24"/>
                        </w:rPr>
                        <m:t>z</m:t>
                      </m:r>
                    </m:e>
                  </m:acc>
                </m:e>
                <m:sub>
                  <m:r>
                    <w:rPr>
                      <w:rFonts w:ascii="Cambria Math" w:hAnsi="Cambria Math" w:cstheme="minorHAnsi"/>
                      <w:szCs w:val="24"/>
                    </w:rPr>
                    <m:t>r,t</m:t>
                  </m:r>
                </m:sub>
              </m:sSub>
            </m:oMath>
            <w:r w:rsidRPr="0055149C">
              <w:rPr>
                <w:szCs w:val="24"/>
              </w:rPr>
              <w:t xml:space="preserve"> blir da:</w:t>
            </w:r>
          </w:p>
          <w:p w14:paraId="5B11B268" w14:textId="392929E9" w:rsidR="0055149C" w:rsidRPr="0055149C" w:rsidRDefault="00000000" w:rsidP="0055149C">
            <w:pPr>
              <w:pStyle w:val="KeyMsgBoxText"/>
              <w:keepNext/>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j</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r,t</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x</m:t>
                        </m:r>
                      </m:e>
                      <m:sub>
                        <m:r>
                          <m:rPr>
                            <m:sty m:val="p"/>
                          </m:rPr>
                          <w:rPr>
                            <w:rFonts w:ascii="Cambria Math" w:hAnsi="Cambria Math"/>
                          </w:rPr>
                          <m:t>μ</m:t>
                        </m:r>
                      </m:sub>
                      <m:sup>
                        <m:r>
                          <w:rPr>
                            <w:rFonts w:ascii="Cambria Math" w:hAnsi="Cambria Math"/>
                          </w:rPr>
                          <m:t>j</m:t>
                        </m:r>
                      </m:sup>
                    </m:sSubSup>
                  </m:num>
                  <m:den>
                    <m:sSubSup>
                      <m:sSubSupPr>
                        <m:ctrlPr>
                          <w:rPr>
                            <w:rFonts w:ascii="Cambria Math" w:hAnsi="Cambria Math"/>
                            <w:i/>
                          </w:rPr>
                        </m:ctrlPr>
                      </m:sSubSupPr>
                      <m:e>
                        <m:r>
                          <w:rPr>
                            <w:rFonts w:ascii="Cambria Math" w:hAnsi="Cambria Math"/>
                          </w:rPr>
                          <m:t>x</m:t>
                        </m:r>
                      </m:e>
                      <m:sub>
                        <m:r>
                          <m:rPr>
                            <m:sty m:val="p"/>
                          </m:rPr>
                          <w:rPr>
                            <w:rFonts w:ascii="Cambria Math" w:hAnsi="Cambria Math"/>
                          </w:rPr>
                          <m:t>σ</m:t>
                        </m:r>
                      </m:sub>
                      <m:sup>
                        <m:r>
                          <w:rPr>
                            <w:rFonts w:ascii="Cambria Math" w:hAnsi="Cambria Math"/>
                          </w:rPr>
                          <m:t>j</m:t>
                        </m:r>
                      </m:sup>
                    </m:sSubSup>
                  </m:den>
                </m:f>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r,t</m:t>
                    </m:r>
                  </m:sub>
                  <m:sup>
                    <m:r>
                      <w:rPr>
                        <w:rFonts w:ascii="Cambria Math" w:hAnsi="Cambria Math"/>
                      </w:rPr>
                      <m:t>k</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r,t</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y</m:t>
                        </m:r>
                      </m:e>
                      <m:sub>
                        <m:r>
                          <m:rPr>
                            <m:sty m:val="p"/>
                          </m:rPr>
                          <w:rPr>
                            <w:rFonts w:ascii="Cambria Math" w:hAnsi="Cambria Math"/>
                          </w:rPr>
                          <m:t>μ</m:t>
                        </m:r>
                      </m:sub>
                      <m:sup>
                        <m:r>
                          <w:rPr>
                            <w:rFonts w:ascii="Cambria Math" w:hAnsi="Cambria Math"/>
                          </w:rPr>
                          <m:t>k</m:t>
                        </m:r>
                      </m:sup>
                    </m:sSubSup>
                  </m:num>
                  <m:den>
                    <m:sSubSup>
                      <m:sSubSupPr>
                        <m:ctrlPr>
                          <w:rPr>
                            <w:rFonts w:ascii="Cambria Math" w:hAnsi="Cambria Math"/>
                            <w:i/>
                          </w:rPr>
                        </m:ctrlPr>
                      </m:sSubSupPr>
                      <m:e>
                        <m:r>
                          <w:rPr>
                            <w:rFonts w:ascii="Cambria Math" w:hAnsi="Cambria Math"/>
                          </w:rPr>
                          <m:t>y</m:t>
                        </m:r>
                      </m:e>
                      <m:sub>
                        <m:r>
                          <m:rPr>
                            <m:sty m:val="p"/>
                          </m:rPr>
                          <w:rPr>
                            <w:rFonts w:ascii="Cambria Math" w:hAnsi="Cambria Math"/>
                          </w:rPr>
                          <m:t>σ</m:t>
                        </m:r>
                      </m:sub>
                      <m:sup>
                        <m:r>
                          <w:rPr>
                            <w:rFonts w:ascii="Cambria Math" w:hAnsi="Cambria Math"/>
                          </w:rPr>
                          <m:t>k</m:t>
                        </m:r>
                      </m:sup>
                    </m:sSubSup>
                  </m:den>
                </m:f>
                <m:r>
                  <w:rPr>
                    <w:rFonts w:ascii="Cambria Math" w:hAnsi="Cambria Math"/>
                  </w:rPr>
                  <m:t xml:space="preserve">,  </m:t>
                </m:r>
                <m:sSub>
                  <m:sSubPr>
                    <m:ctrlPr>
                      <w:rPr>
                        <w:rFonts w:ascii="Cambria Math" w:hAnsi="Cambria Math" w:cstheme="minorHAnsi"/>
                        <w:i/>
                        <w:szCs w:val="24"/>
                      </w:rPr>
                    </m:ctrlPr>
                  </m:sSubPr>
                  <m:e>
                    <m:acc>
                      <m:accPr>
                        <m:chr m:val="̃"/>
                        <m:ctrlPr>
                          <w:rPr>
                            <w:rFonts w:ascii="Cambria Math" w:hAnsi="Cambria Math" w:cstheme="minorHAnsi"/>
                            <w:i/>
                            <w:szCs w:val="24"/>
                          </w:rPr>
                        </m:ctrlPr>
                      </m:accPr>
                      <m:e>
                        <m:r>
                          <w:rPr>
                            <w:rFonts w:ascii="Cambria Math" w:hAnsi="Cambria Math" w:cstheme="minorHAnsi"/>
                            <w:szCs w:val="24"/>
                          </w:rPr>
                          <m:t>z</m:t>
                        </m:r>
                      </m:e>
                    </m:acc>
                  </m:e>
                  <m:sub>
                    <m:r>
                      <w:rPr>
                        <w:rFonts w:ascii="Cambria Math" w:hAnsi="Cambria Math" w:cstheme="minorHAnsi"/>
                        <w:szCs w:val="24"/>
                      </w:rPr>
                      <m:t>r,t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r,t</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μ</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σ</m:t>
                        </m:r>
                      </m:sub>
                    </m:sSub>
                  </m:den>
                </m:f>
              </m:oMath>
            </m:oMathPara>
          </w:p>
          <w:p w14:paraId="5BFC66F3" w14:textId="35BE0831" w:rsidR="0055149C" w:rsidRPr="0055149C" w:rsidRDefault="00D8450B" w:rsidP="003A7E9D">
            <w:pPr>
              <w:pStyle w:val="KeyMsgBoxText"/>
              <w:keepNext/>
            </w:pPr>
            <w:r w:rsidRPr="0055149C">
              <w:t xml:space="preserve">I den første tilnærmingen </w:t>
            </w:r>
            <w:r w:rsidR="003A7E9D" w:rsidRPr="0055149C">
              <w:t xml:space="preserve">kontrollerer vi for bruttodriftsutgifter i en regresjon med kovariaten som utfallsvariabel og kapitalkostnadsmålet som forklaringsvariabel. Under en slik tilnærming vil den delen av </w:t>
            </w:r>
            <w:r w:rsidR="00DA1E25" w:rsidRPr="0055149C">
              <w:t>samvariasjonen som kovariaten deler med både bruttodriftsutgiftene og kapi</w:t>
            </w:r>
            <w:r w:rsidR="003B0C34">
              <w:t>t</w:t>
            </w:r>
            <w:r w:rsidR="00DA1E25" w:rsidRPr="0055149C">
              <w:t>alkostnadsmålet kun tilskrives en av variablene.</w:t>
            </w:r>
            <w:r w:rsidR="003A7E9D" w:rsidRPr="0055149C">
              <w:t xml:space="preserve"> En svakhet ved tilnærmingen er dens sårbar</w:t>
            </w:r>
            <w:r w:rsidR="00597E78">
              <w:t>het</w:t>
            </w:r>
            <w:r w:rsidR="003A7E9D" w:rsidRPr="0055149C">
              <w:t xml:space="preserve"> for multikollinearitet. I fravær av korrelasjon mellom kapitalkostnadsmålet og bruttodriftsutgifter vil regresjonskoeffisientene sammenfalle med korrelasjonskoeffisientene.</w:t>
            </w:r>
            <w:r w:rsidR="00F420FD">
              <w:t xml:space="preserve"> </w:t>
            </w:r>
            <w:r w:rsidR="0055149C" w:rsidRPr="0055149C">
              <w:t>Formelt tilsvarer dette:</w:t>
            </w:r>
          </w:p>
          <w:p w14:paraId="3E5EB414" w14:textId="4326C363" w:rsidR="0055149C" w:rsidRPr="0055149C" w:rsidRDefault="00000000" w:rsidP="003A7E9D">
            <w:pPr>
              <w:pStyle w:val="KeyMsgBoxText"/>
              <w:keepNext/>
              <w:rPr>
                <w:szCs w:val="24"/>
              </w:rPr>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j</m:t>
                    </m:r>
                  </m:sup>
                </m:sSubSup>
                <m:r>
                  <w:rPr>
                    <w:rFonts w:ascii="Cambria Math" w:hAnsi="Cambria Math"/>
                  </w:rPr>
                  <m:t>=</m:t>
                </m:r>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0</m:t>
                    </m:r>
                  </m:sub>
                  <m:sup>
                    <m:r>
                      <w:rPr>
                        <w:rFonts w:ascii="Cambria Math" w:hAnsi="Cambria Math" w:cstheme="minorHAnsi"/>
                        <w:szCs w:val="24"/>
                      </w:rPr>
                      <m:t>j,l</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1</m:t>
                    </m:r>
                  </m:sub>
                  <m:sup>
                    <m:r>
                      <w:rPr>
                        <w:rFonts w:ascii="Cambria Math" w:hAnsi="Cambria Math" w:cstheme="minorHAnsi"/>
                        <w:szCs w:val="24"/>
                      </w:rPr>
                      <m:t>j,k</m:t>
                    </m:r>
                  </m:sup>
                </m:sSubSup>
                <m:sSubSup>
                  <m:sSubSupPr>
                    <m:ctrlPr>
                      <w:rPr>
                        <w:rFonts w:ascii="Cambria Math" w:hAnsi="Cambria Math" w:cstheme="minorHAnsi"/>
                        <w:i/>
                        <w:szCs w:val="24"/>
                      </w:rPr>
                    </m:ctrlPr>
                  </m:sSubSupPr>
                  <m:e>
                    <m:acc>
                      <m:accPr>
                        <m:chr m:val="̃"/>
                        <m:ctrlPr>
                          <w:rPr>
                            <w:rFonts w:ascii="Cambria Math" w:hAnsi="Cambria Math" w:cstheme="minorHAnsi"/>
                            <w:i/>
                            <w:szCs w:val="24"/>
                          </w:rPr>
                        </m:ctrlPr>
                      </m:accPr>
                      <m:e>
                        <m:r>
                          <w:rPr>
                            <w:rFonts w:ascii="Cambria Math" w:hAnsi="Cambria Math" w:cstheme="minorHAnsi"/>
                            <w:szCs w:val="24"/>
                          </w:rPr>
                          <m:t>y</m:t>
                        </m:r>
                      </m:e>
                    </m:acc>
                  </m:e>
                  <m:sub>
                    <m:r>
                      <w:rPr>
                        <w:rFonts w:ascii="Cambria Math" w:hAnsi="Cambria Math" w:cstheme="minorHAnsi"/>
                        <w:szCs w:val="24"/>
                      </w:rPr>
                      <m:t>r,t</m:t>
                    </m:r>
                  </m:sub>
                  <m:sup>
                    <m:r>
                      <w:rPr>
                        <w:rFonts w:ascii="Cambria Math" w:hAnsi="Cambria Math" w:cstheme="minorHAnsi"/>
                        <w:szCs w:val="24"/>
                      </w:rPr>
                      <m:t>k</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z</m:t>
                    </m:r>
                  </m:sub>
                  <m:sup>
                    <m:r>
                      <w:rPr>
                        <w:rFonts w:ascii="Cambria Math" w:hAnsi="Cambria Math" w:cstheme="minorHAnsi"/>
                        <w:szCs w:val="24"/>
                      </w:rPr>
                      <m:t>j,k</m:t>
                    </m:r>
                  </m:sup>
                </m:sSubSup>
                <m:sSub>
                  <m:sSubPr>
                    <m:ctrlPr>
                      <w:rPr>
                        <w:rFonts w:ascii="Cambria Math" w:hAnsi="Cambria Math" w:cstheme="minorHAnsi"/>
                        <w:i/>
                        <w:szCs w:val="24"/>
                      </w:rPr>
                    </m:ctrlPr>
                  </m:sSubPr>
                  <m:e>
                    <m:acc>
                      <m:accPr>
                        <m:chr m:val="̃"/>
                        <m:ctrlPr>
                          <w:rPr>
                            <w:rFonts w:ascii="Cambria Math" w:hAnsi="Cambria Math" w:cstheme="minorHAnsi"/>
                            <w:i/>
                            <w:szCs w:val="24"/>
                          </w:rPr>
                        </m:ctrlPr>
                      </m:accPr>
                      <m:e>
                        <m:r>
                          <w:rPr>
                            <w:rFonts w:ascii="Cambria Math" w:hAnsi="Cambria Math" w:cstheme="minorHAnsi"/>
                            <w:szCs w:val="24"/>
                          </w:rPr>
                          <m:t>z</m:t>
                        </m:r>
                      </m:e>
                    </m:acc>
                  </m:e>
                  <m:sub>
                    <m:r>
                      <w:rPr>
                        <w:rFonts w:ascii="Cambria Math" w:hAnsi="Cambria Math" w:cstheme="minorHAnsi"/>
                        <w:szCs w:val="24"/>
                      </w:rPr>
                      <m:t>r,t</m:t>
                    </m:r>
                  </m:sub>
                </m:sSub>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u</m:t>
                    </m:r>
                  </m:e>
                  <m:sub>
                    <m:r>
                      <w:rPr>
                        <w:rFonts w:ascii="Cambria Math" w:hAnsi="Cambria Math" w:cstheme="minorHAnsi"/>
                        <w:szCs w:val="24"/>
                      </w:rPr>
                      <m:t>r,t</m:t>
                    </m:r>
                  </m:sub>
                  <m:sup>
                    <m:r>
                      <w:rPr>
                        <w:rFonts w:ascii="Cambria Math" w:hAnsi="Cambria Math" w:cstheme="minorHAnsi"/>
                        <w:szCs w:val="24"/>
                      </w:rPr>
                      <m:t>j,k</m:t>
                    </m:r>
                  </m:sup>
                </m:sSubSup>
              </m:oMath>
            </m:oMathPara>
          </w:p>
          <w:p w14:paraId="3B79810C" w14:textId="2E70E74C" w:rsidR="0055149C" w:rsidRPr="0055149C" w:rsidRDefault="0055149C" w:rsidP="003A7E9D">
            <w:pPr>
              <w:pStyle w:val="KeyMsgBoxText"/>
              <w:keepNext/>
              <w:rPr>
                <w:szCs w:val="24"/>
              </w:rPr>
            </w:pPr>
            <w:r w:rsidRPr="0055149C">
              <w:rPr>
                <w:szCs w:val="24"/>
              </w:rPr>
              <w:t xml:space="preserve">der </w:t>
            </w:r>
            <m:oMath>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0</m:t>
                  </m:r>
                </m:sub>
                <m:sup>
                  <m:r>
                    <w:rPr>
                      <w:rFonts w:ascii="Cambria Math" w:hAnsi="Cambria Math" w:cstheme="minorHAnsi"/>
                      <w:szCs w:val="24"/>
                    </w:rPr>
                    <m:t>j,l</m:t>
                  </m:r>
                </m:sup>
              </m:sSubSup>
            </m:oMath>
            <w:r w:rsidRPr="0055149C">
              <w:rPr>
                <w:szCs w:val="24"/>
              </w:rPr>
              <w:t xml:space="preserve">, </w:t>
            </w:r>
            <m:oMath>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k</m:t>
                  </m:r>
                </m:sub>
                <m:sup>
                  <m:r>
                    <w:rPr>
                      <w:rFonts w:ascii="Cambria Math" w:hAnsi="Cambria Math" w:cstheme="minorHAnsi"/>
                      <w:szCs w:val="24"/>
                    </w:rPr>
                    <m:t>j</m:t>
                  </m:r>
                </m:sup>
              </m:sSubSup>
            </m:oMath>
            <w:r w:rsidRPr="0055149C">
              <w:rPr>
                <w:szCs w:val="24"/>
              </w:rPr>
              <w:t xml:space="preserve"> og </w:t>
            </w:r>
            <m:oMath>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z</m:t>
                  </m:r>
                </m:sub>
                <m:sup>
                  <m:r>
                    <w:rPr>
                      <w:rFonts w:ascii="Cambria Math" w:hAnsi="Cambria Math" w:cstheme="minorHAnsi"/>
                      <w:szCs w:val="24"/>
                    </w:rPr>
                    <m:t>j,k</m:t>
                  </m:r>
                </m:sup>
              </m:sSubSup>
            </m:oMath>
            <w:r w:rsidRPr="0055149C">
              <w:rPr>
                <w:szCs w:val="24"/>
              </w:rPr>
              <w:t xml:space="preserve"> er regresjonskoeffisienter og </w:t>
            </w:r>
            <m:oMath>
              <m:sSubSup>
                <m:sSubSupPr>
                  <m:ctrlPr>
                    <w:rPr>
                      <w:rFonts w:ascii="Cambria Math" w:hAnsi="Cambria Math" w:cstheme="minorHAnsi"/>
                      <w:i/>
                      <w:szCs w:val="24"/>
                    </w:rPr>
                  </m:ctrlPr>
                </m:sSubSupPr>
                <m:e>
                  <m:r>
                    <w:rPr>
                      <w:rFonts w:ascii="Cambria Math" w:hAnsi="Cambria Math" w:cstheme="minorHAnsi"/>
                      <w:szCs w:val="24"/>
                    </w:rPr>
                    <m:t>u</m:t>
                  </m:r>
                </m:e>
                <m:sub>
                  <m:r>
                    <w:rPr>
                      <w:rFonts w:ascii="Cambria Math" w:hAnsi="Cambria Math" w:cstheme="minorHAnsi"/>
                      <w:szCs w:val="24"/>
                    </w:rPr>
                    <m:t>r,t</m:t>
                  </m:r>
                </m:sub>
                <m:sup>
                  <m:r>
                    <w:rPr>
                      <w:rFonts w:ascii="Cambria Math" w:hAnsi="Cambria Math" w:cstheme="minorHAnsi"/>
                      <w:szCs w:val="24"/>
                    </w:rPr>
                    <m:t>j,k</m:t>
                  </m:r>
                </m:sup>
              </m:sSubSup>
            </m:oMath>
            <w:r w:rsidRPr="0055149C">
              <w:rPr>
                <w:szCs w:val="24"/>
              </w:rPr>
              <w:t xml:space="preserve"> er residualen</w:t>
            </w:r>
            <w:r>
              <w:rPr>
                <w:szCs w:val="24"/>
              </w:rPr>
              <w:t>.</w:t>
            </w:r>
          </w:p>
          <w:p w14:paraId="6699598C" w14:textId="60F788EB" w:rsidR="003A7E9D" w:rsidRPr="0055149C" w:rsidRDefault="003A7E9D" w:rsidP="003A7E9D">
            <w:pPr>
              <w:pStyle w:val="KeyMsgBoxText"/>
              <w:keepNext/>
            </w:pPr>
            <w:r w:rsidRPr="0055149C">
              <w:t xml:space="preserve">Den andre tilnærmingen utføres i en tostegs regresjonsanalyse. I det første steget kjøres en lineær regresjon med </w:t>
            </w:r>
            <w:r w:rsidR="0055149C">
              <w:t>kovariaten</w:t>
            </w:r>
            <w:r w:rsidRPr="0055149C">
              <w:t xml:space="preserve"> som utfallsvariabel og bruttodriftsutgiftene som</w:t>
            </w:r>
            <w:r w:rsidR="00901003">
              <w:t xml:space="preserve"> </w:t>
            </w:r>
            <w:r w:rsidRPr="0055149C">
              <w:t>forklaringsvariabel. Residualen fra denne regresjonen kan tolkes som</w:t>
            </w:r>
            <w:r w:rsidR="00F520C0" w:rsidRPr="0055149C">
              <w:t xml:space="preserve"> et mål for kovariaten, justert for samvariasjon med </w:t>
            </w:r>
            <w:r w:rsidR="0055149C" w:rsidRPr="0055149C">
              <w:t>bruttodriftsutgifter</w:t>
            </w:r>
            <w:r w:rsidR="0055149C">
              <w:t>. I det andre steget forklarer vi den justerte kovariaten med kapitalkostnadsmålet.</w:t>
            </w:r>
            <w:r w:rsidR="00F420FD">
              <w:t xml:space="preserve"> </w:t>
            </w:r>
            <w:r w:rsidR="0055149C">
              <w:t>Formelt sett kan dette uttrykkes som:</w:t>
            </w:r>
          </w:p>
          <w:p w14:paraId="6A8C11CD" w14:textId="64C077E1" w:rsidR="002F7BA1" w:rsidRPr="0055149C" w:rsidRDefault="00000000" w:rsidP="009238AE">
            <w:pPr>
              <w:pStyle w:val="KeyMsgBoxText"/>
              <w:keepNext/>
              <w:rPr>
                <w:szCs w:val="24"/>
              </w:rPr>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j</m:t>
                    </m:r>
                  </m:sup>
                </m:sSubSup>
                <m:r>
                  <w:rPr>
                    <w:rFonts w:ascii="Cambria Math" w:hAnsi="Cambria Math"/>
                  </w:rPr>
                  <m:t>=</m:t>
                </m:r>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0</m:t>
                    </m:r>
                  </m:sub>
                  <m:sup>
                    <m:r>
                      <w:rPr>
                        <w:rFonts w:ascii="Cambria Math" w:hAnsi="Cambria Math" w:cstheme="minorHAnsi"/>
                        <w:szCs w:val="24"/>
                      </w:rPr>
                      <m:t>j</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z</m:t>
                    </m:r>
                  </m:sub>
                  <m:sup>
                    <m:r>
                      <w:rPr>
                        <w:rFonts w:ascii="Cambria Math" w:hAnsi="Cambria Math" w:cstheme="minorHAnsi"/>
                        <w:szCs w:val="24"/>
                      </w:rPr>
                      <m:t>j</m:t>
                    </m:r>
                  </m:sup>
                </m:sSubSup>
                <m:acc>
                  <m:accPr>
                    <m:chr m:val="̃"/>
                    <m:ctrlPr>
                      <w:rPr>
                        <w:rFonts w:ascii="Cambria Math" w:hAnsi="Cambria Math" w:cstheme="minorHAnsi"/>
                        <w:i/>
                        <w:szCs w:val="24"/>
                      </w:rPr>
                    </m:ctrlPr>
                  </m:accPr>
                  <m:e>
                    <m:r>
                      <w:rPr>
                        <w:rFonts w:ascii="Cambria Math" w:hAnsi="Cambria Math" w:cstheme="minorHAnsi"/>
                        <w:szCs w:val="24"/>
                      </w:rPr>
                      <m:t>z</m:t>
                    </m:r>
                  </m:e>
                </m:acc>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χ</m:t>
                    </m:r>
                  </m:e>
                  <m:sub>
                    <m:r>
                      <w:rPr>
                        <w:rFonts w:ascii="Cambria Math" w:hAnsi="Cambria Math" w:cstheme="minorHAnsi"/>
                        <w:szCs w:val="24"/>
                      </w:rPr>
                      <m:t>r,t</m:t>
                    </m:r>
                  </m:sub>
                  <m:sup>
                    <m:r>
                      <w:rPr>
                        <w:rFonts w:ascii="Cambria Math" w:hAnsi="Cambria Math" w:cstheme="minorHAnsi"/>
                        <w:szCs w:val="24"/>
                      </w:rPr>
                      <m:t>j,k</m:t>
                    </m:r>
                  </m:sup>
                </m:sSubSup>
                <m:r>
                  <w:rPr>
                    <w:rFonts w:ascii="Cambria Math" w:hAnsi="Cambria Math"/>
                    <w:szCs w:val="24"/>
                  </w:rPr>
                  <m:t xml:space="preserve">,  </m:t>
                </m:r>
                <m:sSubSup>
                  <m:sSubSupPr>
                    <m:ctrlPr>
                      <w:rPr>
                        <w:rFonts w:ascii="Cambria Math" w:hAnsi="Cambria Math" w:cstheme="minorHAnsi"/>
                        <w:i/>
                        <w:szCs w:val="24"/>
                      </w:rPr>
                    </m:ctrlPr>
                  </m:sSubSupPr>
                  <m:e>
                    <m:acc>
                      <m:accPr>
                        <m:ctrlPr>
                          <w:rPr>
                            <w:rFonts w:ascii="Cambria Math" w:hAnsi="Cambria Math" w:cstheme="minorHAnsi"/>
                            <w:i/>
                            <w:szCs w:val="24"/>
                          </w:rPr>
                        </m:ctrlPr>
                      </m:accPr>
                      <m:e>
                        <m:r>
                          <w:rPr>
                            <w:rFonts w:ascii="Cambria Math" w:hAnsi="Cambria Math" w:cstheme="minorHAnsi"/>
                            <w:szCs w:val="24"/>
                          </w:rPr>
                          <m:t>χ</m:t>
                        </m:r>
                      </m:e>
                    </m:acc>
                  </m:e>
                  <m:sub>
                    <m:r>
                      <w:rPr>
                        <w:rFonts w:ascii="Cambria Math" w:hAnsi="Cambria Math" w:cstheme="minorHAnsi"/>
                        <w:szCs w:val="24"/>
                      </w:rPr>
                      <m:t>r,t</m:t>
                    </m:r>
                  </m:sub>
                  <m:sup>
                    <m:r>
                      <w:rPr>
                        <w:rFonts w:ascii="Cambria Math" w:hAnsi="Cambria Math" w:cstheme="minorHAnsi"/>
                        <w:szCs w:val="24"/>
                      </w:rPr>
                      <m:t>j</m:t>
                    </m:r>
                  </m:sup>
                </m:sSubSup>
                <m:r>
                  <w:rPr>
                    <w:rFonts w:ascii="Cambria Math" w:hAnsi="Cambria Math"/>
                  </w:rPr>
                  <m:t>=</m:t>
                </m:r>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0</m:t>
                    </m:r>
                  </m:sub>
                  <m:sup>
                    <m:r>
                      <w:rPr>
                        <w:rFonts w:ascii="Cambria Math" w:hAnsi="Cambria Math" w:cstheme="minorHAnsi"/>
                        <w:szCs w:val="24"/>
                      </w:rPr>
                      <m:t>j,k</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1</m:t>
                    </m:r>
                  </m:sub>
                  <m:sup>
                    <m:r>
                      <w:rPr>
                        <w:rFonts w:ascii="Cambria Math" w:hAnsi="Cambria Math" w:cstheme="minorHAnsi"/>
                        <w:szCs w:val="24"/>
                      </w:rPr>
                      <m:t>j,k</m:t>
                    </m:r>
                  </m:sup>
                </m:sSubSup>
                <m:sSubSup>
                  <m:sSubSupPr>
                    <m:ctrlPr>
                      <w:rPr>
                        <w:rFonts w:ascii="Cambria Math" w:hAnsi="Cambria Math" w:cstheme="minorHAnsi"/>
                        <w:i/>
                        <w:szCs w:val="24"/>
                      </w:rPr>
                    </m:ctrlPr>
                  </m:sSubSupPr>
                  <m:e>
                    <m:acc>
                      <m:accPr>
                        <m:chr m:val="̃"/>
                        <m:ctrlPr>
                          <w:rPr>
                            <w:rFonts w:ascii="Cambria Math" w:hAnsi="Cambria Math" w:cstheme="minorHAnsi"/>
                            <w:i/>
                            <w:szCs w:val="24"/>
                          </w:rPr>
                        </m:ctrlPr>
                      </m:accPr>
                      <m:e>
                        <m:r>
                          <w:rPr>
                            <w:rFonts w:ascii="Cambria Math" w:hAnsi="Cambria Math" w:cstheme="minorHAnsi"/>
                            <w:szCs w:val="24"/>
                          </w:rPr>
                          <m:t>y</m:t>
                        </m:r>
                      </m:e>
                    </m:acc>
                  </m:e>
                  <m:sub>
                    <m:r>
                      <w:rPr>
                        <w:rFonts w:ascii="Cambria Math" w:hAnsi="Cambria Math" w:cstheme="minorHAnsi"/>
                        <w:szCs w:val="24"/>
                      </w:rPr>
                      <m:t>r,t</m:t>
                    </m:r>
                  </m:sub>
                  <m:sup>
                    <m:r>
                      <w:rPr>
                        <w:rFonts w:ascii="Cambria Math" w:hAnsi="Cambria Math" w:cstheme="minorHAnsi"/>
                        <w:szCs w:val="24"/>
                      </w:rPr>
                      <m:t>k</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v</m:t>
                    </m:r>
                  </m:e>
                  <m:sub>
                    <m:r>
                      <w:rPr>
                        <w:rFonts w:ascii="Cambria Math" w:hAnsi="Cambria Math" w:cstheme="minorHAnsi"/>
                        <w:szCs w:val="24"/>
                      </w:rPr>
                      <m:t>r,t</m:t>
                    </m:r>
                  </m:sub>
                  <m:sup>
                    <m:r>
                      <w:rPr>
                        <w:rFonts w:ascii="Cambria Math" w:hAnsi="Cambria Math" w:cstheme="minorHAnsi"/>
                        <w:szCs w:val="24"/>
                      </w:rPr>
                      <m:t>j,k</m:t>
                    </m:r>
                  </m:sup>
                </m:sSubSup>
              </m:oMath>
            </m:oMathPara>
          </w:p>
          <w:p w14:paraId="32B0154F" w14:textId="1F10DB63" w:rsidR="0055149C" w:rsidRPr="0055149C" w:rsidRDefault="0072545C" w:rsidP="009238AE">
            <w:pPr>
              <w:pStyle w:val="KeyMsgBoxText"/>
              <w:keepNext/>
            </w:pPr>
            <w:r>
              <w:t xml:space="preserve">der </w:t>
            </w:r>
            <m:oMath>
              <m:sSubSup>
                <m:sSubSupPr>
                  <m:ctrlPr>
                    <w:rPr>
                      <w:rFonts w:ascii="Cambria Math" w:hAnsi="Cambria Math" w:cstheme="minorHAnsi"/>
                      <w:i/>
                      <w:szCs w:val="24"/>
                    </w:rPr>
                  </m:ctrlPr>
                </m:sSubSupPr>
                <m:e>
                  <m:r>
                    <w:rPr>
                      <w:rFonts w:ascii="Cambria Math" w:hAnsi="Cambria Math" w:cstheme="minorHAnsi"/>
                      <w:szCs w:val="24"/>
                    </w:rPr>
                    <m:t>χ</m:t>
                  </m:r>
                </m:e>
                <m:sub>
                  <m:r>
                    <w:rPr>
                      <w:rFonts w:ascii="Cambria Math" w:hAnsi="Cambria Math" w:cstheme="minorHAnsi"/>
                      <w:szCs w:val="24"/>
                    </w:rPr>
                    <m:t>r,t</m:t>
                  </m:r>
                </m:sub>
                <m:sup>
                  <m:r>
                    <w:rPr>
                      <w:rFonts w:ascii="Cambria Math" w:hAnsi="Cambria Math" w:cstheme="minorHAnsi"/>
                      <w:szCs w:val="24"/>
                    </w:rPr>
                    <m:t>j,k</m:t>
                  </m:r>
                </m:sup>
              </m:sSubSup>
            </m:oMath>
            <w:r>
              <w:rPr>
                <w:szCs w:val="24"/>
              </w:rPr>
              <w:t xml:space="preserve"> er residualen</w:t>
            </w:r>
            <w:r w:rsidR="003B0C34">
              <w:rPr>
                <w:szCs w:val="24"/>
              </w:rPr>
              <w:t xml:space="preserve"> fra første steg og utfallsvariabelen i andre steg, mens </w:t>
            </w:r>
            <m:oMath>
              <m:sSubSup>
                <m:sSubSupPr>
                  <m:ctrlPr>
                    <w:rPr>
                      <w:rFonts w:ascii="Cambria Math" w:hAnsi="Cambria Math" w:cstheme="minorHAnsi"/>
                      <w:i/>
                      <w:szCs w:val="24"/>
                    </w:rPr>
                  </m:ctrlPr>
                </m:sSubSupPr>
                <m:e>
                  <m:r>
                    <w:rPr>
                      <w:rFonts w:ascii="Cambria Math" w:hAnsi="Cambria Math" w:cstheme="minorHAnsi"/>
                      <w:szCs w:val="24"/>
                    </w:rPr>
                    <m:t>v</m:t>
                  </m:r>
                </m:e>
                <m:sub>
                  <m:r>
                    <w:rPr>
                      <w:rFonts w:ascii="Cambria Math" w:hAnsi="Cambria Math" w:cstheme="minorHAnsi"/>
                      <w:szCs w:val="24"/>
                    </w:rPr>
                    <m:t>r,t</m:t>
                  </m:r>
                </m:sub>
                <m:sup>
                  <m:r>
                    <w:rPr>
                      <w:rFonts w:ascii="Cambria Math" w:hAnsi="Cambria Math" w:cstheme="minorHAnsi"/>
                      <w:szCs w:val="24"/>
                    </w:rPr>
                    <m:t>j,k</m:t>
                  </m:r>
                </m:sup>
              </m:sSubSup>
            </m:oMath>
            <w:r w:rsidR="003B0C34">
              <w:rPr>
                <w:szCs w:val="24"/>
              </w:rPr>
              <w:t xml:space="preserve"> er residualen i andre steg. Videre er</w:t>
            </w:r>
            <w:r>
              <w:t xml:space="preserve"> </w:t>
            </w:r>
            <m:oMath>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0</m:t>
                  </m:r>
                </m:sub>
                <m:sup>
                  <m:r>
                    <w:rPr>
                      <w:rFonts w:ascii="Cambria Math" w:hAnsi="Cambria Math" w:cstheme="minorHAnsi"/>
                      <w:szCs w:val="24"/>
                    </w:rPr>
                    <m:t>j</m:t>
                  </m:r>
                </m:sup>
              </m:sSubSup>
            </m:oMath>
            <w:r>
              <w:rPr>
                <w:szCs w:val="24"/>
              </w:rPr>
              <w:t xml:space="preserve">, </w:t>
            </w:r>
            <m:oMath>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z</m:t>
                  </m:r>
                </m:sub>
                <m:sup>
                  <m:r>
                    <w:rPr>
                      <w:rFonts w:ascii="Cambria Math" w:hAnsi="Cambria Math" w:cstheme="minorHAnsi"/>
                      <w:szCs w:val="24"/>
                    </w:rPr>
                    <m:t>j</m:t>
                  </m:r>
                </m:sup>
              </m:sSubSup>
            </m:oMath>
            <w:r w:rsidR="003B0C34">
              <w:rPr>
                <w:szCs w:val="24"/>
              </w:rPr>
              <w:t xml:space="preserve">, </w:t>
            </w:r>
            <m:oMath>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0</m:t>
                  </m:r>
                </m:sub>
                <m:sup>
                  <m:r>
                    <w:rPr>
                      <w:rFonts w:ascii="Cambria Math" w:hAnsi="Cambria Math" w:cstheme="minorHAnsi"/>
                      <w:szCs w:val="24"/>
                    </w:rPr>
                    <m:t>j,k</m:t>
                  </m:r>
                </m:sup>
              </m:sSubSup>
            </m:oMath>
            <w:r w:rsidR="003B0C34">
              <w:rPr>
                <w:szCs w:val="24"/>
              </w:rPr>
              <w:t xml:space="preserve"> og </w:t>
            </w:r>
            <m:oMath>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1</m:t>
                  </m:r>
                </m:sub>
                <m:sup>
                  <m:r>
                    <w:rPr>
                      <w:rFonts w:ascii="Cambria Math" w:hAnsi="Cambria Math" w:cstheme="minorHAnsi"/>
                      <w:szCs w:val="24"/>
                    </w:rPr>
                    <m:t>j,k</m:t>
                  </m:r>
                </m:sup>
              </m:sSubSup>
            </m:oMath>
            <w:r w:rsidR="003B0C34">
              <w:rPr>
                <w:szCs w:val="24"/>
              </w:rPr>
              <w:t xml:space="preserve"> regresjonskoeffisienter</w:t>
            </w:r>
            <w:r w:rsidR="00153DF5">
              <w:rPr>
                <w:szCs w:val="24"/>
              </w:rPr>
              <w:t>.</w:t>
            </w:r>
            <w:r w:rsidR="00456E1B">
              <w:t xml:space="preserve"> </w:t>
            </w:r>
            <w:r w:rsidR="00456E1B" w:rsidRPr="00456E1B">
              <w:rPr>
                <w:szCs w:val="24"/>
              </w:rPr>
              <w:t xml:space="preserve">Strengt tatt </w:t>
            </w:r>
            <w:r w:rsidR="00456E1B">
              <w:rPr>
                <w:szCs w:val="24"/>
              </w:rPr>
              <w:t>burde de to stegene vært estimert</w:t>
            </w:r>
            <w:r w:rsidR="00456E1B" w:rsidRPr="00456E1B">
              <w:rPr>
                <w:szCs w:val="24"/>
              </w:rPr>
              <w:t xml:space="preserve"> simultant</w:t>
            </w:r>
            <w:r w:rsidR="00456E1B">
              <w:rPr>
                <w:szCs w:val="24"/>
              </w:rPr>
              <w:t xml:space="preserve"> for å sikre høyest mulig estimeringseffektivitet, men separat estimering av stegene anses som tilstrekkelig når formålet er å kartlegge korrelasjonsmønstre.</w:t>
            </w:r>
          </w:p>
        </w:tc>
      </w:tr>
    </w:tbl>
    <w:p w14:paraId="103AD801" w14:textId="77777777" w:rsidR="002F7BA1" w:rsidRPr="0055149C" w:rsidRDefault="002F7BA1" w:rsidP="002F7BA1">
      <w:pPr>
        <w:pStyle w:val="Source"/>
        <w:rPr>
          <w:lang w:eastAsia="nb-NO"/>
        </w:rPr>
      </w:pPr>
      <w:r w:rsidRPr="0055149C">
        <w:rPr>
          <w:lang w:eastAsia="nb-NO"/>
        </w:rPr>
        <w:t>Kilde: Vista Analyse</w:t>
      </w:r>
    </w:p>
    <w:p w14:paraId="5C3AA8D5" w14:textId="16373D10" w:rsidR="00A568BE" w:rsidRDefault="00B82819" w:rsidP="002F7BA1">
      <w:pPr>
        <w:rPr>
          <w:lang w:eastAsia="nb-NO"/>
        </w:rPr>
      </w:pPr>
      <w:r>
        <w:rPr>
          <w:lang w:eastAsia="nb-NO"/>
        </w:rPr>
        <w:lastRenderedPageBreak/>
        <w:t xml:space="preserve">I de siste regresjonsanalysene estimerer vi innvirkningen av kriteriene i </w:t>
      </w:r>
      <w:r w:rsidR="0072623D">
        <w:rPr>
          <w:lang w:eastAsia="nb-NO"/>
        </w:rPr>
        <w:t xml:space="preserve">utgiftsutjevningen i </w:t>
      </w:r>
      <w:r>
        <w:rPr>
          <w:lang w:eastAsia="nb-NO"/>
        </w:rPr>
        <w:t>inntektssystemet</w:t>
      </w:r>
      <w:r w:rsidR="0072623D">
        <w:rPr>
          <w:lang w:eastAsia="nb-NO"/>
        </w:rPr>
        <w:t xml:space="preserve"> for</w:t>
      </w:r>
      <w:r>
        <w:rPr>
          <w:lang w:eastAsia="nb-NO"/>
        </w:rPr>
        <w:t xml:space="preserve"> primærkommunene og frie inntekter </w:t>
      </w:r>
      <w:r w:rsidR="001060BB">
        <w:rPr>
          <w:lang w:eastAsia="nb-NO"/>
        </w:rPr>
        <w:t>på kapitalkostnadsmål og mål for løpende bruttodriftskostnader</w:t>
      </w:r>
      <w:r w:rsidR="00A568BE">
        <w:rPr>
          <w:lang w:eastAsia="nb-NO"/>
        </w:rPr>
        <w:t>, der alle variabler er normalisert per innbygger</w:t>
      </w:r>
      <w:r w:rsidR="001060BB">
        <w:rPr>
          <w:lang w:eastAsia="nb-NO"/>
        </w:rPr>
        <w:t>.</w:t>
      </w:r>
      <w:r w:rsidR="00DE7821">
        <w:rPr>
          <w:lang w:eastAsia="nb-NO"/>
        </w:rPr>
        <w:t xml:space="preserve"> Disse regresjonene </w:t>
      </w:r>
      <w:r w:rsidR="00A568BE">
        <w:rPr>
          <w:lang w:eastAsia="nb-NO"/>
        </w:rPr>
        <w:t>er i grove trekk</w:t>
      </w:r>
      <w:r w:rsidR="00DE7821">
        <w:rPr>
          <w:lang w:eastAsia="nb-NO"/>
        </w:rPr>
        <w:t xml:space="preserve"> </w:t>
      </w:r>
      <w:r w:rsidR="00A568BE">
        <w:rPr>
          <w:lang w:eastAsia="nb-NO"/>
        </w:rPr>
        <w:t xml:space="preserve">parallell med </w:t>
      </w:r>
      <w:r w:rsidR="00DE7821">
        <w:rPr>
          <w:lang w:eastAsia="nb-NO"/>
        </w:rPr>
        <w:t xml:space="preserve">regresjonene som ligger til grunn for </w:t>
      </w:r>
      <w:r w:rsidR="00874E34">
        <w:rPr>
          <w:lang w:eastAsia="nb-NO"/>
        </w:rPr>
        <w:t xml:space="preserve">utgiftsutjevningen </w:t>
      </w:r>
      <w:r w:rsidR="00DE7821">
        <w:rPr>
          <w:lang w:eastAsia="nb-NO"/>
        </w:rPr>
        <w:t>for primærkommunene, men med både alternative kostnadsmål til bruttodriftsutgifter, samt dekomponering av kostnadsmålene. I tillegg</w:t>
      </w:r>
      <w:r w:rsidR="00A568BE">
        <w:rPr>
          <w:lang w:eastAsia="nb-NO"/>
        </w:rPr>
        <w:t xml:space="preserve"> avviker sektorinndelingene noe på grunn av at vår kapitalestimering følger de aggregerte tjenestefunksjonene i </w:t>
      </w:r>
      <w:r w:rsidR="008E7E43">
        <w:rPr>
          <w:lang w:eastAsia="nb-NO"/>
        </w:rPr>
        <w:t>KOSTRA</w:t>
      </w:r>
      <w:r w:rsidR="00A568BE">
        <w:rPr>
          <w:lang w:eastAsia="nb-NO"/>
        </w:rPr>
        <w:t xml:space="preserve"> snarere enn sektorinndelingen i inntektssystemet. En redegjørelse for våre økonometriske analyser av valg av kostnadsmål og kriteriene i det kommunale </w:t>
      </w:r>
      <w:r w:rsidR="00874E34">
        <w:rPr>
          <w:lang w:eastAsia="nb-NO"/>
        </w:rPr>
        <w:t xml:space="preserve">utgiftsutjevningen </w:t>
      </w:r>
      <w:r w:rsidR="00A568BE">
        <w:rPr>
          <w:lang w:eastAsia="nb-NO"/>
        </w:rPr>
        <w:t xml:space="preserve">er gitt i </w:t>
      </w:r>
      <w:r w:rsidR="00A568BE">
        <w:rPr>
          <w:lang w:eastAsia="nb-NO"/>
        </w:rPr>
        <w:fldChar w:fldCharType="begin"/>
      </w:r>
      <w:r w:rsidR="00A568BE">
        <w:rPr>
          <w:lang w:eastAsia="nb-NO"/>
        </w:rPr>
        <w:instrText xml:space="preserve"> REF _Ref177127307 \h </w:instrText>
      </w:r>
      <w:r w:rsidR="00A568BE">
        <w:rPr>
          <w:lang w:eastAsia="nb-NO"/>
        </w:rPr>
      </w:r>
      <w:r w:rsidR="00A568BE">
        <w:rPr>
          <w:lang w:eastAsia="nb-NO"/>
        </w:rPr>
        <w:fldChar w:fldCharType="separate"/>
      </w:r>
      <w:r w:rsidR="009B1DA8" w:rsidRPr="0055149C">
        <w:t xml:space="preserve">Tekstboks </w:t>
      </w:r>
      <w:r w:rsidR="009B1DA8">
        <w:rPr>
          <w:noProof/>
        </w:rPr>
        <w:t>3</w:t>
      </w:r>
      <w:r w:rsidR="009B1DA8" w:rsidRPr="0055149C">
        <w:t>.</w:t>
      </w:r>
      <w:r w:rsidR="009B1DA8">
        <w:rPr>
          <w:noProof/>
        </w:rPr>
        <w:t>3</w:t>
      </w:r>
      <w:r w:rsidR="00A568BE">
        <w:rPr>
          <w:lang w:eastAsia="nb-NO"/>
        </w:rPr>
        <w:fldChar w:fldCharType="end"/>
      </w:r>
      <w:r w:rsidR="00A568BE">
        <w:rPr>
          <w:lang w:eastAsia="nb-NO"/>
        </w:rPr>
        <w:t>.</w:t>
      </w:r>
    </w:p>
    <w:tbl>
      <w:tblPr>
        <w:tblW w:w="8505" w:type="dxa"/>
        <w:tblLayout w:type="fixed"/>
        <w:tblCellMar>
          <w:left w:w="0" w:type="dxa"/>
          <w:right w:w="0" w:type="dxa"/>
        </w:tblCellMar>
        <w:tblLook w:val="04A0" w:firstRow="1" w:lastRow="0" w:firstColumn="1" w:lastColumn="0" w:noHBand="0" w:noVBand="1"/>
      </w:tblPr>
      <w:tblGrid>
        <w:gridCol w:w="8505"/>
      </w:tblGrid>
      <w:tr w:rsidR="001060BB" w:rsidRPr="0055149C" w14:paraId="14AE4EE2" w14:textId="77777777" w:rsidTr="009238AE">
        <w:tc>
          <w:tcPr>
            <w:tcW w:w="8505" w:type="dxa"/>
            <w:tcBorders>
              <w:bottom w:val="single" w:sz="2" w:space="0" w:color="162F5C" w:themeColor="accent1"/>
            </w:tcBorders>
          </w:tcPr>
          <w:p w14:paraId="086B3A75" w14:textId="58A650B3" w:rsidR="001060BB" w:rsidRPr="0055149C" w:rsidRDefault="001060BB" w:rsidP="00DE7821">
            <w:pPr>
              <w:pStyle w:val="CaptionTextframe"/>
            </w:pPr>
            <w:bookmarkStart w:id="82" w:name="_Ref177127307"/>
            <w:r w:rsidRPr="0055149C">
              <w:t xml:space="preserve">Tekstboks </w:t>
            </w:r>
            <w:fldSimple w:instr=" STYLEREF 1 \s ">
              <w:r w:rsidR="009B1DA8">
                <w:rPr>
                  <w:noProof/>
                </w:rPr>
                <w:t>3</w:t>
              </w:r>
            </w:fldSimple>
            <w:r w:rsidRPr="0055149C">
              <w:t>.</w:t>
            </w:r>
            <w:fldSimple w:instr=" SEQ Tekstboks \* ARABIC \s 1 ">
              <w:r w:rsidR="009B1DA8">
                <w:rPr>
                  <w:noProof/>
                </w:rPr>
                <w:t>3</w:t>
              </w:r>
            </w:fldSimple>
            <w:bookmarkEnd w:id="82"/>
            <w:r w:rsidRPr="0055149C">
              <w:tab/>
              <w:t xml:space="preserve">Økonometrisk analyse av </w:t>
            </w:r>
            <w:r w:rsidR="00DE7821" w:rsidRPr="00DE7821">
              <w:t>kriteriene i inntektssystemet i primærkommunene</w:t>
            </w:r>
            <w:r w:rsidR="00DE7821">
              <w:t xml:space="preserve"> innvirkning på </w:t>
            </w:r>
            <w:r w:rsidR="00DE7821" w:rsidRPr="00DE7821">
              <w:t>kapitalkostnadsmål og mål for løpende bruttodriftskostnader</w:t>
            </w:r>
            <w:r w:rsidR="00DE7821">
              <w:t>, gitt omfanget av frie inntekter</w:t>
            </w:r>
          </w:p>
        </w:tc>
      </w:tr>
      <w:tr w:rsidR="001060BB" w:rsidRPr="0055149C" w14:paraId="4EBE2EA7" w14:textId="77777777" w:rsidTr="009238AE">
        <w:tc>
          <w:tcPr>
            <w:tcW w:w="8505" w:type="dxa"/>
            <w:tcBorders>
              <w:top w:val="single" w:sz="2" w:space="0" w:color="162F5C" w:themeColor="accent1"/>
              <w:bottom w:val="single" w:sz="2" w:space="0" w:color="162F5C" w:themeColor="accent1"/>
            </w:tcBorders>
          </w:tcPr>
          <w:p w14:paraId="6446BFB4" w14:textId="3B61A9EB" w:rsidR="009C6D42" w:rsidRDefault="009C6D42" w:rsidP="009238AE">
            <w:pPr>
              <w:pStyle w:val="KeyMsgBoxText"/>
              <w:keepNext/>
            </w:pPr>
            <w:r>
              <w:t xml:space="preserve">De sektorielle kriterievektene i </w:t>
            </w:r>
            <w:r w:rsidR="00A7167B">
              <w:rPr>
                <w:lang w:eastAsia="nb-NO"/>
              </w:rPr>
              <w:t xml:space="preserve">utgiftsutjevningen i </w:t>
            </w:r>
            <w:r>
              <w:t>inntektssystemet for primærkommunene er beregnet med økonometrisk analyse med sektorielle systemkriterier som forklaringsvariabler, samlede frie inntekter som kontrollvariabel og bruttodriftsutgifter som utfallsvariabler. Samtlige variabler er normalisert per innbygger. I praksis velges systemkriteriene som benyttes for en gitt sektor ved utprøving, men i våre analyser vil vi ta utvalget av kriterier for hver sektor for gitt.</w:t>
            </w:r>
          </w:p>
          <w:p w14:paraId="68F86E06" w14:textId="68288BFA" w:rsidR="009C6D42" w:rsidRDefault="009C6D42" w:rsidP="009238AE">
            <w:pPr>
              <w:pStyle w:val="KeyMsgBoxText"/>
              <w:keepNext/>
            </w:pPr>
            <w:r>
              <w:t xml:space="preserve">I våre tilsvarende økonometriske analyser </w:t>
            </w:r>
            <w:r w:rsidR="00C641BE">
              <w:t>benytter vi alternative kostnadsmål som til dels inkluderer kapitalkostnader eller dekomponerer kostnadene som utfallsvariabler.</w:t>
            </w:r>
          </w:p>
          <w:p w14:paraId="0743BE66" w14:textId="790991C0" w:rsidR="00C641BE" w:rsidRDefault="00DE7821" w:rsidP="009238AE">
            <w:pPr>
              <w:pStyle w:val="KeyMsgBoxText"/>
              <w:keepNext/>
            </w:pPr>
            <w:r>
              <w:rPr>
                <w:szCs w:val="24"/>
              </w:rPr>
              <w:t xml:space="preserve">For funksjon </w:t>
            </w:r>
            <m:oMath>
              <m:r>
                <w:rPr>
                  <w:rFonts w:ascii="Cambria Math" w:hAnsi="Cambria Math"/>
                  <w:szCs w:val="24"/>
                </w:rPr>
                <m:t>i</m:t>
              </m:r>
            </m:oMath>
            <w:r>
              <w:t xml:space="preserve"> i </w:t>
            </w:r>
            <w:r>
              <w:rPr>
                <w:szCs w:val="24"/>
              </w:rPr>
              <w:t xml:space="preserve">kommune </w:t>
            </w:r>
            <m:oMath>
              <m:r>
                <w:rPr>
                  <w:rFonts w:ascii="Cambria Math" w:hAnsi="Cambria Math"/>
                </w:rPr>
                <m:t>r</m:t>
              </m:r>
            </m:oMath>
            <w:r>
              <w:t xml:space="preserve"> i år </w:t>
            </w:r>
            <m:oMath>
              <m:r>
                <w:rPr>
                  <w:rFonts w:ascii="Cambria Math" w:hAnsi="Cambria Math"/>
                </w:rPr>
                <m:t>t</m:t>
              </m:r>
            </m:oMath>
            <w:r>
              <w:t xml:space="preserve"> lar vi </w:t>
            </w:r>
            <m:oMath>
              <m:sSubSup>
                <m:sSubSupPr>
                  <m:ctrlPr>
                    <w:rPr>
                      <w:rFonts w:ascii="Cambria Math" w:hAnsi="Cambria Math"/>
                      <w:i/>
                    </w:rPr>
                  </m:ctrlPr>
                </m:sSubSupPr>
                <m:e>
                  <m:r>
                    <w:rPr>
                      <w:rFonts w:ascii="Cambria Math" w:hAnsi="Cambria Math"/>
                    </w:rPr>
                    <m:t>x</m:t>
                  </m:r>
                </m:e>
                <m:sub>
                  <m:r>
                    <w:rPr>
                      <w:rFonts w:ascii="Cambria Math" w:hAnsi="Cambria Math"/>
                    </w:rPr>
                    <m:t>i,r,t</m:t>
                  </m:r>
                </m:sub>
                <m:sup>
                  <m:r>
                    <w:rPr>
                      <w:rFonts w:ascii="Cambria Math" w:hAnsi="Cambria Math"/>
                    </w:rPr>
                    <m:t>k</m:t>
                  </m:r>
                </m:sup>
              </m:sSubSup>
            </m:oMath>
            <w:r>
              <w:t xml:space="preserve"> være kovariat </w:t>
            </w:r>
            <m:oMath>
              <m:r>
                <w:rPr>
                  <w:rFonts w:ascii="Cambria Math" w:hAnsi="Cambria Math"/>
                </w:rPr>
                <m:t>k</m:t>
              </m:r>
            </m:oMath>
            <w:r w:rsidR="00C641BE">
              <w:t xml:space="preserve"> per innbygger med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i,r,t</m:t>
                  </m:r>
                </m:sub>
              </m:sSub>
              <m:r>
                <m:rPr>
                  <m:sty m:val="bi"/>
                </m:rPr>
                <w:rPr>
                  <w:rFonts w:ascii="Cambria Math" w:hAnsi="Cambria Math"/>
                </w:rPr>
                <m:t>=</m:t>
              </m:r>
              <m:d>
                <m:dPr>
                  <m:begChr m:val="{"/>
                  <m:endChr m:val="}"/>
                  <m:ctrlPr>
                    <w:rPr>
                      <w:rFonts w:ascii="Cambria Math" w:hAnsi="Cambria Math"/>
                      <w:b/>
                      <w:bCs/>
                      <w:i/>
                    </w:rPr>
                  </m:ctrlPr>
                </m:dPr>
                <m:e>
                  <m:sSubSup>
                    <m:sSubSupPr>
                      <m:ctrlPr>
                        <w:rPr>
                          <w:rFonts w:ascii="Cambria Math" w:hAnsi="Cambria Math"/>
                          <w:i/>
                        </w:rPr>
                      </m:ctrlPr>
                    </m:sSubSupPr>
                    <m:e>
                      <m:r>
                        <w:rPr>
                          <w:rFonts w:ascii="Cambria Math" w:hAnsi="Cambria Math"/>
                        </w:rPr>
                        <m:t>x</m:t>
                      </m:r>
                    </m:e>
                    <m:sub>
                      <m:r>
                        <w:rPr>
                          <w:rFonts w:ascii="Cambria Math" w:hAnsi="Cambria Math"/>
                        </w:rPr>
                        <m:t>i,r,t</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i,r,t</m:t>
                      </m:r>
                    </m:sub>
                    <m:sup>
                      <m:r>
                        <w:rPr>
                          <w:rFonts w:ascii="Cambria Math" w:hAnsi="Cambria Math"/>
                        </w:rPr>
                        <m:t>K</m:t>
                      </m:r>
                    </m:sup>
                  </m:sSubSup>
                </m:e>
              </m:d>
            </m:oMath>
            <w:r w:rsidR="00C641BE">
              <w:rPr>
                <w:b/>
                <w:bCs/>
              </w:rPr>
              <w:t xml:space="preserve"> </w:t>
            </w:r>
            <w:r w:rsidR="00C641BE" w:rsidRPr="00C641BE">
              <w:t>og</w:t>
            </w:r>
            <w:r w:rsidR="00C641BE">
              <w:t xml:space="preserve"> </w:t>
            </w:r>
            <m:oMath>
              <m:r>
                <w:rPr>
                  <w:rFonts w:ascii="Cambria Math" w:hAnsi="Cambria Math"/>
                </w:rPr>
                <m:t>k∈</m:t>
              </m:r>
              <m:d>
                <m:dPr>
                  <m:begChr m:val="{"/>
                  <m:endChr m:val="}"/>
                  <m:ctrlPr>
                    <w:rPr>
                      <w:rFonts w:ascii="Cambria Math" w:hAnsi="Cambria Math"/>
                      <w:b/>
                      <w:bCs/>
                      <w:i/>
                    </w:rPr>
                  </m:ctrlPr>
                </m:dPr>
                <m:e>
                  <m:r>
                    <w:rPr>
                      <w:rFonts w:ascii="Cambria Math" w:hAnsi="Cambria Math"/>
                    </w:rPr>
                    <m:t>1,…,K</m:t>
                  </m:r>
                </m:e>
              </m:d>
            </m:oMath>
            <w:r w:rsidR="00C641BE">
              <w:rPr>
                <w:b/>
                <w:bCs/>
              </w:rPr>
              <w:t xml:space="preserve"> </w:t>
            </w:r>
            <w:r w:rsidR="00C641BE" w:rsidRPr="00C641BE">
              <w:t>kovariater</w:t>
            </w:r>
            <w:r w:rsidR="00C641BE">
              <w:t>,</w:t>
            </w:r>
            <w:r w:rsidR="00C641BE">
              <w:rPr>
                <w:b/>
                <w:bCs/>
              </w:rPr>
              <w:t xml:space="preserve"> </w:t>
            </w:r>
            <w:r w:rsidR="00C641BE">
              <w:t>og</w:t>
            </w:r>
            <w: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i,r,t</m:t>
                  </m:r>
                </m:sub>
                <m:sup>
                  <m:r>
                    <w:rPr>
                      <w:rFonts w:ascii="Cambria Math" w:hAnsi="Cambria Math"/>
                    </w:rPr>
                    <m:t>j</m:t>
                  </m:r>
                </m:sup>
              </m:sSubSup>
            </m:oMath>
            <w:r>
              <w:t xml:space="preserve"> være kostnadsmål </w:t>
            </w:r>
            <m:oMath>
              <m:r>
                <w:rPr>
                  <w:rFonts w:ascii="Cambria Math" w:hAnsi="Cambria Math"/>
                </w:rPr>
                <m:t>j</m:t>
              </m:r>
            </m:oMath>
            <w:r w:rsidR="00C641BE">
              <w:t xml:space="preserve"> per innbygger. Videre lar vi </w:t>
            </w:r>
            <m:oMath>
              <m:sSub>
                <m:sSubPr>
                  <m:ctrlPr>
                    <w:rPr>
                      <w:rFonts w:ascii="Cambria Math" w:hAnsi="Cambria Math"/>
                      <w:i/>
                    </w:rPr>
                  </m:ctrlPr>
                </m:sSubPr>
                <m:e>
                  <m:r>
                    <w:rPr>
                      <w:rFonts w:ascii="Cambria Math" w:hAnsi="Cambria Math"/>
                    </w:rPr>
                    <m:t>z</m:t>
                  </m:r>
                </m:e>
                <m:sub>
                  <m:r>
                    <w:rPr>
                      <w:rFonts w:ascii="Cambria Math" w:hAnsi="Cambria Math"/>
                    </w:rPr>
                    <m:t>r,t</m:t>
                  </m:r>
                </m:sub>
              </m:sSub>
            </m:oMath>
            <w:r w:rsidR="00C641BE">
              <w:t xml:space="preserve"> være en kontroll </w:t>
            </w:r>
            <w:r w:rsidR="00803BE4">
              <w:t xml:space="preserve">for kommune </w:t>
            </w:r>
            <m:oMath>
              <m:r>
                <w:rPr>
                  <w:rFonts w:ascii="Cambria Math" w:hAnsi="Cambria Math"/>
                </w:rPr>
                <m:t>r</m:t>
              </m:r>
            </m:oMath>
            <w:r w:rsidR="00C641BE">
              <w:t xml:space="preserve"> i år </w:t>
            </w:r>
            <m:oMath>
              <m:r>
                <w:rPr>
                  <w:rFonts w:ascii="Cambria Math" w:hAnsi="Cambria Math"/>
                </w:rPr>
                <m:t>t</m:t>
              </m:r>
            </m:oMath>
            <w:r w:rsidR="00C641BE">
              <w:t>, nærmere bestem</w:t>
            </w:r>
            <w:r w:rsidR="003F1055">
              <w:t>t</w:t>
            </w:r>
            <w:r w:rsidR="00C641BE">
              <w:t xml:space="preserve"> frie inntekter per innbygger.</w:t>
            </w:r>
            <w:r w:rsidR="009D7763">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k</m:t>
                  </m:r>
                </m:sup>
              </m:sSubSup>
            </m:oMath>
            <w:r w:rsidR="007E3B4D">
              <w:rPr>
                <w:b/>
                <w:bCs/>
              </w:rPr>
              <w:t xml:space="preserve"> </w:t>
            </w:r>
            <w:r w:rsidR="007E3B4D" w:rsidRPr="007E3B4D">
              <w:t xml:space="preserve">er en dummy som indikerer om kovariat </w:t>
            </w:r>
            <m:oMath>
              <m:r>
                <w:rPr>
                  <w:rFonts w:ascii="Cambria Math" w:hAnsi="Cambria Math"/>
                </w:rPr>
                <m:t>k</m:t>
              </m:r>
            </m:oMath>
            <w:r w:rsidR="007E3B4D" w:rsidRPr="007E3B4D">
              <w:t xml:space="preserve"> inngår blant systemkriteriene for tje</w:t>
            </w:r>
            <w:r w:rsidR="009D7763">
              <w:t>ne</w:t>
            </w:r>
            <w:r w:rsidR="007E3B4D" w:rsidRPr="007E3B4D">
              <w:t xml:space="preserve">stefunksjon </w:t>
            </w:r>
            <m:oMath>
              <m:r>
                <w:rPr>
                  <w:rFonts w:ascii="Cambria Math" w:hAnsi="Cambria Math"/>
                </w:rPr>
                <m:t>i</m:t>
              </m:r>
            </m:oMath>
            <w:r w:rsidR="007E3B4D" w:rsidRPr="007E3B4D">
              <w:t xml:space="preserve"> eller ikke</w:t>
            </w:r>
            <w:r w:rsidR="009D7763">
              <w:t>, oppsummert over kovariater i vektoren</w:t>
            </w:r>
            <w:r w:rsidR="007E3B4D">
              <w:t xml:space="preserve"> med </w:t>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m:t>
              </m:r>
              <m:d>
                <m:dPr>
                  <m:begChr m:val="{"/>
                  <m:endChr m:val="}"/>
                  <m:ctrlPr>
                    <w:rPr>
                      <w:rFonts w:ascii="Cambria Math" w:hAnsi="Cambria Math"/>
                      <w:b/>
                      <w:bCs/>
                      <w:i/>
                    </w:rPr>
                  </m:ctrlPr>
                </m:d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K</m:t>
                      </m:r>
                    </m:sup>
                  </m:sSubSup>
                </m:e>
              </m:d>
            </m:oMath>
            <w:r w:rsidR="009172B1">
              <w:rPr>
                <w:b/>
                <w:bCs/>
              </w:rPr>
              <w:t>.</w:t>
            </w:r>
          </w:p>
          <w:p w14:paraId="47828F17" w14:textId="3BF2243F" w:rsidR="009D7763" w:rsidRDefault="00000000" w:rsidP="009D7763">
            <w:pPr>
              <w:pStyle w:val="KeyMsgBoxText"/>
              <w:keepNext/>
              <w:rPr>
                <w:szCs w:val="24"/>
              </w:rPr>
            </w:pPr>
            <m:oMathPara>
              <m:oMath>
                <m:sSubSup>
                  <m:sSubSupPr>
                    <m:ctrlPr>
                      <w:rPr>
                        <w:rFonts w:ascii="Cambria Math" w:hAnsi="Cambria Math"/>
                        <w:i/>
                      </w:rPr>
                    </m:ctrlPr>
                  </m:sSubSupPr>
                  <m:e>
                    <m:r>
                      <w:rPr>
                        <w:rFonts w:ascii="Cambria Math" w:hAnsi="Cambria Math"/>
                      </w:rPr>
                      <m:t>y</m:t>
                    </m:r>
                  </m:e>
                  <m:sub>
                    <m:r>
                      <w:rPr>
                        <w:rFonts w:ascii="Cambria Math" w:hAnsi="Cambria Math"/>
                      </w:rPr>
                      <m:t>i,r,t</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0</m:t>
                    </m:r>
                  </m:sub>
                  <m:sup>
                    <m:r>
                      <w:rPr>
                        <w:rFonts w:ascii="Cambria Math" w:hAnsi="Cambria Math"/>
                      </w:rPr>
                      <m:t>j</m:t>
                    </m:r>
                  </m:sup>
                </m:sSubSup>
                <m: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i</m:t>
                    </m:r>
                  </m:sub>
                </m:sSub>
                <m:sSubSup>
                  <m:sSubSupPr>
                    <m:ctrlPr>
                      <w:rPr>
                        <w:rFonts w:ascii="Cambria Math" w:hAnsi="Cambria Math"/>
                        <w:b/>
                        <w:bCs/>
                        <w:i/>
                      </w:rPr>
                    </m:ctrlPr>
                  </m:sSubSupPr>
                  <m:e>
                    <m:r>
                      <m:rPr>
                        <m:sty m:val="bi"/>
                      </m:rPr>
                      <w:rPr>
                        <w:rFonts w:ascii="Cambria Math" w:hAnsi="Cambria Math"/>
                      </w:rPr>
                      <m:t>θ</m:t>
                    </m:r>
                  </m:e>
                  <m:sub>
                    <m:r>
                      <m:rPr>
                        <m:sty m:val="bi"/>
                      </m:rPr>
                      <w:rPr>
                        <w:rFonts w:ascii="Cambria Math" w:hAnsi="Cambria Math"/>
                      </w:rPr>
                      <m:t>i,1</m:t>
                    </m:r>
                  </m:sub>
                  <m:sup>
                    <m:r>
                      <m:rPr>
                        <m:sty m:val="bi"/>
                      </m:rPr>
                      <w:rPr>
                        <w:rFonts w:ascii="Cambria Math" w:hAnsi="Cambria Math"/>
                      </w:rPr>
                      <m:t>j</m:t>
                    </m:r>
                  </m:sup>
                </m:sSubSup>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i,r,t</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z</m:t>
                    </m:r>
                  </m:sub>
                  <m:sup>
                    <m:r>
                      <w:rPr>
                        <w:rFonts w:ascii="Cambria Math" w:hAnsi="Cambria Math"/>
                      </w:rPr>
                      <m:t>j</m:t>
                    </m:r>
                  </m:sup>
                </m:sSubSup>
                <m:sSub>
                  <m:sSubPr>
                    <m:ctrlPr>
                      <w:rPr>
                        <w:rFonts w:ascii="Cambria Math" w:hAnsi="Cambria Math"/>
                        <w:i/>
                      </w:rPr>
                    </m:ctrlPr>
                  </m:sSubPr>
                  <m:e>
                    <m:r>
                      <w:rPr>
                        <w:rFonts w:ascii="Cambria Math" w:hAnsi="Cambria Math"/>
                      </w:rPr>
                      <m:t>z</m:t>
                    </m:r>
                  </m:e>
                  <m:sub>
                    <m:r>
                      <w:rPr>
                        <w:rFonts w:ascii="Cambria Math" w:hAnsi="Cambria Math"/>
                      </w:rPr>
                      <m:t>i,r,t</m:t>
                    </m:r>
                  </m:sub>
                </m:sSub>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ε</m:t>
                    </m:r>
                  </m:e>
                  <m:sub>
                    <m:r>
                      <w:rPr>
                        <w:rFonts w:ascii="Cambria Math" w:hAnsi="Cambria Math" w:cstheme="minorHAnsi"/>
                        <w:szCs w:val="24"/>
                      </w:rPr>
                      <m:t>i,r,t</m:t>
                    </m:r>
                  </m:sub>
                  <m:sup>
                    <m:r>
                      <w:rPr>
                        <w:rFonts w:ascii="Cambria Math" w:hAnsi="Cambria Math" w:cstheme="minorHAnsi"/>
                        <w:szCs w:val="24"/>
                      </w:rPr>
                      <m:t>j,k</m:t>
                    </m:r>
                  </m:sup>
                </m:sSubSup>
              </m:oMath>
            </m:oMathPara>
          </w:p>
          <w:p w14:paraId="342061B5" w14:textId="0FD85B92" w:rsidR="00DE7821" w:rsidRPr="002026D7" w:rsidRDefault="002026D7" w:rsidP="009238AE">
            <w:pPr>
              <w:pStyle w:val="KeyMsgBoxText"/>
              <w:keepNext/>
              <w:rPr>
                <w:b/>
                <w:bCs/>
              </w:rPr>
            </w:pPr>
            <w:r>
              <w:t>d</w:t>
            </w:r>
            <w:r w:rsidR="009D7763">
              <w:t>er</w:t>
            </w:r>
            <w:r>
              <w:t xml:space="preserve"> </w:t>
            </w:r>
            <m:oMath>
              <m:sSubSup>
                <m:sSubSupPr>
                  <m:ctrlPr>
                    <w:rPr>
                      <w:rFonts w:ascii="Cambria Math" w:hAnsi="Cambria Math"/>
                      <w:i/>
                    </w:rPr>
                  </m:ctrlPr>
                </m:sSubSupPr>
                <m:e>
                  <m:r>
                    <w:rPr>
                      <w:rFonts w:ascii="Cambria Math" w:hAnsi="Cambria Math"/>
                    </w:rPr>
                    <m:t>θ</m:t>
                  </m:r>
                </m:e>
                <m:sub>
                  <m:r>
                    <w:rPr>
                      <w:rFonts w:ascii="Cambria Math" w:hAnsi="Cambria Math"/>
                    </w:rPr>
                    <m:t>0</m:t>
                  </m:r>
                </m:sub>
                <m:sup>
                  <m:r>
                    <w:rPr>
                      <w:rFonts w:ascii="Cambria Math" w:hAnsi="Cambria Math"/>
                    </w:rPr>
                    <m:t>j</m:t>
                  </m:r>
                </m:sup>
              </m:sSubSup>
            </m:oMath>
            <w:r>
              <w:t xml:space="preserve">, </w:t>
            </w:r>
            <m:oMath>
              <m:sSubSup>
                <m:sSubSupPr>
                  <m:ctrlPr>
                    <w:rPr>
                      <w:rFonts w:ascii="Cambria Math" w:hAnsi="Cambria Math"/>
                      <w:b/>
                      <w:bCs/>
                      <w:i/>
                    </w:rPr>
                  </m:ctrlPr>
                </m:sSubSupPr>
                <m:e>
                  <m:r>
                    <m:rPr>
                      <m:sty m:val="bi"/>
                    </m:rPr>
                    <w:rPr>
                      <w:rFonts w:ascii="Cambria Math" w:hAnsi="Cambria Math"/>
                    </w:rPr>
                    <m:t>θ</m:t>
                  </m:r>
                </m:e>
                <m:sub>
                  <m:r>
                    <m:rPr>
                      <m:sty m:val="bi"/>
                    </m:rPr>
                    <w:rPr>
                      <w:rFonts w:ascii="Cambria Math" w:hAnsi="Cambria Math"/>
                    </w:rPr>
                    <m:t>i,1</m:t>
                  </m:r>
                </m:sub>
                <m:sup>
                  <m:r>
                    <m:rPr>
                      <m:sty m:val="bi"/>
                    </m:rPr>
                    <w:rPr>
                      <w:rFonts w:ascii="Cambria Math" w:hAnsi="Cambria Math"/>
                    </w:rPr>
                    <m:t>j</m:t>
                  </m:r>
                </m:sup>
              </m:sSubSup>
              <m:r>
                <m:rPr>
                  <m:sty m:val="bi"/>
                </m:rPr>
                <w:rPr>
                  <w:rFonts w:ascii="Cambria Math" w:hAnsi="Cambria Math"/>
                </w:rPr>
                <m:t>=</m:t>
              </m:r>
              <m:d>
                <m:dPr>
                  <m:begChr m:val="{"/>
                  <m:endChr m:val="}"/>
                  <m:ctrlPr>
                    <w:rPr>
                      <w:rFonts w:ascii="Cambria Math" w:hAnsi="Cambria Math"/>
                      <w:b/>
                      <w:bCs/>
                      <w:i/>
                    </w:rPr>
                  </m:ctrlPr>
                </m:dPr>
                <m:e>
                  <m:sSubSup>
                    <m:sSubSupPr>
                      <m:ctrlPr>
                        <w:rPr>
                          <w:rFonts w:ascii="Cambria Math" w:hAnsi="Cambria Math"/>
                          <w:i/>
                        </w:rPr>
                      </m:ctrlPr>
                    </m:sSubSupPr>
                    <m:e>
                      <m:r>
                        <w:rPr>
                          <w:rFonts w:ascii="Cambria Math" w:hAnsi="Cambria Math"/>
                        </w:rPr>
                        <m:t>θ</m:t>
                      </m:r>
                    </m:e>
                    <m:sub>
                      <m:r>
                        <w:rPr>
                          <w:rFonts w:ascii="Cambria Math" w:hAnsi="Cambria Math"/>
                        </w:rPr>
                        <m:t>i,1</m:t>
                      </m:r>
                    </m:sub>
                    <m:sup>
                      <m:r>
                        <w:rPr>
                          <w:rFonts w:ascii="Cambria Math" w:hAnsi="Cambria Math"/>
                        </w:rPr>
                        <m:t>j,1</m:t>
                      </m:r>
                    </m:sup>
                  </m:sSubSup>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i,1</m:t>
                      </m:r>
                    </m:sub>
                    <m:sup>
                      <m:r>
                        <w:rPr>
                          <w:rFonts w:ascii="Cambria Math" w:hAnsi="Cambria Math"/>
                        </w:rPr>
                        <m:t>j,K</m:t>
                      </m:r>
                    </m:sup>
                  </m:sSubSup>
                </m:e>
              </m:d>
            </m:oMath>
            <w:r>
              <w:rPr>
                <w:b/>
                <w:bCs/>
              </w:rPr>
              <w:t xml:space="preserve"> </w:t>
            </w:r>
            <w:r>
              <w:t>o</w:t>
            </w:r>
            <w:r w:rsidRPr="002026D7">
              <w:t xml:space="preserve">g </w:t>
            </w:r>
            <m:oMath>
              <m:sSubSup>
                <m:sSubSupPr>
                  <m:ctrlPr>
                    <w:rPr>
                      <w:rFonts w:ascii="Cambria Math" w:hAnsi="Cambria Math"/>
                      <w:i/>
                    </w:rPr>
                  </m:ctrlPr>
                </m:sSubSupPr>
                <m:e>
                  <m:r>
                    <w:rPr>
                      <w:rFonts w:ascii="Cambria Math" w:hAnsi="Cambria Math"/>
                    </w:rPr>
                    <m:t>θ</m:t>
                  </m:r>
                </m:e>
                <m:sub>
                  <m:r>
                    <w:rPr>
                      <w:rFonts w:ascii="Cambria Math" w:hAnsi="Cambria Math"/>
                    </w:rPr>
                    <m:t>z</m:t>
                  </m:r>
                </m:sub>
                <m:sup>
                  <m:r>
                    <w:rPr>
                      <w:rFonts w:ascii="Cambria Math" w:hAnsi="Cambria Math"/>
                    </w:rPr>
                    <m:t>j</m:t>
                  </m:r>
                </m:sup>
              </m:sSubSup>
            </m:oMath>
            <w:r>
              <w:t xml:space="preserve"> er regresjonskoeffisienter, mens </w:t>
            </w:r>
            <m:oMath>
              <m:sSubSup>
                <m:sSubSupPr>
                  <m:ctrlPr>
                    <w:rPr>
                      <w:rFonts w:ascii="Cambria Math" w:hAnsi="Cambria Math" w:cstheme="minorHAnsi"/>
                      <w:i/>
                      <w:szCs w:val="24"/>
                    </w:rPr>
                  </m:ctrlPr>
                </m:sSubSupPr>
                <m:e>
                  <m:r>
                    <w:rPr>
                      <w:rFonts w:ascii="Cambria Math" w:hAnsi="Cambria Math" w:cstheme="minorHAnsi"/>
                      <w:szCs w:val="24"/>
                    </w:rPr>
                    <m:t>ε</m:t>
                  </m:r>
                </m:e>
                <m:sub>
                  <m:r>
                    <w:rPr>
                      <w:rFonts w:ascii="Cambria Math" w:hAnsi="Cambria Math" w:cstheme="minorHAnsi"/>
                      <w:szCs w:val="24"/>
                    </w:rPr>
                    <m:t>i,r,t</m:t>
                  </m:r>
                </m:sub>
                <m:sup>
                  <m:r>
                    <w:rPr>
                      <w:rFonts w:ascii="Cambria Math" w:hAnsi="Cambria Math" w:cstheme="minorHAnsi"/>
                      <w:szCs w:val="24"/>
                    </w:rPr>
                    <m:t>j,k</m:t>
                  </m:r>
                </m:sup>
              </m:sSubSup>
            </m:oMath>
            <w:r>
              <w:rPr>
                <w:szCs w:val="24"/>
              </w:rPr>
              <w:t xml:space="preserve"> betegner residualen.</w:t>
            </w:r>
            <w:r>
              <w:rPr>
                <w:b/>
                <w:bCs/>
              </w:rPr>
              <w:t xml:space="preserve"> </w:t>
            </w:r>
            <w:r>
              <w:rPr>
                <w:szCs w:val="24"/>
              </w:rPr>
              <w:t xml:space="preserve">Vi benytter </w:t>
            </w:r>
            <w:r w:rsidRPr="002026D7">
              <w:rPr>
                <w:szCs w:val="24"/>
              </w:rPr>
              <w:t>heteroskedastisitetsrobuste</w:t>
            </w:r>
            <w:r>
              <w:rPr>
                <w:szCs w:val="24"/>
              </w:rPr>
              <w:t xml:space="preserve"> s</w:t>
            </w:r>
            <w:r w:rsidRPr="002026D7">
              <w:rPr>
                <w:szCs w:val="24"/>
              </w:rPr>
              <w:t>tandardavvik.</w:t>
            </w:r>
          </w:p>
          <w:p w14:paraId="7A489D0E" w14:textId="65935752" w:rsidR="00A568BE" w:rsidRPr="00236ED8" w:rsidRDefault="002026D7" w:rsidP="00236ED8">
            <w:pPr>
              <w:pStyle w:val="KeyMsgBoxText"/>
              <w:keepNext/>
              <w:rPr>
                <w:szCs w:val="24"/>
              </w:rPr>
            </w:pPr>
            <w:r>
              <w:rPr>
                <w:szCs w:val="24"/>
              </w:rPr>
              <w:t xml:space="preserve">I dagens </w:t>
            </w:r>
            <w:r w:rsidR="002F053D">
              <w:rPr>
                <w:lang w:eastAsia="nb-NO"/>
              </w:rPr>
              <w:t xml:space="preserve">utgiftsutjevning </w:t>
            </w:r>
            <w:r>
              <w:rPr>
                <w:szCs w:val="24"/>
              </w:rPr>
              <w:t>benyttes bruttodriftsutgifter som utfallsvariabler.</w:t>
            </w:r>
            <w:r w:rsidR="00236ED8">
              <w:rPr>
                <w:szCs w:val="24"/>
              </w:rPr>
              <w:t xml:space="preserve"> </w:t>
            </w:r>
            <w:r>
              <w:rPr>
                <w:szCs w:val="24"/>
              </w:rPr>
              <w:t xml:space="preserve">I våre økonometriske analyser undersøker vi </w:t>
            </w:r>
            <w:r w:rsidR="004B4714">
              <w:rPr>
                <w:szCs w:val="24"/>
              </w:rPr>
              <w:t>s</w:t>
            </w:r>
            <w:r w:rsidR="00236ED8">
              <w:rPr>
                <w:szCs w:val="24"/>
              </w:rPr>
              <w:t xml:space="preserve">, ved at man erstatter eller legger kapitalkostnader til bruttodriftsutgifter, eller ser på delkomponenter av kostnadene. Merk at for en gitt tjenestefunksjon tilsvarer kriterievektene i </w:t>
            </w:r>
            <w:r w:rsidR="002F053D">
              <w:rPr>
                <w:lang w:eastAsia="nb-NO"/>
              </w:rPr>
              <w:t xml:space="preserve">utgiftsutjevningen </w:t>
            </w:r>
            <w:r w:rsidR="00236ED8">
              <w:rPr>
                <w:szCs w:val="24"/>
              </w:rPr>
              <w:t>produktet av regresjonskoeffisienten og summen av kriterieverdiene i regresjonen for vedkommende tjeneste, delt på summen av de sektorielle kostnadene eller utgiftene.</w:t>
            </w:r>
          </w:p>
        </w:tc>
      </w:tr>
    </w:tbl>
    <w:p w14:paraId="20828ECE" w14:textId="7FA4725D" w:rsidR="00845590" w:rsidRDefault="001060BB" w:rsidP="001060BB">
      <w:pPr>
        <w:pStyle w:val="Source"/>
        <w:rPr>
          <w:lang w:eastAsia="nb-NO"/>
        </w:rPr>
      </w:pPr>
      <w:r w:rsidRPr="0055149C">
        <w:rPr>
          <w:lang w:eastAsia="nb-NO"/>
        </w:rPr>
        <w:t>Kilde: Vista Analyse</w:t>
      </w:r>
      <w:bookmarkEnd w:id="78"/>
    </w:p>
    <w:p w14:paraId="02D7D10E" w14:textId="46BFF105" w:rsidR="00D31D0F" w:rsidRPr="0055149C" w:rsidRDefault="00D31D0F" w:rsidP="00D31D0F">
      <w:pPr>
        <w:pStyle w:val="Overskrift1"/>
      </w:pPr>
      <w:bookmarkStart w:id="83" w:name="_Ref172627413"/>
      <w:bookmarkStart w:id="84" w:name="_Ref172639769"/>
      <w:bookmarkStart w:id="85" w:name="_Toc182321016"/>
      <w:r w:rsidRPr="0055149C">
        <w:lastRenderedPageBreak/>
        <w:t>Emp</w:t>
      </w:r>
      <w:r w:rsidR="00F96562" w:rsidRPr="0055149C">
        <w:t>i</w:t>
      </w:r>
      <w:r w:rsidRPr="0055149C">
        <w:t xml:space="preserve">riske </w:t>
      </w:r>
      <w:r w:rsidR="00AE2656" w:rsidRPr="0055149C">
        <w:t>undersøkelser</w:t>
      </w:r>
      <w:bookmarkEnd w:id="83"/>
      <w:bookmarkEnd w:id="84"/>
      <w:bookmarkEnd w:id="85"/>
    </w:p>
    <w:p w14:paraId="36C0B7AC" w14:textId="3C94ECAD" w:rsidR="00F0054C" w:rsidRPr="0055149C" w:rsidRDefault="00611D6B" w:rsidP="00E1055C">
      <w:pPr>
        <w:rPr>
          <w:lang w:eastAsia="nb-NO"/>
        </w:rPr>
      </w:pPr>
      <w:r w:rsidRPr="0055149C">
        <w:rPr>
          <w:lang w:eastAsia="nb-NO"/>
        </w:rPr>
        <w:t>I den første delen av våre empiriske anal</w:t>
      </w:r>
      <w:r w:rsidR="0007785D" w:rsidRPr="0055149C">
        <w:rPr>
          <w:lang w:eastAsia="nb-NO"/>
        </w:rPr>
        <w:t xml:space="preserve">yser </w:t>
      </w:r>
      <w:r w:rsidR="00CC3E37">
        <w:rPr>
          <w:lang w:eastAsia="nb-NO"/>
        </w:rPr>
        <w:t>undersøker vi</w:t>
      </w:r>
      <w:r w:rsidR="0007785D" w:rsidRPr="0055149C">
        <w:rPr>
          <w:lang w:eastAsia="nb-NO"/>
        </w:rPr>
        <w:t xml:space="preserve"> betydningen av ulike forutsetninger for kapitalestimeringen</w:t>
      </w:r>
      <w:r w:rsidR="00182D3A" w:rsidRPr="0055149C">
        <w:rPr>
          <w:lang w:eastAsia="nb-NO"/>
        </w:rPr>
        <w:t xml:space="preserve">. </w:t>
      </w:r>
      <w:r w:rsidR="0007785D" w:rsidRPr="0055149C">
        <w:rPr>
          <w:lang w:eastAsia="nb-NO"/>
        </w:rPr>
        <w:t>I den andre delen</w:t>
      </w:r>
      <w:r w:rsidR="00182D3A" w:rsidRPr="0055149C">
        <w:rPr>
          <w:lang w:eastAsia="nb-NO"/>
        </w:rPr>
        <w:t xml:space="preserve"> analyserer </w:t>
      </w:r>
      <w:r w:rsidR="0051605E">
        <w:rPr>
          <w:lang w:eastAsia="nb-NO"/>
        </w:rPr>
        <w:t xml:space="preserve">vi </w:t>
      </w:r>
      <w:r w:rsidR="00182D3A" w:rsidRPr="0055149C">
        <w:rPr>
          <w:lang w:eastAsia="nb-NO"/>
        </w:rPr>
        <w:t>hvordan kapitalkostnadene henger sammen med omgivelsene, kommunenes driftsøkonomi og</w:t>
      </w:r>
      <w:r w:rsidR="0007785D" w:rsidRPr="0055149C">
        <w:rPr>
          <w:lang w:eastAsia="nb-NO"/>
        </w:rPr>
        <w:t xml:space="preserve"> det kommunale inntektssystemet</w:t>
      </w:r>
      <w:r w:rsidR="00182D3A" w:rsidRPr="0055149C">
        <w:rPr>
          <w:lang w:eastAsia="nb-NO"/>
        </w:rPr>
        <w:t>.</w:t>
      </w:r>
    </w:p>
    <w:p w14:paraId="4B144A02" w14:textId="3D9F2A32" w:rsidR="00493942" w:rsidRPr="0055149C" w:rsidRDefault="00493942" w:rsidP="00C63518">
      <w:pPr>
        <w:pStyle w:val="Overskrift2"/>
      </w:pPr>
      <w:bookmarkStart w:id="86" w:name="_Ref178371184"/>
      <w:bookmarkStart w:id="87" w:name="_Toc182321017"/>
      <w:r w:rsidRPr="0055149C">
        <w:t>Kapitalestimering</w:t>
      </w:r>
      <w:bookmarkEnd w:id="86"/>
      <w:bookmarkEnd w:id="87"/>
    </w:p>
    <w:p w14:paraId="3871D8F6" w14:textId="0E7B1568" w:rsidR="00493942" w:rsidRPr="0055149C" w:rsidRDefault="00BA4307" w:rsidP="00493942">
      <w:pPr>
        <w:rPr>
          <w:lang w:eastAsia="nb-NO"/>
        </w:rPr>
      </w:pPr>
      <w:r w:rsidRPr="0055149C">
        <w:rPr>
          <w:lang w:eastAsia="nb-NO"/>
        </w:rPr>
        <w:t xml:space="preserve">I gjennomgangen av vår kapitalestimering </w:t>
      </w:r>
      <w:r w:rsidR="0077406A" w:rsidRPr="0055149C">
        <w:rPr>
          <w:lang w:eastAsia="nb-NO"/>
        </w:rPr>
        <w:t>ta</w:t>
      </w:r>
      <w:r w:rsidR="007E16C0" w:rsidRPr="0055149C">
        <w:rPr>
          <w:lang w:eastAsia="nb-NO"/>
        </w:rPr>
        <w:t>r</w:t>
      </w:r>
      <w:r w:rsidR="0077406A" w:rsidRPr="0055149C">
        <w:rPr>
          <w:lang w:eastAsia="nb-NO"/>
        </w:rPr>
        <w:t xml:space="preserve"> vi først for oss nøkkelparametere i kapitalberegningene. </w:t>
      </w:r>
      <w:r w:rsidR="007E16C0" w:rsidRPr="0055149C">
        <w:rPr>
          <w:lang w:eastAsia="nb-NO"/>
        </w:rPr>
        <w:t xml:space="preserve">Videre presenterer vi våre estimater for </w:t>
      </w:r>
      <w:r w:rsidR="00B02D7E">
        <w:rPr>
          <w:lang w:eastAsia="nb-NO"/>
        </w:rPr>
        <w:t>kapital</w:t>
      </w:r>
      <w:r w:rsidR="007E16C0" w:rsidRPr="0055149C">
        <w:rPr>
          <w:lang w:eastAsia="nb-NO"/>
        </w:rPr>
        <w:t>beholdningene,</w:t>
      </w:r>
      <w:r w:rsidR="003F14CE" w:rsidRPr="0055149C">
        <w:rPr>
          <w:lang w:eastAsia="nb-NO"/>
        </w:rPr>
        <w:t xml:space="preserve"> før vi går inn på kapitalstrukturen og rentekostnadene</w:t>
      </w:r>
      <w:r w:rsidR="007E16C0" w:rsidRPr="0055149C">
        <w:rPr>
          <w:lang w:eastAsia="nb-NO"/>
        </w:rPr>
        <w:t xml:space="preserve">. Mot slutten av delkapittelet vender vi </w:t>
      </w:r>
      <w:r w:rsidR="0076700A" w:rsidRPr="0055149C">
        <w:rPr>
          <w:lang w:eastAsia="nb-NO"/>
        </w:rPr>
        <w:t xml:space="preserve">oppmerksomheten </w:t>
      </w:r>
      <w:r w:rsidR="007E16C0" w:rsidRPr="0055149C">
        <w:rPr>
          <w:lang w:eastAsia="nb-NO"/>
        </w:rPr>
        <w:t xml:space="preserve">mot </w:t>
      </w:r>
      <w:r w:rsidR="003F14CE" w:rsidRPr="0055149C">
        <w:rPr>
          <w:lang w:eastAsia="nb-NO"/>
        </w:rPr>
        <w:t>kostnadene og utgiftene knyttet til kommunenes realkapital.</w:t>
      </w:r>
    </w:p>
    <w:p w14:paraId="2D144115" w14:textId="7E9687A8" w:rsidR="00C8773A" w:rsidRPr="0055149C" w:rsidRDefault="00C8773A" w:rsidP="00C8773A">
      <w:pPr>
        <w:pStyle w:val="Overskrift3"/>
      </w:pPr>
      <w:bookmarkStart w:id="88" w:name="_Ref174721107"/>
      <w:r w:rsidRPr="0055149C">
        <w:t>Nøkkelparametere</w:t>
      </w:r>
      <w:bookmarkEnd w:id="88"/>
    </w:p>
    <w:p w14:paraId="7DF5E3AA" w14:textId="2B411706" w:rsidR="00FD782B" w:rsidRPr="0055149C" w:rsidRDefault="00BE6758" w:rsidP="00C8773A">
      <w:pPr>
        <w:rPr>
          <w:lang w:eastAsia="nb-NO"/>
        </w:rPr>
      </w:pPr>
      <w:r w:rsidRPr="0055149C">
        <w:rPr>
          <w:lang w:eastAsia="nb-NO"/>
        </w:rPr>
        <w:t xml:space="preserve">I realkapitalberegninger spiller </w:t>
      </w:r>
      <w:r w:rsidR="00C315FC" w:rsidRPr="0055149C">
        <w:rPr>
          <w:lang w:eastAsia="nb-NO"/>
        </w:rPr>
        <w:t>depresieringsrater og kapitaldeflatorer</w:t>
      </w:r>
      <w:r w:rsidR="00A032B0" w:rsidRPr="0055149C">
        <w:rPr>
          <w:lang w:eastAsia="nb-NO"/>
        </w:rPr>
        <w:t xml:space="preserve"> en helt </w:t>
      </w:r>
      <w:r w:rsidR="00F71D4A" w:rsidRPr="0055149C">
        <w:rPr>
          <w:lang w:eastAsia="nb-NO"/>
        </w:rPr>
        <w:t>vesentlig</w:t>
      </w:r>
      <w:r w:rsidR="00A032B0" w:rsidRPr="0055149C">
        <w:rPr>
          <w:lang w:eastAsia="nb-NO"/>
        </w:rPr>
        <w:t xml:space="preserve"> rolle for estimatene. </w:t>
      </w:r>
      <w:r w:rsidR="00FD782B" w:rsidRPr="0055149C">
        <w:rPr>
          <w:lang w:eastAsia="nb-NO"/>
        </w:rPr>
        <w:t xml:space="preserve">Ved heterogenitet i kapitalmassen </w:t>
      </w:r>
      <w:r w:rsidR="00E07650" w:rsidRPr="0055149C">
        <w:rPr>
          <w:lang w:eastAsia="nb-NO"/>
        </w:rPr>
        <w:t>som ikke belyses fullt ut av kapitalkategoriene i data</w:t>
      </w:r>
      <w:r w:rsidR="0007785D" w:rsidRPr="0055149C">
        <w:rPr>
          <w:lang w:eastAsia="nb-NO"/>
        </w:rPr>
        <w:t>,</w:t>
      </w:r>
      <w:r w:rsidR="00E07650" w:rsidRPr="0055149C">
        <w:rPr>
          <w:lang w:eastAsia="nb-NO"/>
        </w:rPr>
        <w:t xml:space="preserve"> vi</w:t>
      </w:r>
      <w:r w:rsidR="00563C07" w:rsidRPr="0055149C">
        <w:rPr>
          <w:lang w:eastAsia="nb-NO"/>
        </w:rPr>
        <w:t>l</w:t>
      </w:r>
      <w:r w:rsidR="00C936F6" w:rsidRPr="0055149C">
        <w:rPr>
          <w:lang w:eastAsia="nb-NO"/>
        </w:rPr>
        <w:t xml:space="preserve"> anslag på</w:t>
      </w:r>
      <w:r w:rsidR="00E07650" w:rsidRPr="0055149C">
        <w:rPr>
          <w:lang w:eastAsia="nb-NO"/>
        </w:rPr>
        <w:t xml:space="preserve"> andeler av</w:t>
      </w:r>
      <w:r w:rsidR="00C936F6" w:rsidRPr="0055149C">
        <w:rPr>
          <w:lang w:eastAsia="nb-NO"/>
        </w:rPr>
        <w:t xml:space="preserve"> kapitalbeholdningene til de ulike delmassene utgjøre ytterligere en sentral parameter. For rentekostnader og kapitaltjenester står</w:t>
      </w:r>
      <w:r w:rsidR="00F71D4A" w:rsidRPr="0055149C">
        <w:rPr>
          <w:lang w:eastAsia="nb-NO"/>
        </w:rPr>
        <w:t xml:space="preserve"> renter og avkastningskrav sentralt.</w:t>
      </w:r>
      <w:r w:rsidR="00290CA9" w:rsidRPr="0055149C">
        <w:rPr>
          <w:lang w:eastAsia="nb-NO"/>
        </w:rPr>
        <w:t xml:space="preserve"> Disse parameterne er redegjort for i det følgende.</w:t>
      </w:r>
    </w:p>
    <w:p w14:paraId="73022448" w14:textId="7DD20507" w:rsidR="005748CE" w:rsidRPr="0055149C" w:rsidRDefault="005748CE" w:rsidP="000E08F8">
      <w:pPr>
        <w:pStyle w:val="Overskrift4"/>
        <w:numPr>
          <w:ilvl w:val="0"/>
          <w:numId w:val="0"/>
        </w:numPr>
      </w:pPr>
      <w:bookmarkStart w:id="89" w:name="_Ref166656508"/>
      <w:r w:rsidRPr="0055149C">
        <w:t>Andeler av kapitalbeholdningen</w:t>
      </w:r>
    </w:p>
    <w:p w14:paraId="46A00E6F" w14:textId="702502E6" w:rsidR="00D14273" w:rsidRDefault="005748CE" w:rsidP="00D14273">
      <w:pPr>
        <w:rPr>
          <w:noProof/>
        </w:rPr>
      </w:pPr>
      <w:r w:rsidRPr="0055149C">
        <w:rPr>
          <w:noProof/>
        </w:rPr>
        <w:t xml:space="preserve">Statistisk sentralbyrås nasjonalregnskapseksjon anslår tomteandelen til nyinvesteringer i eiendom til om lag 20 prosent. </w:t>
      </w:r>
      <w:r w:rsidR="00912A45" w:rsidRPr="0055149C">
        <w:rPr>
          <w:noProof/>
        </w:rPr>
        <w:t xml:space="preserve">Det kan synes noe lavt, men vi tar likevel utgangspunkt i denne satsen. </w:t>
      </w:r>
      <w:r w:rsidRPr="0055149C">
        <w:rPr>
          <w:noProof/>
        </w:rPr>
        <w:t xml:space="preserve">Åpenbart vil tomteandelen variere betydelig over geografi og antakelig også noe over næring, men </w:t>
      </w:r>
      <w:r w:rsidR="00865DAD" w:rsidRPr="0055149C">
        <w:rPr>
          <w:noProof/>
        </w:rPr>
        <w:t xml:space="preserve">det </w:t>
      </w:r>
      <w:r w:rsidRPr="0055149C">
        <w:rPr>
          <w:noProof/>
        </w:rPr>
        <w:t xml:space="preserve">har vi ikke tatt hensyn til her. </w:t>
      </w:r>
      <w:r w:rsidR="00D14273">
        <w:rPr>
          <w:noProof/>
        </w:rPr>
        <w:t>Tidligere har Statistisk sentralbyrås nasjonalregnskapseksjon anslått tomteandel til eiendomsmassen til 40 prosent, dog utenom anlegg (</w:t>
      </w:r>
      <w:r w:rsidR="0066097D">
        <w:rPr>
          <w:noProof/>
        </w:rPr>
        <w:t xml:space="preserve">se </w:t>
      </w:r>
      <w:r w:rsidR="00D14273">
        <w:rPr>
          <w:noProof/>
        </w:rPr>
        <w:t>Holmen 2022a</w:t>
      </w:r>
      <w:r w:rsidR="0066097D">
        <w:rPr>
          <w:noProof/>
        </w:rPr>
        <w:t xml:space="preserve"> </w:t>
      </w:r>
      <w:r w:rsidR="00B1411B">
        <w:rPr>
          <w:noProof/>
        </w:rPr>
        <w:t xml:space="preserve">for </w:t>
      </w:r>
      <w:r w:rsidR="003134A7">
        <w:rPr>
          <w:noProof/>
        </w:rPr>
        <w:t xml:space="preserve">selve </w:t>
      </w:r>
      <w:r w:rsidR="00B1411B">
        <w:rPr>
          <w:noProof/>
        </w:rPr>
        <w:t xml:space="preserve">estimatet </w:t>
      </w:r>
      <w:r w:rsidR="0066097D">
        <w:rPr>
          <w:noProof/>
        </w:rPr>
        <w:t>og L</w:t>
      </w:r>
      <w:r w:rsidR="00781538">
        <w:rPr>
          <w:noProof/>
        </w:rPr>
        <w:t>iu 2016</w:t>
      </w:r>
      <w:r w:rsidR="00460FCE">
        <w:rPr>
          <w:noProof/>
        </w:rPr>
        <w:t xml:space="preserve"> for</w:t>
      </w:r>
      <w:r w:rsidR="00DD28BB">
        <w:rPr>
          <w:noProof/>
        </w:rPr>
        <w:t xml:space="preserve"> analyser </w:t>
      </w:r>
      <w:r w:rsidR="00B6411F">
        <w:rPr>
          <w:noProof/>
        </w:rPr>
        <w:t>om</w:t>
      </w:r>
      <w:r w:rsidR="00DD28BB">
        <w:rPr>
          <w:noProof/>
        </w:rPr>
        <w:t xml:space="preserve"> </w:t>
      </w:r>
      <w:r w:rsidR="003134A7">
        <w:rPr>
          <w:noProof/>
        </w:rPr>
        <w:t>arealverdsetting</w:t>
      </w:r>
      <w:r w:rsidR="00D14273">
        <w:rPr>
          <w:noProof/>
        </w:rPr>
        <w:t>).</w:t>
      </w:r>
    </w:p>
    <w:p w14:paraId="1A1DE938" w14:textId="7CB34D59" w:rsidR="009A39C8" w:rsidRPr="0055149C" w:rsidRDefault="00D14273" w:rsidP="00D14273">
      <w:pPr>
        <w:rPr>
          <w:noProof/>
        </w:rPr>
      </w:pPr>
      <w:r>
        <w:rPr>
          <w:noProof/>
        </w:rPr>
        <w:t>Tomteandelen for fast eiendom og anlegg samlet sett vil avhenge av både aldersprofilen på kapitalen og kapitalens levetid.</w:t>
      </w:r>
      <w:r>
        <w:t xml:space="preserve"> I</w:t>
      </w:r>
      <w:r w:rsidR="009A39C8" w:rsidRPr="0055149C">
        <w:t xml:space="preserve"> </w:t>
      </w:r>
      <w:r w:rsidR="00995912">
        <w:fldChar w:fldCharType="begin"/>
      </w:r>
      <w:r w:rsidR="00995912">
        <w:instrText xml:space="preserve"> REF _Ref182318367 \h </w:instrText>
      </w:r>
      <w:r w:rsidR="00995912">
        <w:fldChar w:fldCharType="separate"/>
      </w:r>
      <w:r w:rsidR="009B1DA8" w:rsidRPr="0055149C">
        <w:t xml:space="preserve">Figur </w:t>
      </w:r>
      <w:r w:rsidR="009B1DA8">
        <w:rPr>
          <w:noProof/>
        </w:rPr>
        <w:t>4</w:t>
      </w:r>
      <w:r w:rsidR="009B1DA8">
        <w:t>.</w:t>
      </w:r>
      <w:r w:rsidR="009B1DA8">
        <w:rPr>
          <w:noProof/>
        </w:rPr>
        <w:t>1</w:t>
      </w:r>
      <w:r w:rsidR="00995912">
        <w:fldChar w:fldCharType="end"/>
      </w:r>
      <w:r w:rsidR="009A39C8" w:rsidRPr="0055149C">
        <w:rPr>
          <w:noProof/>
        </w:rPr>
        <w:t xml:space="preserve"> </w:t>
      </w:r>
      <w:r w:rsidR="00167665" w:rsidRPr="0055149C">
        <w:rPr>
          <w:noProof/>
        </w:rPr>
        <w:t xml:space="preserve">a) </w:t>
      </w:r>
      <w:r w:rsidR="009A39C8" w:rsidRPr="0055149C">
        <w:rPr>
          <w:noProof/>
        </w:rPr>
        <w:t>har vi kalib</w:t>
      </w:r>
      <w:r w:rsidR="00976266">
        <w:rPr>
          <w:noProof/>
        </w:rPr>
        <w:t>r</w:t>
      </w:r>
      <w:r w:rsidR="009A39C8" w:rsidRPr="0055149C">
        <w:rPr>
          <w:noProof/>
        </w:rPr>
        <w:t xml:space="preserve">ert tomteandelen til kapitalmassen ved en symmetrisk aldersprofil over ulike tiårige levetider og med henholdsvis geometrisk og lineær </w:t>
      </w:r>
      <w:r w:rsidR="00865DAD" w:rsidRPr="0055149C">
        <w:rPr>
          <w:noProof/>
        </w:rPr>
        <w:t>depresieringsprofil</w:t>
      </w:r>
      <w:r w:rsidR="009A39C8" w:rsidRPr="0055149C">
        <w:rPr>
          <w:noProof/>
        </w:rPr>
        <w:t>.</w:t>
      </w:r>
      <w:r w:rsidR="006D11A8" w:rsidRPr="0055149C">
        <w:rPr>
          <w:noProof/>
        </w:rPr>
        <w:t xml:space="preserve"> For en gitt depresieringsprofil er imidlertid de kalibrerte tomteandelene relativt like i aldersspennet 40 til 70 år, </w:t>
      </w:r>
      <w:r w:rsidR="00501DA0">
        <w:rPr>
          <w:noProof/>
        </w:rPr>
        <w:t xml:space="preserve">nærmere bestemt </w:t>
      </w:r>
      <w:r w:rsidR="006D11A8" w:rsidRPr="0055149C">
        <w:rPr>
          <w:noProof/>
        </w:rPr>
        <w:t xml:space="preserve">36,5 prosent </w:t>
      </w:r>
      <w:r w:rsidR="00501DA0">
        <w:rPr>
          <w:noProof/>
        </w:rPr>
        <w:t xml:space="preserve">ved geometrisk depresiering og </w:t>
      </w:r>
      <w:r w:rsidR="006D11A8" w:rsidRPr="0055149C">
        <w:rPr>
          <w:noProof/>
        </w:rPr>
        <w:t>32,8 til 33</w:t>
      </w:r>
      <w:r w:rsidR="00501DA0">
        <w:rPr>
          <w:noProof/>
        </w:rPr>
        <w:t>,0</w:t>
      </w:r>
      <w:r w:rsidR="006D11A8" w:rsidRPr="0055149C">
        <w:rPr>
          <w:noProof/>
        </w:rPr>
        <w:t xml:space="preserve"> prosent ved lineær depresiering.</w:t>
      </w:r>
      <w:r w:rsidR="0001190D" w:rsidRPr="0055149C">
        <w:rPr>
          <w:noProof/>
        </w:rPr>
        <w:t xml:space="preserve"> Vi anser geometrisk </w:t>
      </w:r>
      <w:r w:rsidR="00865DAD" w:rsidRPr="0055149C">
        <w:rPr>
          <w:noProof/>
        </w:rPr>
        <w:t xml:space="preserve">depresiering </w:t>
      </w:r>
      <w:r w:rsidR="0001190D" w:rsidRPr="0055149C">
        <w:rPr>
          <w:noProof/>
        </w:rPr>
        <w:t>som mest realistisk av de to profilene, særlig målt i faste priser.</w:t>
      </w:r>
    </w:p>
    <w:p w14:paraId="11045EA6" w14:textId="190AA104" w:rsidR="005748CE" w:rsidRPr="0055149C" w:rsidRDefault="00587FDF" w:rsidP="005748CE">
      <w:pPr>
        <w:rPr>
          <w:noProof/>
        </w:rPr>
      </w:pPr>
      <w:r w:rsidRPr="0055149C">
        <w:rPr>
          <w:noProof/>
        </w:rPr>
        <w:t xml:space="preserve">Nasjonalregnskapet impliserer en depresieringsrate for bygg og anlegg på rundt 3,38 prosent, hvilket </w:t>
      </w:r>
      <w:r w:rsidR="00691E59" w:rsidRPr="0055149C">
        <w:rPr>
          <w:noProof/>
        </w:rPr>
        <w:t xml:space="preserve">med standard omregningsformel </w:t>
      </w:r>
      <w:r w:rsidRPr="0055149C">
        <w:rPr>
          <w:noProof/>
        </w:rPr>
        <w:t xml:space="preserve">tilsvarer </w:t>
      </w:r>
      <w:r w:rsidR="007B1375" w:rsidRPr="0055149C">
        <w:rPr>
          <w:noProof/>
        </w:rPr>
        <w:t xml:space="preserve">en levetid på </w:t>
      </w:r>
      <w:r w:rsidRPr="0055149C">
        <w:rPr>
          <w:noProof/>
        </w:rPr>
        <w:t xml:space="preserve">59,2 år. </w:t>
      </w:r>
      <w:r w:rsidR="005748CE" w:rsidRPr="0055149C">
        <w:rPr>
          <w:noProof/>
        </w:rPr>
        <w:t>I kommuneregnskapene anslås boliger</w:t>
      </w:r>
      <w:r w:rsidR="007B1375" w:rsidRPr="0055149C">
        <w:rPr>
          <w:noProof/>
        </w:rPr>
        <w:t>,</w:t>
      </w:r>
      <w:r w:rsidR="005748CE" w:rsidRPr="0055149C">
        <w:rPr>
          <w:noProof/>
        </w:rPr>
        <w:t xml:space="preserve"> skoler, barnehager, idrettshaller, veier, ledningsnett og liknende anlegg til å ha en levetid på 40 år. Videre forutsettes forretningsbygg, lagerbygg, administrasjonsbygg, sykehjem, andre institusjonsbygg, kulturbygg, brannstasjoner og liknende bygg </w:t>
      </w:r>
      <w:r w:rsidR="005B31F3" w:rsidRPr="0055149C">
        <w:rPr>
          <w:noProof/>
        </w:rPr>
        <w:t xml:space="preserve">i denne statistikken </w:t>
      </w:r>
      <w:r w:rsidR="005748CE" w:rsidRPr="0055149C">
        <w:rPr>
          <w:noProof/>
        </w:rPr>
        <w:t>å ha en levetid på 50 år.</w:t>
      </w:r>
      <w:r w:rsidR="00801EF6" w:rsidRPr="0055149C">
        <w:rPr>
          <w:noProof/>
        </w:rPr>
        <w:t xml:space="preserve"> For næringsvirksomheter varierer levetiden på bygg- og anleggskapitalen fra 10</w:t>
      </w:r>
      <w:r w:rsidR="0082049B" w:rsidRPr="0055149C">
        <w:rPr>
          <w:noProof/>
        </w:rPr>
        <w:t xml:space="preserve"> og 20</w:t>
      </w:r>
      <w:r w:rsidR="00801EF6" w:rsidRPr="0055149C">
        <w:rPr>
          <w:noProof/>
        </w:rPr>
        <w:t xml:space="preserve"> år </w:t>
      </w:r>
      <w:r w:rsidR="0082049B" w:rsidRPr="0055149C">
        <w:rPr>
          <w:noProof/>
        </w:rPr>
        <w:t>for henholdsvis frukt</w:t>
      </w:r>
      <w:r w:rsidR="007F3110" w:rsidRPr="0055149C">
        <w:rPr>
          <w:noProof/>
        </w:rPr>
        <w:t>-</w:t>
      </w:r>
      <w:r w:rsidR="0082049B" w:rsidRPr="0055149C">
        <w:rPr>
          <w:noProof/>
        </w:rPr>
        <w:t xml:space="preserve"> og bærfelt</w:t>
      </w:r>
      <w:r w:rsidR="007F3110" w:rsidRPr="0055149C">
        <w:rPr>
          <w:noProof/>
        </w:rPr>
        <w:t xml:space="preserve"> og tekniske installasjoner</w:t>
      </w:r>
      <w:r w:rsidR="0082049B" w:rsidRPr="0055149C">
        <w:rPr>
          <w:noProof/>
        </w:rPr>
        <w:t xml:space="preserve"> </w:t>
      </w:r>
      <w:r w:rsidR="00D66D92" w:rsidRPr="0055149C">
        <w:rPr>
          <w:noProof/>
        </w:rPr>
        <w:t>(med depresierin</w:t>
      </w:r>
      <w:r w:rsidR="006D78E4" w:rsidRPr="0055149C">
        <w:rPr>
          <w:noProof/>
        </w:rPr>
        <w:t>g</w:t>
      </w:r>
      <w:r w:rsidR="00D66D92" w:rsidRPr="0055149C">
        <w:rPr>
          <w:noProof/>
        </w:rPr>
        <w:t xml:space="preserve">srater på </w:t>
      </w:r>
      <w:r w:rsidR="00D66D92" w:rsidRPr="0055149C">
        <w:rPr>
          <w:noProof/>
        </w:rPr>
        <w:lastRenderedPageBreak/>
        <w:t xml:space="preserve">10 til 20 prosent) </w:t>
      </w:r>
      <w:r w:rsidR="0082049B" w:rsidRPr="0055149C">
        <w:rPr>
          <w:noProof/>
        </w:rPr>
        <w:t>til</w:t>
      </w:r>
      <w:r w:rsidR="00801EF6" w:rsidRPr="0055149C">
        <w:rPr>
          <w:noProof/>
        </w:rPr>
        <w:t xml:space="preserve"> </w:t>
      </w:r>
      <w:r w:rsidR="007F3110" w:rsidRPr="0055149C">
        <w:rPr>
          <w:noProof/>
        </w:rPr>
        <w:t>100 år for forretningsbygg</w:t>
      </w:r>
      <w:r w:rsidR="00D66D92" w:rsidRPr="0055149C">
        <w:rPr>
          <w:noProof/>
        </w:rPr>
        <w:t xml:space="preserve"> (med </w:t>
      </w:r>
      <w:r w:rsidR="006D11A8" w:rsidRPr="0055149C">
        <w:rPr>
          <w:noProof/>
        </w:rPr>
        <w:t xml:space="preserve">en </w:t>
      </w:r>
      <w:r w:rsidR="00D66D92" w:rsidRPr="0055149C">
        <w:rPr>
          <w:noProof/>
        </w:rPr>
        <w:t xml:space="preserve">depresieringsrate på </w:t>
      </w:r>
      <w:r w:rsidR="008957AC">
        <w:rPr>
          <w:noProof/>
        </w:rPr>
        <w:t>to</w:t>
      </w:r>
      <w:r w:rsidR="00D66D92" w:rsidRPr="0055149C">
        <w:rPr>
          <w:noProof/>
        </w:rPr>
        <w:t xml:space="preserve"> prosent).</w:t>
      </w:r>
      <w:r w:rsidR="00633E4A" w:rsidRPr="0055149C">
        <w:rPr>
          <w:noProof/>
        </w:rPr>
        <w:t xml:space="preserve"> </w:t>
      </w:r>
      <w:r w:rsidR="00D66D92" w:rsidRPr="0055149C">
        <w:rPr>
          <w:noProof/>
        </w:rPr>
        <w:t>O</w:t>
      </w:r>
      <w:r w:rsidR="00215D89" w:rsidRPr="0055149C">
        <w:rPr>
          <w:noProof/>
        </w:rPr>
        <w:t>rdinære bygg og anlegg anslås å ha en levetid på 50 år (</w:t>
      </w:r>
      <w:r w:rsidR="006D11A8" w:rsidRPr="0055149C">
        <w:rPr>
          <w:noProof/>
        </w:rPr>
        <w:t xml:space="preserve">med en </w:t>
      </w:r>
      <w:r w:rsidR="00215D89" w:rsidRPr="0055149C">
        <w:rPr>
          <w:noProof/>
        </w:rPr>
        <w:t>depresieringsrate</w:t>
      </w:r>
      <w:r w:rsidR="006D11A8" w:rsidRPr="0055149C">
        <w:rPr>
          <w:noProof/>
        </w:rPr>
        <w:t xml:space="preserve"> på </w:t>
      </w:r>
      <w:r w:rsidR="008957AC">
        <w:rPr>
          <w:noProof/>
        </w:rPr>
        <w:t>fire</w:t>
      </w:r>
      <w:r w:rsidR="006D11A8" w:rsidRPr="0055149C">
        <w:rPr>
          <w:noProof/>
        </w:rPr>
        <w:t xml:space="preserve"> prosent</w:t>
      </w:r>
      <w:r w:rsidR="00215D89" w:rsidRPr="0055149C">
        <w:rPr>
          <w:noProof/>
        </w:rPr>
        <w:t>).</w:t>
      </w:r>
    </w:p>
    <w:p w14:paraId="0F830B7B" w14:textId="4688FB7D" w:rsidR="0011703E" w:rsidRPr="0055149C" w:rsidRDefault="009767A9" w:rsidP="005748CE">
      <w:pPr>
        <w:rPr>
          <w:noProof/>
        </w:rPr>
      </w:pPr>
      <w:r w:rsidRPr="0055149C">
        <w:rPr>
          <w:noProof/>
        </w:rPr>
        <w:t xml:space="preserve">For å opprettholde </w:t>
      </w:r>
      <w:r w:rsidR="00912A45" w:rsidRPr="0055149C">
        <w:rPr>
          <w:noProof/>
        </w:rPr>
        <w:t>bygg- og anleggsmassen bør</w:t>
      </w:r>
      <w:r w:rsidR="005A37B6" w:rsidRPr="0055149C">
        <w:rPr>
          <w:noProof/>
        </w:rPr>
        <w:t xml:space="preserve"> </w:t>
      </w:r>
      <w:r w:rsidR="008957AC">
        <w:rPr>
          <w:noProof/>
        </w:rPr>
        <w:t>tre</w:t>
      </w:r>
      <w:r w:rsidR="005A37B6" w:rsidRPr="0055149C">
        <w:rPr>
          <w:noProof/>
        </w:rPr>
        <w:t xml:space="preserve"> til </w:t>
      </w:r>
      <w:r w:rsidR="008957AC">
        <w:rPr>
          <w:noProof/>
        </w:rPr>
        <w:t>fire</w:t>
      </w:r>
      <w:r w:rsidR="005A37B6" w:rsidRPr="0055149C">
        <w:rPr>
          <w:noProof/>
        </w:rPr>
        <w:t xml:space="preserve"> prosent fornyes hvert år.</w:t>
      </w:r>
      <w:r w:rsidR="0033072D" w:rsidRPr="0055149C">
        <w:rPr>
          <w:noProof/>
        </w:rPr>
        <w:t xml:space="preserve"> Nasjonalregnskapstallene </w:t>
      </w:r>
      <w:r w:rsidR="00A54465" w:rsidRPr="0055149C">
        <w:rPr>
          <w:noProof/>
        </w:rPr>
        <w:t xml:space="preserve">viser at </w:t>
      </w:r>
      <w:r w:rsidR="0074566D" w:rsidRPr="0055149C">
        <w:rPr>
          <w:noProof/>
        </w:rPr>
        <w:t>brutto</w:t>
      </w:r>
      <w:r w:rsidR="00DF1CE6" w:rsidRPr="0055149C">
        <w:rPr>
          <w:noProof/>
        </w:rPr>
        <w:t>investeringene i bygg og anlegg</w:t>
      </w:r>
      <w:r w:rsidR="005E60A4" w:rsidRPr="0055149C">
        <w:rPr>
          <w:noProof/>
        </w:rPr>
        <w:t xml:space="preserve"> innenfor kommunal sektor har ligget mellom </w:t>
      </w:r>
      <w:r w:rsidR="008957AC">
        <w:rPr>
          <w:noProof/>
        </w:rPr>
        <w:t>fem</w:t>
      </w:r>
      <w:r w:rsidR="005E60A4" w:rsidRPr="0055149C">
        <w:rPr>
          <w:noProof/>
        </w:rPr>
        <w:t xml:space="preserve"> og </w:t>
      </w:r>
      <w:r w:rsidR="008957AC">
        <w:rPr>
          <w:noProof/>
        </w:rPr>
        <w:t>sju</w:t>
      </w:r>
      <w:r w:rsidR="005E60A4" w:rsidRPr="0055149C">
        <w:rPr>
          <w:noProof/>
        </w:rPr>
        <w:t xml:space="preserve"> prosent </w:t>
      </w:r>
      <w:r w:rsidR="0074566D" w:rsidRPr="0055149C">
        <w:rPr>
          <w:noProof/>
        </w:rPr>
        <w:t>av realkapitalbeholdnin</w:t>
      </w:r>
      <w:r w:rsidR="00865DAD" w:rsidRPr="0055149C">
        <w:rPr>
          <w:noProof/>
        </w:rPr>
        <w:t>g</w:t>
      </w:r>
      <w:r w:rsidR="0074566D" w:rsidRPr="0055149C">
        <w:rPr>
          <w:noProof/>
        </w:rPr>
        <w:t xml:space="preserve">en </w:t>
      </w:r>
      <w:r w:rsidR="005E60A4" w:rsidRPr="0055149C">
        <w:rPr>
          <w:noProof/>
        </w:rPr>
        <w:t xml:space="preserve">siden </w:t>
      </w:r>
      <w:r w:rsidR="00865DAD" w:rsidRPr="0055149C">
        <w:rPr>
          <w:noProof/>
        </w:rPr>
        <w:t>millenniumsskiftet</w:t>
      </w:r>
      <w:r w:rsidR="005E60A4" w:rsidRPr="0055149C">
        <w:rPr>
          <w:noProof/>
        </w:rPr>
        <w:t>.</w:t>
      </w:r>
      <w:r w:rsidR="00F52E1E" w:rsidRPr="0055149C">
        <w:rPr>
          <w:noProof/>
        </w:rPr>
        <w:t xml:space="preserve"> Dette tilsvarer at </w:t>
      </w:r>
      <w:r w:rsidR="008A607F" w:rsidRPr="0055149C">
        <w:rPr>
          <w:noProof/>
        </w:rPr>
        <w:t>kapit</w:t>
      </w:r>
      <w:r w:rsidR="007B1375" w:rsidRPr="0055149C">
        <w:rPr>
          <w:noProof/>
        </w:rPr>
        <w:t>a</w:t>
      </w:r>
      <w:r w:rsidR="008A607F" w:rsidRPr="0055149C">
        <w:rPr>
          <w:noProof/>
        </w:rPr>
        <w:t xml:space="preserve">lmassen i realiteten er noe yngre enn </w:t>
      </w:r>
      <w:r w:rsidR="00382B55" w:rsidRPr="0055149C">
        <w:rPr>
          <w:noProof/>
        </w:rPr>
        <w:t xml:space="preserve">det en symmetrisk </w:t>
      </w:r>
      <w:r w:rsidR="0007785D" w:rsidRPr="0055149C">
        <w:rPr>
          <w:noProof/>
        </w:rPr>
        <w:t>alders</w:t>
      </w:r>
      <w:r w:rsidR="00382B55" w:rsidRPr="0055149C">
        <w:rPr>
          <w:noProof/>
        </w:rPr>
        <w:t xml:space="preserve">profil </w:t>
      </w:r>
      <w:r w:rsidR="0007785D" w:rsidRPr="0055149C">
        <w:rPr>
          <w:noProof/>
        </w:rPr>
        <w:t xml:space="preserve">på investeringene </w:t>
      </w:r>
      <w:r w:rsidR="00382B55" w:rsidRPr="0055149C">
        <w:rPr>
          <w:noProof/>
        </w:rPr>
        <w:t>skulle tilsi.</w:t>
      </w:r>
      <w:r w:rsidR="00CF6BFB" w:rsidRPr="0055149C">
        <w:rPr>
          <w:noProof/>
        </w:rPr>
        <w:t xml:space="preserve"> </w:t>
      </w:r>
      <w:r w:rsidR="00505C94" w:rsidRPr="0055149C">
        <w:rPr>
          <w:noProof/>
        </w:rPr>
        <w:t xml:space="preserve">Samlet sett </w:t>
      </w:r>
      <w:r w:rsidR="00CE0796" w:rsidRPr="0055149C">
        <w:rPr>
          <w:noProof/>
        </w:rPr>
        <w:t>har vi landet på at</w:t>
      </w:r>
      <w:r w:rsidR="008A48D3" w:rsidRPr="0055149C">
        <w:rPr>
          <w:noProof/>
        </w:rPr>
        <w:t xml:space="preserve"> vi </w:t>
      </w:r>
      <w:r w:rsidR="00CE0796" w:rsidRPr="0055149C">
        <w:rPr>
          <w:noProof/>
        </w:rPr>
        <w:t xml:space="preserve">i </w:t>
      </w:r>
      <w:r w:rsidR="008A48D3" w:rsidRPr="0055149C">
        <w:rPr>
          <w:noProof/>
        </w:rPr>
        <w:t xml:space="preserve">vår utredning </w:t>
      </w:r>
      <w:r w:rsidR="00CE0796" w:rsidRPr="0055149C">
        <w:rPr>
          <w:noProof/>
        </w:rPr>
        <w:t xml:space="preserve">vil forutsette </w:t>
      </w:r>
      <w:r w:rsidR="008A48D3" w:rsidRPr="0055149C">
        <w:rPr>
          <w:noProof/>
        </w:rPr>
        <w:t>at</w:t>
      </w:r>
      <w:r w:rsidR="00505C94" w:rsidRPr="0055149C">
        <w:rPr>
          <w:noProof/>
        </w:rPr>
        <w:t xml:space="preserve"> </w:t>
      </w:r>
      <w:r w:rsidR="008A48D3" w:rsidRPr="0055149C">
        <w:rPr>
          <w:noProof/>
        </w:rPr>
        <w:t xml:space="preserve">tomteandelen av </w:t>
      </w:r>
      <w:r w:rsidR="00E6309B" w:rsidRPr="0055149C">
        <w:rPr>
          <w:noProof/>
        </w:rPr>
        <w:t>eiendomsverdien</w:t>
      </w:r>
      <w:r w:rsidR="008A48D3" w:rsidRPr="0055149C">
        <w:rPr>
          <w:noProof/>
        </w:rPr>
        <w:t xml:space="preserve"> ligger på</w:t>
      </w:r>
      <w:r w:rsidR="00505C94" w:rsidRPr="0055149C">
        <w:rPr>
          <w:noProof/>
        </w:rPr>
        <w:t xml:space="preserve"> </w:t>
      </w:r>
      <w:r w:rsidR="008A48D3" w:rsidRPr="0055149C">
        <w:rPr>
          <w:noProof/>
        </w:rPr>
        <w:t>35 prosent.</w:t>
      </w:r>
    </w:p>
    <w:p w14:paraId="4E8BE306" w14:textId="6A37B300" w:rsidR="0007785D" w:rsidRPr="0055149C" w:rsidRDefault="0011703E" w:rsidP="005748CE">
      <w:pPr>
        <w:rPr>
          <w:noProof/>
        </w:rPr>
      </w:pPr>
      <w:r w:rsidRPr="0055149C">
        <w:rPr>
          <w:noProof/>
        </w:rPr>
        <w:t>I praksis vil det være betydelig</w:t>
      </w:r>
      <w:r w:rsidR="00F33E18">
        <w:rPr>
          <w:noProof/>
        </w:rPr>
        <w:t>e</w:t>
      </w:r>
      <w:r w:rsidRPr="0055149C">
        <w:rPr>
          <w:noProof/>
        </w:rPr>
        <w:t xml:space="preserve"> variasjoner i tomteandelen over kommuner. Vi ser det derfor som lite </w:t>
      </w:r>
      <w:r w:rsidR="00865DAD" w:rsidRPr="0055149C">
        <w:rPr>
          <w:noProof/>
        </w:rPr>
        <w:t xml:space="preserve">hensiktsmessig </w:t>
      </w:r>
      <w:r w:rsidRPr="0055149C">
        <w:rPr>
          <w:noProof/>
        </w:rPr>
        <w:t>og treffsikkert å skille ut tomter</w:t>
      </w:r>
      <w:r w:rsidR="005B31F3" w:rsidRPr="0055149C">
        <w:rPr>
          <w:noProof/>
        </w:rPr>
        <w:t xml:space="preserve"> fra eiendomskapitalen</w:t>
      </w:r>
      <w:r w:rsidRPr="0055149C">
        <w:rPr>
          <w:noProof/>
        </w:rPr>
        <w:t xml:space="preserve"> i beregningene. </w:t>
      </w:r>
      <w:r w:rsidR="005B31F3" w:rsidRPr="0055149C">
        <w:rPr>
          <w:noProof/>
        </w:rPr>
        <w:t>Analogt</w:t>
      </w:r>
      <w:r w:rsidRPr="0055149C">
        <w:rPr>
          <w:noProof/>
        </w:rPr>
        <w:t xml:space="preserve"> velger Raknerud, Rønningen og Skjerpen (2007) i forbindelse med Statistisk sentralbyrås kapitaldatabase for norske foretak å operere med en felles kapitalart for bygg og land</w:t>
      </w:r>
      <w:r w:rsidR="005B31F3" w:rsidRPr="0055149C">
        <w:rPr>
          <w:noProof/>
        </w:rPr>
        <w:t>. Dette gjør de til tross for at</w:t>
      </w:r>
      <w:r w:rsidRPr="0055149C">
        <w:rPr>
          <w:noProof/>
        </w:rPr>
        <w:t xml:space="preserve"> deres beregninger bygger på langt rikere data inkludert foretaks- og virksomhets</w:t>
      </w:r>
      <w:r w:rsidR="00D2170A" w:rsidRPr="0055149C">
        <w:rPr>
          <w:lang w:eastAsia="nb-NO"/>
        </w:rPr>
        <w:t>registren</w:t>
      </w:r>
      <w:r w:rsidR="00D2170A">
        <w:rPr>
          <w:lang w:eastAsia="nb-NO"/>
        </w:rPr>
        <w:t>e</w:t>
      </w:r>
      <w:r w:rsidR="00D2170A" w:rsidRPr="0055149C">
        <w:rPr>
          <w:noProof/>
        </w:rPr>
        <w:t xml:space="preserve"> </w:t>
      </w:r>
      <w:r w:rsidRPr="0055149C">
        <w:rPr>
          <w:noProof/>
        </w:rPr>
        <w:t>i Brønnøysund og spørreundersøkelser om investeringer.</w:t>
      </w:r>
    </w:p>
    <w:p w14:paraId="7EE10976" w14:textId="60DFAAB3" w:rsidR="00BD31DA" w:rsidRPr="0055149C" w:rsidRDefault="00BD31DA" w:rsidP="005748CE">
      <w:pPr>
        <w:rPr>
          <w:noProof/>
        </w:rPr>
      </w:pPr>
      <w:r w:rsidRPr="0055149C">
        <w:rPr>
          <w:noProof/>
        </w:rPr>
        <w:t>Også basert på foretaks- og virksomhets</w:t>
      </w:r>
      <w:r w:rsidR="00D2170A" w:rsidRPr="0055149C">
        <w:rPr>
          <w:lang w:eastAsia="nb-NO"/>
        </w:rPr>
        <w:t>registren</w:t>
      </w:r>
      <w:r w:rsidR="00D2170A">
        <w:rPr>
          <w:lang w:eastAsia="nb-NO"/>
        </w:rPr>
        <w:t>e</w:t>
      </w:r>
      <w:r w:rsidR="00D2170A" w:rsidRPr="0055149C">
        <w:rPr>
          <w:noProof/>
        </w:rPr>
        <w:t xml:space="preserve"> </w:t>
      </w:r>
      <w:r w:rsidRPr="0055149C">
        <w:rPr>
          <w:noProof/>
        </w:rPr>
        <w:t>i Brønnøysund estimerer Holmen (2022</w:t>
      </w:r>
      <w:r w:rsidR="007E0471">
        <w:rPr>
          <w:noProof/>
        </w:rPr>
        <w:t>a</w:t>
      </w:r>
      <w:r w:rsidRPr="0055149C">
        <w:rPr>
          <w:noProof/>
        </w:rPr>
        <w:t>) kapitaltall for bygg og tomter separat med geografiske anslag på tomteandelene, samt noen unntaksvise geografiske variasjoner. Han finner ikke grunnlag for å skille mellom prisutviklingen på bygg og tomter overordnet, men korrigerer likevel vel relative forskjeller i byggkostnader over næringer for byggen</w:t>
      </w:r>
      <w:r w:rsidR="00160CC4">
        <w:rPr>
          <w:noProof/>
        </w:rPr>
        <w:t>e</w:t>
      </w:r>
      <w:r w:rsidR="00823960">
        <w:rPr>
          <w:noProof/>
        </w:rPr>
        <w:t xml:space="preserve"> og anleggene sin samlede</w:t>
      </w:r>
      <w:r w:rsidRPr="0055149C">
        <w:rPr>
          <w:noProof/>
        </w:rPr>
        <w:t xml:space="preserve"> andel av eiendomsverdien. I </w:t>
      </w:r>
      <w:r w:rsidR="005B31F3" w:rsidRPr="0055149C">
        <w:rPr>
          <w:noProof/>
        </w:rPr>
        <w:t>nasjonalregnskap</w:t>
      </w:r>
      <w:r w:rsidRPr="0055149C">
        <w:rPr>
          <w:noProof/>
        </w:rPr>
        <w:t>et forutsette</w:t>
      </w:r>
      <w:r w:rsidR="0007785D" w:rsidRPr="0055149C">
        <w:rPr>
          <w:noProof/>
        </w:rPr>
        <w:t>r Statistisk sentralbyrå</w:t>
      </w:r>
      <w:r w:rsidRPr="0055149C">
        <w:rPr>
          <w:noProof/>
        </w:rPr>
        <w:t xml:space="preserve"> en flat tomt</w:t>
      </w:r>
      <w:r w:rsidR="00E52E80">
        <w:rPr>
          <w:noProof/>
        </w:rPr>
        <w:t>e</w:t>
      </w:r>
      <w:r w:rsidRPr="0055149C">
        <w:rPr>
          <w:noProof/>
        </w:rPr>
        <w:t>andel på 20 prosent av nyinvesteringer, skjønt</w:t>
      </w:r>
      <w:r w:rsidR="00823960">
        <w:rPr>
          <w:noProof/>
        </w:rPr>
        <w:t xml:space="preserve"> at</w:t>
      </w:r>
      <w:r w:rsidRPr="0055149C">
        <w:rPr>
          <w:noProof/>
        </w:rPr>
        <w:t xml:space="preserve"> det der er et selvstendig poeng å ha egne kapitaltall for bygninger. I </w:t>
      </w:r>
      <w:r w:rsidR="005B31F3" w:rsidRPr="0055149C">
        <w:rPr>
          <w:noProof/>
        </w:rPr>
        <w:t>nasjonalregnskap</w:t>
      </w:r>
      <w:r w:rsidRPr="0055149C">
        <w:rPr>
          <w:noProof/>
        </w:rPr>
        <w:t xml:space="preserve">et er man også ute etter aggregerte tall på landsbasis eller for fylker. Videre besitter man et langt rikere datagrunnlag enn hva som er tilfellet </w:t>
      </w:r>
      <w:r w:rsidR="00DC58F9" w:rsidRPr="0055149C">
        <w:rPr>
          <w:noProof/>
        </w:rPr>
        <w:t>med</w:t>
      </w:r>
      <w:r w:rsidRPr="0055149C">
        <w:rPr>
          <w:noProof/>
        </w:rPr>
        <w:t xml:space="preserve"> </w:t>
      </w:r>
      <w:r w:rsidR="008E7E43">
        <w:rPr>
          <w:noProof/>
        </w:rPr>
        <w:t>KOSTRA</w:t>
      </w:r>
      <w:r w:rsidR="00DC58F9" w:rsidRPr="0055149C">
        <w:rPr>
          <w:noProof/>
        </w:rPr>
        <w:t>.</w:t>
      </w:r>
    </w:p>
    <w:p w14:paraId="59DD4A47" w14:textId="4E472429" w:rsidR="00505C94" w:rsidRPr="0055149C" w:rsidRDefault="00B65CCD" w:rsidP="005748CE">
      <w:pPr>
        <w:rPr>
          <w:noProof/>
        </w:rPr>
      </w:pPr>
      <w:r w:rsidRPr="0055149C">
        <w:rPr>
          <w:noProof/>
        </w:rPr>
        <w:t xml:space="preserve">Siden depresieringsratene </w:t>
      </w:r>
      <w:r w:rsidR="00486FF5" w:rsidRPr="0055149C">
        <w:rPr>
          <w:noProof/>
        </w:rPr>
        <w:t xml:space="preserve">for bygg og anlegg uansett harmoniseres med </w:t>
      </w:r>
      <w:r w:rsidR="008E7E43">
        <w:rPr>
          <w:noProof/>
        </w:rPr>
        <w:t>KOSTRA</w:t>
      </w:r>
      <w:r w:rsidR="005B2176" w:rsidRPr="0055149C">
        <w:rPr>
          <w:noProof/>
        </w:rPr>
        <w:t>-tallene</w:t>
      </w:r>
      <w:r w:rsidR="00084046" w:rsidRPr="0055149C">
        <w:rPr>
          <w:noProof/>
        </w:rPr>
        <w:t>, og vi operer</w:t>
      </w:r>
      <w:r w:rsidR="000C2269" w:rsidRPr="0055149C">
        <w:rPr>
          <w:noProof/>
        </w:rPr>
        <w:t>er</w:t>
      </w:r>
      <w:r w:rsidR="00084046" w:rsidRPr="0055149C">
        <w:rPr>
          <w:noProof/>
        </w:rPr>
        <w:t xml:space="preserve"> med aggregerte depresieringrater for fast eiendom og anlegg</w:t>
      </w:r>
      <w:r w:rsidR="005B31F3" w:rsidRPr="0055149C">
        <w:rPr>
          <w:noProof/>
        </w:rPr>
        <w:t xml:space="preserve"> med henvisning til</w:t>
      </w:r>
      <w:r w:rsidR="00486FF5" w:rsidRPr="0055149C">
        <w:rPr>
          <w:noProof/>
        </w:rPr>
        <w:t xml:space="preserve"> neste </w:t>
      </w:r>
      <w:r w:rsidR="007B1375" w:rsidRPr="0055149C">
        <w:rPr>
          <w:noProof/>
        </w:rPr>
        <w:t>delseksjon</w:t>
      </w:r>
      <w:r w:rsidR="00486FF5" w:rsidRPr="0055149C">
        <w:rPr>
          <w:noProof/>
        </w:rPr>
        <w:t>,</w:t>
      </w:r>
      <w:r w:rsidR="00C06AC2" w:rsidRPr="0055149C">
        <w:rPr>
          <w:noProof/>
        </w:rPr>
        <w:t xml:space="preserve"> vil ikke </w:t>
      </w:r>
      <w:r w:rsidR="007B1375" w:rsidRPr="0055149C">
        <w:rPr>
          <w:noProof/>
        </w:rPr>
        <w:t>u</w:t>
      </w:r>
      <w:r w:rsidR="002E1F11" w:rsidRPr="0055149C">
        <w:rPr>
          <w:noProof/>
        </w:rPr>
        <w:t>nøyaktighet</w:t>
      </w:r>
      <w:r w:rsidR="007B1375" w:rsidRPr="0055149C">
        <w:rPr>
          <w:noProof/>
        </w:rPr>
        <w:t>er</w:t>
      </w:r>
      <w:r w:rsidR="002E1F11" w:rsidRPr="0055149C">
        <w:rPr>
          <w:noProof/>
        </w:rPr>
        <w:t xml:space="preserve"> i denne forutsetningen ha </w:t>
      </w:r>
      <w:r w:rsidR="002F6CA1" w:rsidRPr="0055149C">
        <w:rPr>
          <w:noProof/>
        </w:rPr>
        <w:t>dramatiske</w:t>
      </w:r>
      <w:r w:rsidR="002E1F11" w:rsidRPr="0055149C">
        <w:rPr>
          <w:noProof/>
        </w:rPr>
        <w:t xml:space="preserve"> konsekvenser.</w:t>
      </w:r>
      <w:r w:rsidR="00873A54" w:rsidRPr="0055149C">
        <w:rPr>
          <w:noProof/>
        </w:rPr>
        <w:t xml:space="preserve"> </w:t>
      </w:r>
      <w:r w:rsidR="00F231E6" w:rsidRPr="0055149C">
        <w:rPr>
          <w:noProof/>
        </w:rPr>
        <w:t xml:space="preserve">Tomteandelen påvirker </w:t>
      </w:r>
      <w:r w:rsidR="00084046" w:rsidRPr="0055149C">
        <w:rPr>
          <w:noProof/>
        </w:rPr>
        <w:t>imidlertid prisutviklingen, idet bare bygg- og anleggs</w:t>
      </w:r>
      <w:r w:rsidR="00643DAF" w:rsidRPr="0055149C">
        <w:rPr>
          <w:noProof/>
        </w:rPr>
        <w:t xml:space="preserve">delen av eiendomsmassen </w:t>
      </w:r>
      <w:r w:rsidR="00873A54" w:rsidRPr="0055149C">
        <w:rPr>
          <w:noProof/>
        </w:rPr>
        <w:t xml:space="preserve">og ikke tomtedelen </w:t>
      </w:r>
      <w:r w:rsidR="00643DAF" w:rsidRPr="0055149C">
        <w:rPr>
          <w:noProof/>
        </w:rPr>
        <w:t xml:space="preserve">forutsettes å være påvirket av </w:t>
      </w:r>
      <w:r w:rsidR="00873A54" w:rsidRPr="0055149C">
        <w:rPr>
          <w:noProof/>
        </w:rPr>
        <w:t xml:space="preserve">den næringsvise </w:t>
      </w:r>
      <w:r w:rsidR="00643DAF" w:rsidRPr="0055149C">
        <w:rPr>
          <w:noProof/>
        </w:rPr>
        <w:t xml:space="preserve">prisutviklingen for </w:t>
      </w:r>
      <w:r w:rsidR="00873A54" w:rsidRPr="0055149C">
        <w:rPr>
          <w:noProof/>
        </w:rPr>
        <w:t>bygg og anlegg</w:t>
      </w:r>
      <w:r w:rsidR="00643DAF" w:rsidRPr="0055149C">
        <w:rPr>
          <w:noProof/>
        </w:rPr>
        <w:t>.</w:t>
      </w:r>
    </w:p>
    <w:p w14:paraId="2D4AA1E3" w14:textId="1FF76B02" w:rsidR="0007785D" w:rsidRPr="0055149C" w:rsidRDefault="00FF5CDF" w:rsidP="005748CE">
      <w:r w:rsidRPr="0055149C">
        <w:rPr>
          <w:lang w:eastAsia="nb-NO"/>
        </w:rPr>
        <w:t xml:space="preserve">Av de tre kapitalformene i </w:t>
      </w:r>
      <w:r w:rsidR="008E7E43">
        <w:rPr>
          <w:lang w:eastAsia="nb-NO"/>
        </w:rPr>
        <w:t>KOSTRA</w:t>
      </w:r>
      <w:r w:rsidRPr="0055149C">
        <w:rPr>
          <w:lang w:eastAsia="nb-NO"/>
        </w:rPr>
        <w:t xml:space="preserve"> brytes maskiner, utstyr og transportmidler ytterligere opp i den aggregerte inndelingen av kapitalarter i nasjonalregnskapet. </w:t>
      </w:r>
      <w:r w:rsidRPr="0055149C">
        <w:t xml:space="preserve">I </w:t>
      </w:r>
      <w:r w:rsidR="00DD59AC">
        <w:fldChar w:fldCharType="begin"/>
      </w:r>
      <w:r w:rsidR="00DD59AC">
        <w:instrText xml:space="preserve"> REF _Ref182318367 \h </w:instrText>
      </w:r>
      <w:r w:rsidR="00DD59AC">
        <w:fldChar w:fldCharType="separate"/>
      </w:r>
      <w:r w:rsidR="009B1DA8" w:rsidRPr="0055149C">
        <w:t xml:space="preserve">Figur </w:t>
      </w:r>
      <w:r w:rsidR="009B1DA8">
        <w:rPr>
          <w:noProof/>
        </w:rPr>
        <w:t>4</w:t>
      </w:r>
      <w:r w:rsidR="009B1DA8">
        <w:t>.</w:t>
      </w:r>
      <w:r w:rsidR="009B1DA8">
        <w:rPr>
          <w:noProof/>
        </w:rPr>
        <w:t>1</w:t>
      </w:r>
      <w:r w:rsidR="00DD59AC">
        <w:fldChar w:fldCharType="end"/>
      </w:r>
      <w:r w:rsidRPr="0055149C">
        <w:t xml:space="preserve"> b) har vi illustrert hvordan denne kapitalarten fordeler seg over maskiner og utstyr og transportmidler inkludert skip og båter i nasjonalregnskapsdataene. Fordelingen for nærmeste nasjonalregnskapsnæring er deretter relatert til de kommunale funksjonene.</w:t>
      </w:r>
    </w:p>
    <w:p w14:paraId="7C30FDE7" w14:textId="0CEA1972" w:rsidR="00FF5CDF" w:rsidRPr="0055149C" w:rsidRDefault="0007785D" w:rsidP="00E4548D">
      <w:r w:rsidRPr="0055149C">
        <w:t>Næringsspesifikke a</w:t>
      </w:r>
      <w:r w:rsidR="00FF5CDF" w:rsidRPr="0055149C">
        <w:t xml:space="preserve">vvik i heterogeniteten i kapitalmassen </w:t>
      </w:r>
      <w:r w:rsidRPr="0055149C">
        <w:t>sammenliknet med</w:t>
      </w:r>
      <w:r w:rsidR="00FF5CDF" w:rsidRPr="0055149C">
        <w:t xml:space="preserve"> kommunal sektor og de tilknyttede tjenester kan føre </w:t>
      </w:r>
      <w:r w:rsidR="00E62C2A">
        <w:t>til målefeil</w:t>
      </w:r>
      <w:r w:rsidR="00FF5CDF" w:rsidRPr="0055149C">
        <w:t xml:space="preserve"> i kapitaldeflatorene og depresieringsrater</w:t>
      </w:r>
      <w:r w:rsidR="00677ED7">
        <w:t>,</w:t>
      </w:r>
      <w:r w:rsidR="00FF5CDF" w:rsidRPr="0055149C">
        <w:t xml:space="preserve"> som vi har benyttet. Til en viss grad </w:t>
      </w:r>
      <w:r w:rsidRPr="0055149C">
        <w:t>vil</w:t>
      </w:r>
      <w:r w:rsidR="00FF5CDF" w:rsidRPr="0055149C">
        <w:t xml:space="preserve"> bestillinger av nasjonalregnskapsdata fra Statistisk sentralbyrå </w:t>
      </w:r>
      <w:r w:rsidRPr="0055149C">
        <w:t xml:space="preserve">kunne </w:t>
      </w:r>
      <w:r w:rsidR="00FF5CDF" w:rsidRPr="0055149C">
        <w:t xml:space="preserve">bidra til å bedre denne datakvaliteten, men det vil uansett forbli en problemstilling. Heterogeniteten i kapitalmassen vil også avhenge av uobservert heterogenitet mellom kommunene i </w:t>
      </w:r>
      <w:r w:rsidR="008E7E43">
        <w:t>KOSTRA</w:t>
      </w:r>
      <w:r w:rsidR="005B31F3" w:rsidRPr="0055149C">
        <w:t>-</w:t>
      </w:r>
      <w:r w:rsidR="00FF5CDF" w:rsidRPr="0055149C">
        <w:t>dataene, hvilket uansett blir vanskelig å korrigere for.</w:t>
      </w:r>
      <w:bookmarkStart w:id="90" w:name="_Ref167094449"/>
      <w:r w:rsidR="00FF5CDF" w:rsidRPr="0055149C">
        <w:br w:type="page"/>
      </w:r>
    </w:p>
    <w:p w14:paraId="1149FDAC" w14:textId="0CF71ADF" w:rsidR="005748CE" w:rsidRPr="0055149C" w:rsidRDefault="005748CE" w:rsidP="005748CE">
      <w:pPr>
        <w:pStyle w:val="Bildetekst"/>
        <w:jc w:val="both"/>
      </w:pPr>
      <w:bookmarkStart w:id="91" w:name="_Ref182318367"/>
      <w:r w:rsidRPr="0055149C">
        <w:lastRenderedPageBreak/>
        <w:t xml:space="preserve">Figur </w:t>
      </w:r>
      <w:fldSimple w:instr=" STYLEREF 1 \s ">
        <w:r w:rsidR="009B1DA8">
          <w:rPr>
            <w:noProof/>
          </w:rPr>
          <w:t>4</w:t>
        </w:r>
      </w:fldSimple>
      <w:r w:rsidR="004B03E3">
        <w:t>.</w:t>
      </w:r>
      <w:fldSimple w:instr=" SEQ Figur \* ARABIC \s 1 ">
        <w:r w:rsidR="009B1DA8">
          <w:rPr>
            <w:noProof/>
          </w:rPr>
          <w:t>1</w:t>
        </w:r>
      </w:fldSimple>
      <w:bookmarkEnd w:id="90"/>
      <w:bookmarkEnd w:id="91"/>
      <w:r w:rsidRPr="0055149C">
        <w:tab/>
        <w:t xml:space="preserve">a) Kalibrert tomteandel av fast eiendom og anlegg ved symmetrisk aldersprofil </w:t>
      </w:r>
      <w:r w:rsidR="002648E2" w:rsidRPr="0055149C">
        <w:t>og</w:t>
      </w:r>
      <w:r w:rsidR="00B81034" w:rsidRPr="0055149C">
        <w:t xml:space="preserve"> forutsetning av 20 prosent initial tomteandel ved nye bruttoinvesteringer </w:t>
      </w:r>
      <w:r w:rsidR="00DA148C" w:rsidRPr="0055149C">
        <w:t xml:space="preserve">(til venstre) </w:t>
      </w:r>
      <w:r w:rsidRPr="0055149C">
        <w:t>og b) sammensetning innad i kapitalarten maskiner, utstyr og transportmidler</w:t>
      </w:r>
      <w:r w:rsidR="008B4219" w:rsidRPr="0055149C">
        <w:t xml:space="preserve"> </w:t>
      </w:r>
      <w:r w:rsidR="003B422B" w:rsidRPr="0055149C">
        <w:t xml:space="preserve">i kommunale funksjoner </w:t>
      </w:r>
      <w:r w:rsidR="008B4219" w:rsidRPr="0055149C">
        <w:t>for nærmeste aggregerte nasjonalregnskaps</w:t>
      </w:r>
      <w:r w:rsidR="003B422B" w:rsidRPr="0055149C">
        <w:t>næring</w:t>
      </w:r>
      <w:r w:rsidR="00DA148C" w:rsidRPr="0055149C">
        <w:t xml:space="preserve"> (til høyre)</w:t>
      </w:r>
    </w:p>
    <w:p w14:paraId="5E957AF0" w14:textId="7BE29A12" w:rsidR="005748CE" w:rsidRPr="0055149C" w:rsidRDefault="00C97CDC" w:rsidP="00331C10">
      <w:pPr>
        <w:jc w:val="center"/>
        <w:rPr>
          <w:noProof/>
        </w:rPr>
      </w:pPr>
      <w:r w:rsidRPr="0055149C">
        <w:rPr>
          <w:noProof/>
          <w:lang w:val="en-US" w:eastAsia="en-US"/>
        </w:rPr>
        <w:drawing>
          <wp:inline distT="0" distB="0" distL="0" distR="0" wp14:anchorId="2D0DAEDA" wp14:editId="00F9B5A5">
            <wp:extent cx="2664000" cy="3600000"/>
            <wp:effectExtent l="0" t="0" r="3175" b="635"/>
            <wp:docPr id="286514934" name="Diagram 1">
              <a:extLst xmlns:a="http://schemas.openxmlformats.org/drawingml/2006/main">
                <a:ext uri="{FF2B5EF4-FFF2-40B4-BE49-F238E27FC236}">
                  <a16:creationId xmlns:a16="http://schemas.microsoft.com/office/drawing/2014/main" id="{C164CB95-F204-4A2D-9F7C-3D18F37B2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B4219" w:rsidRPr="0055149C">
        <w:rPr>
          <w:noProof/>
          <w:lang w:val="en-US" w:eastAsia="en-US"/>
        </w:rPr>
        <w:drawing>
          <wp:inline distT="0" distB="0" distL="0" distR="0" wp14:anchorId="44236A6A" wp14:editId="611F5AFA">
            <wp:extent cx="2664000" cy="3600000"/>
            <wp:effectExtent l="0" t="0" r="3175" b="635"/>
            <wp:docPr id="354193985" name="Diagram 1">
              <a:extLst xmlns:a="http://schemas.openxmlformats.org/drawingml/2006/main">
                <a:ext uri="{FF2B5EF4-FFF2-40B4-BE49-F238E27FC236}">
                  <a16:creationId xmlns:a16="http://schemas.microsoft.com/office/drawing/2014/main" id="{B6E9E459-4687-DADB-0CAD-8B9593A66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9A1FA8" w14:textId="77777777" w:rsidR="005748CE" w:rsidRPr="0055149C" w:rsidRDefault="005748CE" w:rsidP="005748CE">
      <w:pPr>
        <w:pStyle w:val="Source"/>
        <w:rPr>
          <w:lang w:eastAsia="nb-NO"/>
        </w:rPr>
      </w:pPr>
      <w:r w:rsidRPr="0055149C">
        <w:rPr>
          <w:lang w:eastAsia="nb-NO"/>
        </w:rPr>
        <w:t>Kilde: Vista Analyses bearbeidinger av data fra Statistisk sentralbyrå</w:t>
      </w:r>
    </w:p>
    <w:p w14:paraId="23F22434" w14:textId="77777777" w:rsidR="00C8773A" w:rsidRPr="0055149C" w:rsidRDefault="00C8773A" w:rsidP="000E08F8">
      <w:pPr>
        <w:pStyle w:val="Overskrift4"/>
        <w:numPr>
          <w:ilvl w:val="0"/>
          <w:numId w:val="0"/>
        </w:numPr>
      </w:pPr>
      <w:r w:rsidRPr="0055149C">
        <w:t>Depresieringsrater</w:t>
      </w:r>
      <w:bookmarkEnd w:id="89"/>
    </w:p>
    <w:p w14:paraId="12A83791" w14:textId="49F0E6A1" w:rsidR="001B412B" w:rsidRPr="0055149C" w:rsidRDefault="00FA60C8" w:rsidP="00C8773A">
      <w:pPr>
        <w:rPr>
          <w:lang w:eastAsia="nb-NO"/>
        </w:rPr>
      </w:pPr>
      <w:r w:rsidRPr="0055149C">
        <w:rPr>
          <w:lang w:eastAsia="nb-NO"/>
        </w:rPr>
        <w:t xml:space="preserve">I våre analyser har vi lagt </w:t>
      </w:r>
      <w:r w:rsidR="000821AE" w:rsidRPr="0055149C">
        <w:rPr>
          <w:lang w:eastAsia="nb-NO"/>
        </w:rPr>
        <w:t xml:space="preserve">de </w:t>
      </w:r>
      <w:r w:rsidR="00191498" w:rsidRPr="0055149C">
        <w:rPr>
          <w:lang w:eastAsia="nb-NO"/>
        </w:rPr>
        <w:t xml:space="preserve">næringsvise </w:t>
      </w:r>
      <w:r w:rsidRPr="0055149C">
        <w:rPr>
          <w:lang w:eastAsia="nb-NO"/>
        </w:rPr>
        <w:t xml:space="preserve">depresieringsratene </w:t>
      </w:r>
      <w:r w:rsidR="000821AE" w:rsidRPr="0055149C">
        <w:rPr>
          <w:lang w:eastAsia="nb-NO"/>
        </w:rPr>
        <w:t>i n</w:t>
      </w:r>
      <w:r w:rsidR="009B518E" w:rsidRPr="0055149C">
        <w:rPr>
          <w:lang w:eastAsia="nb-NO"/>
        </w:rPr>
        <w:t>asjonalregnskap</w:t>
      </w:r>
      <w:r w:rsidR="000821AE" w:rsidRPr="0055149C">
        <w:rPr>
          <w:lang w:eastAsia="nb-NO"/>
        </w:rPr>
        <w:t>et</w:t>
      </w:r>
      <w:r w:rsidR="009B518E" w:rsidRPr="0055149C">
        <w:rPr>
          <w:lang w:eastAsia="nb-NO"/>
        </w:rPr>
        <w:t xml:space="preserve"> til grunn for maskiner, utstyr og transportmidler og immateriell </w:t>
      </w:r>
      <w:r w:rsidR="007C4D32" w:rsidRPr="0055149C">
        <w:rPr>
          <w:lang w:eastAsia="nb-NO"/>
        </w:rPr>
        <w:t>kapital</w:t>
      </w:r>
      <w:r w:rsidR="009B518E" w:rsidRPr="0055149C">
        <w:rPr>
          <w:lang w:eastAsia="nb-NO"/>
        </w:rPr>
        <w:t>.</w:t>
      </w:r>
      <w:r w:rsidR="00E52679" w:rsidRPr="0055149C">
        <w:rPr>
          <w:lang w:eastAsia="nb-NO"/>
        </w:rPr>
        <w:t xml:space="preserve"> </w:t>
      </w:r>
      <w:r w:rsidR="00E06045" w:rsidRPr="0055149C">
        <w:rPr>
          <w:lang w:eastAsia="nb-NO"/>
        </w:rPr>
        <w:t xml:space="preserve">For </w:t>
      </w:r>
      <w:r w:rsidR="00FF6C1D" w:rsidRPr="0055149C">
        <w:rPr>
          <w:lang w:eastAsia="nb-NO"/>
        </w:rPr>
        <w:t>fast eiendom har vi skalert</w:t>
      </w:r>
      <w:r w:rsidR="001056AC" w:rsidRPr="0055149C">
        <w:rPr>
          <w:lang w:eastAsia="nb-NO"/>
        </w:rPr>
        <w:t xml:space="preserve"> </w:t>
      </w:r>
      <w:r w:rsidR="00B941EF" w:rsidRPr="0055149C">
        <w:rPr>
          <w:lang w:eastAsia="nb-NO"/>
        </w:rPr>
        <w:t>d</w:t>
      </w:r>
      <w:r w:rsidR="00FF6C1D" w:rsidRPr="0055149C">
        <w:rPr>
          <w:lang w:eastAsia="nb-NO"/>
        </w:rPr>
        <w:t>epresieringsratene</w:t>
      </w:r>
      <w:r w:rsidR="00B941EF" w:rsidRPr="0055149C">
        <w:rPr>
          <w:lang w:eastAsia="nb-NO"/>
        </w:rPr>
        <w:t xml:space="preserve"> i nasjonalregnskapet</w:t>
      </w:r>
      <w:r w:rsidR="00042FBE" w:rsidRPr="0055149C">
        <w:rPr>
          <w:lang w:eastAsia="nb-NO"/>
        </w:rPr>
        <w:t xml:space="preserve">, slik at de </w:t>
      </w:r>
      <w:r w:rsidR="00B941EF" w:rsidRPr="0055149C">
        <w:rPr>
          <w:lang w:eastAsia="nb-NO"/>
        </w:rPr>
        <w:t xml:space="preserve">stemmer overens med </w:t>
      </w:r>
      <w:r w:rsidR="00B54147" w:rsidRPr="0055149C">
        <w:rPr>
          <w:lang w:eastAsia="nb-NO"/>
        </w:rPr>
        <w:t xml:space="preserve">avskrivningene i </w:t>
      </w:r>
      <w:r w:rsidR="008E7E43">
        <w:rPr>
          <w:lang w:eastAsia="nb-NO"/>
        </w:rPr>
        <w:t>KOSTRA</w:t>
      </w:r>
      <w:r w:rsidR="001056AC" w:rsidRPr="0055149C">
        <w:rPr>
          <w:lang w:eastAsia="nb-NO"/>
        </w:rPr>
        <w:t>, de øvrige depre</w:t>
      </w:r>
      <w:r w:rsidR="00375B52" w:rsidRPr="0055149C">
        <w:rPr>
          <w:lang w:eastAsia="nb-NO"/>
        </w:rPr>
        <w:t>sie</w:t>
      </w:r>
      <w:r w:rsidR="001056AC" w:rsidRPr="0055149C">
        <w:rPr>
          <w:lang w:eastAsia="nb-NO"/>
        </w:rPr>
        <w:t>ringsrate</w:t>
      </w:r>
      <w:r w:rsidR="00375B52" w:rsidRPr="0055149C">
        <w:rPr>
          <w:lang w:eastAsia="nb-NO"/>
        </w:rPr>
        <w:t xml:space="preserve">ne og </w:t>
      </w:r>
      <w:r w:rsidR="008C1051" w:rsidRPr="0055149C">
        <w:rPr>
          <w:lang w:eastAsia="nb-NO"/>
        </w:rPr>
        <w:t>forutsetningen om arealandelen til fast eiendom.</w:t>
      </w:r>
      <w:r w:rsidR="00D74FBA" w:rsidRPr="0055149C">
        <w:rPr>
          <w:lang w:eastAsia="nb-NO"/>
        </w:rPr>
        <w:t xml:space="preserve"> </w:t>
      </w:r>
      <w:r w:rsidR="001B412B" w:rsidRPr="0055149C">
        <w:rPr>
          <w:lang w:eastAsia="nb-NO"/>
        </w:rPr>
        <w:t xml:space="preserve">I tillegg har vi utnyttet korrespondansen mellom næringene i nasjonalregnskapet og funksjonene i </w:t>
      </w:r>
      <w:r w:rsidR="008E7E43">
        <w:rPr>
          <w:lang w:eastAsia="nb-NO"/>
        </w:rPr>
        <w:t>KOSTRA</w:t>
      </w:r>
      <w:r w:rsidR="001B412B" w:rsidRPr="0055149C">
        <w:rPr>
          <w:lang w:eastAsia="nb-NO"/>
        </w:rPr>
        <w:t>.</w:t>
      </w:r>
    </w:p>
    <w:p w14:paraId="387C2641" w14:textId="348C8360" w:rsidR="00EC4981" w:rsidRPr="0055149C" w:rsidRDefault="00167372" w:rsidP="00EE6C71">
      <w:pPr>
        <w:rPr>
          <w:lang w:eastAsia="nb-NO"/>
        </w:rPr>
      </w:pPr>
      <w:r w:rsidRPr="0055149C">
        <w:rPr>
          <w:lang w:eastAsia="nb-NO"/>
        </w:rPr>
        <w:t xml:space="preserve">Resultatet </w:t>
      </w:r>
      <w:r w:rsidR="00D74FBA" w:rsidRPr="0055149C">
        <w:rPr>
          <w:lang w:eastAsia="nb-NO"/>
        </w:rPr>
        <w:t xml:space="preserve">er gitt over kapitalarter og funksjoner </w:t>
      </w:r>
      <w:r w:rsidR="00967543" w:rsidRPr="0055149C">
        <w:rPr>
          <w:lang w:eastAsia="nb-NO"/>
        </w:rPr>
        <w:t xml:space="preserve">i </w:t>
      </w:r>
      <w:r w:rsidR="00DB7612" w:rsidRPr="0055149C">
        <w:rPr>
          <w:lang w:eastAsia="nb-NO"/>
        </w:rPr>
        <w:fldChar w:fldCharType="begin"/>
      </w:r>
      <w:r w:rsidR="00DB7612" w:rsidRPr="0055149C">
        <w:rPr>
          <w:lang w:eastAsia="nb-NO"/>
        </w:rPr>
        <w:instrText xml:space="preserve"> REF _Ref167455977 \h </w:instrText>
      </w:r>
      <w:r w:rsidR="00DB7612" w:rsidRPr="0055149C">
        <w:rPr>
          <w:lang w:eastAsia="nb-NO"/>
        </w:rPr>
      </w:r>
      <w:r w:rsidR="00DB7612" w:rsidRPr="0055149C">
        <w:rPr>
          <w:lang w:eastAsia="nb-NO"/>
        </w:rPr>
        <w:fldChar w:fldCharType="separate"/>
      </w:r>
      <w:r w:rsidR="009B1DA8" w:rsidRPr="0055149C">
        <w:t xml:space="preserve">Figur </w:t>
      </w:r>
      <w:r w:rsidR="009B1DA8">
        <w:rPr>
          <w:noProof/>
        </w:rPr>
        <w:t>4</w:t>
      </w:r>
      <w:r w:rsidR="009B1DA8">
        <w:t>.</w:t>
      </w:r>
      <w:r w:rsidR="009B1DA8">
        <w:rPr>
          <w:noProof/>
        </w:rPr>
        <w:t>2</w:t>
      </w:r>
      <w:r w:rsidR="00DB7612" w:rsidRPr="0055149C">
        <w:rPr>
          <w:lang w:eastAsia="nb-NO"/>
        </w:rPr>
        <w:fldChar w:fldCharType="end"/>
      </w:r>
      <w:r w:rsidR="00967543" w:rsidRPr="0055149C">
        <w:rPr>
          <w:lang w:eastAsia="nb-NO"/>
        </w:rPr>
        <w:t xml:space="preserve"> </w:t>
      </w:r>
      <w:r w:rsidR="00D74FBA" w:rsidRPr="0055149C">
        <w:rPr>
          <w:lang w:eastAsia="nb-NO"/>
        </w:rPr>
        <w:t>under</w:t>
      </w:r>
      <w:r w:rsidR="00664698" w:rsidRPr="0055149C">
        <w:rPr>
          <w:lang w:eastAsia="nb-NO"/>
        </w:rPr>
        <w:t xml:space="preserve">. </w:t>
      </w:r>
      <w:r w:rsidR="001B412B" w:rsidRPr="0055149C">
        <w:rPr>
          <w:lang w:eastAsia="nb-NO"/>
        </w:rPr>
        <w:t>Figuren viser at depresieringsratene</w:t>
      </w:r>
      <w:r w:rsidR="00D06B36">
        <w:rPr>
          <w:lang w:eastAsia="nb-NO"/>
        </w:rPr>
        <w:t xml:space="preserve"> er</w:t>
      </w:r>
      <w:r w:rsidR="001B412B" w:rsidRPr="0055149C">
        <w:rPr>
          <w:lang w:eastAsia="nb-NO"/>
        </w:rPr>
        <w:t xml:space="preserve"> langt lavere for fast eiendom enn</w:t>
      </w:r>
      <w:r w:rsidR="00664698" w:rsidRPr="0055149C">
        <w:rPr>
          <w:lang w:eastAsia="nb-NO"/>
        </w:rPr>
        <w:t xml:space="preserve"> for øvrige kapitalformer</w:t>
      </w:r>
      <w:r w:rsidR="00A920BC" w:rsidRPr="0055149C">
        <w:rPr>
          <w:lang w:eastAsia="nb-NO"/>
        </w:rPr>
        <w:t xml:space="preserve">. Videre har samferdsel </w:t>
      </w:r>
      <w:r w:rsidR="008C11B9" w:rsidRPr="0055149C">
        <w:rPr>
          <w:lang w:eastAsia="nb-NO"/>
        </w:rPr>
        <w:t xml:space="preserve">og </w:t>
      </w:r>
      <w:r w:rsidR="00805640" w:rsidRPr="0055149C">
        <w:rPr>
          <w:lang w:eastAsia="nb-NO"/>
        </w:rPr>
        <w:t xml:space="preserve">kommunens </w:t>
      </w:r>
      <w:r w:rsidR="008C11B9" w:rsidRPr="0055149C">
        <w:rPr>
          <w:lang w:eastAsia="nb-NO"/>
        </w:rPr>
        <w:t>kirke</w:t>
      </w:r>
      <w:r w:rsidR="00805640" w:rsidRPr="0055149C">
        <w:rPr>
          <w:lang w:eastAsia="nb-NO"/>
        </w:rPr>
        <w:t>tjenester</w:t>
      </w:r>
      <w:r w:rsidR="008C11B9" w:rsidRPr="0055149C">
        <w:rPr>
          <w:lang w:eastAsia="nb-NO"/>
        </w:rPr>
        <w:t xml:space="preserve"> </w:t>
      </w:r>
      <w:r w:rsidR="00A920BC" w:rsidRPr="0055149C">
        <w:rPr>
          <w:lang w:eastAsia="nb-NO"/>
        </w:rPr>
        <w:t>klart høyere depresieringsrate enn øvrige funksjoner.</w:t>
      </w:r>
      <w:r w:rsidR="008C11B9" w:rsidRPr="0055149C">
        <w:rPr>
          <w:lang w:eastAsia="nb-NO"/>
        </w:rPr>
        <w:t xml:space="preserve"> I begge tilfeller skyldes det vesentlig annerledes </w:t>
      </w:r>
      <w:r w:rsidR="00EE6C71" w:rsidRPr="0055149C">
        <w:rPr>
          <w:lang w:eastAsia="nb-NO"/>
        </w:rPr>
        <w:t>kapitalmasse.</w:t>
      </w:r>
      <w:bookmarkStart w:id="92" w:name="_Ref166620118"/>
      <w:r w:rsidR="00952AEB" w:rsidRPr="0055149C">
        <w:rPr>
          <w:lang w:eastAsia="nb-NO"/>
        </w:rPr>
        <w:t xml:space="preserve"> Disse tallene kan også være gjenstand for en del målefeil, idet vi ikke har tall som belyser avviket mellom kapital</w:t>
      </w:r>
      <w:r w:rsidR="00FB4628" w:rsidRPr="0055149C">
        <w:rPr>
          <w:lang w:eastAsia="nb-NO"/>
        </w:rPr>
        <w:t>beholdningen innad i næringer i kommunal sektor</w:t>
      </w:r>
      <w:r w:rsidR="00FA1DD5" w:rsidRPr="0055149C">
        <w:rPr>
          <w:lang w:eastAsia="nb-NO"/>
        </w:rPr>
        <w:t xml:space="preserve"> utover det man får ved å kombinere nasjonalregnskapet og </w:t>
      </w:r>
      <w:r w:rsidR="008E7E43">
        <w:rPr>
          <w:lang w:eastAsia="nb-NO"/>
        </w:rPr>
        <w:t>KOSTRA</w:t>
      </w:r>
      <w:r w:rsidR="00FA1DD5" w:rsidRPr="0055149C">
        <w:rPr>
          <w:lang w:eastAsia="nb-NO"/>
        </w:rPr>
        <w:t>.</w:t>
      </w:r>
      <w:r w:rsidR="00CD6445" w:rsidRPr="0055149C">
        <w:rPr>
          <w:lang w:eastAsia="nb-NO"/>
        </w:rPr>
        <w:t xml:space="preserve"> Like fullt endrer ikke estimatene seg </w:t>
      </w:r>
      <w:r w:rsidR="00B3000B" w:rsidRPr="0055149C">
        <w:rPr>
          <w:lang w:eastAsia="nb-NO"/>
        </w:rPr>
        <w:t>radikalt</w:t>
      </w:r>
      <w:r w:rsidR="00471648">
        <w:rPr>
          <w:lang w:eastAsia="nb-NO"/>
        </w:rPr>
        <w:t>,</w:t>
      </w:r>
      <w:r w:rsidR="00B3000B" w:rsidRPr="0055149C">
        <w:rPr>
          <w:lang w:eastAsia="nb-NO"/>
        </w:rPr>
        <w:t xml:space="preserve"> hvis vi isteden legger en mer aggregert næringsinndeling i nasjonalregnskapet til grunn for korrespondansen mellom </w:t>
      </w:r>
      <w:r w:rsidR="008E5874" w:rsidRPr="0055149C">
        <w:rPr>
          <w:lang w:eastAsia="nb-NO"/>
        </w:rPr>
        <w:t xml:space="preserve">næringene og funksjoner i </w:t>
      </w:r>
      <w:r w:rsidR="008E7E43">
        <w:rPr>
          <w:lang w:eastAsia="nb-NO"/>
        </w:rPr>
        <w:t>KOSTRA</w:t>
      </w:r>
      <w:r w:rsidR="008E5874" w:rsidRPr="0055149C">
        <w:rPr>
          <w:lang w:eastAsia="nb-NO"/>
        </w:rPr>
        <w:t>.</w:t>
      </w:r>
      <w:r w:rsidR="00952AEB" w:rsidRPr="0055149C">
        <w:rPr>
          <w:lang w:eastAsia="nb-NO"/>
        </w:rPr>
        <w:t xml:space="preserve"> </w:t>
      </w:r>
    </w:p>
    <w:p w14:paraId="68B53FE0" w14:textId="17F6DD03" w:rsidR="005D0CD8" w:rsidRPr="0055149C" w:rsidRDefault="005D0CD8" w:rsidP="00EC4981">
      <w:pPr>
        <w:pStyle w:val="Bildetekst"/>
        <w:ind w:left="0" w:firstLine="0"/>
        <w:jc w:val="both"/>
      </w:pPr>
      <w:bookmarkStart w:id="93" w:name="_Ref167455977"/>
      <w:r w:rsidRPr="0055149C">
        <w:lastRenderedPageBreak/>
        <w:t xml:space="preserve">Figur </w:t>
      </w:r>
      <w:fldSimple w:instr=" STYLEREF 1 \s ">
        <w:r w:rsidR="009B1DA8">
          <w:rPr>
            <w:noProof/>
          </w:rPr>
          <w:t>4</w:t>
        </w:r>
      </w:fldSimple>
      <w:r w:rsidR="004B03E3">
        <w:t>.</w:t>
      </w:r>
      <w:fldSimple w:instr=" SEQ Figur \* ARABIC \s 1 ">
        <w:r w:rsidR="009B1DA8">
          <w:rPr>
            <w:noProof/>
          </w:rPr>
          <w:t>2</w:t>
        </w:r>
      </w:fldSimple>
      <w:bookmarkEnd w:id="92"/>
      <w:bookmarkEnd w:id="93"/>
      <w:r w:rsidR="00B90B35" w:rsidRPr="0055149C">
        <w:tab/>
        <w:t>Depresieringsrater over a) kapitalarter</w:t>
      </w:r>
      <w:r w:rsidR="000C728C" w:rsidRPr="0055149C">
        <w:t xml:space="preserve"> (til venstre)</w:t>
      </w:r>
      <w:r w:rsidR="00B90B35" w:rsidRPr="0055149C">
        <w:t xml:space="preserve"> og b) funksjoner</w:t>
      </w:r>
      <w:r w:rsidR="000C728C" w:rsidRPr="0055149C">
        <w:t xml:space="preserve"> (til høyre)</w:t>
      </w:r>
    </w:p>
    <w:p w14:paraId="209ED9F2" w14:textId="0B081C3C" w:rsidR="00C8773A" w:rsidRPr="0055149C" w:rsidRDefault="00B7440D" w:rsidP="00331C10">
      <w:pPr>
        <w:jc w:val="center"/>
        <w:rPr>
          <w:lang w:eastAsia="nb-NO"/>
        </w:rPr>
      </w:pPr>
      <w:r w:rsidRPr="0055149C">
        <w:rPr>
          <w:noProof/>
          <w:lang w:val="en-US" w:eastAsia="en-US"/>
        </w:rPr>
        <w:drawing>
          <wp:inline distT="0" distB="0" distL="0" distR="0" wp14:anchorId="5C859759" wp14:editId="4F80F5A1">
            <wp:extent cx="2664000" cy="3600000"/>
            <wp:effectExtent l="0" t="0" r="3175" b="635"/>
            <wp:docPr id="640205552" name="Diagram 1">
              <a:extLst xmlns:a="http://schemas.openxmlformats.org/drawingml/2006/main">
                <a:ext uri="{FF2B5EF4-FFF2-40B4-BE49-F238E27FC236}">
                  <a16:creationId xmlns:a16="http://schemas.microsoft.com/office/drawing/2014/main" id="{F0D47E90-9989-DED8-793D-D51DEED5F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40EFF" w:rsidRPr="0055149C">
        <w:rPr>
          <w:noProof/>
          <w:lang w:val="en-US" w:eastAsia="en-US"/>
        </w:rPr>
        <w:drawing>
          <wp:inline distT="0" distB="0" distL="0" distR="0" wp14:anchorId="336DFCF2" wp14:editId="70DDED40">
            <wp:extent cx="2664000" cy="3600000"/>
            <wp:effectExtent l="0" t="0" r="3175" b="635"/>
            <wp:docPr id="869917939" name="Diagram 1">
              <a:extLst xmlns:a="http://schemas.openxmlformats.org/drawingml/2006/main">
                <a:ext uri="{FF2B5EF4-FFF2-40B4-BE49-F238E27FC236}">
                  <a16:creationId xmlns:a16="http://schemas.microsoft.com/office/drawing/2014/main" id="{6794557D-DB92-4DB3-A989-441B22D13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869B89" w14:textId="1C45B5E7" w:rsidR="002F21AE" w:rsidRPr="0055149C" w:rsidRDefault="002F21AE" w:rsidP="002F21AE">
      <w:pPr>
        <w:pStyle w:val="Source"/>
        <w:rPr>
          <w:lang w:eastAsia="nb-NO"/>
        </w:rPr>
      </w:pPr>
      <w:r w:rsidRPr="0055149C">
        <w:rPr>
          <w:lang w:eastAsia="nb-NO"/>
        </w:rPr>
        <w:t xml:space="preserve">Kilde: </w:t>
      </w:r>
      <w:r w:rsidR="005759F9" w:rsidRPr="0055149C">
        <w:rPr>
          <w:lang w:eastAsia="nb-NO"/>
        </w:rPr>
        <w:t>Vista Analyses bearbeidinger av data fra Statistisk sentralbyrå</w:t>
      </w:r>
    </w:p>
    <w:p w14:paraId="6EE6B846" w14:textId="144C4923" w:rsidR="00C8773A" w:rsidRPr="0055149C" w:rsidRDefault="00C8773A" w:rsidP="000E08F8">
      <w:pPr>
        <w:pStyle w:val="Overskrift4"/>
        <w:numPr>
          <w:ilvl w:val="0"/>
          <w:numId w:val="0"/>
        </w:numPr>
      </w:pPr>
      <w:r w:rsidRPr="0055149C">
        <w:t>Kapitaldeflatorer</w:t>
      </w:r>
    </w:p>
    <w:p w14:paraId="38A4B47C" w14:textId="3C57649E" w:rsidR="00CF6BFB" w:rsidRDefault="00456D61" w:rsidP="00EC4981">
      <w:pPr>
        <w:rPr>
          <w:lang w:eastAsia="nb-NO"/>
        </w:rPr>
      </w:pPr>
      <w:r w:rsidRPr="0055149C">
        <w:rPr>
          <w:lang w:eastAsia="nb-NO"/>
        </w:rPr>
        <w:t xml:space="preserve">Prisutviklingen på realkapital </w:t>
      </w:r>
      <w:r w:rsidR="00986BB9" w:rsidRPr="0055149C">
        <w:rPr>
          <w:lang w:eastAsia="nb-NO"/>
        </w:rPr>
        <w:t xml:space="preserve">varierer mer over kapitalarter enn funksjoner. Dette framgår </w:t>
      </w:r>
      <w:r w:rsidR="00123A7D" w:rsidRPr="0055149C">
        <w:rPr>
          <w:lang w:eastAsia="nb-NO"/>
        </w:rPr>
        <w:t xml:space="preserve">av </w:t>
      </w:r>
      <w:r w:rsidR="00123A7D" w:rsidRPr="0055149C">
        <w:rPr>
          <w:lang w:eastAsia="nb-NO"/>
        </w:rPr>
        <w:fldChar w:fldCharType="begin"/>
      </w:r>
      <w:r w:rsidR="00123A7D" w:rsidRPr="0055149C">
        <w:rPr>
          <w:lang w:eastAsia="nb-NO"/>
        </w:rPr>
        <w:instrText xml:space="preserve"> REF _Ref167456127 \h </w:instrText>
      </w:r>
      <w:r w:rsidR="00123A7D" w:rsidRPr="0055149C">
        <w:rPr>
          <w:lang w:eastAsia="nb-NO"/>
        </w:rPr>
      </w:r>
      <w:r w:rsidR="00123A7D" w:rsidRPr="0055149C">
        <w:rPr>
          <w:lang w:eastAsia="nb-NO"/>
        </w:rPr>
        <w:fldChar w:fldCharType="separate"/>
      </w:r>
      <w:r w:rsidR="009B1DA8" w:rsidRPr="0055149C">
        <w:t xml:space="preserve">Figur </w:t>
      </w:r>
      <w:r w:rsidR="009B1DA8">
        <w:rPr>
          <w:noProof/>
        </w:rPr>
        <w:t>4</w:t>
      </w:r>
      <w:r w:rsidR="009B1DA8">
        <w:t>.</w:t>
      </w:r>
      <w:r w:rsidR="009B1DA8">
        <w:rPr>
          <w:noProof/>
        </w:rPr>
        <w:t>3</w:t>
      </w:r>
      <w:r w:rsidR="00123A7D" w:rsidRPr="0055149C">
        <w:rPr>
          <w:lang w:eastAsia="nb-NO"/>
        </w:rPr>
        <w:fldChar w:fldCharType="end"/>
      </w:r>
      <w:r w:rsidR="00986BB9" w:rsidRPr="0055149C">
        <w:rPr>
          <w:lang w:eastAsia="nb-NO"/>
        </w:rPr>
        <w:t>.</w:t>
      </w:r>
      <w:r w:rsidR="007114FF" w:rsidRPr="0055149C">
        <w:rPr>
          <w:lang w:eastAsia="nb-NO"/>
        </w:rPr>
        <w:t xml:space="preserve"> </w:t>
      </w:r>
      <w:r w:rsidR="00F26BC6" w:rsidRPr="0055149C">
        <w:rPr>
          <w:lang w:eastAsia="nb-NO"/>
        </w:rPr>
        <w:t>Fast eiendom og anlegg har vesen</w:t>
      </w:r>
      <w:r w:rsidR="007114FF" w:rsidRPr="0055149C">
        <w:rPr>
          <w:lang w:eastAsia="nb-NO"/>
        </w:rPr>
        <w:t>tlig mer positiv prisutvikling enn</w:t>
      </w:r>
      <w:r w:rsidR="00181277" w:rsidRPr="0055149C">
        <w:rPr>
          <w:lang w:eastAsia="nb-NO"/>
        </w:rPr>
        <w:t xml:space="preserve"> de mobile kapitalformene i fysisk forstand. Videre har bygg og anlegg en noe svakere </w:t>
      </w:r>
      <w:r w:rsidR="0050186C" w:rsidRPr="0055149C">
        <w:rPr>
          <w:lang w:eastAsia="nb-NO"/>
        </w:rPr>
        <w:t>prisutvikling en</w:t>
      </w:r>
      <w:r w:rsidR="00F270B9" w:rsidRPr="0055149C">
        <w:rPr>
          <w:lang w:eastAsia="nb-NO"/>
        </w:rPr>
        <w:t>n</w:t>
      </w:r>
      <w:r w:rsidR="0050186C" w:rsidRPr="0055149C">
        <w:rPr>
          <w:lang w:eastAsia="nb-NO"/>
        </w:rPr>
        <w:t xml:space="preserve"> fast eiendom og anlegg, hvilket indikerer at utviklingen i tomteprisen bidrar mye til prisveksten.</w:t>
      </w:r>
      <w:bookmarkStart w:id="94" w:name="_Ref166621407"/>
    </w:p>
    <w:p w14:paraId="2F0D2210" w14:textId="3C0CB77D" w:rsidR="002B21D5" w:rsidRPr="0055149C" w:rsidRDefault="002B21D5" w:rsidP="00EC4981">
      <w:pPr>
        <w:rPr>
          <w:lang w:eastAsia="nb-NO"/>
        </w:rPr>
      </w:pPr>
      <w:r w:rsidRPr="0055149C">
        <w:rPr>
          <w:lang w:eastAsia="nb-NO"/>
        </w:rPr>
        <w:t xml:space="preserve">Når det gjelder funksjoner, skiller samferdsel seg ut ved svakere prisutvikling enn de øvrige funksjonene. Dette kan ses i sammenheng med </w:t>
      </w:r>
      <w:r>
        <w:rPr>
          <w:lang w:eastAsia="nb-NO"/>
        </w:rPr>
        <w:t xml:space="preserve">at </w:t>
      </w:r>
      <w:r w:rsidRPr="0055149C">
        <w:rPr>
          <w:lang w:eastAsia="nb-NO"/>
        </w:rPr>
        <w:t>realkapitalen innenfor denne sektoren også er mer kortlevd, jamfør forrige delseksjon om depresieringsrater. Ellers er prisutviklingen relativt lik over funksjoner, også når man ser på utviklingen år for år. Kultur og tannhelse har svakest prisvekst på realkapitalen blant de øvrige funksjonene, mens kommunale boliger og administrasjon og beredskap står for den sterkeste prisveksten.</w:t>
      </w:r>
    </w:p>
    <w:p w14:paraId="2051F345" w14:textId="0F887F62" w:rsidR="00C8773A" w:rsidRPr="0055149C" w:rsidRDefault="00C8773A" w:rsidP="00C8773A">
      <w:pPr>
        <w:pStyle w:val="Bildetekst"/>
        <w:jc w:val="both"/>
      </w:pPr>
      <w:bookmarkStart w:id="95" w:name="_Ref167456127"/>
      <w:r w:rsidRPr="0055149C">
        <w:lastRenderedPageBreak/>
        <w:t xml:space="preserve">Figur </w:t>
      </w:r>
      <w:fldSimple w:instr=" STYLEREF 1 \s ">
        <w:r w:rsidR="009B1DA8">
          <w:rPr>
            <w:noProof/>
          </w:rPr>
          <w:t>4</w:t>
        </w:r>
      </w:fldSimple>
      <w:r w:rsidR="004B03E3">
        <w:t>.</w:t>
      </w:r>
      <w:fldSimple w:instr=" SEQ Figur \* ARABIC \s 1 ">
        <w:r w:rsidR="009B1DA8">
          <w:rPr>
            <w:noProof/>
          </w:rPr>
          <w:t>3</w:t>
        </w:r>
      </w:fldSimple>
      <w:bookmarkEnd w:id="94"/>
      <w:bookmarkEnd w:id="95"/>
      <w:r w:rsidR="00F57526" w:rsidRPr="0055149C">
        <w:tab/>
      </w:r>
      <w:r w:rsidR="00013238" w:rsidRPr="0055149C">
        <w:t>Realkapitalp</w:t>
      </w:r>
      <w:r w:rsidR="0031532E" w:rsidRPr="0055149C">
        <w:t xml:space="preserve">risutviklingen </w:t>
      </w:r>
      <w:r w:rsidR="00013238" w:rsidRPr="0055149C">
        <w:t>over a) kapitalarter</w:t>
      </w:r>
      <w:r w:rsidR="002C0C3A" w:rsidRPr="0055149C">
        <w:t xml:space="preserve"> (øverst)</w:t>
      </w:r>
      <w:r w:rsidR="00013238" w:rsidRPr="0055149C">
        <w:t xml:space="preserve">, b) funksjoner </w:t>
      </w:r>
      <w:r w:rsidR="002C0C3A" w:rsidRPr="0055149C">
        <w:t xml:space="preserve">(i midten </w:t>
      </w:r>
      <w:r w:rsidR="00013238" w:rsidRPr="0055149C">
        <w:t>og c) regioner i tilfellet eiendom</w:t>
      </w:r>
      <w:r w:rsidR="002F21AE" w:rsidRPr="0055149C">
        <w:t>skapital</w:t>
      </w:r>
      <w:r w:rsidR="002C0C3A" w:rsidRPr="0055149C">
        <w:t xml:space="preserve"> (nederst) med 2003 som bas</w:t>
      </w:r>
      <w:r w:rsidR="0074527A" w:rsidRPr="0055149C">
        <w:t>is</w:t>
      </w:r>
      <w:r w:rsidR="002C0C3A" w:rsidRPr="0055149C">
        <w:t>år</w:t>
      </w:r>
    </w:p>
    <w:p w14:paraId="072BBF25" w14:textId="704E236E" w:rsidR="00A16112" w:rsidRPr="0055149C" w:rsidRDefault="00E6614B" w:rsidP="00331C10">
      <w:pPr>
        <w:jc w:val="center"/>
      </w:pPr>
      <w:r>
        <w:rPr>
          <w:noProof/>
          <w:lang w:val="en-US" w:eastAsia="en-US"/>
        </w:rPr>
        <w:drawing>
          <wp:inline distT="0" distB="0" distL="0" distR="0" wp14:anchorId="2FBDBEA7" wp14:editId="1D47DE6B">
            <wp:extent cx="5364000" cy="2340000"/>
            <wp:effectExtent l="0" t="0" r="8255" b="3175"/>
            <wp:docPr id="280498235" name="Diagram 1">
              <a:extLst xmlns:a="http://schemas.openxmlformats.org/drawingml/2006/main">
                <a:ext uri="{FF2B5EF4-FFF2-40B4-BE49-F238E27FC236}">
                  <a16:creationId xmlns:a16="http://schemas.microsoft.com/office/drawing/2014/main" id="{200C4377-FAE5-A97D-C304-F3E5E0EC6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val="en-US" w:eastAsia="en-US"/>
        </w:rPr>
        <w:drawing>
          <wp:inline distT="0" distB="0" distL="0" distR="0" wp14:anchorId="459E763E" wp14:editId="6B2AF0FA">
            <wp:extent cx="5364000" cy="2340000"/>
            <wp:effectExtent l="0" t="0" r="8255" b="3175"/>
            <wp:docPr id="1449497277" name="Diagram 3">
              <a:extLst xmlns:a="http://schemas.openxmlformats.org/drawingml/2006/main">
                <a:ext uri="{FF2B5EF4-FFF2-40B4-BE49-F238E27FC236}">
                  <a16:creationId xmlns:a16="http://schemas.microsoft.com/office/drawing/2014/main" id="{BEA0852B-C342-444F-AB49-9082ED2AF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457B4">
        <w:rPr>
          <w:noProof/>
          <w:lang w:val="en-US" w:eastAsia="en-US"/>
        </w:rPr>
        <w:drawing>
          <wp:inline distT="0" distB="0" distL="0" distR="0" wp14:anchorId="00B21B31" wp14:editId="4BC9CD63">
            <wp:extent cx="5364000" cy="2340000"/>
            <wp:effectExtent l="0" t="0" r="8255" b="3175"/>
            <wp:docPr id="1983581450" name="Diagram 2">
              <a:extLst xmlns:a="http://schemas.openxmlformats.org/drawingml/2006/main">
                <a:ext uri="{FF2B5EF4-FFF2-40B4-BE49-F238E27FC236}">
                  <a16:creationId xmlns:a16="http://schemas.microsoft.com/office/drawing/2014/main" id="{03ECC055-8C1C-41FB-9F84-3541ADF8A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22373F" w14:textId="77777777" w:rsidR="00956BD7" w:rsidRPr="0055149C" w:rsidRDefault="002F21AE" w:rsidP="00956BD7">
      <w:pPr>
        <w:pStyle w:val="Source"/>
        <w:rPr>
          <w:lang w:eastAsia="nb-NO"/>
        </w:rPr>
      </w:pPr>
      <w:r w:rsidRPr="0055149C">
        <w:rPr>
          <w:lang w:eastAsia="nb-NO"/>
        </w:rPr>
        <w:t xml:space="preserve">Kilde: </w:t>
      </w:r>
      <w:r w:rsidR="00956BD7" w:rsidRPr="0055149C">
        <w:rPr>
          <w:lang w:eastAsia="nb-NO"/>
        </w:rPr>
        <w:t>Vista Analyses bearbeidinger av data fra Statistisk sentralbyrå</w:t>
      </w:r>
    </w:p>
    <w:p w14:paraId="3A292476" w14:textId="3726C855" w:rsidR="00C8773A" w:rsidRDefault="00C8773A" w:rsidP="000E08F8">
      <w:pPr>
        <w:pStyle w:val="Overskrift4"/>
        <w:numPr>
          <w:ilvl w:val="0"/>
          <w:numId w:val="0"/>
        </w:numPr>
      </w:pPr>
      <w:r w:rsidRPr="0055149C">
        <w:t>Renter</w:t>
      </w:r>
      <w:r w:rsidR="00C315FC" w:rsidRPr="0055149C">
        <w:t xml:space="preserve"> og avkastningskrav</w:t>
      </w:r>
    </w:p>
    <w:p w14:paraId="706A48AF" w14:textId="7C04937A" w:rsidR="00D70FCA" w:rsidRDefault="00C40AB8" w:rsidP="00C40AB8">
      <w:pPr>
        <w:rPr>
          <w:lang w:eastAsia="nb-NO"/>
        </w:rPr>
      </w:pPr>
      <w:r>
        <w:rPr>
          <w:lang w:eastAsia="nb-NO"/>
        </w:rPr>
        <w:t xml:space="preserve">I delkapittel </w:t>
      </w:r>
      <w:r>
        <w:rPr>
          <w:lang w:eastAsia="nb-NO"/>
        </w:rPr>
        <w:fldChar w:fldCharType="begin"/>
      </w:r>
      <w:r>
        <w:rPr>
          <w:lang w:eastAsia="nb-NO"/>
        </w:rPr>
        <w:instrText xml:space="preserve"> REF _Ref166241324 \r \h </w:instrText>
      </w:r>
      <w:r>
        <w:rPr>
          <w:lang w:eastAsia="nb-NO"/>
        </w:rPr>
      </w:r>
      <w:r>
        <w:rPr>
          <w:lang w:eastAsia="nb-NO"/>
        </w:rPr>
        <w:fldChar w:fldCharType="separate"/>
      </w:r>
      <w:r w:rsidR="009B1DA8">
        <w:rPr>
          <w:lang w:eastAsia="nb-NO"/>
        </w:rPr>
        <w:t>2.1.6</w:t>
      </w:r>
      <w:r>
        <w:rPr>
          <w:lang w:eastAsia="nb-NO"/>
        </w:rPr>
        <w:fldChar w:fldCharType="end"/>
      </w:r>
      <w:r>
        <w:rPr>
          <w:lang w:eastAsia="nb-NO"/>
        </w:rPr>
        <w:t xml:space="preserve"> og seksjon </w:t>
      </w:r>
      <w:r>
        <w:rPr>
          <w:lang w:eastAsia="nb-NO"/>
        </w:rPr>
        <w:fldChar w:fldCharType="begin"/>
      </w:r>
      <w:r>
        <w:rPr>
          <w:lang w:eastAsia="nb-NO"/>
        </w:rPr>
        <w:instrText xml:space="preserve"> REF _Ref177896768 \r \h </w:instrText>
      </w:r>
      <w:r>
        <w:rPr>
          <w:lang w:eastAsia="nb-NO"/>
        </w:rPr>
      </w:r>
      <w:r>
        <w:rPr>
          <w:lang w:eastAsia="nb-NO"/>
        </w:rPr>
        <w:fldChar w:fldCharType="separate"/>
      </w:r>
      <w:r w:rsidR="009B1DA8">
        <w:rPr>
          <w:lang w:eastAsia="nb-NO"/>
        </w:rPr>
        <w:t>3.2.1</w:t>
      </w:r>
      <w:r>
        <w:rPr>
          <w:lang w:eastAsia="nb-NO"/>
        </w:rPr>
        <w:fldChar w:fldCharType="end"/>
      </w:r>
      <w:r>
        <w:rPr>
          <w:lang w:eastAsia="nb-NO"/>
        </w:rPr>
        <w:t xml:space="preserve"> diskuterte vi henholdsvis </w:t>
      </w:r>
      <w:r w:rsidR="00D70FCA">
        <w:rPr>
          <w:lang w:eastAsia="nb-NO"/>
        </w:rPr>
        <w:t xml:space="preserve">de prinsipielle og måletekniske sidene av renter og avkastningskrav. </w:t>
      </w:r>
      <w:r>
        <w:rPr>
          <w:lang w:eastAsia="nb-NO"/>
        </w:rPr>
        <w:t>I denne delseks</w:t>
      </w:r>
      <w:r w:rsidR="00D70FCA">
        <w:rPr>
          <w:lang w:eastAsia="nb-NO"/>
        </w:rPr>
        <w:t xml:space="preserve">jonen bringer vi drøftelsen videre ved å ta for oss </w:t>
      </w:r>
      <w:r w:rsidR="00D70FCA">
        <w:rPr>
          <w:lang w:eastAsia="nb-NO"/>
        </w:rPr>
        <w:lastRenderedPageBreak/>
        <w:t xml:space="preserve">renteutviklingen. I de empiriske beregningene vil vi i tråd med seksjon </w:t>
      </w:r>
      <w:r w:rsidR="00D70FCA">
        <w:rPr>
          <w:lang w:eastAsia="nb-NO"/>
        </w:rPr>
        <w:fldChar w:fldCharType="begin"/>
      </w:r>
      <w:r w:rsidR="00D70FCA">
        <w:rPr>
          <w:lang w:eastAsia="nb-NO"/>
        </w:rPr>
        <w:instrText xml:space="preserve"> REF _Ref177896768 \r \h </w:instrText>
      </w:r>
      <w:r w:rsidR="00D70FCA">
        <w:rPr>
          <w:lang w:eastAsia="nb-NO"/>
        </w:rPr>
      </w:r>
      <w:r w:rsidR="00D70FCA">
        <w:rPr>
          <w:lang w:eastAsia="nb-NO"/>
        </w:rPr>
        <w:fldChar w:fldCharType="separate"/>
      </w:r>
      <w:r w:rsidR="009B1DA8">
        <w:rPr>
          <w:lang w:eastAsia="nb-NO"/>
        </w:rPr>
        <w:t>3.2.1</w:t>
      </w:r>
      <w:r w:rsidR="00D70FCA">
        <w:rPr>
          <w:lang w:eastAsia="nb-NO"/>
        </w:rPr>
        <w:fldChar w:fldCharType="end"/>
      </w:r>
      <w:r w:rsidR="00D70FCA">
        <w:rPr>
          <w:lang w:eastAsia="nb-NO"/>
        </w:rPr>
        <w:t xml:space="preserve"> benytte oss av to alternative rentemål.</w:t>
      </w:r>
    </w:p>
    <w:p w14:paraId="3FA5FB3A" w14:textId="03C0224C" w:rsidR="00D70FCA" w:rsidRDefault="004556DB" w:rsidP="00C40AB8">
      <w:pPr>
        <w:rPr>
          <w:lang w:eastAsia="nb-NO"/>
        </w:rPr>
      </w:pPr>
      <w:r>
        <w:rPr>
          <w:lang w:eastAsia="nb-NO"/>
        </w:rPr>
        <w:t xml:space="preserve">For det første har vi valgt å benytte et fast rentemål basert på </w:t>
      </w:r>
      <w:r w:rsidRPr="0055149C">
        <w:rPr>
          <w:lang w:eastAsia="nb-NO"/>
        </w:rPr>
        <w:t xml:space="preserve">statens realavkastningskrav på </w:t>
      </w:r>
      <w:r>
        <w:rPr>
          <w:lang w:eastAsia="nb-NO"/>
        </w:rPr>
        <w:t xml:space="preserve">offentlige </w:t>
      </w:r>
      <w:r w:rsidRPr="0055149C">
        <w:rPr>
          <w:lang w:eastAsia="nb-NO"/>
        </w:rPr>
        <w:t>investeringer på 4 prosent</w:t>
      </w:r>
      <w:r>
        <w:rPr>
          <w:lang w:eastAsia="nb-NO"/>
        </w:rPr>
        <w:t>, omregnet til nominelle termer basert på</w:t>
      </w:r>
      <w:r w:rsidRPr="004556DB">
        <w:rPr>
          <w:lang w:eastAsia="nb-NO"/>
        </w:rPr>
        <w:t xml:space="preserve"> </w:t>
      </w:r>
      <w:r w:rsidRPr="0055149C">
        <w:rPr>
          <w:lang w:eastAsia="nb-NO"/>
        </w:rPr>
        <w:t>Norges Banks inflasjonsmål på 2 prosent.</w:t>
      </w:r>
      <w:r>
        <w:rPr>
          <w:lang w:eastAsia="nb-NO"/>
        </w:rPr>
        <w:t xml:space="preserve"> For det andre har vi benyttet oss av kalkyle</w:t>
      </w:r>
      <w:r w:rsidR="002503F5">
        <w:rPr>
          <w:lang w:eastAsia="nb-NO"/>
        </w:rPr>
        <w:t>renten</w:t>
      </w:r>
      <w:r>
        <w:rPr>
          <w:lang w:eastAsia="nb-NO"/>
        </w:rPr>
        <w:t xml:space="preserve"> i kommunal sektor med et tillegg på 1,5 prosentpoeng knyttet til egenkapitalens risiko, der størrelsen på påslaget er basert på anslaget til </w:t>
      </w:r>
      <w:r w:rsidRPr="0055149C">
        <w:rPr>
          <w:lang w:eastAsia="nb-NO"/>
        </w:rPr>
        <w:t>Hagen-utvalget (NOU 2012:16)</w:t>
      </w:r>
      <w:r>
        <w:rPr>
          <w:lang w:eastAsia="nb-NO"/>
        </w:rPr>
        <w:t>. Merk at den kommunale kalkyle</w:t>
      </w:r>
      <w:r w:rsidR="002503F5">
        <w:rPr>
          <w:lang w:eastAsia="nb-NO"/>
        </w:rPr>
        <w:t>renten</w:t>
      </w:r>
      <w:r>
        <w:rPr>
          <w:lang w:eastAsia="nb-NO"/>
        </w:rPr>
        <w:t xml:space="preserve"> tilsvarer Norges Banks nullkupongrent</w:t>
      </w:r>
      <w:r w:rsidR="008E4B14">
        <w:rPr>
          <w:lang w:eastAsia="nb-NO"/>
        </w:rPr>
        <w:t>e</w:t>
      </w:r>
      <w:r>
        <w:rPr>
          <w:lang w:eastAsia="nb-NO"/>
        </w:rPr>
        <w:t xml:space="preserve"> med en løpetid på fem år – også kjent som den femårige swap</w:t>
      </w:r>
      <w:r w:rsidR="00635678">
        <w:rPr>
          <w:lang w:eastAsia="nb-NO"/>
        </w:rPr>
        <w:t>-</w:t>
      </w:r>
      <w:r w:rsidR="002503F5">
        <w:rPr>
          <w:lang w:eastAsia="nb-NO"/>
        </w:rPr>
        <w:t>renten</w:t>
      </w:r>
      <w:r>
        <w:rPr>
          <w:lang w:eastAsia="nb-NO"/>
        </w:rPr>
        <w:t xml:space="preserve"> – med e</w:t>
      </w:r>
      <w:r w:rsidR="00651D8F">
        <w:rPr>
          <w:lang w:eastAsia="nb-NO"/>
        </w:rPr>
        <w:t xml:space="preserve">t tillegg </w:t>
      </w:r>
      <w:r>
        <w:rPr>
          <w:lang w:eastAsia="nb-NO"/>
        </w:rPr>
        <w:t xml:space="preserve">på 0,5 </w:t>
      </w:r>
      <w:r w:rsidRPr="004B03E3">
        <w:rPr>
          <w:lang w:eastAsia="nb-NO"/>
        </w:rPr>
        <w:t xml:space="preserve">prosentpoeng </w:t>
      </w:r>
      <w:r w:rsidR="00651D8F" w:rsidRPr="004B03E3">
        <w:rPr>
          <w:lang w:eastAsia="nb-NO"/>
        </w:rPr>
        <w:t xml:space="preserve">for at kommunene skal få dekket sine faktiske kostnader </w:t>
      </w:r>
      <w:r w:rsidRPr="004B03E3">
        <w:rPr>
          <w:lang w:eastAsia="nb-NO"/>
        </w:rPr>
        <w:t xml:space="preserve">(Kommunal- og moderniseringsdepartementet </w:t>
      </w:r>
      <w:r w:rsidRPr="004B03E3">
        <w:rPr>
          <w:color w:val="auto"/>
        </w:rPr>
        <w:t>2019a)</w:t>
      </w:r>
      <w:r w:rsidRPr="004B03E3">
        <w:rPr>
          <w:lang w:eastAsia="nb-NO"/>
        </w:rPr>
        <w:t xml:space="preserve">. </w:t>
      </w:r>
      <w:r w:rsidR="00112219" w:rsidRPr="004B03E3">
        <w:rPr>
          <w:lang w:eastAsia="nb-NO"/>
        </w:rPr>
        <w:t>Kalkyle</w:t>
      </w:r>
      <w:r w:rsidR="002503F5">
        <w:rPr>
          <w:lang w:eastAsia="nb-NO"/>
        </w:rPr>
        <w:t>renten</w:t>
      </w:r>
      <w:r w:rsidR="00112219" w:rsidRPr="004B03E3">
        <w:rPr>
          <w:lang w:eastAsia="nb-NO"/>
        </w:rPr>
        <w:t xml:space="preserve"> </w:t>
      </w:r>
      <w:r w:rsidR="00752D09">
        <w:rPr>
          <w:lang w:eastAsia="nb-NO"/>
        </w:rPr>
        <w:t>kan</w:t>
      </w:r>
      <w:r w:rsidR="00112219" w:rsidRPr="004B03E3">
        <w:rPr>
          <w:lang w:eastAsia="nb-NO"/>
        </w:rPr>
        <w:t xml:space="preserve"> riktignok </w:t>
      </w:r>
      <w:r w:rsidR="00752D09">
        <w:rPr>
          <w:lang w:eastAsia="nb-NO"/>
        </w:rPr>
        <w:t>betraktes som en form for</w:t>
      </w:r>
      <w:r w:rsidR="00112219" w:rsidRPr="004B03E3">
        <w:rPr>
          <w:lang w:eastAsia="nb-NO"/>
        </w:rPr>
        <w:t xml:space="preserve"> fastlånsrente, men som vi vil se</w:t>
      </w:r>
      <w:r w:rsidR="00430654">
        <w:rPr>
          <w:lang w:eastAsia="nb-NO"/>
        </w:rPr>
        <w:t>,</w:t>
      </w:r>
      <w:r w:rsidR="00112219" w:rsidRPr="004B03E3">
        <w:rPr>
          <w:lang w:eastAsia="nb-NO"/>
        </w:rPr>
        <w:t xml:space="preserve"> ligger swap</w:t>
      </w:r>
      <w:r w:rsidR="00635678">
        <w:rPr>
          <w:lang w:eastAsia="nb-NO"/>
        </w:rPr>
        <w:t>-</w:t>
      </w:r>
      <w:r w:rsidR="002503F5">
        <w:rPr>
          <w:lang w:eastAsia="nb-NO"/>
        </w:rPr>
        <w:t>renten</w:t>
      </w:r>
      <w:r w:rsidR="00112219" w:rsidRPr="004B03E3">
        <w:rPr>
          <w:lang w:eastAsia="nb-NO"/>
        </w:rPr>
        <w:t xml:space="preserve"> og den flytende låne</w:t>
      </w:r>
      <w:r w:rsidR="002503F5">
        <w:rPr>
          <w:lang w:eastAsia="nb-NO"/>
        </w:rPr>
        <w:t>renten</w:t>
      </w:r>
      <w:r w:rsidR="00112219" w:rsidRPr="004B03E3">
        <w:rPr>
          <w:lang w:eastAsia="nb-NO"/>
        </w:rPr>
        <w:t xml:space="preserve"> i nærheten av hverandre. </w:t>
      </w:r>
      <w:r w:rsidRPr="004B03E3">
        <w:rPr>
          <w:lang w:eastAsia="nb-NO"/>
        </w:rPr>
        <w:t>Vi referer</w:t>
      </w:r>
      <w:r w:rsidR="00393697">
        <w:rPr>
          <w:lang w:eastAsia="nb-NO"/>
        </w:rPr>
        <w:t>er</w:t>
      </w:r>
      <w:r w:rsidRPr="004B03E3">
        <w:rPr>
          <w:lang w:eastAsia="nb-NO"/>
        </w:rPr>
        <w:t xml:space="preserve"> til </w:t>
      </w:r>
      <w:r w:rsidR="00C92B6A" w:rsidRPr="004B03E3">
        <w:rPr>
          <w:lang w:eastAsia="nb-NO"/>
        </w:rPr>
        <w:t>seksjon</w:t>
      </w:r>
      <w:r w:rsidRPr="004B03E3">
        <w:rPr>
          <w:lang w:eastAsia="nb-NO"/>
        </w:rPr>
        <w:t xml:space="preserve"> </w:t>
      </w:r>
      <w:r w:rsidRPr="004B03E3">
        <w:rPr>
          <w:lang w:eastAsia="nb-NO"/>
        </w:rPr>
        <w:fldChar w:fldCharType="begin"/>
      </w:r>
      <w:r w:rsidRPr="004B03E3">
        <w:rPr>
          <w:lang w:eastAsia="nb-NO"/>
        </w:rPr>
        <w:instrText xml:space="preserve"> REF _Ref177896768 \r \h </w:instrText>
      </w:r>
      <w:r w:rsidR="004B03E3">
        <w:rPr>
          <w:lang w:eastAsia="nb-NO"/>
        </w:rPr>
        <w:instrText xml:space="preserve"> \* MERGEFORMAT </w:instrText>
      </w:r>
      <w:r w:rsidRPr="004B03E3">
        <w:rPr>
          <w:lang w:eastAsia="nb-NO"/>
        </w:rPr>
      </w:r>
      <w:r w:rsidRPr="004B03E3">
        <w:rPr>
          <w:lang w:eastAsia="nb-NO"/>
        </w:rPr>
        <w:fldChar w:fldCharType="separate"/>
      </w:r>
      <w:r w:rsidR="009B1DA8">
        <w:rPr>
          <w:lang w:eastAsia="nb-NO"/>
        </w:rPr>
        <w:t>3.2.1</w:t>
      </w:r>
      <w:r w:rsidRPr="004B03E3">
        <w:rPr>
          <w:lang w:eastAsia="nb-NO"/>
        </w:rPr>
        <w:fldChar w:fldCharType="end"/>
      </w:r>
      <w:r>
        <w:rPr>
          <w:lang w:eastAsia="nb-NO"/>
        </w:rPr>
        <w:t xml:space="preserve"> for flere detaljer.</w:t>
      </w:r>
    </w:p>
    <w:p w14:paraId="1E490BAD" w14:textId="586518E1" w:rsidR="00A05364" w:rsidRPr="0055149C" w:rsidRDefault="00A05364" w:rsidP="00A05364">
      <w:pPr>
        <w:rPr>
          <w:lang w:eastAsia="nb-NO"/>
        </w:rPr>
      </w:pPr>
      <w:r w:rsidRPr="0055149C">
        <w:rPr>
          <w:lang w:eastAsia="nb-NO"/>
        </w:rPr>
        <w:t>Kommunalbanken utgjør den primære kreditoren for primærkommunene og fylkeskommunene. Et aktuelt låneprodukt er obligasjoner med fem års løpetid. Kommunalbankens rente på slike obligasjoner følger</w:t>
      </w:r>
      <w:r w:rsidR="00D86F9D">
        <w:rPr>
          <w:lang w:eastAsia="nb-NO"/>
        </w:rPr>
        <w:t xml:space="preserve"> pengemarkeds</w:t>
      </w:r>
      <w:r w:rsidR="002503F5">
        <w:rPr>
          <w:lang w:eastAsia="nb-NO"/>
        </w:rPr>
        <w:t>renten</w:t>
      </w:r>
      <w:r w:rsidR="00D86F9D">
        <w:rPr>
          <w:lang w:eastAsia="nb-NO"/>
        </w:rPr>
        <w:t xml:space="preserve"> </w:t>
      </w:r>
      <w:r w:rsidR="00F0172D">
        <w:rPr>
          <w:lang w:eastAsia="nb-NO"/>
        </w:rPr>
        <w:t xml:space="preserve">tre </w:t>
      </w:r>
      <w:r w:rsidR="00D86F9D">
        <w:rPr>
          <w:lang w:eastAsia="nb-NO"/>
        </w:rPr>
        <w:t>måneders</w:t>
      </w:r>
      <w:r w:rsidRPr="0055149C">
        <w:rPr>
          <w:lang w:eastAsia="nb-NO"/>
        </w:rPr>
        <w:t xml:space="preserve"> </w:t>
      </w:r>
      <w:r w:rsidR="00233D99" w:rsidRPr="00233D99">
        <w:rPr>
          <w:lang w:eastAsia="nb-NO"/>
        </w:rPr>
        <w:t>NIBOR</w:t>
      </w:r>
      <w:r w:rsidR="00D86F9D">
        <w:rPr>
          <w:lang w:eastAsia="nb-NO"/>
        </w:rPr>
        <w:t>,</w:t>
      </w:r>
      <w:r w:rsidR="00D86F9D">
        <w:rPr>
          <w:rStyle w:val="Fotnotereferanse"/>
          <w:lang w:eastAsia="nb-NO"/>
        </w:rPr>
        <w:footnoteReference w:id="21"/>
      </w:r>
      <w:r w:rsidRPr="0055149C">
        <w:rPr>
          <w:lang w:eastAsia="nb-NO"/>
        </w:rPr>
        <w:t xml:space="preserve"> pluss fem års </w:t>
      </w:r>
      <w:r w:rsidR="001D5402">
        <w:rPr>
          <w:lang w:eastAsia="nb-NO"/>
        </w:rPr>
        <w:t>kredittspread</w:t>
      </w:r>
      <w:r w:rsidRPr="0055149C">
        <w:rPr>
          <w:lang w:eastAsia="nb-NO"/>
        </w:rPr>
        <w:t xml:space="preserve"> for norske kommuner. </w:t>
      </w:r>
      <w:r w:rsidR="00D86F9D">
        <w:rPr>
          <w:lang w:eastAsia="nb-NO"/>
        </w:rPr>
        <w:t xml:space="preserve">I </w:t>
      </w:r>
      <w:r w:rsidR="0098037B" w:rsidRPr="0055149C">
        <w:rPr>
          <w:lang w:eastAsia="nb-NO"/>
        </w:rPr>
        <w:fldChar w:fldCharType="begin"/>
      </w:r>
      <w:r w:rsidR="0098037B" w:rsidRPr="0055149C">
        <w:rPr>
          <w:lang w:eastAsia="nb-NO"/>
        </w:rPr>
        <w:instrText xml:space="preserve"> REF _Ref167673720 \h </w:instrText>
      </w:r>
      <w:r w:rsidR="0098037B" w:rsidRPr="0055149C">
        <w:rPr>
          <w:lang w:eastAsia="nb-NO"/>
        </w:rPr>
      </w:r>
      <w:r w:rsidR="0098037B" w:rsidRPr="0055149C">
        <w:rPr>
          <w:lang w:eastAsia="nb-NO"/>
        </w:rPr>
        <w:fldChar w:fldCharType="separate"/>
      </w:r>
      <w:r w:rsidR="009B1DA8" w:rsidRPr="0055149C">
        <w:t xml:space="preserve">Figur </w:t>
      </w:r>
      <w:r w:rsidR="009B1DA8">
        <w:rPr>
          <w:noProof/>
        </w:rPr>
        <w:t>4</w:t>
      </w:r>
      <w:r w:rsidR="009B1DA8">
        <w:t>.</w:t>
      </w:r>
      <w:r w:rsidR="009B1DA8">
        <w:rPr>
          <w:noProof/>
        </w:rPr>
        <w:t>4</w:t>
      </w:r>
      <w:r w:rsidR="0098037B" w:rsidRPr="0055149C">
        <w:rPr>
          <w:lang w:eastAsia="nb-NO"/>
        </w:rPr>
        <w:fldChar w:fldCharType="end"/>
      </w:r>
      <w:r w:rsidR="0098037B" w:rsidRPr="0055149C">
        <w:rPr>
          <w:lang w:eastAsia="nb-NO"/>
        </w:rPr>
        <w:t xml:space="preserve"> a)</w:t>
      </w:r>
      <w:r w:rsidR="00663D39" w:rsidRPr="0055149C">
        <w:rPr>
          <w:lang w:eastAsia="nb-NO"/>
        </w:rPr>
        <w:t xml:space="preserve"> </w:t>
      </w:r>
      <w:r w:rsidRPr="0055149C">
        <w:rPr>
          <w:lang w:eastAsia="nb-NO"/>
        </w:rPr>
        <w:t xml:space="preserve">sammenlikner </w:t>
      </w:r>
      <w:r w:rsidR="00D86F9D">
        <w:rPr>
          <w:lang w:eastAsia="nb-NO"/>
        </w:rPr>
        <w:t xml:space="preserve">vi </w:t>
      </w:r>
      <w:r w:rsidRPr="0055149C">
        <w:rPr>
          <w:lang w:eastAsia="nb-NO"/>
        </w:rPr>
        <w:t>denne låne</w:t>
      </w:r>
      <w:r w:rsidR="002503F5">
        <w:rPr>
          <w:lang w:eastAsia="nb-NO"/>
        </w:rPr>
        <w:t>renten</w:t>
      </w:r>
      <w:r w:rsidRPr="0055149C">
        <w:rPr>
          <w:lang w:eastAsia="nb-NO"/>
        </w:rPr>
        <w:t xml:space="preserve"> og </w:t>
      </w:r>
      <w:r w:rsidR="00D86F9D">
        <w:rPr>
          <w:lang w:eastAsia="nb-NO"/>
        </w:rPr>
        <w:t xml:space="preserve">den kommunale </w:t>
      </w:r>
      <w:r w:rsidRPr="0055149C">
        <w:rPr>
          <w:lang w:eastAsia="nb-NO"/>
        </w:rPr>
        <w:t>kalkyle</w:t>
      </w:r>
      <w:r w:rsidR="002503F5">
        <w:rPr>
          <w:lang w:eastAsia="nb-NO"/>
        </w:rPr>
        <w:t>renten</w:t>
      </w:r>
      <w:r w:rsidR="00D86F9D">
        <w:rPr>
          <w:lang w:eastAsia="nb-NO"/>
        </w:rPr>
        <w:t>,</w:t>
      </w:r>
      <w:r w:rsidRPr="0055149C">
        <w:rPr>
          <w:lang w:eastAsia="nb-NO"/>
        </w:rPr>
        <w:t xml:space="preserve"> som </w:t>
      </w:r>
      <w:r w:rsidR="00D86F9D">
        <w:rPr>
          <w:lang w:eastAsia="nb-NO"/>
        </w:rPr>
        <w:t xml:space="preserve">nevnt over og </w:t>
      </w:r>
      <w:r w:rsidRPr="0055149C">
        <w:rPr>
          <w:lang w:eastAsia="nb-NO"/>
        </w:rPr>
        <w:t xml:space="preserve">drøftet </w:t>
      </w:r>
      <w:r w:rsidR="00D86F9D">
        <w:rPr>
          <w:lang w:eastAsia="nb-NO"/>
        </w:rPr>
        <w:t xml:space="preserve">mer i detalj </w:t>
      </w:r>
      <w:r w:rsidRPr="0055149C">
        <w:rPr>
          <w:lang w:eastAsia="nb-NO"/>
        </w:rPr>
        <w:t xml:space="preserve">i </w:t>
      </w:r>
      <w:r w:rsidR="003E3254">
        <w:rPr>
          <w:lang w:eastAsia="nb-NO"/>
        </w:rPr>
        <w:t xml:space="preserve">delkapittel </w:t>
      </w:r>
      <w:r w:rsidR="003E3254">
        <w:rPr>
          <w:highlight w:val="yellow"/>
          <w:lang w:eastAsia="nb-NO"/>
        </w:rPr>
        <w:fldChar w:fldCharType="begin"/>
      </w:r>
      <w:r w:rsidR="003E3254">
        <w:rPr>
          <w:lang w:eastAsia="nb-NO"/>
        </w:rPr>
        <w:instrText xml:space="preserve"> REF _Ref166241324 \r \h </w:instrText>
      </w:r>
      <w:r w:rsidR="003E3254">
        <w:rPr>
          <w:highlight w:val="yellow"/>
          <w:lang w:eastAsia="nb-NO"/>
        </w:rPr>
      </w:r>
      <w:r w:rsidR="003E3254">
        <w:rPr>
          <w:highlight w:val="yellow"/>
          <w:lang w:eastAsia="nb-NO"/>
        </w:rPr>
        <w:fldChar w:fldCharType="separate"/>
      </w:r>
      <w:r w:rsidR="009B1DA8">
        <w:rPr>
          <w:lang w:eastAsia="nb-NO"/>
        </w:rPr>
        <w:t>2.1.6</w:t>
      </w:r>
      <w:r w:rsidR="003E3254">
        <w:rPr>
          <w:highlight w:val="yellow"/>
          <w:lang w:eastAsia="nb-NO"/>
        </w:rPr>
        <w:fldChar w:fldCharType="end"/>
      </w:r>
      <w:r w:rsidRPr="0055149C">
        <w:rPr>
          <w:lang w:eastAsia="nb-NO"/>
        </w:rPr>
        <w:t>. Vi ser at kalkyle</w:t>
      </w:r>
      <w:r w:rsidR="002503F5">
        <w:rPr>
          <w:lang w:eastAsia="nb-NO"/>
        </w:rPr>
        <w:t>renten</w:t>
      </w:r>
      <w:r w:rsidRPr="0055149C">
        <w:rPr>
          <w:lang w:eastAsia="nb-NO"/>
        </w:rPr>
        <w:t xml:space="preserve"> historisk har </w:t>
      </w:r>
      <w:r w:rsidR="00D86F9D">
        <w:rPr>
          <w:lang w:eastAsia="nb-NO"/>
        </w:rPr>
        <w:t>ligget</w:t>
      </w:r>
      <w:r w:rsidRPr="0055149C">
        <w:rPr>
          <w:lang w:eastAsia="nb-NO"/>
        </w:rPr>
        <w:t xml:space="preserve"> noe høyere enn låne</w:t>
      </w:r>
      <w:r w:rsidR="002503F5">
        <w:rPr>
          <w:lang w:eastAsia="nb-NO"/>
        </w:rPr>
        <w:t>renten</w:t>
      </w:r>
      <w:r w:rsidRPr="0055149C">
        <w:rPr>
          <w:lang w:eastAsia="nb-NO"/>
        </w:rPr>
        <w:t xml:space="preserve">. Årsaken er primært at rentekurven er stigende, og at 5 års swap-rente historisk har vært noe høyere enn 3 måneders </w:t>
      </w:r>
      <w:r w:rsidR="00233D99" w:rsidRPr="00233D99">
        <w:rPr>
          <w:lang w:eastAsia="nb-NO"/>
        </w:rPr>
        <w:t>NIBOR</w:t>
      </w:r>
      <w:r w:rsidRPr="0055149C">
        <w:rPr>
          <w:lang w:eastAsia="nb-NO"/>
        </w:rPr>
        <w:t xml:space="preserve">. </w:t>
      </w:r>
    </w:p>
    <w:p w14:paraId="610D6704" w14:textId="40D28A0E" w:rsidR="007E61C4" w:rsidRPr="0055149C" w:rsidRDefault="007E61C4" w:rsidP="007E61C4">
      <w:pPr>
        <w:pStyle w:val="Bildetekst"/>
        <w:jc w:val="both"/>
      </w:pPr>
      <w:bookmarkStart w:id="96" w:name="_Ref167673720"/>
      <w:r w:rsidRPr="0055149C">
        <w:t xml:space="preserve">Figur </w:t>
      </w:r>
      <w:fldSimple w:instr=" STYLEREF 1 \s ">
        <w:r w:rsidR="009B1DA8">
          <w:rPr>
            <w:noProof/>
          </w:rPr>
          <w:t>4</w:t>
        </w:r>
      </w:fldSimple>
      <w:r w:rsidR="004B03E3">
        <w:t>.</w:t>
      </w:r>
      <w:fldSimple w:instr=" SEQ Figur \* ARABIC \s 1 ">
        <w:r w:rsidR="009B1DA8">
          <w:rPr>
            <w:noProof/>
          </w:rPr>
          <w:t>4</w:t>
        </w:r>
      </w:fldSimple>
      <w:bookmarkEnd w:id="96"/>
      <w:r w:rsidRPr="0055149C">
        <w:tab/>
        <w:t>a) Låne</w:t>
      </w:r>
      <w:r w:rsidR="002503F5">
        <w:t>renten</w:t>
      </w:r>
      <w:r w:rsidRPr="0055149C">
        <w:t xml:space="preserve"> på femårige obligasjoner og kalkyle</w:t>
      </w:r>
      <w:r w:rsidR="00A11E72">
        <w:t>renten</w:t>
      </w:r>
      <w:r w:rsidRPr="0055149C">
        <w:t xml:space="preserve"> i prosentpoeng (til venstre) og tre måneders NIBOR og femårs nullkupongrente (til høyre) i prosentpoeng</w:t>
      </w:r>
    </w:p>
    <w:p w14:paraId="4BDB72FE" w14:textId="77777777" w:rsidR="007E61C4" w:rsidRPr="0055149C" w:rsidRDefault="007E61C4" w:rsidP="00331C10">
      <w:pPr>
        <w:jc w:val="center"/>
        <w:rPr>
          <w:lang w:eastAsia="nb-NO"/>
        </w:rPr>
      </w:pPr>
      <w:r w:rsidRPr="0055149C">
        <w:rPr>
          <w:noProof/>
          <w:lang w:val="en-US" w:eastAsia="en-US"/>
        </w:rPr>
        <w:drawing>
          <wp:inline distT="0" distB="0" distL="0" distR="0" wp14:anchorId="508B0F3A" wp14:editId="01D3F885">
            <wp:extent cx="2679590" cy="1475460"/>
            <wp:effectExtent l="0" t="0" r="6985" b="0"/>
            <wp:docPr id="1958981916" name="Bilde 1"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527" name="Bilde 1" descr="Et bilde som inneholder tekst, Plottdiagram, line, diagram&#10;&#10;Automatisk generert beskrivelse"/>
                    <pic:cNvPicPr/>
                  </pic:nvPicPr>
                  <pic:blipFill>
                    <a:blip r:embed="rId41"/>
                    <a:stretch>
                      <a:fillRect/>
                    </a:stretch>
                  </pic:blipFill>
                  <pic:spPr>
                    <a:xfrm>
                      <a:off x="0" y="0"/>
                      <a:ext cx="2710676" cy="1492577"/>
                    </a:xfrm>
                    <a:prstGeom prst="rect">
                      <a:avLst/>
                    </a:prstGeom>
                  </pic:spPr>
                </pic:pic>
              </a:graphicData>
            </a:graphic>
          </wp:inline>
        </w:drawing>
      </w:r>
      <w:r w:rsidRPr="0055149C">
        <w:rPr>
          <w:noProof/>
          <w:lang w:val="en-US" w:eastAsia="en-US"/>
        </w:rPr>
        <w:drawing>
          <wp:inline distT="0" distB="0" distL="0" distR="0" wp14:anchorId="5A940F3D" wp14:editId="7D196E00">
            <wp:extent cx="2644364" cy="1470992"/>
            <wp:effectExtent l="0" t="0" r="3810" b="0"/>
            <wp:docPr id="1970775607" name="Bilde 1"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11331" name="Bilde 1" descr="Et bilde som inneholder tekst, Plottdiagram, line, diagram&#10;&#10;Automatisk generert beskrivelse"/>
                    <pic:cNvPicPr/>
                  </pic:nvPicPr>
                  <pic:blipFill>
                    <a:blip r:embed="rId42"/>
                    <a:stretch>
                      <a:fillRect/>
                    </a:stretch>
                  </pic:blipFill>
                  <pic:spPr>
                    <a:xfrm>
                      <a:off x="0" y="0"/>
                      <a:ext cx="2653800" cy="1476241"/>
                    </a:xfrm>
                    <a:prstGeom prst="rect">
                      <a:avLst/>
                    </a:prstGeom>
                  </pic:spPr>
                </pic:pic>
              </a:graphicData>
            </a:graphic>
          </wp:inline>
        </w:drawing>
      </w:r>
    </w:p>
    <w:p w14:paraId="7E147D9C" w14:textId="08E474B7" w:rsidR="007E61C4" w:rsidRPr="0055149C" w:rsidRDefault="007E61C4" w:rsidP="007E61C4">
      <w:pPr>
        <w:pStyle w:val="Billedtekst-forklaring"/>
        <w:ind w:left="0" w:firstLine="0"/>
        <w:rPr>
          <w:shd w:val="clear" w:color="auto" w:fill="468C5C" w:themeFill="accent6"/>
          <w:lang w:eastAsia="nb-NO"/>
        </w:rPr>
      </w:pPr>
      <w:r w:rsidRPr="0055149C">
        <w:t xml:space="preserve">Lånerente tilsvarer tre måneders NIBOR og femårs </w:t>
      </w:r>
      <w:r w:rsidR="001D5402">
        <w:t>kredittspread</w:t>
      </w:r>
      <w:r w:rsidRPr="0055149C">
        <w:t xml:space="preserve"> for norske kommuner utenom Oslo.</w:t>
      </w:r>
      <w:r w:rsidR="00C40AB8">
        <w:t xml:space="preserve"> 3m står for tre m</w:t>
      </w:r>
      <w:r w:rsidR="00D86F9D">
        <w:t>å</w:t>
      </w:r>
      <w:r w:rsidR="00C40AB8">
        <w:t>neder</w:t>
      </w:r>
      <w:r w:rsidR="00F6095A">
        <w:t>.</w:t>
      </w:r>
    </w:p>
    <w:p w14:paraId="6E0F3121" w14:textId="402BDFD0" w:rsidR="007E61C4" w:rsidRPr="0055149C" w:rsidRDefault="007E61C4" w:rsidP="007E61C4">
      <w:pPr>
        <w:pStyle w:val="Source"/>
        <w:rPr>
          <w:lang w:eastAsia="nb-NO"/>
        </w:rPr>
      </w:pPr>
      <w:r w:rsidRPr="0055149C">
        <w:rPr>
          <w:lang w:eastAsia="nb-NO"/>
        </w:rPr>
        <w:t>Kilder: Bloomberg og DNB Markets</w:t>
      </w:r>
    </w:p>
    <w:p w14:paraId="77FCD656" w14:textId="52CF1984" w:rsidR="00A05364" w:rsidRPr="0055149C" w:rsidRDefault="00A05364" w:rsidP="00A05364">
      <w:pPr>
        <w:rPr>
          <w:lang w:eastAsia="nb-NO"/>
        </w:rPr>
      </w:pPr>
      <w:r w:rsidRPr="0055149C">
        <w:rPr>
          <w:lang w:eastAsia="nb-NO"/>
        </w:rPr>
        <w:t>Sammenlikner vi</w:t>
      </w:r>
      <w:r w:rsidR="001D5402">
        <w:rPr>
          <w:lang w:eastAsia="nb-NO"/>
        </w:rPr>
        <w:t xml:space="preserve"> femårig</w:t>
      </w:r>
      <w:r w:rsidRPr="0055149C">
        <w:rPr>
          <w:lang w:eastAsia="nb-NO"/>
        </w:rPr>
        <w:t xml:space="preserve"> swap</w:t>
      </w:r>
      <w:r w:rsidR="001D5402">
        <w:rPr>
          <w:lang w:eastAsia="nb-NO"/>
        </w:rPr>
        <w:t>-rente</w:t>
      </w:r>
      <w:r w:rsidRPr="0055149C">
        <w:rPr>
          <w:lang w:eastAsia="nb-NO"/>
        </w:rPr>
        <w:t xml:space="preserve"> og </w:t>
      </w:r>
      <w:r w:rsidR="001D5402">
        <w:rPr>
          <w:lang w:eastAsia="nb-NO"/>
        </w:rPr>
        <w:t xml:space="preserve">tre måneders </w:t>
      </w:r>
      <w:r w:rsidR="00233D99" w:rsidRPr="00233D99">
        <w:rPr>
          <w:lang w:eastAsia="nb-NO"/>
        </w:rPr>
        <w:t xml:space="preserve">NIBOR </w:t>
      </w:r>
      <w:r w:rsidR="001D5402">
        <w:rPr>
          <w:lang w:eastAsia="nb-NO"/>
        </w:rPr>
        <w:t>-rente</w:t>
      </w:r>
      <w:r w:rsidRPr="0055149C">
        <w:rPr>
          <w:lang w:eastAsia="nb-NO"/>
        </w:rPr>
        <w:t xml:space="preserve"> direkte, altså begge uten glidende gjennomsnitt, ser vi at </w:t>
      </w:r>
      <w:r w:rsidR="001D5402">
        <w:rPr>
          <w:lang w:eastAsia="nb-NO"/>
        </w:rPr>
        <w:t>den tre måneders</w:t>
      </w:r>
      <w:r w:rsidRPr="0055149C">
        <w:rPr>
          <w:lang w:eastAsia="nb-NO"/>
        </w:rPr>
        <w:t xml:space="preserve"> </w:t>
      </w:r>
      <w:r w:rsidR="00233D99" w:rsidRPr="00233D99">
        <w:rPr>
          <w:lang w:eastAsia="nb-NO"/>
        </w:rPr>
        <w:t>NIBOR</w:t>
      </w:r>
      <w:r w:rsidR="001D5402">
        <w:rPr>
          <w:lang w:eastAsia="nb-NO"/>
        </w:rPr>
        <w:t>-</w:t>
      </w:r>
      <w:r w:rsidR="00A11E72">
        <w:rPr>
          <w:lang w:eastAsia="nb-NO"/>
        </w:rPr>
        <w:t>renten</w:t>
      </w:r>
      <w:r w:rsidRPr="0055149C">
        <w:rPr>
          <w:lang w:eastAsia="nb-NO"/>
        </w:rPr>
        <w:t xml:space="preserve"> faktisk har variert minst like mye som swap-</w:t>
      </w:r>
      <w:r w:rsidR="00A11E72">
        <w:rPr>
          <w:lang w:eastAsia="nb-NO"/>
        </w:rPr>
        <w:t>renten</w:t>
      </w:r>
      <w:r w:rsidR="0098037B" w:rsidRPr="0055149C">
        <w:rPr>
          <w:lang w:eastAsia="nb-NO"/>
        </w:rPr>
        <w:t>, jamfør</w:t>
      </w:r>
      <w:r w:rsidR="00A612E2" w:rsidRPr="0055149C">
        <w:rPr>
          <w:lang w:eastAsia="nb-NO"/>
        </w:rPr>
        <w:t xml:space="preserve"> </w:t>
      </w:r>
      <w:r w:rsidR="0098037B" w:rsidRPr="0055149C">
        <w:rPr>
          <w:lang w:eastAsia="nb-NO"/>
        </w:rPr>
        <w:fldChar w:fldCharType="begin"/>
      </w:r>
      <w:r w:rsidR="0098037B" w:rsidRPr="0055149C">
        <w:rPr>
          <w:lang w:eastAsia="nb-NO"/>
        </w:rPr>
        <w:instrText xml:space="preserve"> REF _Ref167673720 \h </w:instrText>
      </w:r>
      <w:r w:rsidR="0098037B" w:rsidRPr="0055149C">
        <w:rPr>
          <w:lang w:eastAsia="nb-NO"/>
        </w:rPr>
      </w:r>
      <w:r w:rsidR="0098037B" w:rsidRPr="0055149C">
        <w:rPr>
          <w:lang w:eastAsia="nb-NO"/>
        </w:rPr>
        <w:fldChar w:fldCharType="separate"/>
      </w:r>
      <w:r w:rsidR="009B1DA8" w:rsidRPr="0055149C">
        <w:t xml:space="preserve">Figur </w:t>
      </w:r>
      <w:r w:rsidR="009B1DA8">
        <w:rPr>
          <w:noProof/>
        </w:rPr>
        <w:t>4</w:t>
      </w:r>
      <w:r w:rsidR="009B1DA8">
        <w:t>.</w:t>
      </w:r>
      <w:r w:rsidR="009B1DA8">
        <w:rPr>
          <w:noProof/>
        </w:rPr>
        <w:t>4</w:t>
      </w:r>
      <w:r w:rsidR="0098037B" w:rsidRPr="0055149C">
        <w:rPr>
          <w:lang w:eastAsia="nb-NO"/>
        </w:rPr>
        <w:fldChar w:fldCharType="end"/>
      </w:r>
      <w:r w:rsidR="0098037B" w:rsidRPr="0055149C">
        <w:rPr>
          <w:lang w:eastAsia="nb-NO"/>
        </w:rPr>
        <w:t xml:space="preserve"> b)</w:t>
      </w:r>
      <w:r w:rsidRPr="0055149C">
        <w:rPr>
          <w:lang w:eastAsia="nb-NO"/>
        </w:rPr>
        <w:t>. I lange perioder ligger swap-</w:t>
      </w:r>
      <w:r w:rsidR="00A11E72">
        <w:rPr>
          <w:lang w:eastAsia="nb-NO"/>
        </w:rPr>
        <w:t>renten</w:t>
      </w:r>
      <w:r w:rsidRPr="0055149C">
        <w:rPr>
          <w:lang w:eastAsia="nb-NO"/>
        </w:rPr>
        <w:t xml:space="preserve"> </w:t>
      </w:r>
      <w:r w:rsidR="001D5402">
        <w:rPr>
          <w:lang w:eastAsia="nb-NO"/>
        </w:rPr>
        <w:t>litt</w:t>
      </w:r>
      <w:r w:rsidRPr="0055149C">
        <w:rPr>
          <w:lang w:eastAsia="nb-NO"/>
        </w:rPr>
        <w:t xml:space="preserve"> over NIBOR</w:t>
      </w:r>
      <w:r w:rsidR="001D5402">
        <w:rPr>
          <w:lang w:eastAsia="nb-NO"/>
        </w:rPr>
        <w:t>. Dette</w:t>
      </w:r>
      <w:r w:rsidRPr="0055149C">
        <w:rPr>
          <w:lang w:eastAsia="nb-NO"/>
        </w:rPr>
        <w:t xml:space="preserve"> er naturlig</w:t>
      </w:r>
      <w:r w:rsidR="001D5402">
        <w:rPr>
          <w:lang w:eastAsia="nb-NO"/>
        </w:rPr>
        <w:t>,</w:t>
      </w:r>
      <w:r w:rsidRPr="0055149C">
        <w:rPr>
          <w:lang w:eastAsia="nb-NO"/>
        </w:rPr>
        <w:t xml:space="preserve"> siden swap-</w:t>
      </w:r>
      <w:r w:rsidR="00A11E72">
        <w:rPr>
          <w:lang w:eastAsia="nb-NO"/>
        </w:rPr>
        <w:t>renten</w:t>
      </w:r>
      <w:r w:rsidRPr="0055149C">
        <w:rPr>
          <w:lang w:eastAsia="nb-NO"/>
        </w:rPr>
        <w:t xml:space="preserve"> </w:t>
      </w:r>
      <w:r w:rsidR="00EC312F" w:rsidRPr="0055149C">
        <w:rPr>
          <w:lang w:eastAsia="nb-NO"/>
        </w:rPr>
        <w:t xml:space="preserve">på </w:t>
      </w:r>
      <w:r w:rsidR="0098037B" w:rsidRPr="0055149C">
        <w:rPr>
          <w:lang w:eastAsia="nb-NO"/>
        </w:rPr>
        <w:t>beslutningstidspunktet</w:t>
      </w:r>
      <w:r w:rsidR="00EC312F" w:rsidRPr="0055149C">
        <w:rPr>
          <w:lang w:eastAsia="nb-NO"/>
        </w:rPr>
        <w:t xml:space="preserve"> </w:t>
      </w:r>
      <w:r w:rsidRPr="0055149C">
        <w:rPr>
          <w:lang w:eastAsia="nb-NO"/>
        </w:rPr>
        <w:t>er en sikker rente for fem år fr</w:t>
      </w:r>
      <w:r w:rsidR="00EA6503">
        <w:rPr>
          <w:lang w:eastAsia="nb-NO"/>
        </w:rPr>
        <w:t>a</w:t>
      </w:r>
      <w:r w:rsidRPr="0055149C">
        <w:rPr>
          <w:lang w:eastAsia="nb-NO"/>
        </w:rPr>
        <w:t>mover.</w:t>
      </w:r>
      <w:r w:rsidR="00A612E2" w:rsidRPr="0055149C">
        <w:rPr>
          <w:lang w:eastAsia="nb-NO"/>
        </w:rPr>
        <w:t xml:space="preserve"> </w:t>
      </w:r>
    </w:p>
    <w:p w14:paraId="38480E63" w14:textId="57AB8982" w:rsidR="00A05364" w:rsidRDefault="00A05364" w:rsidP="00A05364">
      <w:pPr>
        <w:rPr>
          <w:lang w:eastAsia="nb-NO"/>
        </w:rPr>
      </w:pPr>
      <w:r w:rsidRPr="0055149C">
        <w:rPr>
          <w:lang w:eastAsia="nb-NO"/>
        </w:rPr>
        <w:t>Mange kommuner har mandater om å sikre opp mot 50</w:t>
      </w:r>
      <w:r w:rsidR="001210A3">
        <w:rPr>
          <w:lang w:eastAsia="nb-NO"/>
        </w:rPr>
        <w:t xml:space="preserve"> prosent</w:t>
      </w:r>
      <w:r w:rsidRPr="0055149C">
        <w:rPr>
          <w:lang w:eastAsia="nb-NO"/>
        </w:rPr>
        <w:t xml:space="preserve"> av gjelden ved bruk av swapper. I praksis er sikringsgraden vesentlig lavere, men </w:t>
      </w:r>
      <w:r w:rsidRPr="00A327BF">
        <w:rPr>
          <w:lang w:eastAsia="nb-NO"/>
        </w:rPr>
        <w:t xml:space="preserve">sikringen kan kanskje brukes til å argumentere </w:t>
      </w:r>
      <w:r w:rsidRPr="00A327BF">
        <w:rPr>
          <w:lang w:eastAsia="nb-NO"/>
        </w:rPr>
        <w:lastRenderedPageBreak/>
        <w:t>for at det er et gjennomsnitt av kalkyle</w:t>
      </w:r>
      <w:r w:rsidR="00A11E72">
        <w:rPr>
          <w:lang w:eastAsia="nb-NO"/>
        </w:rPr>
        <w:t>renten</w:t>
      </w:r>
      <w:r w:rsidRPr="00A327BF">
        <w:rPr>
          <w:lang w:eastAsia="nb-NO"/>
        </w:rPr>
        <w:t xml:space="preserve"> fra over og obligasjonsrent</w:t>
      </w:r>
      <w:r w:rsidR="004B03E3">
        <w:rPr>
          <w:lang w:eastAsia="nb-NO"/>
        </w:rPr>
        <w:t>ene</w:t>
      </w:r>
      <w:r w:rsidR="00A327BF" w:rsidRPr="00A327BF">
        <w:rPr>
          <w:lang w:eastAsia="nb-NO"/>
        </w:rPr>
        <w:t>,</w:t>
      </w:r>
      <w:r w:rsidR="001D5402" w:rsidRPr="00A327BF">
        <w:rPr>
          <w:lang w:eastAsia="nb-NO"/>
        </w:rPr>
        <w:t xml:space="preserve"> </w:t>
      </w:r>
      <w:r w:rsidRPr="00A327BF">
        <w:rPr>
          <w:lang w:eastAsia="nb-NO"/>
        </w:rPr>
        <w:t>NIBOR</w:t>
      </w:r>
      <w:r w:rsidR="00A327BF" w:rsidRPr="00A327BF">
        <w:rPr>
          <w:lang w:eastAsia="nb-NO"/>
        </w:rPr>
        <w:t>,</w:t>
      </w:r>
      <w:r w:rsidRPr="00A327BF">
        <w:rPr>
          <w:lang w:eastAsia="nb-NO"/>
        </w:rPr>
        <w:t xml:space="preserve"> som</w:t>
      </w:r>
      <w:r w:rsidRPr="0055149C">
        <w:rPr>
          <w:lang w:eastAsia="nb-NO"/>
        </w:rPr>
        <w:t xml:space="preserve"> best gir uttrykk for kommunale gjeldsrenter. På den annen side er det mange kommuner </w:t>
      </w:r>
      <w:r w:rsidR="00034919">
        <w:rPr>
          <w:lang w:eastAsia="nb-NO"/>
        </w:rPr>
        <w:t xml:space="preserve">som </w:t>
      </w:r>
      <w:r w:rsidR="00A327BF">
        <w:rPr>
          <w:lang w:eastAsia="nb-NO"/>
        </w:rPr>
        <w:t xml:space="preserve">har i de senere år </w:t>
      </w:r>
      <w:r w:rsidRPr="0055149C">
        <w:rPr>
          <w:lang w:eastAsia="nb-NO"/>
        </w:rPr>
        <w:t>finansiert seg med kortsiktige obligasjoner</w:t>
      </w:r>
      <w:r w:rsidR="00A327BF">
        <w:rPr>
          <w:lang w:eastAsia="nb-NO"/>
        </w:rPr>
        <w:t>. Slike obligasjone</w:t>
      </w:r>
      <w:r w:rsidR="00503192">
        <w:rPr>
          <w:lang w:eastAsia="nb-NO"/>
        </w:rPr>
        <w:t>r</w:t>
      </w:r>
      <w:r w:rsidR="00A327BF">
        <w:rPr>
          <w:lang w:eastAsia="nb-NO"/>
        </w:rPr>
        <w:t xml:space="preserve"> </w:t>
      </w:r>
      <w:r w:rsidRPr="0055149C">
        <w:rPr>
          <w:lang w:eastAsia="nb-NO"/>
        </w:rPr>
        <w:t xml:space="preserve">har </w:t>
      </w:r>
      <w:r w:rsidR="00A327BF">
        <w:rPr>
          <w:lang w:eastAsia="nb-NO"/>
        </w:rPr>
        <w:t xml:space="preserve">jevnt over </w:t>
      </w:r>
      <w:r w:rsidRPr="0055149C">
        <w:rPr>
          <w:lang w:eastAsia="nb-NO"/>
        </w:rPr>
        <w:t>hatt lavere rente enn</w:t>
      </w:r>
      <w:r w:rsidR="00A327BF">
        <w:rPr>
          <w:lang w:eastAsia="nb-NO"/>
        </w:rPr>
        <w:t xml:space="preserve"> de</w:t>
      </w:r>
      <w:r w:rsidRPr="0055149C">
        <w:rPr>
          <w:lang w:eastAsia="nb-NO"/>
        </w:rPr>
        <w:t xml:space="preserve"> femårige obligasjone</w:t>
      </w:r>
      <w:r w:rsidR="00A327BF">
        <w:rPr>
          <w:lang w:eastAsia="nb-NO"/>
        </w:rPr>
        <w:t>ne</w:t>
      </w:r>
      <w:r w:rsidRPr="0055149C">
        <w:rPr>
          <w:lang w:eastAsia="nb-NO"/>
        </w:rPr>
        <w:t xml:space="preserve">, men </w:t>
      </w:r>
      <w:r w:rsidR="00A327BF">
        <w:rPr>
          <w:lang w:eastAsia="nb-NO"/>
        </w:rPr>
        <w:t>de</w:t>
      </w:r>
      <w:r w:rsidRPr="0055149C">
        <w:rPr>
          <w:lang w:eastAsia="nb-NO"/>
        </w:rPr>
        <w:t xml:space="preserve"> må </w:t>
      </w:r>
      <w:r w:rsidR="00A327BF">
        <w:rPr>
          <w:lang w:eastAsia="nb-NO"/>
        </w:rPr>
        <w:t xml:space="preserve">ofte </w:t>
      </w:r>
      <w:r w:rsidRPr="0055149C">
        <w:rPr>
          <w:lang w:eastAsia="nb-NO"/>
        </w:rPr>
        <w:t xml:space="preserve">refinansieres og </w:t>
      </w:r>
      <w:r w:rsidR="00A327BF">
        <w:rPr>
          <w:lang w:eastAsia="nb-NO"/>
        </w:rPr>
        <w:t>innebærer</w:t>
      </w:r>
      <w:r w:rsidRPr="0055149C">
        <w:rPr>
          <w:lang w:eastAsia="nb-NO"/>
        </w:rPr>
        <w:t xml:space="preserve"> s</w:t>
      </w:r>
      <w:r w:rsidR="00A327BF">
        <w:rPr>
          <w:lang w:eastAsia="nb-NO"/>
        </w:rPr>
        <w:t>tørre</w:t>
      </w:r>
      <w:r w:rsidRPr="0055149C">
        <w:rPr>
          <w:lang w:eastAsia="nb-NO"/>
        </w:rPr>
        <w:t xml:space="preserve"> volatilitet.</w:t>
      </w:r>
    </w:p>
    <w:p w14:paraId="7C328C53" w14:textId="7D559439" w:rsidR="004B03E3" w:rsidRDefault="004B03E3" w:rsidP="004B03E3">
      <w:pPr>
        <w:rPr>
          <w:lang w:eastAsia="nb-NO"/>
        </w:rPr>
      </w:pPr>
      <w:r>
        <w:rPr>
          <w:lang w:eastAsia="nb-NO"/>
        </w:rPr>
        <w:t>Mange</w:t>
      </w:r>
      <w:r w:rsidRPr="00D32094">
        <w:rPr>
          <w:lang w:eastAsia="nb-NO"/>
        </w:rPr>
        <w:t xml:space="preserve"> kommuner finansierer seg ved kortsiktige lån</w:t>
      </w:r>
      <w:r>
        <w:rPr>
          <w:lang w:eastAsia="nb-NO"/>
        </w:rPr>
        <w:t xml:space="preserve">, jamfør </w:t>
      </w:r>
      <w:r>
        <w:rPr>
          <w:lang w:eastAsia="nb-NO"/>
        </w:rPr>
        <w:fldChar w:fldCharType="begin"/>
      </w:r>
      <w:r>
        <w:rPr>
          <w:lang w:eastAsia="nb-NO"/>
        </w:rPr>
        <w:instrText xml:space="preserve"> REF _Ref178641206 \h </w:instrText>
      </w:r>
      <w:r>
        <w:rPr>
          <w:lang w:eastAsia="nb-NO"/>
        </w:rPr>
      </w:r>
      <w:r>
        <w:rPr>
          <w:lang w:eastAsia="nb-NO"/>
        </w:rPr>
        <w:fldChar w:fldCharType="separate"/>
      </w:r>
      <w:r w:rsidR="009B1DA8">
        <w:t xml:space="preserve">Figur </w:t>
      </w:r>
      <w:r w:rsidR="009B1DA8">
        <w:rPr>
          <w:noProof/>
        </w:rPr>
        <w:t>4</w:t>
      </w:r>
      <w:r w:rsidR="009B1DA8">
        <w:t>.</w:t>
      </w:r>
      <w:r w:rsidR="009B1DA8">
        <w:rPr>
          <w:noProof/>
        </w:rPr>
        <w:t>5</w:t>
      </w:r>
      <w:r>
        <w:rPr>
          <w:lang w:eastAsia="nb-NO"/>
        </w:rPr>
        <w:fldChar w:fldCharType="end"/>
      </w:r>
      <w:r>
        <w:rPr>
          <w:lang w:eastAsia="nb-NO"/>
        </w:rPr>
        <w:t xml:space="preserve"> a).</w:t>
      </w:r>
      <w:r w:rsidRPr="00D32094">
        <w:rPr>
          <w:lang w:eastAsia="nb-NO"/>
        </w:rPr>
        <w:t xml:space="preserve"> Kortsiktige lån har de siste årene hatt lavere rente enn langsiktige, men de er volatile og krever hyppig refinansiering.</w:t>
      </w:r>
    </w:p>
    <w:p w14:paraId="5F319E04" w14:textId="626328A1" w:rsidR="004B03E3" w:rsidRDefault="004B03E3" w:rsidP="004B03E3">
      <w:pPr>
        <w:pStyle w:val="Bildetekst"/>
        <w:jc w:val="both"/>
      </w:pPr>
      <w:bookmarkStart w:id="97" w:name="_Ref178641206"/>
      <w:r>
        <w:t xml:space="preserve">Figur </w:t>
      </w:r>
      <w:fldSimple w:instr=" STYLEREF 1 \s ">
        <w:r w:rsidR="009B1DA8">
          <w:rPr>
            <w:noProof/>
          </w:rPr>
          <w:t>4</w:t>
        </w:r>
      </w:fldSimple>
      <w:r>
        <w:t>.</w:t>
      </w:r>
      <w:fldSimple w:instr=" SEQ Figur \* ARABIC \s 1 ">
        <w:r w:rsidR="009B1DA8">
          <w:rPr>
            <w:noProof/>
          </w:rPr>
          <w:t>5</w:t>
        </w:r>
      </w:fldSimple>
      <w:bookmarkEnd w:id="97"/>
      <w:r>
        <w:tab/>
        <w:t>a) Norske primærkommuners lån fordelt på løpetid i milliarder kroner (til venstre) og b)</w:t>
      </w:r>
      <w:r w:rsidRPr="004B03E3">
        <w:t xml:space="preserve"> </w:t>
      </w:r>
      <w:r>
        <w:t>p</w:t>
      </w:r>
      <w:r w:rsidRPr="004B03E3">
        <w:t xml:space="preserve">åslag på </w:t>
      </w:r>
      <w:r w:rsidR="009F1C57">
        <w:t>primær</w:t>
      </w:r>
      <w:r w:rsidRPr="004B03E3">
        <w:t>kommunegjeld</w:t>
      </w:r>
      <w:r>
        <w:t xml:space="preserve"> i</w:t>
      </w:r>
      <w:r w:rsidRPr="004B03E3">
        <w:t xml:space="preserve"> prosent</w:t>
      </w:r>
      <w:r>
        <w:t xml:space="preserve"> (til høyre)</w:t>
      </w:r>
    </w:p>
    <w:p w14:paraId="7FAF286A" w14:textId="77777777" w:rsidR="004B03E3" w:rsidRDefault="004B03E3" w:rsidP="004B03E3">
      <w:pPr>
        <w:pStyle w:val="Bildetekst"/>
        <w:jc w:val="both"/>
      </w:pPr>
      <w:r w:rsidRPr="00D32094">
        <w:rPr>
          <w:noProof/>
          <w:lang w:val="en-US" w:eastAsia="en-US"/>
        </w:rPr>
        <w:drawing>
          <wp:inline distT="0" distB="0" distL="0" distR="0" wp14:anchorId="255001FE" wp14:editId="09692D91">
            <wp:extent cx="2664000" cy="1522800"/>
            <wp:effectExtent l="0" t="0" r="3175" b="1270"/>
            <wp:docPr id="1885095066" name="Bilde 1"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95066" name="Bilde 1" descr="Et bilde som inneholder tekst, skjermbilde, line, Plottdiagram&#10;&#10;Automatisk generert beskrivelse"/>
                    <pic:cNvPicPr/>
                  </pic:nvPicPr>
                  <pic:blipFill>
                    <a:blip r:embed="rId43"/>
                    <a:stretch>
                      <a:fillRect/>
                    </a:stretch>
                  </pic:blipFill>
                  <pic:spPr>
                    <a:xfrm>
                      <a:off x="0" y="0"/>
                      <a:ext cx="2664000" cy="1522800"/>
                    </a:xfrm>
                    <a:prstGeom prst="rect">
                      <a:avLst/>
                    </a:prstGeom>
                  </pic:spPr>
                </pic:pic>
              </a:graphicData>
            </a:graphic>
          </wp:inline>
        </w:drawing>
      </w:r>
      <w:r w:rsidRPr="00D32094">
        <w:rPr>
          <w:noProof/>
          <w:lang w:val="en-US" w:eastAsia="en-US"/>
        </w:rPr>
        <w:drawing>
          <wp:inline distT="0" distB="0" distL="0" distR="0" wp14:anchorId="4B509778" wp14:editId="65D4F7F4">
            <wp:extent cx="2474595" cy="1444644"/>
            <wp:effectExtent l="0" t="0" r="1905" b="3175"/>
            <wp:docPr id="1888793897" name="Bilde 1" descr="Et bilde som inneholder tekst, line, Plott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93897" name="Bilde 1" descr="Et bilde som inneholder tekst, line, Plottdiagram, Font&#10;&#10;Automatisk generert beskrive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4595" cy="1444644"/>
                    </a:xfrm>
                    <a:prstGeom prst="rect">
                      <a:avLst/>
                    </a:prstGeom>
                    <a:noFill/>
                  </pic:spPr>
                </pic:pic>
              </a:graphicData>
            </a:graphic>
          </wp:inline>
        </w:drawing>
      </w:r>
    </w:p>
    <w:p w14:paraId="5C08B3B0" w14:textId="6DD4C229" w:rsidR="004B03E3" w:rsidRDefault="004B03E3" w:rsidP="004B03E3">
      <w:pPr>
        <w:pStyle w:val="Bildetekst"/>
        <w:jc w:val="both"/>
        <w:rPr>
          <w:i/>
          <w:iCs/>
        </w:rPr>
      </w:pPr>
      <w:r w:rsidRPr="004B03E3">
        <w:rPr>
          <w:i/>
          <w:iCs/>
        </w:rPr>
        <w:t>y står for års løpetid</w:t>
      </w:r>
    </w:p>
    <w:p w14:paraId="01C4963A" w14:textId="57AEA2DD" w:rsidR="004B03E3" w:rsidRDefault="004B03E3" w:rsidP="004B03E3">
      <w:pPr>
        <w:pStyle w:val="Source"/>
        <w:rPr>
          <w:lang w:eastAsia="nb-NO"/>
        </w:rPr>
      </w:pPr>
      <w:r w:rsidRPr="0055149C">
        <w:rPr>
          <w:lang w:eastAsia="nb-NO"/>
        </w:rPr>
        <w:t>Kilder: DNB Markets</w:t>
      </w:r>
      <w:r>
        <w:rPr>
          <w:lang w:eastAsia="nb-NO"/>
        </w:rPr>
        <w:t xml:space="preserve"> og Stamdata</w:t>
      </w:r>
    </w:p>
    <w:p w14:paraId="63C450FA" w14:textId="7CCD267E" w:rsidR="004B03E3" w:rsidRPr="004B03E3" w:rsidRDefault="004B03E3" w:rsidP="00834DAA">
      <w:pPr>
        <w:rPr>
          <w:lang w:eastAsia="nb-NO"/>
        </w:rPr>
      </w:pPr>
      <w:r>
        <w:rPr>
          <w:lang w:eastAsia="nb-NO"/>
        </w:rPr>
        <w:t>Videre er kalkyle</w:t>
      </w:r>
      <w:r w:rsidR="00A11E72">
        <w:rPr>
          <w:lang w:eastAsia="nb-NO"/>
        </w:rPr>
        <w:t>renten</w:t>
      </w:r>
      <w:r>
        <w:rPr>
          <w:lang w:eastAsia="nb-NO"/>
        </w:rPr>
        <w:t>s p</w:t>
      </w:r>
      <w:r w:rsidRPr="00D32094">
        <w:rPr>
          <w:lang w:eastAsia="nb-NO"/>
        </w:rPr>
        <w:t>åslag på 0,5 prosent sammenli</w:t>
      </w:r>
      <w:r>
        <w:rPr>
          <w:lang w:eastAsia="nb-NO"/>
        </w:rPr>
        <w:t>k</w:t>
      </w:r>
      <w:r w:rsidRPr="00D32094">
        <w:rPr>
          <w:lang w:eastAsia="nb-NO"/>
        </w:rPr>
        <w:t>nbart med kredittpåslaget i obligasjonsmarkedet</w:t>
      </w:r>
      <w:r>
        <w:rPr>
          <w:lang w:eastAsia="nb-NO"/>
        </w:rPr>
        <w:t xml:space="preserve"> med henvisning til </w:t>
      </w:r>
      <w:r>
        <w:rPr>
          <w:lang w:eastAsia="nb-NO"/>
        </w:rPr>
        <w:fldChar w:fldCharType="begin"/>
      </w:r>
      <w:r>
        <w:rPr>
          <w:lang w:eastAsia="nb-NO"/>
        </w:rPr>
        <w:instrText xml:space="preserve"> REF _Ref178641206 \h </w:instrText>
      </w:r>
      <w:r>
        <w:rPr>
          <w:lang w:eastAsia="nb-NO"/>
        </w:rPr>
      </w:r>
      <w:r>
        <w:rPr>
          <w:lang w:eastAsia="nb-NO"/>
        </w:rPr>
        <w:fldChar w:fldCharType="separate"/>
      </w:r>
      <w:r w:rsidR="009B1DA8">
        <w:t xml:space="preserve">Figur </w:t>
      </w:r>
      <w:r w:rsidR="009B1DA8">
        <w:rPr>
          <w:noProof/>
        </w:rPr>
        <w:t>4</w:t>
      </w:r>
      <w:r w:rsidR="009B1DA8">
        <w:t>.</w:t>
      </w:r>
      <w:r w:rsidR="009B1DA8">
        <w:rPr>
          <w:noProof/>
        </w:rPr>
        <w:t>5</w:t>
      </w:r>
      <w:r>
        <w:rPr>
          <w:lang w:eastAsia="nb-NO"/>
        </w:rPr>
        <w:fldChar w:fldCharType="end"/>
      </w:r>
      <w:r>
        <w:rPr>
          <w:lang w:eastAsia="nb-NO"/>
        </w:rPr>
        <w:t xml:space="preserve"> b)</w:t>
      </w:r>
      <w:r w:rsidRPr="00D32094">
        <w:rPr>
          <w:lang w:eastAsia="nb-NO"/>
        </w:rPr>
        <w:t xml:space="preserve">. </w:t>
      </w:r>
      <w:r w:rsidR="009F1C57">
        <w:rPr>
          <w:lang w:eastAsia="nb-NO"/>
        </w:rPr>
        <w:t xml:space="preserve">Merk at Oslo </w:t>
      </w:r>
      <w:r w:rsidR="00503192">
        <w:rPr>
          <w:lang w:eastAsia="nb-NO"/>
        </w:rPr>
        <w:t xml:space="preserve">er </w:t>
      </w:r>
      <w:r w:rsidR="009F1C57">
        <w:rPr>
          <w:lang w:eastAsia="nb-NO"/>
        </w:rPr>
        <w:t xml:space="preserve">holdt utenfor </w:t>
      </w:r>
      <w:r w:rsidR="005A611F">
        <w:rPr>
          <w:lang w:eastAsia="nb-NO"/>
        </w:rPr>
        <w:t xml:space="preserve">figuren </w:t>
      </w:r>
      <w:r w:rsidR="009F1C57">
        <w:rPr>
          <w:lang w:eastAsia="nb-NO"/>
        </w:rPr>
        <w:t xml:space="preserve">på grunn av at kommunen både er en primærkommune og en fylkeskommune, i tillegg til at hovedstaden har relativt høyt låneopptak. </w:t>
      </w:r>
      <w:r w:rsidR="00834DAA">
        <w:rPr>
          <w:lang w:eastAsia="nb-NO"/>
        </w:rPr>
        <w:t>Selv om det er</w:t>
      </w:r>
      <w:r w:rsidRPr="00D32094">
        <w:rPr>
          <w:lang w:eastAsia="nb-NO"/>
        </w:rPr>
        <w:t xml:space="preserve"> visse variasjoner</w:t>
      </w:r>
      <w:r w:rsidR="00834DAA">
        <w:rPr>
          <w:lang w:eastAsia="nb-NO"/>
        </w:rPr>
        <w:t xml:space="preserve"> m</w:t>
      </w:r>
      <w:r w:rsidR="009E43D0">
        <w:rPr>
          <w:lang w:eastAsia="nb-NO"/>
        </w:rPr>
        <w:t xml:space="preserve">ellom </w:t>
      </w:r>
      <w:r w:rsidR="009E43D0" w:rsidRPr="009E43D0">
        <w:rPr>
          <w:lang w:eastAsia="nb-NO"/>
        </w:rPr>
        <w:t>kalkylerentas påslag og kredittpåslaget i obligasjonsmarkedet</w:t>
      </w:r>
      <w:r w:rsidR="00834DAA">
        <w:rPr>
          <w:lang w:eastAsia="nb-NO"/>
        </w:rPr>
        <w:t xml:space="preserve"> over tid</w:t>
      </w:r>
      <w:r w:rsidRPr="00D32094">
        <w:rPr>
          <w:lang w:eastAsia="nb-NO"/>
        </w:rPr>
        <w:t xml:space="preserve">, </w:t>
      </w:r>
      <w:r w:rsidR="005C7491">
        <w:rPr>
          <w:lang w:eastAsia="nb-NO"/>
        </w:rPr>
        <w:t>så er</w:t>
      </w:r>
      <w:r w:rsidRPr="00D32094">
        <w:rPr>
          <w:lang w:eastAsia="nb-NO"/>
        </w:rPr>
        <w:t xml:space="preserve"> medianverdiene </w:t>
      </w:r>
      <w:r w:rsidR="009F1C57">
        <w:rPr>
          <w:lang w:eastAsia="nb-NO"/>
        </w:rPr>
        <w:t>nokså</w:t>
      </w:r>
      <w:r w:rsidRPr="00D32094">
        <w:rPr>
          <w:lang w:eastAsia="nb-NO"/>
        </w:rPr>
        <w:t xml:space="preserve"> like.</w:t>
      </w:r>
    </w:p>
    <w:p w14:paraId="41C073A5" w14:textId="77777777" w:rsidR="00F7056E" w:rsidRPr="0055149C" w:rsidRDefault="00F7056E" w:rsidP="00F7056E">
      <w:pPr>
        <w:pStyle w:val="Overskrift3"/>
      </w:pPr>
      <w:bookmarkStart w:id="98" w:name="_Ref167286629"/>
      <w:bookmarkStart w:id="99" w:name="_Ref168148169"/>
      <w:r w:rsidRPr="0055149C">
        <w:t>Finansiell og realøkonomisk kapitalstruktur og rentekostnader</w:t>
      </w:r>
      <w:bookmarkEnd w:id="98"/>
    </w:p>
    <w:p w14:paraId="0F216859" w14:textId="77777777" w:rsidR="00F7056E" w:rsidRPr="0055149C" w:rsidRDefault="00F7056E" w:rsidP="00F7056E">
      <w:pPr>
        <w:rPr>
          <w:lang w:eastAsia="nb-NO"/>
        </w:rPr>
      </w:pPr>
      <w:r w:rsidRPr="0055149C">
        <w:rPr>
          <w:lang w:eastAsia="nb-NO"/>
        </w:rPr>
        <w:t>Vi vil nå adressere heterogeniteten i kommunenes finansielle og realøkonomiske kapitalstruktur med tilhørende konsekvenser for kommunene.</w:t>
      </w:r>
    </w:p>
    <w:p w14:paraId="0FACC4EC" w14:textId="77777777" w:rsidR="00F7056E" w:rsidRPr="0055149C" w:rsidRDefault="00F7056E" w:rsidP="00F7056E">
      <w:pPr>
        <w:pStyle w:val="Overskrift4"/>
        <w:numPr>
          <w:ilvl w:val="0"/>
          <w:numId w:val="0"/>
        </w:numPr>
      </w:pPr>
      <w:r w:rsidRPr="0055149C">
        <w:t>Primærkommunene</w:t>
      </w:r>
    </w:p>
    <w:p w14:paraId="720B5A1D" w14:textId="42904854" w:rsidR="00F7056E" w:rsidRDefault="00F7056E" w:rsidP="00F7056E">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_Ref166950636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6</w:t>
      </w:r>
      <w:r w:rsidRPr="0055149C">
        <w:rPr>
          <w:lang w:eastAsia="nb-NO"/>
        </w:rPr>
        <w:fldChar w:fldCharType="end"/>
      </w:r>
      <w:r w:rsidRPr="0055149C">
        <w:rPr>
          <w:lang w:eastAsia="nb-NO"/>
        </w:rPr>
        <w:t xml:space="preserve"> har vi illustrert sammenhengen mellom bruttodrift</w:t>
      </w:r>
      <w:r w:rsidR="002B21D5">
        <w:rPr>
          <w:lang w:eastAsia="nb-NO"/>
        </w:rPr>
        <w:t>s</w:t>
      </w:r>
      <w:r w:rsidRPr="0055149C">
        <w:rPr>
          <w:lang w:eastAsia="nb-NO"/>
        </w:rPr>
        <w:t>utgiftene per innbygger i primærkommunene og deres gjeldsrente og gjeldsgrad, samlet sett og kun kortsiktig. Mønsteret er relativt likt for alle tre indikatorene med enkelte uteliggere i det sistnevnte tilfellet. Variasjonen i gjeldsrente og gjeldsgrad er generelt stor med tendering til noe høyere gjeldsrente og gjeldsgrad for sentrale primærkommuner enn for perifere primærkommuner.</w:t>
      </w:r>
    </w:p>
    <w:p w14:paraId="775260C1" w14:textId="10943B63" w:rsidR="00E67E95" w:rsidRPr="0055149C" w:rsidRDefault="00E67E95" w:rsidP="00F7056E">
      <w:pPr>
        <w:rPr>
          <w:lang w:eastAsia="nb-NO"/>
        </w:rPr>
      </w:pPr>
      <w:r w:rsidRPr="0055149C">
        <w:rPr>
          <w:lang w:eastAsia="nb-NO"/>
        </w:rPr>
        <w:t xml:space="preserve">Ettersom egenkapitalen vil stå overfor en høyere rente enn gjelden, vil kombinasjonen av høy gjeldsgiring og høy gjeldsrente gå imot hverandre når man tar for seg samlet kapitalrente. Det samme gjelder ved både lav gjeldsgiring og lav gjeldsrente. Dette taler for at en felles kapitalrente på tvers av kommuner ikke nødvendigvis er så </w:t>
      </w:r>
      <w:r w:rsidRPr="00796506">
        <w:rPr>
          <w:lang w:eastAsia="nb-NO"/>
        </w:rPr>
        <w:t>urealistisk. Like fullt er korrelasjonskoeffisienten mellom gjelds</w:t>
      </w:r>
      <w:r>
        <w:rPr>
          <w:lang w:eastAsia="nb-NO"/>
        </w:rPr>
        <w:t>renten</w:t>
      </w:r>
      <w:r w:rsidRPr="00796506">
        <w:rPr>
          <w:lang w:eastAsia="nb-NO"/>
        </w:rPr>
        <w:t xml:space="preserve"> og den samlede gjeldsgraden ikke mer enn </w:t>
      </w:r>
      <w:r>
        <w:rPr>
          <w:lang w:eastAsia="nb-NO"/>
        </w:rPr>
        <w:t>0,</w:t>
      </w:r>
      <w:r w:rsidRPr="00796506">
        <w:rPr>
          <w:lang w:eastAsia="nb-NO"/>
        </w:rPr>
        <w:t>26</w:t>
      </w:r>
      <w:r>
        <w:rPr>
          <w:lang w:eastAsia="nb-NO"/>
        </w:rPr>
        <w:t>3</w:t>
      </w:r>
      <w:r w:rsidRPr="00796506">
        <w:rPr>
          <w:lang w:eastAsia="nb-NO"/>
        </w:rPr>
        <w:t>.</w:t>
      </w:r>
      <w:r w:rsidRPr="00554BE4">
        <w:rPr>
          <w:lang w:eastAsia="nb-NO"/>
        </w:rPr>
        <w:t xml:space="preserve"> </w:t>
      </w:r>
      <w:r>
        <w:rPr>
          <w:lang w:eastAsia="nb-NO"/>
        </w:rPr>
        <w:t xml:space="preserve">Videre er </w:t>
      </w:r>
      <w:r w:rsidRPr="00796506">
        <w:rPr>
          <w:lang w:eastAsia="nb-NO"/>
        </w:rPr>
        <w:lastRenderedPageBreak/>
        <w:t>korrelasjonskoeffisienten</w:t>
      </w:r>
      <w:r>
        <w:rPr>
          <w:lang w:eastAsia="nb-NO"/>
        </w:rPr>
        <w:t xml:space="preserve"> mellom </w:t>
      </w:r>
      <w:r w:rsidRPr="00796506">
        <w:rPr>
          <w:lang w:eastAsia="nb-NO"/>
        </w:rPr>
        <w:t>gjelds</w:t>
      </w:r>
      <w:r>
        <w:rPr>
          <w:lang w:eastAsia="nb-NO"/>
        </w:rPr>
        <w:t>renten</w:t>
      </w:r>
      <w:r w:rsidRPr="00796506">
        <w:rPr>
          <w:lang w:eastAsia="nb-NO"/>
        </w:rPr>
        <w:t xml:space="preserve"> og den </w:t>
      </w:r>
      <w:r>
        <w:rPr>
          <w:lang w:eastAsia="nb-NO"/>
        </w:rPr>
        <w:t>kortsiktige</w:t>
      </w:r>
      <w:r w:rsidRPr="00796506">
        <w:rPr>
          <w:lang w:eastAsia="nb-NO"/>
        </w:rPr>
        <w:t xml:space="preserve"> gjeldsgraden</w:t>
      </w:r>
      <w:r>
        <w:rPr>
          <w:lang w:eastAsia="nb-NO"/>
        </w:rPr>
        <w:t xml:space="preserve"> på kun 0,040. K</w:t>
      </w:r>
      <w:r w:rsidRPr="00796506">
        <w:rPr>
          <w:lang w:eastAsia="nb-NO"/>
        </w:rPr>
        <w:t>orrelasjonskoeffisienten</w:t>
      </w:r>
      <w:r>
        <w:rPr>
          <w:lang w:eastAsia="nb-NO"/>
        </w:rPr>
        <w:t xml:space="preserve"> mellom </w:t>
      </w:r>
      <w:r w:rsidRPr="00796506">
        <w:rPr>
          <w:lang w:eastAsia="nb-NO"/>
        </w:rPr>
        <w:t>den samlede gjeldsgraden</w:t>
      </w:r>
      <w:r>
        <w:rPr>
          <w:lang w:eastAsia="nb-NO"/>
        </w:rPr>
        <w:t xml:space="preserve"> og den kortsiktige gjeldsgraden er 0,287, hvilket vitner om vesentlige forskjeller i gjeldsfinansieringen mellom kommuner.</w:t>
      </w:r>
    </w:p>
    <w:p w14:paraId="12CE29D8" w14:textId="610573FB" w:rsidR="00F7056E" w:rsidRPr="0055149C" w:rsidRDefault="00F7056E" w:rsidP="00F7056E">
      <w:pPr>
        <w:pStyle w:val="Bildetekst"/>
        <w:jc w:val="both"/>
      </w:pPr>
      <w:bookmarkStart w:id="100" w:name="_Ref166950636"/>
      <w:r w:rsidRPr="0055149C">
        <w:t xml:space="preserve">Figur </w:t>
      </w:r>
      <w:fldSimple w:instr=" STYLEREF 1 \s ">
        <w:r w:rsidR="009B1DA8">
          <w:rPr>
            <w:noProof/>
          </w:rPr>
          <w:t>4</w:t>
        </w:r>
      </w:fldSimple>
      <w:r w:rsidR="004B03E3">
        <w:t>.</w:t>
      </w:r>
      <w:fldSimple w:instr=" SEQ Figur \* ARABIC \s 1 ">
        <w:r w:rsidR="009B1DA8">
          <w:rPr>
            <w:noProof/>
          </w:rPr>
          <w:t>6</w:t>
        </w:r>
      </w:fldSimple>
      <w:bookmarkEnd w:id="100"/>
      <w:r w:rsidRPr="0055149C">
        <w:tab/>
        <w:t>Bruttodriftsutgifter per innbygger i primærkommunene plottet mot a) gjeldsrente (til venstre), b) samlet gjeldsgrad i midten) og c) kortsiktig gjeldsgrad (til høyre) over sentralitetsnivåer</w:t>
      </w:r>
    </w:p>
    <w:p w14:paraId="0A280E1A" w14:textId="22D6FE43" w:rsidR="00F7056E" w:rsidRPr="0055149C" w:rsidRDefault="000B286B" w:rsidP="00F7056E">
      <w:pPr>
        <w:jc w:val="center"/>
        <w:rPr>
          <w:lang w:eastAsia="nb-NO"/>
        </w:rPr>
      </w:pPr>
      <w:r>
        <w:rPr>
          <w:noProof/>
          <w:lang w:val="en-US" w:eastAsia="en-US"/>
        </w:rPr>
        <w:drawing>
          <wp:inline distT="0" distB="0" distL="0" distR="0" wp14:anchorId="2CE5278F" wp14:editId="6E2B5CE8">
            <wp:extent cx="1764000" cy="1800000"/>
            <wp:effectExtent l="0" t="0" r="8255" b="0"/>
            <wp:docPr id="590140514" name="Diagram 3">
              <a:extLst xmlns:a="http://schemas.openxmlformats.org/drawingml/2006/main">
                <a:ext uri="{FF2B5EF4-FFF2-40B4-BE49-F238E27FC236}">
                  <a16:creationId xmlns:a16="http://schemas.microsoft.com/office/drawing/2014/main" id="{C73EB6BA-991E-43B0-8FF9-2800F1B28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A1CE1">
        <w:rPr>
          <w:noProof/>
          <w:lang w:val="en-US" w:eastAsia="en-US"/>
        </w:rPr>
        <w:drawing>
          <wp:inline distT="0" distB="0" distL="0" distR="0" wp14:anchorId="764D4EA5" wp14:editId="0ECF158B">
            <wp:extent cx="1764000" cy="1800000"/>
            <wp:effectExtent l="0" t="0" r="8255" b="0"/>
            <wp:docPr id="1546089657" name="Diagram 1">
              <a:extLst xmlns:a="http://schemas.openxmlformats.org/drawingml/2006/main">
                <a:ext uri="{FF2B5EF4-FFF2-40B4-BE49-F238E27FC236}">
                  <a16:creationId xmlns:a16="http://schemas.microsoft.com/office/drawing/2014/main" id="{78BC689D-E40B-4C5F-ABC1-6FFBE0555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2A1CE1">
        <w:rPr>
          <w:noProof/>
          <w:lang w:val="en-US" w:eastAsia="en-US"/>
        </w:rPr>
        <w:drawing>
          <wp:inline distT="0" distB="0" distL="0" distR="0" wp14:anchorId="397A23E1" wp14:editId="1DBF32ED">
            <wp:extent cx="1764000" cy="1800000"/>
            <wp:effectExtent l="0" t="0" r="8255" b="0"/>
            <wp:docPr id="627267683" name="Diagram 2">
              <a:extLst xmlns:a="http://schemas.openxmlformats.org/drawingml/2006/main">
                <a:ext uri="{FF2B5EF4-FFF2-40B4-BE49-F238E27FC236}">
                  <a16:creationId xmlns:a16="http://schemas.microsoft.com/office/drawing/2014/main" id="{93BBF3A6-E7B0-457A-A0C4-09FD30CB4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B1ABA0"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sentralitetsnivåer: </w:t>
      </w:r>
      <w:r w:rsidRPr="0055149C">
        <w:rPr>
          <w:shd w:val="clear" w:color="auto" w:fill="A60E24" w:themeFill="accent5"/>
          <w:lang w:eastAsia="nb-NO"/>
        </w:rPr>
        <w:t>svært perifer</w:t>
      </w:r>
      <w:r w:rsidRPr="0055149C">
        <w:rPr>
          <w:lang w:eastAsia="nb-NO"/>
        </w:rPr>
        <w:t xml:space="preserve">, </w:t>
      </w:r>
      <w:r w:rsidRPr="0055149C">
        <w:rPr>
          <w:shd w:val="clear" w:color="auto" w:fill="F48594" w:themeFill="accent5" w:themeFillTint="66"/>
          <w:lang w:eastAsia="nb-NO"/>
        </w:rPr>
        <w:t>moderat perifer</w:t>
      </w:r>
      <w:r w:rsidRPr="0055149C">
        <w:rPr>
          <w:lang w:eastAsia="nb-NO"/>
        </w:rPr>
        <w:t xml:space="preserve">, </w:t>
      </w:r>
      <w:r w:rsidRPr="0055149C">
        <w:rPr>
          <w:shd w:val="clear" w:color="auto" w:fill="FABF8F" w:themeFill="accent4" w:themeFillTint="99"/>
          <w:lang w:eastAsia="nb-NO"/>
        </w:rPr>
        <w:t>litt perifer</w:t>
      </w:r>
      <w:r w:rsidRPr="0055149C">
        <w:rPr>
          <w:lang w:eastAsia="nb-NO"/>
        </w:rPr>
        <w:t xml:space="preserve">, </w:t>
      </w:r>
      <w:r w:rsidRPr="0055149C">
        <w:rPr>
          <w:shd w:val="clear" w:color="auto" w:fill="CCCC00"/>
          <w:lang w:eastAsia="nb-NO"/>
        </w:rPr>
        <w:t>litt sentral</w:t>
      </w:r>
      <w:r w:rsidRPr="0055149C">
        <w:rPr>
          <w:lang w:eastAsia="nb-NO"/>
        </w:rPr>
        <w:t xml:space="preserve">, </w:t>
      </w:r>
      <w:r w:rsidRPr="0055149C">
        <w:rPr>
          <w:shd w:val="clear" w:color="auto" w:fill="AFD7BB" w:themeFill="accent6" w:themeFillTint="66"/>
          <w:lang w:eastAsia="nb-NO"/>
        </w:rPr>
        <w:t>moderat sentral</w:t>
      </w:r>
      <w:r w:rsidRPr="0055149C">
        <w:rPr>
          <w:lang w:eastAsia="nb-NO"/>
        </w:rPr>
        <w:t xml:space="preserve">, og </w:t>
      </w:r>
      <w:r w:rsidRPr="0055149C">
        <w:rPr>
          <w:shd w:val="clear" w:color="auto" w:fill="468C5C" w:themeFill="accent6"/>
          <w:lang w:eastAsia="nb-NO"/>
        </w:rPr>
        <w:t>svært sentral</w:t>
      </w:r>
    </w:p>
    <w:p w14:paraId="6411EB18" w14:textId="77777777" w:rsidR="00F7056E" w:rsidRDefault="00F7056E" w:rsidP="00F7056E">
      <w:pPr>
        <w:pStyle w:val="Source"/>
        <w:rPr>
          <w:lang w:eastAsia="nb-NO"/>
        </w:rPr>
      </w:pPr>
      <w:r w:rsidRPr="0055149C">
        <w:rPr>
          <w:lang w:eastAsia="nb-NO"/>
        </w:rPr>
        <w:t>Kilde: Vista Analyse</w:t>
      </w:r>
    </w:p>
    <w:p w14:paraId="021AB69F" w14:textId="104AE0C1" w:rsidR="009F1C57" w:rsidRDefault="009F1C57" w:rsidP="00F7056E">
      <w:pPr>
        <w:rPr>
          <w:lang w:eastAsia="nb-NO"/>
        </w:rPr>
      </w:pPr>
      <w:r w:rsidRPr="0055149C">
        <w:rPr>
          <w:lang w:eastAsia="nb-NO"/>
        </w:rPr>
        <w:t>Dersom vi istedenfor å ta for oss sentraliteter fokuserer på NUTS2-land</w:t>
      </w:r>
      <w:r w:rsidR="00900BC3">
        <w:rPr>
          <w:lang w:eastAsia="nb-NO"/>
        </w:rPr>
        <w:t>sd</w:t>
      </w:r>
      <w:r w:rsidRPr="0055149C">
        <w:rPr>
          <w:lang w:eastAsia="nb-NO"/>
        </w:rPr>
        <w:t>eler, forblir mønsteret noe av det samme</w:t>
      </w:r>
      <w:r w:rsidR="00E11405">
        <w:rPr>
          <w:lang w:eastAsia="nb-NO"/>
        </w:rPr>
        <w:t>, som illustrert i</w:t>
      </w:r>
      <w:r w:rsidRPr="0055149C">
        <w:rPr>
          <w:lang w:eastAsia="nb-NO"/>
        </w:rPr>
        <w:t xml:space="preserve"> </w:t>
      </w:r>
      <w:r>
        <w:rPr>
          <w:lang w:eastAsia="nb-NO"/>
        </w:rPr>
        <w:fldChar w:fldCharType="begin"/>
      </w:r>
      <w:r>
        <w:rPr>
          <w:lang w:eastAsia="nb-NO"/>
        </w:rPr>
        <w:instrText xml:space="preserve"> REF _Ref178641564 \h </w:instrText>
      </w:r>
      <w:r>
        <w:rPr>
          <w:lang w:eastAsia="nb-NO"/>
        </w:rPr>
      </w:r>
      <w:r>
        <w:rPr>
          <w:lang w:eastAsia="nb-NO"/>
        </w:rPr>
        <w:fldChar w:fldCharType="separate"/>
      </w:r>
      <w:r w:rsidR="009B1DA8" w:rsidRPr="0055149C">
        <w:t xml:space="preserve">Figur </w:t>
      </w:r>
      <w:r w:rsidR="009B1DA8">
        <w:rPr>
          <w:noProof/>
        </w:rPr>
        <w:t>4</w:t>
      </w:r>
      <w:r w:rsidR="009B1DA8">
        <w:t>.</w:t>
      </w:r>
      <w:r w:rsidR="009B1DA8">
        <w:rPr>
          <w:noProof/>
        </w:rPr>
        <w:t>7</w:t>
      </w:r>
      <w:r>
        <w:rPr>
          <w:lang w:eastAsia="nb-NO"/>
        </w:rPr>
        <w:fldChar w:fldCharType="end"/>
      </w:r>
      <w:r w:rsidRPr="0055149C">
        <w:rPr>
          <w:lang w:eastAsia="nb-NO"/>
        </w:rPr>
        <w:t>.</w:t>
      </w:r>
    </w:p>
    <w:p w14:paraId="06B43D4B" w14:textId="3704867C" w:rsidR="00F7056E" w:rsidRPr="0055149C" w:rsidRDefault="00F7056E" w:rsidP="00F7056E">
      <w:pPr>
        <w:pStyle w:val="Bildetekst"/>
        <w:jc w:val="both"/>
      </w:pPr>
      <w:bookmarkStart w:id="101" w:name="_Ref178641564"/>
      <w:r w:rsidRPr="0055149C">
        <w:t xml:space="preserve">Figur </w:t>
      </w:r>
      <w:fldSimple w:instr=" STYLEREF 1 \s ">
        <w:r w:rsidR="009B1DA8">
          <w:rPr>
            <w:noProof/>
          </w:rPr>
          <w:t>4</w:t>
        </w:r>
      </w:fldSimple>
      <w:r w:rsidR="004B03E3">
        <w:t>.</w:t>
      </w:r>
      <w:fldSimple w:instr=" SEQ Figur \* ARABIC \s 1 ">
        <w:r w:rsidR="009B1DA8">
          <w:rPr>
            <w:noProof/>
          </w:rPr>
          <w:t>7</w:t>
        </w:r>
      </w:fldSimple>
      <w:bookmarkEnd w:id="101"/>
      <w:r w:rsidRPr="0055149C">
        <w:tab/>
        <w:t>Bruttodriftsutgifter per innbygger i primærkommunene plottet mot a) gjeldsrente (til venstre), b) samlet gjeldsgrad i midten) og c) kortsiktig gjeldsgrad (til høyre) over NUTS2-landsdeler</w:t>
      </w:r>
    </w:p>
    <w:p w14:paraId="4BA00D22" w14:textId="0F80C765" w:rsidR="00F7056E" w:rsidRPr="0055149C" w:rsidRDefault="003F7836" w:rsidP="00331C10">
      <w:pPr>
        <w:jc w:val="center"/>
        <w:rPr>
          <w:lang w:eastAsia="nb-NO"/>
        </w:rPr>
      </w:pPr>
      <w:r>
        <w:rPr>
          <w:noProof/>
          <w:lang w:val="en-US" w:eastAsia="en-US"/>
        </w:rPr>
        <w:drawing>
          <wp:inline distT="0" distB="0" distL="0" distR="0" wp14:anchorId="68A93B29" wp14:editId="3F4F70E2">
            <wp:extent cx="1764000" cy="1800000"/>
            <wp:effectExtent l="0" t="0" r="8255" b="0"/>
            <wp:docPr id="530232006" name="Diagram 1">
              <a:extLst xmlns:a="http://schemas.openxmlformats.org/drawingml/2006/main">
                <a:ext uri="{FF2B5EF4-FFF2-40B4-BE49-F238E27FC236}">
                  <a16:creationId xmlns:a16="http://schemas.microsoft.com/office/drawing/2014/main" id="{6FD6529B-DDCE-4068-9B71-ECB6FF2A9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val="en-US" w:eastAsia="en-US"/>
        </w:rPr>
        <w:drawing>
          <wp:inline distT="0" distB="0" distL="0" distR="0" wp14:anchorId="6CEE68C9" wp14:editId="1136DEAF">
            <wp:extent cx="1764000" cy="1800000"/>
            <wp:effectExtent l="0" t="0" r="8255" b="0"/>
            <wp:docPr id="365344931" name="Diagram 3">
              <a:extLst xmlns:a="http://schemas.openxmlformats.org/drawingml/2006/main">
                <a:ext uri="{FF2B5EF4-FFF2-40B4-BE49-F238E27FC236}">
                  <a16:creationId xmlns:a16="http://schemas.microsoft.com/office/drawing/2014/main" id="{144E19DF-64DD-4584-8A63-990ED703F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val="en-US" w:eastAsia="en-US"/>
        </w:rPr>
        <w:drawing>
          <wp:inline distT="0" distB="0" distL="0" distR="0" wp14:anchorId="759F9BF3" wp14:editId="072EAEFE">
            <wp:extent cx="1764000" cy="1800000"/>
            <wp:effectExtent l="0" t="0" r="8255" b="0"/>
            <wp:docPr id="2025968573" name="Diagram 2">
              <a:extLst xmlns:a="http://schemas.openxmlformats.org/drawingml/2006/main">
                <a:ext uri="{FF2B5EF4-FFF2-40B4-BE49-F238E27FC236}">
                  <a16:creationId xmlns:a16="http://schemas.microsoft.com/office/drawing/2014/main" id="{5A87B2A2-5119-46C7-A1BE-F935C0E64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24B59B"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NUTS2-landsdeler: </w:t>
      </w:r>
      <w:r w:rsidRPr="0055149C">
        <w:rPr>
          <w:shd w:val="clear" w:color="auto" w:fill="A60E24" w:themeFill="accent5"/>
          <w:lang w:eastAsia="nb-NO"/>
        </w:rPr>
        <w:t>Nord-Norge</w:t>
      </w:r>
      <w:r w:rsidRPr="0055149C">
        <w:rPr>
          <w:lang w:eastAsia="nb-NO"/>
        </w:rPr>
        <w:t xml:space="preserve">, </w:t>
      </w:r>
      <w:r w:rsidRPr="0055149C">
        <w:rPr>
          <w:shd w:val="clear" w:color="auto" w:fill="F48594" w:themeFill="accent5" w:themeFillTint="66"/>
          <w:lang w:eastAsia="nb-NO"/>
        </w:rPr>
        <w:t>Midt-Norge</w:t>
      </w:r>
      <w:r w:rsidRPr="0055149C">
        <w:rPr>
          <w:lang w:eastAsia="nb-NO"/>
        </w:rPr>
        <w:t xml:space="preserve">, </w:t>
      </w:r>
      <w:r w:rsidRPr="0055149C">
        <w:rPr>
          <w:shd w:val="clear" w:color="auto" w:fill="FABF8F" w:themeFill="accent4" w:themeFillTint="99"/>
          <w:lang w:eastAsia="nb-NO"/>
        </w:rPr>
        <w:t>Vestlandet</w:t>
      </w:r>
      <w:r w:rsidRPr="0055149C">
        <w:rPr>
          <w:lang w:eastAsia="nb-NO"/>
        </w:rPr>
        <w:t xml:space="preserve">, </w:t>
      </w:r>
      <w:r w:rsidRPr="0055149C">
        <w:rPr>
          <w:shd w:val="clear" w:color="auto" w:fill="CCCC00"/>
          <w:lang w:eastAsia="nb-NO"/>
        </w:rPr>
        <w:t>Sørlandet og Sørøst-Norge</w:t>
      </w:r>
      <w:r w:rsidRPr="0055149C">
        <w:rPr>
          <w:lang w:eastAsia="nb-NO"/>
        </w:rPr>
        <w:t xml:space="preserve">, </w:t>
      </w:r>
      <w:r w:rsidRPr="0055149C">
        <w:rPr>
          <w:shd w:val="clear" w:color="auto" w:fill="AFD7BB" w:themeFill="accent6" w:themeFillTint="66"/>
          <w:lang w:eastAsia="nb-NO"/>
        </w:rPr>
        <w:t>Innlandet</w:t>
      </w:r>
      <w:r w:rsidRPr="0055149C">
        <w:rPr>
          <w:lang w:eastAsia="nb-NO"/>
        </w:rPr>
        <w:t xml:space="preserve"> og </w:t>
      </w:r>
      <w:r w:rsidRPr="0055149C">
        <w:rPr>
          <w:shd w:val="clear" w:color="auto" w:fill="468C5C" w:themeFill="accent6"/>
          <w:lang w:eastAsia="nb-NO"/>
        </w:rPr>
        <w:t>Oslo og Viken</w:t>
      </w:r>
    </w:p>
    <w:p w14:paraId="5957D67F" w14:textId="77777777" w:rsidR="00F7056E" w:rsidRDefault="00F7056E" w:rsidP="00F7056E">
      <w:pPr>
        <w:pStyle w:val="Source"/>
        <w:rPr>
          <w:lang w:eastAsia="nb-NO"/>
        </w:rPr>
      </w:pPr>
      <w:r w:rsidRPr="0055149C">
        <w:rPr>
          <w:lang w:eastAsia="nb-NO"/>
        </w:rPr>
        <w:t>Kilde: Vista Analyses beregninger av data fra Statistisk sentralbyrå</w:t>
      </w:r>
    </w:p>
    <w:p w14:paraId="13A78915" w14:textId="225B1E27" w:rsidR="009F1C57" w:rsidRPr="009F1C57" w:rsidRDefault="00900BC3" w:rsidP="009F1C57">
      <w:pPr>
        <w:rPr>
          <w:lang w:eastAsia="nb-NO"/>
        </w:rPr>
      </w:pPr>
      <w:r>
        <w:rPr>
          <w:lang w:eastAsia="nb-NO"/>
        </w:rPr>
        <w:t>Det</w:t>
      </w:r>
      <w:r w:rsidRPr="0055149C">
        <w:rPr>
          <w:lang w:eastAsia="nb-NO"/>
        </w:rPr>
        <w:t xml:space="preserve"> </w:t>
      </w:r>
      <w:r w:rsidR="009F1C57" w:rsidRPr="0055149C">
        <w:rPr>
          <w:lang w:eastAsia="nb-NO"/>
        </w:rPr>
        <w:t>er kommuner i Oslo og Viken som tenderer til å ha både relativt høy gjeldsgrad og høy gjeldsrente, mens det motsatte tenderer å være tilfellet for nordnorske kommuner. Tendensen er imidlertid langt svakere for NUTS2-landsdeler enn for sentralitetsnivåer.</w:t>
      </w:r>
    </w:p>
    <w:p w14:paraId="2F479CA6" w14:textId="5C94496E" w:rsidR="003511C7" w:rsidRPr="0055149C" w:rsidRDefault="00F7056E" w:rsidP="00F7056E">
      <w:pPr>
        <w:rPr>
          <w:lang w:eastAsia="nb-NO"/>
        </w:rPr>
      </w:pPr>
      <w:r w:rsidRPr="0055149C">
        <w:rPr>
          <w:lang w:eastAsia="nb-NO"/>
        </w:rPr>
        <w:t xml:space="preserve">Som redegjort for i delseksjon </w:t>
      </w:r>
      <w:r w:rsidRPr="0055149C">
        <w:rPr>
          <w:lang w:eastAsia="nb-NO"/>
        </w:rPr>
        <w:fldChar w:fldCharType="begin"/>
      </w:r>
      <w:r w:rsidRPr="0055149C">
        <w:rPr>
          <w:lang w:eastAsia="nb-NO"/>
        </w:rPr>
        <w:instrText xml:space="preserve"> REF _Ref167674974 \r \h </w:instrText>
      </w:r>
      <w:r w:rsidRPr="0055149C">
        <w:rPr>
          <w:lang w:eastAsia="nb-NO"/>
        </w:rPr>
      </w:r>
      <w:r w:rsidRPr="0055149C">
        <w:rPr>
          <w:lang w:eastAsia="nb-NO"/>
        </w:rPr>
        <w:fldChar w:fldCharType="separate"/>
      </w:r>
      <w:r w:rsidR="009B1DA8">
        <w:rPr>
          <w:lang w:eastAsia="nb-NO"/>
        </w:rPr>
        <w:t>2.2.6</w:t>
      </w:r>
      <w:r w:rsidRPr="0055149C">
        <w:rPr>
          <w:lang w:eastAsia="nb-NO"/>
        </w:rPr>
        <w:fldChar w:fldCharType="end"/>
      </w:r>
      <w:r w:rsidRPr="0055149C">
        <w:rPr>
          <w:lang w:eastAsia="nb-NO"/>
        </w:rPr>
        <w:t xml:space="preserve"> kan det argumenteres for at renter på kapitalen ikke bare bør ha realkapital som beregningsgrunnlag, men en bredere del av kapitalbasen. I </w:t>
      </w:r>
      <w:r w:rsidR="00C8568F" w:rsidRPr="0055149C">
        <w:rPr>
          <w:lang w:eastAsia="nb-NO"/>
        </w:rPr>
        <w:fldChar w:fldCharType="begin"/>
      </w:r>
      <w:r w:rsidR="00C8568F" w:rsidRPr="0055149C">
        <w:rPr>
          <w:lang w:eastAsia="nb-NO"/>
        </w:rPr>
        <w:instrText xml:space="preserve"> REF _Ref169004517 \h </w:instrText>
      </w:r>
      <w:r w:rsidR="00C8568F" w:rsidRPr="0055149C">
        <w:rPr>
          <w:lang w:eastAsia="nb-NO"/>
        </w:rPr>
      </w:r>
      <w:r w:rsidR="00C8568F" w:rsidRPr="0055149C">
        <w:rPr>
          <w:lang w:eastAsia="nb-NO"/>
        </w:rPr>
        <w:fldChar w:fldCharType="separate"/>
      </w:r>
      <w:r w:rsidR="009B1DA8" w:rsidRPr="0055149C">
        <w:t xml:space="preserve">Figur </w:t>
      </w:r>
      <w:r w:rsidR="009B1DA8">
        <w:rPr>
          <w:noProof/>
        </w:rPr>
        <w:t>4</w:t>
      </w:r>
      <w:r w:rsidR="009B1DA8">
        <w:t>.</w:t>
      </w:r>
      <w:r w:rsidR="009B1DA8">
        <w:rPr>
          <w:noProof/>
        </w:rPr>
        <w:t>8</w:t>
      </w:r>
      <w:r w:rsidR="00C8568F" w:rsidRPr="0055149C">
        <w:rPr>
          <w:lang w:eastAsia="nb-NO"/>
        </w:rPr>
        <w:fldChar w:fldCharType="end"/>
      </w:r>
      <w:r w:rsidRPr="0055149C">
        <w:rPr>
          <w:lang w:eastAsia="nb-NO"/>
        </w:rPr>
        <w:t xml:space="preserve"> gir vi en oversikt over hvordan bruttodriftsutgiftene per innbygger i primærkommunene samvarierer med </w:t>
      </w:r>
      <w:r w:rsidRPr="0055149C">
        <w:rPr>
          <w:lang w:eastAsia="nb-NO"/>
        </w:rPr>
        <w:lastRenderedPageBreak/>
        <w:t xml:space="preserve">realkapitalgraden, i tillegg en oversikt over den realøkonomiske kapitalstrukturen. </w:t>
      </w:r>
      <w:r w:rsidR="009D1265" w:rsidRPr="0055149C">
        <w:rPr>
          <w:lang w:eastAsia="nb-NO"/>
        </w:rPr>
        <w:t xml:space="preserve">De to øverste figurene viser </w:t>
      </w:r>
      <w:r w:rsidR="009D1265" w:rsidRPr="00796506">
        <w:rPr>
          <w:lang w:eastAsia="nb-NO"/>
        </w:rPr>
        <w:t xml:space="preserve">sammenhengen mellom bruttodriftsutgifter, kapitalgrad og kommunenes sentralitet og landsdeltilhørighet. Korrelasjonskoeffisienten til bruttodriftsutgiftene per innbygger og realkapitalgraden er kun </w:t>
      </w:r>
      <w:r w:rsidR="00554BE4">
        <w:rPr>
          <w:lang w:eastAsia="nb-NO"/>
        </w:rPr>
        <w:t>-</w:t>
      </w:r>
      <w:r w:rsidR="009D1265" w:rsidRPr="00796506">
        <w:rPr>
          <w:lang w:eastAsia="nb-NO"/>
        </w:rPr>
        <w:t>0,108. Sammenhengen</w:t>
      </w:r>
      <w:r w:rsidR="009D1265" w:rsidRPr="0055149C">
        <w:rPr>
          <w:lang w:eastAsia="nb-NO"/>
        </w:rPr>
        <w:t xml:space="preserve"> mellom realkapitalgraden og sentralitet er også relativt svak, dog positiv, og enda et hakk mindre markant for NUTS2-landsdeler.</w:t>
      </w:r>
    </w:p>
    <w:p w14:paraId="5A7567BE" w14:textId="2802352F" w:rsidR="00F7056E" w:rsidRPr="0055149C" w:rsidRDefault="00F7056E" w:rsidP="00F7056E">
      <w:pPr>
        <w:pStyle w:val="Bildetekst"/>
        <w:jc w:val="both"/>
      </w:pPr>
      <w:bookmarkStart w:id="102" w:name="_Ref169004517"/>
      <w:r w:rsidRPr="0055149C">
        <w:t xml:space="preserve">Figur </w:t>
      </w:r>
      <w:fldSimple w:instr=" STYLEREF 1 \s ">
        <w:r w:rsidR="009B1DA8">
          <w:rPr>
            <w:noProof/>
          </w:rPr>
          <w:t>4</w:t>
        </w:r>
      </w:fldSimple>
      <w:r w:rsidR="004B03E3">
        <w:t>.</w:t>
      </w:r>
      <w:fldSimple w:instr=" SEQ Figur \* ARABIC \s 1 ">
        <w:r w:rsidR="009B1DA8">
          <w:rPr>
            <w:noProof/>
          </w:rPr>
          <w:t>8</w:t>
        </w:r>
      </w:fldSimple>
      <w:bookmarkEnd w:id="102"/>
      <w:r w:rsidRPr="0055149C">
        <w:tab/>
        <w:t>Primærkommunenes a) bruttodriftsutgifter per innbygger plottet mot realkapitalgrad over sentralitetsnivåer (øverst til venstre) og b) bruttodriftsutgifter per innbygger plottet mot realkapitalgrad over NUTS2-landsdeler (øverst til høyre) og c) sammensetning av eiendeler (nederst)</w:t>
      </w:r>
    </w:p>
    <w:p w14:paraId="26DAC15D" w14:textId="215C046D" w:rsidR="00F7056E" w:rsidRPr="0055149C" w:rsidRDefault="00956CCF" w:rsidP="00331C10">
      <w:pPr>
        <w:jc w:val="center"/>
        <w:rPr>
          <w:noProof/>
        </w:rPr>
        <w:sectPr w:rsidR="00F7056E" w:rsidRPr="0055149C" w:rsidSect="00F7056E">
          <w:headerReference w:type="default" r:id="rId51"/>
          <w:footerReference w:type="default" r:id="rId52"/>
          <w:pgSz w:w="11906" w:h="16838" w:code="9"/>
          <w:pgMar w:top="1418" w:right="1418" w:bottom="1418" w:left="1985" w:header="567" w:footer="284" w:gutter="0"/>
          <w:cols w:space="708"/>
          <w:docGrid w:linePitch="360"/>
        </w:sectPr>
      </w:pPr>
      <w:r>
        <w:rPr>
          <w:noProof/>
          <w:lang w:val="en-US" w:eastAsia="en-US"/>
        </w:rPr>
        <w:drawing>
          <wp:inline distT="0" distB="0" distL="0" distR="0" wp14:anchorId="0980FD3C" wp14:editId="4ED2198D">
            <wp:extent cx="2664000" cy="1800000"/>
            <wp:effectExtent l="0" t="0" r="3175" b="0"/>
            <wp:docPr id="1324936871" name="Diagram 1">
              <a:extLst xmlns:a="http://schemas.openxmlformats.org/drawingml/2006/main">
                <a:ext uri="{FF2B5EF4-FFF2-40B4-BE49-F238E27FC236}">
                  <a16:creationId xmlns:a16="http://schemas.microsoft.com/office/drawing/2014/main" id="{25D9E2CB-8B68-4080-B00B-E5108A254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val="en-US" w:eastAsia="en-US"/>
        </w:rPr>
        <w:drawing>
          <wp:inline distT="0" distB="0" distL="0" distR="0" wp14:anchorId="1EFD9937" wp14:editId="3C5DB6C5">
            <wp:extent cx="2664000" cy="1800000"/>
            <wp:effectExtent l="0" t="0" r="3175" b="0"/>
            <wp:docPr id="61865926" name="Diagram 2">
              <a:extLst xmlns:a="http://schemas.openxmlformats.org/drawingml/2006/main">
                <a:ext uri="{FF2B5EF4-FFF2-40B4-BE49-F238E27FC236}">
                  <a16:creationId xmlns:a16="http://schemas.microsoft.com/office/drawing/2014/main" id="{58111CE3-6E6F-4F62-ADBA-73885C066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E1F20">
        <w:rPr>
          <w:noProof/>
          <w:lang w:val="en-US" w:eastAsia="en-US"/>
        </w:rPr>
        <w:drawing>
          <wp:inline distT="0" distB="0" distL="0" distR="0" wp14:anchorId="64F61BCF" wp14:editId="5095BC46">
            <wp:extent cx="5328000" cy="1800000"/>
            <wp:effectExtent l="0" t="0" r="6350" b="0"/>
            <wp:docPr id="1771679427" name="Diagram 1">
              <a:extLst xmlns:a="http://schemas.openxmlformats.org/drawingml/2006/main">
                <a:ext uri="{FF2B5EF4-FFF2-40B4-BE49-F238E27FC236}">
                  <a16:creationId xmlns:a16="http://schemas.microsoft.com/office/drawing/2014/main" id="{AD5AC67E-AA50-40C5-4D85-ECE504B46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38E580"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sentralitetsnivåer i de øverste figurene: </w:t>
      </w:r>
      <w:r w:rsidRPr="0055149C">
        <w:rPr>
          <w:shd w:val="clear" w:color="auto" w:fill="A60E24" w:themeFill="accent5"/>
          <w:lang w:eastAsia="nb-NO"/>
        </w:rPr>
        <w:t>svært perifer</w:t>
      </w:r>
      <w:r w:rsidRPr="0055149C">
        <w:rPr>
          <w:lang w:eastAsia="nb-NO"/>
        </w:rPr>
        <w:t xml:space="preserve">, </w:t>
      </w:r>
      <w:r w:rsidRPr="0055149C">
        <w:rPr>
          <w:shd w:val="clear" w:color="auto" w:fill="F48594" w:themeFill="accent5" w:themeFillTint="66"/>
          <w:lang w:eastAsia="nb-NO"/>
        </w:rPr>
        <w:t>moderat perifer</w:t>
      </w:r>
      <w:r w:rsidRPr="0055149C">
        <w:rPr>
          <w:lang w:eastAsia="nb-NO"/>
        </w:rPr>
        <w:t xml:space="preserve">, </w:t>
      </w:r>
      <w:r w:rsidRPr="0055149C">
        <w:rPr>
          <w:shd w:val="clear" w:color="auto" w:fill="FABF8F" w:themeFill="accent4" w:themeFillTint="99"/>
          <w:lang w:eastAsia="nb-NO"/>
        </w:rPr>
        <w:t>litt perifer</w:t>
      </w:r>
      <w:r w:rsidRPr="0055149C">
        <w:rPr>
          <w:lang w:eastAsia="nb-NO"/>
        </w:rPr>
        <w:t xml:space="preserve">, </w:t>
      </w:r>
      <w:r w:rsidRPr="0055149C">
        <w:rPr>
          <w:shd w:val="clear" w:color="auto" w:fill="CCCC00"/>
          <w:lang w:eastAsia="nb-NO"/>
        </w:rPr>
        <w:t>litt sentral</w:t>
      </w:r>
      <w:r w:rsidRPr="0055149C">
        <w:rPr>
          <w:lang w:eastAsia="nb-NO"/>
        </w:rPr>
        <w:t xml:space="preserve">, </w:t>
      </w:r>
      <w:r w:rsidRPr="0055149C">
        <w:rPr>
          <w:shd w:val="clear" w:color="auto" w:fill="AFD7BB" w:themeFill="accent6" w:themeFillTint="66"/>
          <w:lang w:eastAsia="nb-NO"/>
        </w:rPr>
        <w:t>moderat sentral</w:t>
      </w:r>
      <w:r w:rsidRPr="0055149C">
        <w:rPr>
          <w:lang w:eastAsia="nb-NO"/>
        </w:rPr>
        <w:t xml:space="preserve">, og </w:t>
      </w:r>
      <w:r w:rsidRPr="0055149C">
        <w:rPr>
          <w:shd w:val="clear" w:color="auto" w:fill="468C5C" w:themeFill="accent6"/>
          <w:lang w:eastAsia="nb-NO"/>
        </w:rPr>
        <w:t>svært sentral</w:t>
      </w:r>
      <w:r w:rsidRPr="0055149C">
        <w:t>. Oslo inkluderer både primærkommunen og fylkeskommunen i nedre figur.</w:t>
      </w:r>
    </w:p>
    <w:p w14:paraId="6EC93BBC" w14:textId="77777777" w:rsidR="00F7056E" w:rsidRDefault="00F7056E" w:rsidP="00F7056E">
      <w:pPr>
        <w:pStyle w:val="Source"/>
        <w:rPr>
          <w:lang w:eastAsia="nb-NO"/>
        </w:rPr>
      </w:pPr>
      <w:r w:rsidRPr="0055149C">
        <w:rPr>
          <w:lang w:eastAsia="nb-NO"/>
        </w:rPr>
        <w:t>Kilde: Vista Analyses beregninger av data fra Statistisk sentralbyrå</w:t>
      </w:r>
    </w:p>
    <w:p w14:paraId="78F9E5BF" w14:textId="4BE86087" w:rsidR="009F1C57" w:rsidRPr="009F1C57" w:rsidRDefault="009F1C57" w:rsidP="009F1C57">
      <w:pPr>
        <w:rPr>
          <w:lang w:eastAsia="nb-NO"/>
        </w:rPr>
      </w:pPr>
      <w:r w:rsidRPr="0055149C">
        <w:rPr>
          <w:lang w:eastAsia="nb-NO"/>
        </w:rPr>
        <w:t>Omfanget av det omløpsmidlet som</w:t>
      </w:r>
      <w:r w:rsidR="00332E05">
        <w:rPr>
          <w:lang w:eastAsia="nb-NO"/>
        </w:rPr>
        <w:t xml:space="preserve"> i kraft av sine egenskaper</w:t>
      </w:r>
      <w:r w:rsidRPr="0055149C">
        <w:rPr>
          <w:lang w:eastAsia="nb-NO"/>
        </w:rPr>
        <w:t xml:space="preserve"> likner mest på realkapitalen</w:t>
      </w:r>
      <w:r w:rsidR="00332E05">
        <w:rPr>
          <w:lang w:eastAsia="nb-NO"/>
        </w:rPr>
        <w:t xml:space="preserve"> </w:t>
      </w:r>
      <w:r w:rsidRPr="0055149C">
        <w:rPr>
          <w:lang w:eastAsia="nb-NO"/>
        </w:rPr>
        <w:t xml:space="preserve">– </w:t>
      </w:r>
      <w:r w:rsidR="007B7E13">
        <w:rPr>
          <w:lang w:eastAsia="nb-NO"/>
        </w:rPr>
        <w:t xml:space="preserve">det vil si </w:t>
      </w:r>
      <w:r w:rsidRPr="0055149C">
        <w:rPr>
          <w:lang w:eastAsia="nb-NO"/>
        </w:rPr>
        <w:t>varelageret – er svært beskjeden</w:t>
      </w:r>
      <w:r w:rsidR="006A6CBA">
        <w:rPr>
          <w:lang w:eastAsia="nb-NO"/>
        </w:rPr>
        <w:t>t</w:t>
      </w:r>
      <w:r w:rsidRPr="0055149C">
        <w:rPr>
          <w:lang w:eastAsia="nb-NO"/>
        </w:rPr>
        <w:t>. Det er noe variasjon i kortsiktige fordringer, men ikke dramatisk. Når vi ser nærmere på de bakenforliggende tallene, viser det seg at de kortsiktige fordringene i stor grad tilhører noen enkeltkommuner, hvilket utfordrer rimeligheten ved og hensiktsmessigheten av kompensasjon. Variasjoner i omfanget av disse kapitalformene er i liten grad reflektert av variasjoner i den faste realkapitalen, slik at det vil være lite hensiktsmessig å håndtere det med en multiplikatoreffekt på realkapitalen. På fordringer som ikke betales inn, kan det også være adgang til å kreve morarenter. Alt i alt ser vi utfra empirien ikke tungtveiende grunner til å beregne rentekostnader av andre eiendeler enn eventuelt realkapitalen.</w:t>
      </w:r>
    </w:p>
    <w:p w14:paraId="39058C24" w14:textId="77777777" w:rsidR="00F7056E" w:rsidRPr="0055149C" w:rsidRDefault="00F7056E" w:rsidP="00F7056E">
      <w:pPr>
        <w:pStyle w:val="Overskrift4"/>
        <w:numPr>
          <w:ilvl w:val="0"/>
          <w:numId w:val="0"/>
        </w:numPr>
      </w:pPr>
      <w:r w:rsidRPr="0055149C">
        <w:lastRenderedPageBreak/>
        <w:t>Fylkeskommunene</w:t>
      </w:r>
    </w:p>
    <w:p w14:paraId="24DE09D6" w14:textId="7DA65BE9" w:rsidR="00F7056E" w:rsidRPr="0055149C" w:rsidRDefault="00F7056E" w:rsidP="00F7056E">
      <w:pPr>
        <w:rPr>
          <w:lang w:eastAsia="nb-NO"/>
        </w:rPr>
      </w:pPr>
      <w:r w:rsidRPr="0055149C">
        <w:rPr>
          <w:lang w:eastAsia="nb-NO"/>
        </w:rPr>
        <w:t xml:space="preserve">I motsetning </w:t>
      </w:r>
      <w:r w:rsidR="00DA5713">
        <w:rPr>
          <w:lang w:eastAsia="nb-NO"/>
        </w:rPr>
        <w:t>til</w:t>
      </w:r>
      <w:r w:rsidR="00DA5713" w:rsidRPr="0055149C">
        <w:rPr>
          <w:lang w:eastAsia="nb-NO"/>
        </w:rPr>
        <w:t xml:space="preserve"> </w:t>
      </w:r>
      <w:r w:rsidRPr="0055149C">
        <w:rPr>
          <w:lang w:eastAsia="nb-NO"/>
        </w:rPr>
        <w:t xml:space="preserve">primærkommunene er det ikke noe særlig korrelasjon mellom de samlede gjeldsgradene fylkeskommunene har, og </w:t>
      </w:r>
      <w:r w:rsidRPr="00796506">
        <w:rPr>
          <w:lang w:eastAsia="nb-NO"/>
        </w:rPr>
        <w:t xml:space="preserve">gjeldsrentene de står overfor. Dette framgår av </w:t>
      </w:r>
      <w:r w:rsidRPr="00796506">
        <w:rPr>
          <w:lang w:eastAsia="nb-NO"/>
        </w:rPr>
        <w:fldChar w:fldCharType="begin"/>
      </w:r>
      <w:r w:rsidRPr="00796506">
        <w:rPr>
          <w:lang w:eastAsia="nb-NO"/>
        </w:rPr>
        <w:instrText xml:space="preserve"> REF _Ref166974002 \h </w:instrText>
      </w:r>
      <w:r w:rsidR="00796506">
        <w:rPr>
          <w:lang w:eastAsia="nb-NO"/>
        </w:rPr>
        <w:instrText xml:space="preserve"> \* MERGEFORMAT </w:instrText>
      </w:r>
      <w:r w:rsidRPr="00796506">
        <w:rPr>
          <w:lang w:eastAsia="nb-NO"/>
        </w:rPr>
      </w:r>
      <w:r w:rsidRPr="00796506">
        <w:rPr>
          <w:lang w:eastAsia="nb-NO"/>
        </w:rPr>
        <w:fldChar w:fldCharType="separate"/>
      </w:r>
      <w:r w:rsidR="009B1DA8" w:rsidRPr="0055149C">
        <w:t xml:space="preserve">Figur </w:t>
      </w:r>
      <w:r w:rsidR="009B1DA8">
        <w:rPr>
          <w:noProof/>
        </w:rPr>
        <w:t>4</w:t>
      </w:r>
      <w:r w:rsidR="009B1DA8">
        <w:t>.</w:t>
      </w:r>
      <w:r w:rsidR="009B1DA8">
        <w:rPr>
          <w:noProof/>
        </w:rPr>
        <w:t>9</w:t>
      </w:r>
      <w:r w:rsidRPr="00796506">
        <w:rPr>
          <w:lang w:eastAsia="nb-NO"/>
        </w:rPr>
        <w:fldChar w:fldCharType="end"/>
      </w:r>
      <w:r w:rsidRPr="00796506">
        <w:rPr>
          <w:lang w:eastAsia="nb-NO"/>
        </w:rPr>
        <w:t xml:space="preserve">. De to parameterne har korrelasjonskoeffisienter på </w:t>
      </w:r>
      <w:r w:rsidR="00554BE4">
        <w:rPr>
          <w:lang w:eastAsia="nb-NO"/>
        </w:rPr>
        <w:t>-</w:t>
      </w:r>
      <w:r w:rsidRPr="00796506">
        <w:rPr>
          <w:lang w:eastAsia="nb-NO"/>
        </w:rPr>
        <w:t>0,</w:t>
      </w:r>
      <w:r w:rsidR="00796506" w:rsidRPr="00796506">
        <w:rPr>
          <w:lang w:eastAsia="nb-NO"/>
        </w:rPr>
        <w:t>080</w:t>
      </w:r>
      <w:r w:rsidRPr="00796506">
        <w:rPr>
          <w:lang w:eastAsia="nb-NO"/>
        </w:rPr>
        <w:t xml:space="preserve"> inkludert Oslo og -0,090 ekskludert Oslo. Det er dermed ikke slik at</w:t>
      </w:r>
      <w:r w:rsidR="000C4679">
        <w:rPr>
          <w:lang w:eastAsia="nb-NO"/>
        </w:rPr>
        <w:t xml:space="preserve"> den samlede</w:t>
      </w:r>
      <w:r w:rsidRPr="00796506">
        <w:rPr>
          <w:lang w:eastAsia="nb-NO"/>
        </w:rPr>
        <w:t xml:space="preserve"> gjeldsgraden og gjelds</w:t>
      </w:r>
      <w:r w:rsidR="00A11E72">
        <w:rPr>
          <w:lang w:eastAsia="nb-NO"/>
        </w:rPr>
        <w:t>renten</w:t>
      </w:r>
      <w:r w:rsidRPr="0055149C">
        <w:rPr>
          <w:lang w:eastAsia="nb-NO"/>
        </w:rPr>
        <w:t xml:space="preserve"> trekker i ulike retninger når det gjelder den samlede kapital</w:t>
      </w:r>
      <w:r w:rsidR="00A11E72">
        <w:rPr>
          <w:lang w:eastAsia="nb-NO"/>
        </w:rPr>
        <w:t>renten</w:t>
      </w:r>
      <w:r w:rsidRPr="0055149C">
        <w:rPr>
          <w:lang w:eastAsia="nb-NO"/>
        </w:rPr>
        <w:t xml:space="preserve"> på dette </w:t>
      </w:r>
      <w:r w:rsidRPr="00796506">
        <w:rPr>
          <w:lang w:eastAsia="nb-NO"/>
        </w:rPr>
        <w:t>forvaltningsnivået. Korrelasjonen mellom kortsiktig gjeldsgrad og gjelds</w:t>
      </w:r>
      <w:r w:rsidR="00A11E72">
        <w:rPr>
          <w:lang w:eastAsia="nb-NO"/>
        </w:rPr>
        <w:t>renten</w:t>
      </w:r>
      <w:r w:rsidRPr="00796506">
        <w:rPr>
          <w:lang w:eastAsia="nb-NO"/>
        </w:rPr>
        <w:t xml:space="preserve"> er riktignok 0,326 utenom Oslo, men 0,</w:t>
      </w:r>
      <w:r w:rsidR="00796506" w:rsidRPr="00796506">
        <w:rPr>
          <w:lang w:eastAsia="nb-NO"/>
        </w:rPr>
        <w:t>36</w:t>
      </w:r>
      <w:r w:rsidRPr="00796506">
        <w:rPr>
          <w:lang w:eastAsia="nb-NO"/>
        </w:rPr>
        <w:t xml:space="preserve">9 med Oslo. </w:t>
      </w:r>
      <w:r w:rsidR="000C4679">
        <w:rPr>
          <w:lang w:eastAsia="nb-NO"/>
        </w:rPr>
        <w:t xml:space="preserve">Videre er korrelasjonen mellom </w:t>
      </w:r>
      <w:r w:rsidR="000C4679" w:rsidRPr="00796506">
        <w:rPr>
          <w:lang w:eastAsia="nb-NO"/>
        </w:rPr>
        <w:t>gjelds</w:t>
      </w:r>
      <w:r w:rsidR="00A11E72">
        <w:rPr>
          <w:lang w:eastAsia="nb-NO"/>
        </w:rPr>
        <w:t>renten</w:t>
      </w:r>
      <w:r w:rsidR="000C4679">
        <w:rPr>
          <w:lang w:eastAsia="nb-NO"/>
        </w:rPr>
        <w:t xml:space="preserve"> og den kortsiktige gjeldsgraden 0,495 med Oslo og 0,516 uten Oslo, hvilket impliserer langt likere overordnet gjeldsstruktur i fylkeskommunene enn i primærkommunene. </w:t>
      </w:r>
      <w:r w:rsidRPr="00796506">
        <w:rPr>
          <w:lang w:eastAsia="nb-NO"/>
        </w:rPr>
        <w:t>Samtidig</w:t>
      </w:r>
      <w:r w:rsidRPr="0055149C">
        <w:rPr>
          <w:lang w:eastAsia="nb-NO"/>
        </w:rPr>
        <w:t xml:space="preserve"> er utvalget åpenbart relativt lite, slik at det er vanskelig å trekke sterke konklusjoner utfra denne empirien.</w:t>
      </w:r>
    </w:p>
    <w:p w14:paraId="752C1887" w14:textId="21CD4B3B" w:rsidR="00F7056E" w:rsidRPr="0055149C" w:rsidRDefault="00F7056E" w:rsidP="00F7056E">
      <w:pPr>
        <w:pStyle w:val="Bildetekst"/>
      </w:pPr>
      <w:bookmarkStart w:id="103" w:name="_Ref166974002"/>
      <w:r w:rsidRPr="0055149C">
        <w:t xml:space="preserve">Figur </w:t>
      </w:r>
      <w:fldSimple w:instr=" STYLEREF 1 \s ">
        <w:r w:rsidR="009B1DA8">
          <w:rPr>
            <w:noProof/>
          </w:rPr>
          <w:t>4</w:t>
        </w:r>
      </w:fldSimple>
      <w:r w:rsidR="004B03E3">
        <w:t>.</w:t>
      </w:r>
      <w:fldSimple w:instr=" SEQ Figur \* ARABIC \s 1 ">
        <w:r w:rsidR="009B1DA8">
          <w:rPr>
            <w:noProof/>
          </w:rPr>
          <w:t>9</w:t>
        </w:r>
      </w:fldSimple>
      <w:bookmarkEnd w:id="103"/>
      <w:r w:rsidRPr="0055149C">
        <w:tab/>
        <w:t>Bruttodriftsutgifter per innbygger i fylkeskommunene plottet mot a) gjeldsrente (til venstre), b) samlet gjeldsgrad (i midten) og c) kortsiktig gjeldsgrad (til høyre) over NUTS2-landsdeler</w:t>
      </w:r>
    </w:p>
    <w:p w14:paraId="7A85DCCA" w14:textId="77777777" w:rsidR="00331C10" w:rsidRDefault="00331C10" w:rsidP="00331C10">
      <w:pPr>
        <w:pStyle w:val="Billedtekst-forklaring"/>
        <w:ind w:left="0" w:firstLine="0"/>
        <w:jc w:val="center"/>
      </w:pPr>
      <w:r>
        <w:rPr>
          <w:noProof/>
          <w:lang w:val="en-US" w:eastAsia="en-US"/>
        </w:rPr>
        <w:drawing>
          <wp:inline distT="0" distB="0" distL="0" distR="0" wp14:anchorId="03366B45" wp14:editId="59BDE4D2">
            <wp:extent cx="1764000" cy="1800000"/>
            <wp:effectExtent l="0" t="0" r="8255" b="0"/>
            <wp:docPr id="1880692922" name="Diagram 1">
              <a:extLst xmlns:a="http://schemas.openxmlformats.org/drawingml/2006/main">
                <a:ext uri="{FF2B5EF4-FFF2-40B4-BE49-F238E27FC236}">
                  <a16:creationId xmlns:a16="http://schemas.microsoft.com/office/drawing/2014/main" id="{676155F1-78CE-426C-BF92-9A4B6BEC0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val="en-US" w:eastAsia="en-US"/>
        </w:rPr>
        <w:drawing>
          <wp:inline distT="0" distB="0" distL="0" distR="0" wp14:anchorId="65003351" wp14:editId="53BD91E7">
            <wp:extent cx="1764000" cy="1800000"/>
            <wp:effectExtent l="0" t="0" r="8255" b="0"/>
            <wp:docPr id="1057150595" name="Diagram 2">
              <a:extLst xmlns:a="http://schemas.openxmlformats.org/drawingml/2006/main">
                <a:ext uri="{FF2B5EF4-FFF2-40B4-BE49-F238E27FC236}">
                  <a16:creationId xmlns:a16="http://schemas.microsoft.com/office/drawing/2014/main" id="{30FD2A57-D3AD-4F2E-B74D-20CEB05C6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val="en-US" w:eastAsia="en-US"/>
        </w:rPr>
        <w:drawing>
          <wp:inline distT="0" distB="0" distL="0" distR="0" wp14:anchorId="2A931ED7" wp14:editId="6912E25D">
            <wp:extent cx="1764000" cy="1800000"/>
            <wp:effectExtent l="0" t="0" r="8255" b="0"/>
            <wp:docPr id="359077776" name="Diagram 3">
              <a:extLst xmlns:a="http://schemas.openxmlformats.org/drawingml/2006/main">
                <a:ext uri="{FF2B5EF4-FFF2-40B4-BE49-F238E27FC236}">
                  <a16:creationId xmlns:a16="http://schemas.microsoft.com/office/drawing/2014/main" id="{E720297E-DB0C-4997-9F23-A7EAAF252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7B5DF51" w14:textId="6A452ABF" w:rsidR="00F7056E" w:rsidRPr="0055149C" w:rsidRDefault="00F7056E" w:rsidP="00331C10">
      <w:pPr>
        <w:pStyle w:val="Billedtekst-forklaring"/>
        <w:ind w:left="0" w:firstLine="0"/>
        <w:rPr>
          <w:shd w:val="clear" w:color="auto" w:fill="468C5C" w:themeFill="accent6"/>
          <w:lang w:eastAsia="nb-NO"/>
        </w:rPr>
      </w:pPr>
      <w:r w:rsidRPr="0055149C">
        <w:t xml:space="preserve">Angivelse av fargekoder for NUTS2-landsdeler: </w:t>
      </w:r>
      <w:r w:rsidRPr="0055149C">
        <w:rPr>
          <w:shd w:val="clear" w:color="auto" w:fill="A60E24" w:themeFill="accent5"/>
          <w:lang w:eastAsia="nb-NO"/>
        </w:rPr>
        <w:t>Nord-Norge</w:t>
      </w:r>
      <w:r w:rsidRPr="0055149C">
        <w:rPr>
          <w:lang w:eastAsia="nb-NO"/>
        </w:rPr>
        <w:t xml:space="preserve">, </w:t>
      </w:r>
      <w:r w:rsidRPr="0055149C">
        <w:rPr>
          <w:shd w:val="clear" w:color="auto" w:fill="F48594" w:themeFill="accent5" w:themeFillTint="66"/>
          <w:lang w:eastAsia="nb-NO"/>
        </w:rPr>
        <w:t>Midt-Norge</w:t>
      </w:r>
      <w:r w:rsidRPr="0055149C">
        <w:rPr>
          <w:lang w:eastAsia="nb-NO"/>
        </w:rPr>
        <w:t xml:space="preserve">, </w:t>
      </w:r>
      <w:r w:rsidRPr="0055149C">
        <w:rPr>
          <w:shd w:val="clear" w:color="auto" w:fill="FABF8F" w:themeFill="accent4" w:themeFillTint="99"/>
          <w:lang w:eastAsia="nb-NO"/>
        </w:rPr>
        <w:t>Vestlandet</w:t>
      </w:r>
      <w:r w:rsidRPr="0055149C">
        <w:rPr>
          <w:lang w:eastAsia="nb-NO"/>
        </w:rPr>
        <w:t xml:space="preserve">, </w:t>
      </w:r>
      <w:r w:rsidRPr="0055149C">
        <w:rPr>
          <w:shd w:val="clear" w:color="auto" w:fill="CCCC00"/>
          <w:lang w:eastAsia="nb-NO"/>
        </w:rPr>
        <w:t>Sørlandet og Sørøst-Norge</w:t>
      </w:r>
      <w:r w:rsidRPr="0055149C">
        <w:rPr>
          <w:lang w:eastAsia="nb-NO"/>
        </w:rPr>
        <w:t xml:space="preserve">, </w:t>
      </w:r>
      <w:r w:rsidRPr="0055149C">
        <w:rPr>
          <w:shd w:val="clear" w:color="auto" w:fill="AFD7BB" w:themeFill="accent6" w:themeFillTint="66"/>
          <w:lang w:eastAsia="nb-NO"/>
        </w:rPr>
        <w:t>Innlandet</w:t>
      </w:r>
      <w:r w:rsidRPr="0055149C">
        <w:rPr>
          <w:lang w:eastAsia="nb-NO"/>
        </w:rPr>
        <w:t xml:space="preserve"> og </w:t>
      </w:r>
      <w:r w:rsidRPr="0055149C">
        <w:rPr>
          <w:shd w:val="clear" w:color="auto" w:fill="468C5C" w:themeFill="accent6"/>
          <w:lang w:eastAsia="nb-NO"/>
        </w:rPr>
        <w:t>Oslo og Viken</w:t>
      </w:r>
    </w:p>
    <w:p w14:paraId="5744EC08" w14:textId="77777777" w:rsidR="00F7056E" w:rsidRPr="0055149C" w:rsidRDefault="00F7056E" w:rsidP="00F7056E">
      <w:pPr>
        <w:pStyle w:val="Source"/>
        <w:rPr>
          <w:lang w:eastAsia="nb-NO"/>
        </w:rPr>
      </w:pPr>
      <w:r w:rsidRPr="0055149C">
        <w:rPr>
          <w:lang w:eastAsia="nb-NO"/>
        </w:rPr>
        <w:t>Kilde: Vista Analyses beregninger av data fra Statistisk sentralbyrå</w:t>
      </w:r>
    </w:p>
    <w:p w14:paraId="46C3C0B6" w14:textId="351B2376" w:rsidR="00E575F1" w:rsidRPr="0055149C" w:rsidRDefault="009D1265" w:rsidP="00F7056E">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_Ref169010027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10</w:t>
      </w:r>
      <w:r w:rsidRPr="0055149C">
        <w:rPr>
          <w:lang w:eastAsia="nb-NO"/>
        </w:rPr>
        <w:fldChar w:fldCharType="end"/>
      </w:r>
      <w:r w:rsidRPr="0055149C">
        <w:rPr>
          <w:lang w:eastAsia="nb-NO"/>
        </w:rPr>
        <w:t xml:space="preserve"> a) har vi illustrert sammenhengen i fylkeskommunene mellom realkapitalgraden og bruttodriftsutgifter over sentralitetsnivåer, normalisert per innbygger. </w:t>
      </w:r>
      <w:r w:rsidR="00F7056E" w:rsidRPr="0055149C">
        <w:rPr>
          <w:lang w:eastAsia="nb-NO"/>
        </w:rPr>
        <w:t xml:space="preserve">Til dels på grunn av at utvalget av fylkeskommuner er lite, er det vanskelig å argumentere for at en større del av kapitalmassen enn realkapitalmassen bør benyttes i renteberegningene. For fylkeskommunene er det sterk korrelasjon mellom realkapitalgraden og bruttodriftsutgifter per innbygger på </w:t>
      </w:r>
      <w:r w:rsidR="00554BE4" w:rsidRPr="00554BE4">
        <w:rPr>
          <w:lang w:eastAsia="nb-NO"/>
        </w:rPr>
        <w:t>0</w:t>
      </w:r>
      <w:r w:rsidR="000C4679">
        <w:rPr>
          <w:lang w:eastAsia="nb-NO"/>
        </w:rPr>
        <w:t>,</w:t>
      </w:r>
      <w:r w:rsidR="00554BE4" w:rsidRPr="00554BE4">
        <w:rPr>
          <w:lang w:eastAsia="nb-NO"/>
        </w:rPr>
        <w:t xml:space="preserve">221 </w:t>
      </w:r>
      <w:r w:rsidR="00F7056E" w:rsidRPr="0055149C">
        <w:rPr>
          <w:lang w:eastAsia="nb-NO"/>
        </w:rPr>
        <w:t xml:space="preserve">når Oslo holdes utenfor, skjønt korrelasjonsmatrisen </w:t>
      </w:r>
      <w:r w:rsidR="00554BE4">
        <w:rPr>
          <w:lang w:eastAsia="nb-NO"/>
        </w:rPr>
        <w:t>øker</w:t>
      </w:r>
      <w:r w:rsidR="00F7056E" w:rsidRPr="0055149C">
        <w:rPr>
          <w:lang w:eastAsia="nb-NO"/>
        </w:rPr>
        <w:t xml:space="preserve"> til </w:t>
      </w:r>
      <w:r w:rsidR="00554BE4" w:rsidRPr="00554BE4">
        <w:rPr>
          <w:lang w:eastAsia="nb-NO"/>
        </w:rPr>
        <w:t>0</w:t>
      </w:r>
      <w:r w:rsidR="000C4679">
        <w:rPr>
          <w:lang w:eastAsia="nb-NO"/>
        </w:rPr>
        <w:t>,</w:t>
      </w:r>
      <w:r w:rsidR="00554BE4" w:rsidRPr="00554BE4">
        <w:rPr>
          <w:lang w:eastAsia="nb-NO"/>
        </w:rPr>
        <w:t xml:space="preserve">436 </w:t>
      </w:r>
      <w:r w:rsidR="00F7056E" w:rsidRPr="0055149C">
        <w:rPr>
          <w:lang w:eastAsia="nb-NO"/>
        </w:rPr>
        <w:t>når Oslo inkluderes.</w:t>
      </w:r>
    </w:p>
    <w:p w14:paraId="2FA1BC96" w14:textId="0BE1B83D" w:rsidR="00F7056E" w:rsidRPr="0055149C" w:rsidRDefault="00E575F1" w:rsidP="00F7056E">
      <w:pPr>
        <w:rPr>
          <w:lang w:eastAsia="nb-NO"/>
        </w:rPr>
      </w:pPr>
      <w:r w:rsidRPr="0055149C">
        <w:rPr>
          <w:lang w:eastAsia="nb-NO"/>
        </w:rPr>
        <w:t xml:space="preserve">Fylkeskommunenes samlede kapitalsammensetning er vist i </w:t>
      </w:r>
      <w:r w:rsidRPr="0055149C">
        <w:rPr>
          <w:lang w:eastAsia="nb-NO"/>
        </w:rPr>
        <w:fldChar w:fldCharType="begin"/>
      </w:r>
      <w:r w:rsidRPr="0055149C">
        <w:rPr>
          <w:lang w:eastAsia="nb-NO"/>
        </w:rPr>
        <w:instrText xml:space="preserve"> REF _Ref169010027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10</w:t>
      </w:r>
      <w:r w:rsidRPr="0055149C">
        <w:rPr>
          <w:lang w:eastAsia="nb-NO"/>
        </w:rPr>
        <w:fldChar w:fldCharType="end"/>
      </w:r>
      <w:r w:rsidRPr="0055149C">
        <w:rPr>
          <w:lang w:eastAsia="nb-NO"/>
        </w:rPr>
        <w:t xml:space="preserve"> b). </w:t>
      </w:r>
      <w:r w:rsidR="00F7056E" w:rsidRPr="0055149C">
        <w:rPr>
          <w:lang w:eastAsia="nb-NO"/>
        </w:rPr>
        <w:t>Også på fylkesnivå er varelageret neglisjerbart. Samtidig er det vesentlige variasjoner i fylkeskommunenes fordringer, uten at denne kategorien er spesielt stor.</w:t>
      </w:r>
    </w:p>
    <w:p w14:paraId="6ACC9337" w14:textId="70F2E524" w:rsidR="00F7056E" w:rsidRPr="0055149C" w:rsidRDefault="00F7056E" w:rsidP="00F7056E">
      <w:pPr>
        <w:pStyle w:val="Bildetekst"/>
        <w:jc w:val="both"/>
      </w:pPr>
      <w:bookmarkStart w:id="104" w:name="_Ref169010027"/>
      <w:r w:rsidRPr="0055149C">
        <w:lastRenderedPageBreak/>
        <w:t xml:space="preserve">Figur </w:t>
      </w:r>
      <w:fldSimple w:instr=" STYLEREF 1 \s ">
        <w:r w:rsidR="009B1DA8">
          <w:rPr>
            <w:noProof/>
          </w:rPr>
          <w:t>4</w:t>
        </w:r>
      </w:fldSimple>
      <w:r w:rsidR="004B03E3">
        <w:t>.</w:t>
      </w:r>
      <w:fldSimple w:instr=" SEQ Figur \* ARABIC \s 1 ">
        <w:r w:rsidR="009B1DA8">
          <w:rPr>
            <w:noProof/>
          </w:rPr>
          <w:t>10</w:t>
        </w:r>
      </w:fldSimple>
      <w:bookmarkEnd w:id="104"/>
      <w:r w:rsidRPr="0055149C">
        <w:tab/>
        <w:t xml:space="preserve">Fylkeskommunenes a) bruttodriftsutgifter per innbygger plottet mot realkapitalgrad over sentralitetsnivåer (øverst) og </w:t>
      </w:r>
      <w:r w:rsidR="00EC65D9">
        <w:t>b</w:t>
      </w:r>
      <w:r w:rsidRPr="0055149C">
        <w:t>) sammensetning av eiendeler (nederst)</w:t>
      </w:r>
    </w:p>
    <w:p w14:paraId="4538A52F" w14:textId="68F8B08D" w:rsidR="00F7056E" w:rsidRPr="0055149C" w:rsidRDefault="00B17F60" w:rsidP="00D12077">
      <w:pPr>
        <w:jc w:val="center"/>
        <w:rPr>
          <w:lang w:eastAsia="nb-NO"/>
        </w:rPr>
      </w:pPr>
      <w:r>
        <w:rPr>
          <w:noProof/>
          <w:lang w:val="en-US" w:eastAsia="en-US"/>
        </w:rPr>
        <w:drawing>
          <wp:inline distT="0" distB="0" distL="0" distR="0" wp14:anchorId="616F55E3" wp14:editId="5A90F641">
            <wp:extent cx="5328000" cy="1800000"/>
            <wp:effectExtent l="0" t="0" r="6350" b="0"/>
            <wp:docPr id="472770961" name="Diagram 1">
              <a:extLst xmlns:a="http://schemas.openxmlformats.org/drawingml/2006/main">
                <a:ext uri="{FF2B5EF4-FFF2-40B4-BE49-F238E27FC236}">
                  <a16:creationId xmlns:a16="http://schemas.microsoft.com/office/drawing/2014/main" id="{C0E4ECFC-0C94-4001-AE4B-D0D84B0DC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D12077">
        <w:rPr>
          <w:noProof/>
          <w:lang w:val="en-US" w:eastAsia="en-US"/>
        </w:rPr>
        <w:drawing>
          <wp:inline distT="0" distB="0" distL="0" distR="0" wp14:anchorId="1468E8C5" wp14:editId="17B684F1">
            <wp:extent cx="5328000" cy="2700000"/>
            <wp:effectExtent l="0" t="0" r="6350" b="5715"/>
            <wp:docPr id="877580965" name="Diagram 1">
              <a:extLst xmlns:a="http://schemas.openxmlformats.org/drawingml/2006/main">
                <a:ext uri="{FF2B5EF4-FFF2-40B4-BE49-F238E27FC236}">
                  <a16:creationId xmlns:a16="http://schemas.microsoft.com/office/drawing/2014/main" id="{0E0B651B-53F4-42DC-A1D0-F771C5273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25CDD3"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sentralitetsnivåer i øverste figur: </w:t>
      </w:r>
      <w:r w:rsidRPr="0055149C">
        <w:rPr>
          <w:shd w:val="clear" w:color="auto" w:fill="A60E24" w:themeFill="accent5"/>
          <w:lang w:eastAsia="nb-NO"/>
        </w:rPr>
        <w:t>svært perifer</w:t>
      </w:r>
      <w:r w:rsidRPr="0055149C">
        <w:rPr>
          <w:lang w:eastAsia="nb-NO"/>
        </w:rPr>
        <w:t xml:space="preserve">, </w:t>
      </w:r>
      <w:r w:rsidRPr="0055149C">
        <w:rPr>
          <w:shd w:val="clear" w:color="auto" w:fill="F48594" w:themeFill="accent5" w:themeFillTint="66"/>
          <w:lang w:eastAsia="nb-NO"/>
        </w:rPr>
        <w:t>moderat perifer</w:t>
      </w:r>
      <w:r w:rsidRPr="0055149C">
        <w:rPr>
          <w:lang w:eastAsia="nb-NO"/>
        </w:rPr>
        <w:t xml:space="preserve">, </w:t>
      </w:r>
      <w:r w:rsidRPr="0055149C">
        <w:rPr>
          <w:shd w:val="clear" w:color="auto" w:fill="FABF8F" w:themeFill="accent4" w:themeFillTint="99"/>
          <w:lang w:eastAsia="nb-NO"/>
        </w:rPr>
        <w:t>litt perifer</w:t>
      </w:r>
      <w:r w:rsidRPr="0055149C">
        <w:rPr>
          <w:lang w:eastAsia="nb-NO"/>
        </w:rPr>
        <w:t xml:space="preserve">, </w:t>
      </w:r>
      <w:r w:rsidRPr="0055149C">
        <w:rPr>
          <w:shd w:val="clear" w:color="auto" w:fill="CCCC00"/>
          <w:lang w:eastAsia="nb-NO"/>
        </w:rPr>
        <w:t>litt sentral</w:t>
      </w:r>
      <w:r w:rsidRPr="0055149C">
        <w:rPr>
          <w:lang w:eastAsia="nb-NO"/>
        </w:rPr>
        <w:t xml:space="preserve">, </w:t>
      </w:r>
      <w:r w:rsidRPr="0055149C">
        <w:rPr>
          <w:shd w:val="clear" w:color="auto" w:fill="AFD7BB" w:themeFill="accent6" w:themeFillTint="66"/>
          <w:lang w:eastAsia="nb-NO"/>
        </w:rPr>
        <w:t>moderat sentral</w:t>
      </w:r>
      <w:r w:rsidRPr="0055149C">
        <w:rPr>
          <w:lang w:eastAsia="nb-NO"/>
        </w:rPr>
        <w:t xml:space="preserve">, og </w:t>
      </w:r>
      <w:r w:rsidRPr="0055149C">
        <w:rPr>
          <w:shd w:val="clear" w:color="auto" w:fill="468C5C" w:themeFill="accent6"/>
          <w:lang w:eastAsia="nb-NO"/>
        </w:rPr>
        <w:t>svært sentral</w:t>
      </w:r>
      <w:r w:rsidRPr="0055149C">
        <w:t>. Oslo inkluderer både primærkommunen og fylkeskommunen i nedre figur.</w:t>
      </w:r>
    </w:p>
    <w:p w14:paraId="2A55D1A6" w14:textId="77777777" w:rsidR="00F7056E" w:rsidRPr="0055149C" w:rsidRDefault="00F7056E" w:rsidP="00F7056E">
      <w:pPr>
        <w:pStyle w:val="Source"/>
        <w:rPr>
          <w:lang w:eastAsia="nb-NO"/>
        </w:rPr>
      </w:pPr>
      <w:r w:rsidRPr="0055149C">
        <w:rPr>
          <w:lang w:eastAsia="nb-NO"/>
        </w:rPr>
        <w:t>Kilde: Vista Analyses beregninger av data fra Statistisk sentralbyrå</w:t>
      </w:r>
    </w:p>
    <w:p w14:paraId="3457351E" w14:textId="3A6A589C" w:rsidR="00E1055C" w:rsidRPr="0055149C" w:rsidRDefault="0043061A" w:rsidP="00493942">
      <w:pPr>
        <w:pStyle w:val="Overskrift3"/>
      </w:pPr>
      <w:bookmarkStart w:id="105" w:name="_Ref178445271"/>
      <w:r w:rsidRPr="0055149C">
        <w:t>R</w:t>
      </w:r>
      <w:r w:rsidR="00C63518" w:rsidRPr="0055149C">
        <w:t>ealkapital</w:t>
      </w:r>
      <w:r w:rsidR="0026272E" w:rsidRPr="0055149C">
        <w:t>beholdnin</w:t>
      </w:r>
      <w:r w:rsidR="00E13C97" w:rsidRPr="0055149C">
        <w:t>g</w:t>
      </w:r>
      <w:bookmarkEnd w:id="99"/>
      <w:bookmarkEnd w:id="105"/>
    </w:p>
    <w:p w14:paraId="7A7B13F4" w14:textId="4F552BB9" w:rsidR="00C5131E" w:rsidRPr="0055149C" w:rsidRDefault="001A5AF4" w:rsidP="00C63518">
      <w:pPr>
        <w:rPr>
          <w:lang w:eastAsia="nb-NO"/>
        </w:rPr>
      </w:pPr>
      <w:r w:rsidRPr="0055149C">
        <w:rPr>
          <w:lang w:eastAsia="nb-NO"/>
        </w:rPr>
        <w:t>I det følgende presenterer vi estimater for realkapital</w:t>
      </w:r>
      <w:r w:rsidR="00527A1E">
        <w:rPr>
          <w:lang w:eastAsia="nb-NO"/>
        </w:rPr>
        <w:t>beholdningene</w:t>
      </w:r>
      <w:r w:rsidRPr="0055149C">
        <w:rPr>
          <w:lang w:eastAsia="nb-NO"/>
        </w:rPr>
        <w:t xml:space="preserve"> </w:t>
      </w:r>
      <w:r w:rsidR="0026272E" w:rsidRPr="0055149C">
        <w:rPr>
          <w:lang w:eastAsia="nb-NO"/>
        </w:rPr>
        <w:t>for primærkommunene og fylkeskommunene.</w:t>
      </w:r>
    </w:p>
    <w:p w14:paraId="149C020C" w14:textId="7D69A81D" w:rsidR="00C5131E" w:rsidRPr="0055149C" w:rsidRDefault="00C5131E" w:rsidP="000E08F8">
      <w:pPr>
        <w:pStyle w:val="Overskrift4"/>
        <w:numPr>
          <w:ilvl w:val="0"/>
          <w:numId w:val="0"/>
        </w:numPr>
      </w:pPr>
      <w:r w:rsidRPr="0055149C">
        <w:t>Primærkommunene</w:t>
      </w:r>
    </w:p>
    <w:p w14:paraId="74ACEC8D" w14:textId="41C08801" w:rsidR="0098037B" w:rsidRPr="0055149C" w:rsidRDefault="00082662" w:rsidP="0098037B">
      <w:pPr>
        <w:rPr>
          <w:color w:val="auto"/>
          <w:lang w:eastAsia="nb-NO"/>
        </w:rPr>
      </w:pPr>
      <w:r w:rsidRPr="0055149C">
        <w:rPr>
          <w:color w:val="auto"/>
          <w:lang w:eastAsia="nb-NO"/>
        </w:rPr>
        <w:t xml:space="preserve">Våre estimater for primærkommunenes realkapitalbeholdning ved utgangen av 2022 er framvist i </w:t>
      </w:r>
      <w:r w:rsidR="00BB25C2" w:rsidRPr="003A1894">
        <w:rPr>
          <w:color w:val="auto"/>
          <w:lang w:eastAsia="nb-NO"/>
        </w:rPr>
        <w:fldChar w:fldCharType="begin"/>
      </w:r>
      <w:r w:rsidR="00BB25C2" w:rsidRPr="003A1894">
        <w:rPr>
          <w:color w:val="auto"/>
          <w:lang w:eastAsia="nb-NO"/>
        </w:rPr>
        <w:instrText xml:space="preserve"> REF _Ref166739588 \h </w:instrText>
      </w:r>
      <w:r w:rsidR="003A1894">
        <w:rPr>
          <w:color w:val="auto"/>
          <w:lang w:eastAsia="nb-NO"/>
        </w:rPr>
        <w:instrText xml:space="preserve"> \* MERGEFORMAT </w:instrText>
      </w:r>
      <w:r w:rsidR="00BB25C2" w:rsidRPr="003A1894">
        <w:rPr>
          <w:color w:val="auto"/>
          <w:lang w:eastAsia="nb-NO"/>
        </w:rPr>
      </w:r>
      <w:r w:rsidR="00BB25C2" w:rsidRPr="003A1894">
        <w:rPr>
          <w:color w:val="auto"/>
          <w:lang w:eastAsia="nb-NO"/>
        </w:rPr>
        <w:fldChar w:fldCharType="separate"/>
      </w:r>
      <w:r w:rsidR="009B1DA8" w:rsidRPr="0055149C">
        <w:t xml:space="preserve">Figur </w:t>
      </w:r>
      <w:r w:rsidR="009B1DA8">
        <w:rPr>
          <w:noProof/>
        </w:rPr>
        <w:t>4</w:t>
      </w:r>
      <w:r w:rsidR="009B1DA8">
        <w:t>.</w:t>
      </w:r>
      <w:r w:rsidR="009B1DA8">
        <w:rPr>
          <w:noProof/>
        </w:rPr>
        <w:t>11</w:t>
      </w:r>
      <w:r w:rsidR="00BB25C2" w:rsidRPr="003A1894">
        <w:rPr>
          <w:color w:val="auto"/>
          <w:lang w:eastAsia="nb-NO"/>
        </w:rPr>
        <w:fldChar w:fldCharType="end"/>
      </w:r>
      <w:r w:rsidR="00BB25C2" w:rsidRPr="003A1894">
        <w:rPr>
          <w:color w:val="auto"/>
          <w:lang w:eastAsia="nb-NO"/>
        </w:rPr>
        <w:t xml:space="preserve">. </w:t>
      </w:r>
      <w:r w:rsidR="0098037B" w:rsidRPr="003A1894">
        <w:rPr>
          <w:color w:val="auto"/>
          <w:lang w:eastAsia="nb-NO"/>
        </w:rPr>
        <w:t>DM-estimatet er på 0,85 billioner kroner, mens PIM-estimatene varierer fra 1,</w:t>
      </w:r>
      <w:r w:rsidR="003A1894" w:rsidRPr="003A1894">
        <w:rPr>
          <w:color w:val="auto"/>
          <w:lang w:eastAsia="nb-NO"/>
        </w:rPr>
        <w:t>40</w:t>
      </w:r>
      <w:r w:rsidR="00DA5713">
        <w:rPr>
          <w:color w:val="auto"/>
          <w:lang w:eastAsia="nb-NO"/>
        </w:rPr>
        <w:t> </w:t>
      </w:r>
      <w:r w:rsidR="0098037B" w:rsidRPr="003A1894">
        <w:rPr>
          <w:color w:val="auto"/>
          <w:lang w:eastAsia="nb-NO"/>
        </w:rPr>
        <w:t>billioner kroner estimert over funksjoner</w:t>
      </w:r>
      <w:r w:rsidR="00B27CAC">
        <w:rPr>
          <w:color w:val="auto"/>
          <w:lang w:eastAsia="nb-NO"/>
        </w:rPr>
        <w:t xml:space="preserve"> </w:t>
      </w:r>
      <w:r w:rsidR="0098037B" w:rsidRPr="003A1894">
        <w:rPr>
          <w:color w:val="auto"/>
          <w:lang w:eastAsia="nb-NO"/>
        </w:rPr>
        <w:t>med disaggregerte kjennetegn til 1,4</w:t>
      </w:r>
      <w:r w:rsidR="003A1894" w:rsidRPr="003A1894">
        <w:rPr>
          <w:color w:val="auto"/>
          <w:lang w:eastAsia="nb-NO"/>
        </w:rPr>
        <w:t>9</w:t>
      </w:r>
      <w:r w:rsidR="0098037B" w:rsidRPr="003A1894">
        <w:rPr>
          <w:color w:val="auto"/>
          <w:lang w:eastAsia="nb-NO"/>
        </w:rPr>
        <w:t xml:space="preserve"> billioner kroner estimert over</w:t>
      </w:r>
      <w:r w:rsidR="0098037B" w:rsidRPr="0055149C">
        <w:rPr>
          <w:color w:val="auto"/>
          <w:lang w:eastAsia="nb-NO"/>
        </w:rPr>
        <w:t xml:space="preserve"> kapitalarter med disaggregerte kjennetegn. </w:t>
      </w:r>
      <w:r w:rsidR="000C65C9" w:rsidRPr="0055149C">
        <w:rPr>
          <w:color w:val="auto"/>
          <w:lang w:eastAsia="nb-NO"/>
        </w:rPr>
        <w:t xml:space="preserve">I PIM-beregningene på funksjonsnivå drar </w:t>
      </w:r>
      <w:r w:rsidR="0098037B" w:rsidRPr="0055149C">
        <w:rPr>
          <w:color w:val="auto"/>
          <w:lang w:eastAsia="nb-NO"/>
        </w:rPr>
        <w:t xml:space="preserve">både </w:t>
      </w:r>
      <w:r w:rsidR="00A511EB" w:rsidRPr="0055149C">
        <w:rPr>
          <w:color w:val="auto"/>
          <w:lang w:eastAsia="nb-NO"/>
        </w:rPr>
        <w:t xml:space="preserve">bruk av aggregerte </w:t>
      </w:r>
      <w:r w:rsidR="0098037B" w:rsidRPr="0055149C">
        <w:rPr>
          <w:color w:val="auto"/>
          <w:lang w:eastAsia="nb-NO"/>
        </w:rPr>
        <w:t>deflatorer og depresieringsrater kapitalestimatene opp sammenliknet med bruk av di</w:t>
      </w:r>
      <w:r w:rsidR="00DA5713">
        <w:rPr>
          <w:color w:val="auto"/>
          <w:lang w:eastAsia="nb-NO"/>
        </w:rPr>
        <w:t>s</w:t>
      </w:r>
      <w:r w:rsidR="0098037B" w:rsidRPr="0055149C">
        <w:rPr>
          <w:color w:val="auto"/>
          <w:lang w:eastAsia="nb-NO"/>
        </w:rPr>
        <w:t>aggregerte deflatorer og depresieringsrater.</w:t>
      </w:r>
    </w:p>
    <w:p w14:paraId="297D310C" w14:textId="69314911" w:rsidR="004238B3" w:rsidRPr="0055149C" w:rsidRDefault="00B97C9F" w:rsidP="00C63518">
      <w:pPr>
        <w:rPr>
          <w:color w:val="auto"/>
          <w:lang w:eastAsia="nb-NO"/>
        </w:rPr>
      </w:pPr>
      <w:r w:rsidRPr="0055149C">
        <w:rPr>
          <w:color w:val="auto"/>
          <w:lang w:eastAsia="nb-NO"/>
        </w:rPr>
        <w:lastRenderedPageBreak/>
        <w:t xml:space="preserve">Fast eiendom og anlegg </w:t>
      </w:r>
      <w:r w:rsidR="00FA7009" w:rsidRPr="0055149C">
        <w:rPr>
          <w:color w:val="auto"/>
          <w:lang w:eastAsia="nb-NO"/>
        </w:rPr>
        <w:t xml:space="preserve">står for vel </w:t>
      </w:r>
      <w:r w:rsidR="007A2C3B" w:rsidRPr="0055149C">
        <w:rPr>
          <w:color w:val="auto"/>
          <w:lang w:eastAsia="nb-NO"/>
        </w:rPr>
        <w:t>95</w:t>
      </w:r>
      <w:r w:rsidR="003A1894">
        <w:rPr>
          <w:color w:val="auto"/>
          <w:lang w:eastAsia="nb-NO"/>
        </w:rPr>
        <w:t>,3</w:t>
      </w:r>
      <w:r w:rsidR="007A2C3B" w:rsidRPr="0055149C">
        <w:rPr>
          <w:color w:val="auto"/>
          <w:lang w:eastAsia="nb-NO"/>
        </w:rPr>
        <w:t xml:space="preserve"> prosent av</w:t>
      </w:r>
      <w:r w:rsidRPr="0055149C">
        <w:rPr>
          <w:color w:val="auto"/>
          <w:lang w:eastAsia="nb-NO"/>
        </w:rPr>
        <w:t xml:space="preserve"> kapitalmassen</w:t>
      </w:r>
      <w:r w:rsidR="003A1894">
        <w:rPr>
          <w:color w:val="auto"/>
          <w:lang w:eastAsia="nb-NO"/>
        </w:rPr>
        <w:t xml:space="preserve"> beregnet ved PIM over kapitalarter og 97,6 prosent av kapitalmassen basert på DM. R</w:t>
      </w:r>
      <w:r w:rsidR="007A2C3B" w:rsidRPr="0055149C">
        <w:rPr>
          <w:color w:val="auto"/>
          <w:lang w:eastAsia="nb-NO"/>
        </w:rPr>
        <w:t xml:space="preserve">esten </w:t>
      </w:r>
      <w:r w:rsidR="00DA5713">
        <w:rPr>
          <w:color w:val="auto"/>
          <w:lang w:eastAsia="nb-NO"/>
        </w:rPr>
        <w:t xml:space="preserve">av </w:t>
      </w:r>
      <w:r w:rsidR="003A1894">
        <w:rPr>
          <w:color w:val="auto"/>
          <w:lang w:eastAsia="nb-NO"/>
        </w:rPr>
        <w:t xml:space="preserve">kapitalbeholdningen består </w:t>
      </w:r>
      <w:r w:rsidR="007A2C3B" w:rsidRPr="0055149C">
        <w:rPr>
          <w:color w:val="auto"/>
          <w:lang w:eastAsia="nb-NO"/>
        </w:rPr>
        <w:t>primært av maskiner, utstyr og transportmidler</w:t>
      </w:r>
      <w:r w:rsidR="003A1894">
        <w:rPr>
          <w:color w:val="auto"/>
          <w:lang w:eastAsia="nb-NO"/>
        </w:rPr>
        <w:t>, mens andelen av immateriell kapital ligger langt under en promille</w:t>
      </w:r>
      <w:r w:rsidR="007A2C3B" w:rsidRPr="0055149C">
        <w:rPr>
          <w:color w:val="auto"/>
          <w:lang w:eastAsia="nb-NO"/>
        </w:rPr>
        <w:t>.</w:t>
      </w:r>
      <w:r w:rsidR="00700BF1" w:rsidRPr="0055149C">
        <w:rPr>
          <w:color w:val="auto"/>
          <w:lang w:eastAsia="nb-NO"/>
        </w:rPr>
        <w:t xml:space="preserve"> </w:t>
      </w:r>
      <w:r w:rsidR="004238B3" w:rsidRPr="0055149C">
        <w:rPr>
          <w:color w:val="auto"/>
          <w:lang w:eastAsia="nb-NO"/>
        </w:rPr>
        <w:t xml:space="preserve">Grunnskolen og VAR-tjenestene </w:t>
      </w:r>
      <w:r w:rsidR="00700BF1" w:rsidRPr="0055149C">
        <w:rPr>
          <w:color w:val="auto"/>
          <w:lang w:eastAsia="nb-NO"/>
        </w:rPr>
        <w:t xml:space="preserve">utgjør funksjonene med mest omfattende kapitalbeholdninger, som </w:t>
      </w:r>
      <w:r w:rsidR="00DA5713">
        <w:rPr>
          <w:color w:val="auto"/>
          <w:lang w:eastAsia="nb-NO"/>
        </w:rPr>
        <w:t xml:space="preserve">er </w:t>
      </w:r>
      <w:r w:rsidR="00700BF1" w:rsidRPr="0055149C">
        <w:rPr>
          <w:color w:val="auto"/>
          <w:lang w:eastAsia="nb-NO"/>
        </w:rPr>
        <w:t>for øvrig spredt over en rekke sektorer.</w:t>
      </w:r>
    </w:p>
    <w:p w14:paraId="75C34C79" w14:textId="2210E41B" w:rsidR="00144BA3" w:rsidRPr="0055149C" w:rsidRDefault="00144BA3" w:rsidP="00144BA3">
      <w:pPr>
        <w:pStyle w:val="Bildetekst"/>
        <w:jc w:val="both"/>
      </w:pPr>
      <w:bookmarkStart w:id="106" w:name="_Ref167456970"/>
      <w:bookmarkStart w:id="107" w:name="_Ref166739588"/>
      <w:r w:rsidRPr="0055149C">
        <w:t xml:space="preserve">Figur </w:t>
      </w:r>
      <w:fldSimple w:instr=" STYLEREF 1 \s ">
        <w:r w:rsidR="009B1DA8">
          <w:rPr>
            <w:noProof/>
          </w:rPr>
          <w:t>4</w:t>
        </w:r>
      </w:fldSimple>
      <w:r w:rsidR="004B03E3">
        <w:t>.</w:t>
      </w:r>
      <w:fldSimple w:instr=" SEQ Figur \* ARABIC \s 1 ">
        <w:r w:rsidR="009B1DA8">
          <w:rPr>
            <w:noProof/>
          </w:rPr>
          <w:t>11</w:t>
        </w:r>
      </w:fldSimple>
      <w:bookmarkEnd w:id="106"/>
      <w:bookmarkEnd w:id="107"/>
      <w:r w:rsidRPr="0055149C">
        <w:tab/>
        <w:t xml:space="preserve">Estimert fast realkapitalbeholdning </w:t>
      </w:r>
      <w:r w:rsidR="00082662" w:rsidRPr="0055149C">
        <w:t xml:space="preserve">i primærkommunene ved utgangen av 2022 </w:t>
      </w:r>
      <w:r w:rsidRPr="0055149C">
        <w:t>etter a) art (øverst) og b) funksjon (nederst)</w:t>
      </w:r>
    </w:p>
    <w:p w14:paraId="282915AE" w14:textId="4893394C" w:rsidR="008B5049" w:rsidRPr="0055149C" w:rsidRDefault="00131AF1" w:rsidP="00F45E31">
      <w:pPr>
        <w:jc w:val="center"/>
        <w:rPr>
          <w:lang w:eastAsia="nb-NO"/>
        </w:rPr>
      </w:pPr>
      <w:r>
        <w:rPr>
          <w:noProof/>
          <w:lang w:val="en-US" w:eastAsia="en-US"/>
        </w:rPr>
        <w:drawing>
          <wp:inline distT="0" distB="0" distL="0" distR="0" wp14:anchorId="5309F119" wp14:editId="60587828">
            <wp:extent cx="5364000" cy="2160000"/>
            <wp:effectExtent l="0" t="0" r="8255" b="0"/>
            <wp:docPr id="150741435" name="Diagram 1">
              <a:extLst xmlns:a="http://schemas.openxmlformats.org/drawingml/2006/main">
                <a:ext uri="{FF2B5EF4-FFF2-40B4-BE49-F238E27FC236}">
                  <a16:creationId xmlns:a16="http://schemas.microsoft.com/office/drawing/2014/main" id="{4008CC5B-B438-4D2D-B9D0-CEA8E50E1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lang w:val="en-US" w:eastAsia="en-US"/>
        </w:rPr>
        <w:drawing>
          <wp:inline distT="0" distB="0" distL="0" distR="0" wp14:anchorId="427C5E23" wp14:editId="661743F3">
            <wp:extent cx="5364000" cy="2880000"/>
            <wp:effectExtent l="0" t="0" r="8255" b="0"/>
            <wp:docPr id="1967937103" name="Diagram 2">
              <a:extLst xmlns:a="http://schemas.openxmlformats.org/drawingml/2006/main">
                <a:ext uri="{FF2B5EF4-FFF2-40B4-BE49-F238E27FC236}">
                  <a16:creationId xmlns:a16="http://schemas.microsoft.com/office/drawing/2014/main" id="{7C3D5A84-695B-44B3-8985-C5C7163EB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F9F08F" w14:textId="2F8A86FF" w:rsidR="0081584F" w:rsidRPr="0055149C" w:rsidRDefault="00A47F7A" w:rsidP="0081584F">
      <w:pPr>
        <w:pStyle w:val="Billedtekst-forklaring"/>
        <w:ind w:left="0" w:firstLine="0"/>
        <w:rPr>
          <w:shd w:val="clear" w:color="auto" w:fill="468C5C" w:themeFill="accent6"/>
          <w:lang w:eastAsia="nb-NO"/>
        </w:rPr>
      </w:pPr>
      <w:r>
        <w:t>I f</w:t>
      </w:r>
      <w:r w:rsidR="0081584F" w:rsidRPr="0055149C">
        <w:t>orkortelsene dd, ad, da og aa angir første og andre bokstav om henholdsvis kapitaldeflatorene og depresieringsratene er aggregerte (a) eller disaggregerte (d).</w:t>
      </w:r>
    </w:p>
    <w:p w14:paraId="41CA5EA2" w14:textId="77777777" w:rsidR="00BD7543" w:rsidRPr="0055149C" w:rsidRDefault="00BD7543" w:rsidP="00BD7543">
      <w:pPr>
        <w:pStyle w:val="Source"/>
        <w:rPr>
          <w:lang w:eastAsia="nb-NO"/>
        </w:rPr>
      </w:pPr>
      <w:r w:rsidRPr="0055149C">
        <w:rPr>
          <w:lang w:eastAsia="nb-NO"/>
        </w:rPr>
        <w:t>Kilde: Vista Analyse</w:t>
      </w:r>
    </w:p>
    <w:p w14:paraId="03ED3206" w14:textId="3A2E6D6F" w:rsidR="00D43896" w:rsidRPr="0055149C" w:rsidRDefault="00106515" w:rsidP="009D304D">
      <w:pPr>
        <w:rPr>
          <w:color w:val="auto"/>
          <w:lang w:eastAsia="nb-NO"/>
        </w:rPr>
      </w:pPr>
      <w:r w:rsidRPr="0055149C">
        <w:rPr>
          <w:color w:val="auto"/>
          <w:lang w:eastAsia="nb-NO"/>
        </w:rPr>
        <w:t xml:space="preserve">For primærkommunene er estimerte </w:t>
      </w:r>
      <w:r w:rsidR="00D43896" w:rsidRPr="0055149C">
        <w:rPr>
          <w:color w:val="auto"/>
          <w:lang w:eastAsia="nb-NO"/>
        </w:rPr>
        <w:t>real</w:t>
      </w:r>
      <w:r w:rsidRPr="0055149C">
        <w:rPr>
          <w:color w:val="auto"/>
          <w:lang w:eastAsia="nb-NO"/>
        </w:rPr>
        <w:t xml:space="preserve">kapitalbeholdninger </w:t>
      </w:r>
      <w:r w:rsidR="007D1361" w:rsidRPr="0055149C">
        <w:rPr>
          <w:color w:val="auto"/>
          <w:lang w:eastAsia="nb-NO"/>
        </w:rPr>
        <w:t xml:space="preserve">per innbygger </w:t>
      </w:r>
      <w:r w:rsidRPr="0055149C">
        <w:rPr>
          <w:color w:val="auto"/>
          <w:lang w:eastAsia="nb-NO"/>
        </w:rPr>
        <w:t xml:space="preserve">over kommuner stekt korrelerte med hverandre over </w:t>
      </w:r>
      <w:r w:rsidR="003A1894">
        <w:rPr>
          <w:color w:val="auto"/>
          <w:lang w:eastAsia="nb-NO"/>
        </w:rPr>
        <w:t>kapitalestimerings</w:t>
      </w:r>
      <w:r w:rsidRPr="0055149C">
        <w:rPr>
          <w:color w:val="auto"/>
          <w:lang w:eastAsia="nb-NO"/>
        </w:rPr>
        <w:t>metoder</w:t>
      </w:r>
      <w:r w:rsidR="00162A11" w:rsidRPr="0055149C">
        <w:rPr>
          <w:color w:val="auto"/>
          <w:lang w:eastAsia="nb-NO"/>
        </w:rPr>
        <w:t xml:space="preserve">. </w:t>
      </w:r>
      <w:r w:rsidR="00D43896" w:rsidRPr="0055149C">
        <w:rPr>
          <w:color w:val="auto"/>
          <w:lang w:eastAsia="nb-NO"/>
        </w:rPr>
        <w:t xml:space="preserve">Dette framgår av </w:t>
      </w:r>
      <w:r w:rsidR="00D43896" w:rsidRPr="0055149C">
        <w:rPr>
          <w:color w:val="auto"/>
          <w:lang w:eastAsia="nb-NO"/>
        </w:rPr>
        <w:fldChar w:fldCharType="begin"/>
      </w:r>
      <w:r w:rsidR="00D43896" w:rsidRPr="0055149C">
        <w:rPr>
          <w:color w:val="auto"/>
          <w:lang w:eastAsia="nb-NO"/>
        </w:rPr>
        <w:instrText xml:space="preserve"> REF _Ref166664438 \h </w:instrText>
      </w:r>
      <w:r w:rsidR="00D43896" w:rsidRPr="0055149C">
        <w:rPr>
          <w:color w:val="auto"/>
          <w:lang w:eastAsia="nb-NO"/>
        </w:rPr>
      </w:r>
      <w:r w:rsidR="00D43896" w:rsidRPr="0055149C">
        <w:rPr>
          <w:color w:val="auto"/>
          <w:lang w:eastAsia="nb-NO"/>
        </w:rPr>
        <w:fldChar w:fldCharType="separate"/>
      </w:r>
      <w:r w:rsidR="009B1DA8" w:rsidRPr="0055149C">
        <w:t xml:space="preserve">Tabell </w:t>
      </w:r>
      <w:r w:rsidR="009B1DA8">
        <w:rPr>
          <w:noProof/>
        </w:rPr>
        <w:t>4</w:t>
      </w:r>
      <w:r w:rsidR="009B1DA8" w:rsidRPr="0055149C">
        <w:t>.</w:t>
      </w:r>
      <w:r w:rsidR="009B1DA8">
        <w:rPr>
          <w:noProof/>
        </w:rPr>
        <w:t>1</w:t>
      </w:r>
      <w:r w:rsidR="00D43896" w:rsidRPr="0055149C">
        <w:rPr>
          <w:color w:val="auto"/>
          <w:lang w:eastAsia="nb-NO"/>
        </w:rPr>
        <w:fldChar w:fldCharType="end"/>
      </w:r>
      <w:r w:rsidR="00D43896" w:rsidRPr="0055149C">
        <w:rPr>
          <w:color w:val="auto"/>
          <w:lang w:eastAsia="nb-NO"/>
        </w:rPr>
        <w:t xml:space="preserve">, som gjengir </w:t>
      </w:r>
      <w:r w:rsidR="00BB4F7F">
        <w:rPr>
          <w:color w:val="auto"/>
          <w:lang w:eastAsia="nb-NO"/>
        </w:rPr>
        <w:t xml:space="preserve">korrelasjonsmatrise </w:t>
      </w:r>
      <w:r w:rsidR="009D304D">
        <w:rPr>
          <w:color w:val="auto"/>
          <w:lang w:eastAsia="nb-NO"/>
        </w:rPr>
        <w:t>mellom</w:t>
      </w:r>
      <w:r w:rsidR="00D43896" w:rsidRPr="003A1894">
        <w:rPr>
          <w:color w:val="auto"/>
          <w:lang w:eastAsia="nb-NO"/>
        </w:rPr>
        <w:t xml:space="preserve"> beholdning</w:t>
      </w:r>
      <w:r w:rsidR="00362341" w:rsidRPr="003A1894">
        <w:rPr>
          <w:color w:val="auto"/>
          <w:lang w:eastAsia="nb-NO"/>
        </w:rPr>
        <w:t>sstørrelse</w:t>
      </w:r>
      <w:r w:rsidR="00D43896" w:rsidRPr="003A1894">
        <w:rPr>
          <w:color w:val="auto"/>
          <w:lang w:eastAsia="nb-NO"/>
        </w:rPr>
        <w:t>ne</w:t>
      </w:r>
      <w:r w:rsidR="009D304D">
        <w:rPr>
          <w:color w:val="auto"/>
          <w:lang w:eastAsia="nb-NO"/>
        </w:rPr>
        <w:t xml:space="preserve"> i 2022-tall. Merk at Oslo primærkommune her inngår som en egen observasjon, uten at inkluderingen gir betydelige utslag</w:t>
      </w:r>
      <w:r w:rsidR="00D43896" w:rsidRPr="003A1894">
        <w:rPr>
          <w:color w:val="auto"/>
          <w:lang w:eastAsia="nb-NO"/>
        </w:rPr>
        <w:t>.</w:t>
      </w:r>
      <w:r w:rsidR="007D1361" w:rsidRPr="003A1894">
        <w:rPr>
          <w:color w:val="auto"/>
          <w:lang w:eastAsia="nb-NO"/>
        </w:rPr>
        <w:t xml:space="preserve"> </w:t>
      </w:r>
      <w:r w:rsidR="00F30B7E" w:rsidRPr="003A1894">
        <w:rPr>
          <w:color w:val="auto"/>
          <w:lang w:eastAsia="nb-NO"/>
        </w:rPr>
        <w:t>Alle</w:t>
      </w:r>
      <w:r w:rsidR="007D1361" w:rsidRPr="003A1894">
        <w:rPr>
          <w:color w:val="auto"/>
          <w:lang w:eastAsia="nb-NO"/>
        </w:rPr>
        <w:t xml:space="preserve"> korrelasjonskoeffisiente</w:t>
      </w:r>
      <w:r w:rsidR="00F30B7E" w:rsidRPr="003A1894">
        <w:rPr>
          <w:color w:val="auto"/>
          <w:lang w:eastAsia="nb-NO"/>
        </w:rPr>
        <w:t>ne mellom kapitalestimatene</w:t>
      </w:r>
      <w:r w:rsidR="007D1361" w:rsidRPr="003A1894">
        <w:rPr>
          <w:color w:val="auto"/>
          <w:lang w:eastAsia="nb-NO"/>
        </w:rPr>
        <w:t xml:space="preserve"> </w:t>
      </w:r>
      <w:r w:rsidR="00F0763F" w:rsidRPr="003A1894">
        <w:rPr>
          <w:color w:val="auto"/>
          <w:lang w:eastAsia="nb-NO"/>
        </w:rPr>
        <w:t xml:space="preserve">er over </w:t>
      </w:r>
      <w:r w:rsidR="003A1894" w:rsidRPr="003A1894">
        <w:rPr>
          <w:color w:val="auto"/>
          <w:lang w:eastAsia="nb-NO"/>
        </w:rPr>
        <w:t>9</w:t>
      </w:r>
      <w:r w:rsidR="002F1EAE">
        <w:rPr>
          <w:color w:val="auto"/>
          <w:lang w:eastAsia="nb-NO"/>
        </w:rPr>
        <w:t>2</w:t>
      </w:r>
      <w:r w:rsidR="00F0763F" w:rsidRPr="003A1894">
        <w:rPr>
          <w:color w:val="auto"/>
          <w:lang w:eastAsia="nb-NO"/>
        </w:rPr>
        <w:t xml:space="preserve"> prosent. </w:t>
      </w:r>
      <w:r w:rsidR="0012012A" w:rsidRPr="003A1894">
        <w:rPr>
          <w:color w:val="auto"/>
          <w:lang w:eastAsia="nb-NO"/>
        </w:rPr>
        <w:t xml:space="preserve">For PIM-estimatene </w:t>
      </w:r>
      <w:r w:rsidR="00EE28AB" w:rsidRPr="003A1894">
        <w:rPr>
          <w:color w:val="auto"/>
          <w:lang w:eastAsia="nb-NO"/>
        </w:rPr>
        <w:t>estimert med utgangspunkt i funksjoner</w:t>
      </w:r>
      <w:r w:rsidR="00F30B7E" w:rsidRPr="003A1894">
        <w:rPr>
          <w:color w:val="auto"/>
          <w:lang w:eastAsia="nb-NO"/>
        </w:rPr>
        <w:t>, men med varierende</w:t>
      </w:r>
      <w:r w:rsidR="00527A1E" w:rsidRPr="003A1894">
        <w:rPr>
          <w:color w:val="auto"/>
          <w:lang w:eastAsia="nb-NO"/>
        </w:rPr>
        <w:t xml:space="preserve"> </w:t>
      </w:r>
      <w:r w:rsidR="00ED5A00" w:rsidRPr="003A1894">
        <w:rPr>
          <w:color w:val="auto"/>
          <w:lang w:eastAsia="nb-NO"/>
        </w:rPr>
        <w:t>ka</w:t>
      </w:r>
      <w:r w:rsidR="00F30B7E" w:rsidRPr="003A1894">
        <w:rPr>
          <w:color w:val="auto"/>
          <w:lang w:eastAsia="nb-NO"/>
        </w:rPr>
        <w:t>pitaldeflatorer og depresieringsrater,</w:t>
      </w:r>
      <w:r w:rsidR="00EE28AB" w:rsidRPr="003A1894">
        <w:rPr>
          <w:color w:val="auto"/>
          <w:lang w:eastAsia="nb-NO"/>
        </w:rPr>
        <w:t xml:space="preserve"> </w:t>
      </w:r>
      <w:r w:rsidR="00FE5667" w:rsidRPr="003A1894">
        <w:rPr>
          <w:color w:val="auto"/>
          <w:lang w:eastAsia="nb-NO"/>
        </w:rPr>
        <w:t xml:space="preserve">er </w:t>
      </w:r>
      <w:r w:rsidR="00F30B7E" w:rsidRPr="003A1894">
        <w:rPr>
          <w:color w:val="auto"/>
          <w:lang w:eastAsia="nb-NO"/>
        </w:rPr>
        <w:t>samtlige korrelasjonskoeffisienter på over 9</w:t>
      </w:r>
      <w:r w:rsidR="003A1894" w:rsidRPr="003A1894">
        <w:rPr>
          <w:color w:val="auto"/>
          <w:lang w:eastAsia="nb-NO"/>
        </w:rPr>
        <w:t>8</w:t>
      </w:r>
      <w:r w:rsidR="00F30B7E" w:rsidRPr="003A1894">
        <w:rPr>
          <w:color w:val="auto"/>
          <w:lang w:eastAsia="nb-NO"/>
        </w:rPr>
        <w:t xml:space="preserve"> prosent.</w:t>
      </w:r>
    </w:p>
    <w:p w14:paraId="7D5F7CA8" w14:textId="7229AE77" w:rsidR="008B5049" w:rsidRPr="0055149C" w:rsidRDefault="008B5049" w:rsidP="008B5049">
      <w:pPr>
        <w:pStyle w:val="Bildetekst"/>
      </w:pPr>
      <w:bookmarkStart w:id="108" w:name="_Ref166664438"/>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1</w:t>
        </w:r>
      </w:fldSimple>
      <w:bookmarkEnd w:id="108"/>
      <w:r w:rsidRPr="0055149C">
        <w:tab/>
        <w:t>Korrelasjon mellom estimater for realkapital</w:t>
      </w:r>
      <w:r w:rsidR="00EA3154" w:rsidRPr="0055149C">
        <w:t>beholdninger</w:t>
      </w:r>
      <w:r w:rsidRPr="0055149C">
        <w:t xml:space="preserve"> per innbygger i norske primærkommuner </w:t>
      </w:r>
      <w:r w:rsidR="00AF7B42" w:rsidRPr="0055149C">
        <w:t>ved utgangen av</w:t>
      </w:r>
      <w:r w:rsidRPr="0055149C">
        <w:t xml:space="preserve"> 2022</w:t>
      </w:r>
    </w:p>
    <w:tbl>
      <w:tblPr>
        <w:tblW w:w="7960" w:type="dxa"/>
        <w:tblCellMar>
          <w:left w:w="70" w:type="dxa"/>
          <w:right w:w="70" w:type="dxa"/>
        </w:tblCellMar>
        <w:tblLook w:val="04A0" w:firstRow="1" w:lastRow="0" w:firstColumn="1" w:lastColumn="0" w:noHBand="0" w:noVBand="1"/>
      </w:tblPr>
      <w:tblGrid>
        <w:gridCol w:w="3400"/>
        <w:gridCol w:w="760"/>
        <w:gridCol w:w="760"/>
        <w:gridCol w:w="760"/>
        <w:gridCol w:w="760"/>
        <w:gridCol w:w="760"/>
        <w:gridCol w:w="760"/>
      </w:tblGrid>
      <w:tr w:rsidR="002F1EAE" w:rsidRPr="002F1EAE" w14:paraId="5C1D20D1" w14:textId="77777777" w:rsidTr="002F1EAE">
        <w:trPr>
          <w:trHeight w:val="276"/>
        </w:trPr>
        <w:tc>
          <w:tcPr>
            <w:tcW w:w="3400" w:type="dxa"/>
            <w:tcBorders>
              <w:top w:val="single" w:sz="4" w:space="0" w:color="auto"/>
              <w:left w:val="single" w:sz="4" w:space="0" w:color="auto"/>
              <w:bottom w:val="nil"/>
              <w:right w:val="nil"/>
            </w:tcBorders>
            <w:shd w:val="clear" w:color="000000" w:fill="3672B0"/>
            <w:noWrap/>
            <w:vAlign w:val="center"/>
            <w:hideMark/>
          </w:tcPr>
          <w:p w14:paraId="0356C473" w14:textId="77777777" w:rsidR="002F1EAE" w:rsidRPr="002F1EAE" w:rsidRDefault="002F1EAE" w:rsidP="002F1EAE">
            <w:pPr>
              <w:spacing w:before="0" w:line="240" w:lineRule="auto"/>
              <w:jc w:val="left"/>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Variabler</w:t>
            </w:r>
          </w:p>
        </w:tc>
        <w:tc>
          <w:tcPr>
            <w:tcW w:w="760" w:type="dxa"/>
            <w:tcBorders>
              <w:top w:val="single" w:sz="4" w:space="0" w:color="auto"/>
              <w:left w:val="nil"/>
              <w:bottom w:val="single" w:sz="4" w:space="0" w:color="auto"/>
              <w:right w:val="nil"/>
            </w:tcBorders>
            <w:shd w:val="clear" w:color="000000" w:fill="3672B0"/>
            <w:noWrap/>
            <w:vAlign w:val="center"/>
            <w:hideMark/>
          </w:tcPr>
          <w:p w14:paraId="32BB0F79"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(1)</w:t>
            </w:r>
          </w:p>
        </w:tc>
        <w:tc>
          <w:tcPr>
            <w:tcW w:w="760" w:type="dxa"/>
            <w:tcBorders>
              <w:top w:val="single" w:sz="4" w:space="0" w:color="auto"/>
              <w:left w:val="nil"/>
              <w:bottom w:val="nil"/>
              <w:right w:val="nil"/>
            </w:tcBorders>
            <w:shd w:val="clear" w:color="000000" w:fill="3672B0"/>
            <w:noWrap/>
            <w:vAlign w:val="center"/>
            <w:hideMark/>
          </w:tcPr>
          <w:p w14:paraId="4D4D686D"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(2)</w:t>
            </w:r>
          </w:p>
        </w:tc>
        <w:tc>
          <w:tcPr>
            <w:tcW w:w="760" w:type="dxa"/>
            <w:tcBorders>
              <w:top w:val="single" w:sz="4" w:space="0" w:color="auto"/>
              <w:left w:val="nil"/>
              <w:bottom w:val="nil"/>
              <w:right w:val="nil"/>
            </w:tcBorders>
            <w:shd w:val="clear" w:color="000000" w:fill="3672B0"/>
            <w:noWrap/>
            <w:vAlign w:val="center"/>
            <w:hideMark/>
          </w:tcPr>
          <w:p w14:paraId="2DAC04C6"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(3)</w:t>
            </w:r>
          </w:p>
        </w:tc>
        <w:tc>
          <w:tcPr>
            <w:tcW w:w="760" w:type="dxa"/>
            <w:tcBorders>
              <w:top w:val="single" w:sz="4" w:space="0" w:color="auto"/>
              <w:left w:val="nil"/>
              <w:bottom w:val="nil"/>
              <w:right w:val="nil"/>
            </w:tcBorders>
            <w:shd w:val="clear" w:color="000000" w:fill="3672B0"/>
            <w:noWrap/>
            <w:vAlign w:val="center"/>
            <w:hideMark/>
          </w:tcPr>
          <w:p w14:paraId="3B3FFE57"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(4)</w:t>
            </w:r>
          </w:p>
        </w:tc>
        <w:tc>
          <w:tcPr>
            <w:tcW w:w="760" w:type="dxa"/>
            <w:tcBorders>
              <w:top w:val="single" w:sz="4" w:space="0" w:color="auto"/>
              <w:left w:val="nil"/>
              <w:bottom w:val="nil"/>
              <w:right w:val="nil"/>
            </w:tcBorders>
            <w:shd w:val="clear" w:color="000000" w:fill="3672B0"/>
            <w:noWrap/>
            <w:vAlign w:val="center"/>
            <w:hideMark/>
          </w:tcPr>
          <w:p w14:paraId="210D245A"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(5)</w:t>
            </w:r>
          </w:p>
        </w:tc>
        <w:tc>
          <w:tcPr>
            <w:tcW w:w="760" w:type="dxa"/>
            <w:tcBorders>
              <w:top w:val="single" w:sz="4" w:space="0" w:color="auto"/>
              <w:left w:val="nil"/>
              <w:bottom w:val="nil"/>
              <w:right w:val="nil"/>
            </w:tcBorders>
            <w:shd w:val="clear" w:color="000000" w:fill="3672B0"/>
            <w:noWrap/>
            <w:vAlign w:val="center"/>
            <w:hideMark/>
          </w:tcPr>
          <w:p w14:paraId="103854E2"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(6)</w:t>
            </w:r>
          </w:p>
        </w:tc>
      </w:tr>
      <w:tr w:rsidR="002F1EAE" w:rsidRPr="002F1EAE" w14:paraId="57DDD89C" w14:textId="77777777" w:rsidTr="002F1EAE">
        <w:trPr>
          <w:trHeight w:val="276"/>
        </w:trPr>
        <w:tc>
          <w:tcPr>
            <w:tcW w:w="3400" w:type="dxa"/>
            <w:tcBorders>
              <w:top w:val="single" w:sz="4" w:space="0" w:color="auto"/>
              <w:left w:val="single" w:sz="4" w:space="0" w:color="auto"/>
              <w:bottom w:val="nil"/>
              <w:right w:val="single" w:sz="4" w:space="0" w:color="auto"/>
            </w:tcBorders>
            <w:shd w:val="clear" w:color="000000" w:fill="A9C6E4"/>
            <w:vAlign w:val="center"/>
            <w:hideMark/>
          </w:tcPr>
          <w:p w14:paraId="6480CD09"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 Fast realkapital, DM</w:t>
            </w:r>
          </w:p>
        </w:tc>
        <w:tc>
          <w:tcPr>
            <w:tcW w:w="760" w:type="dxa"/>
            <w:tcBorders>
              <w:top w:val="single" w:sz="4" w:space="0" w:color="auto"/>
              <w:left w:val="single" w:sz="4" w:space="0" w:color="auto"/>
              <w:bottom w:val="nil"/>
              <w:right w:val="single" w:sz="4" w:space="0" w:color="auto"/>
            </w:tcBorders>
            <w:shd w:val="clear" w:color="468C5C" w:fill="468C5C"/>
            <w:noWrap/>
            <w:vAlign w:val="center"/>
            <w:hideMark/>
          </w:tcPr>
          <w:p w14:paraId="3C46CDAD"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034D45E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67FA9E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2AA4D2F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103F11E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5E9D694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4761D3BD"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74CBBB80" w14:textId="77777777" w:rsidR="002F1EAE" w:rsidRPr="00A84BFA" w:rsidRDefault="002F1EAE" w:rsidP="002F1EAE">
            <w:pPr>
              <w:spacing w:before="0" w:line="240" w:lineRule="auto"/>
              <w:rPr>
                <w:rFonts w:ascii="Aptos Narrow" w:eastAsia="Times New Roman" w:hAnsi="Aptos Narrow" w:cs="Times New Roman"/>
                <w:color w:val="000000"/>
                <w:sz w:val="20"/>
                <w:szCs w:val="20"/>
                <w:lang w:val="de-DE" w:eastAsia="nb-NO"/>
              </w:rPr>
            </w:pPr>
            <w:r w:rsidRPr="00A84BFA">
              <w:rPr>
                <w:rFonts w:ascii="Aptos Narrow" w:eastAsia="Times New Roman" w:hAnsi="Aptos Narrow" w:cs="Times New Roman"/>
                <w:color w:val="000000"/>
                <w:sz w:val="20"/>
                <w:szCs w:val="20"/>
                <w:lang w:val="de-DE" w:eastAsia="nb-NO"/>
              </w:rPr>
              <w:t>(2) Fast realkapital, PIM-dd art</w:t>
            </w:r>
          </w:p>
        </w:tc>
        <w:tc>
          <w:tcPr>
            <w:tcW w:w="760" w:type="dxa"/>
            <w:tcBorders>
              <w:top w:val="nil"/>
              <w:left w:val="nil"/>
              <w:bottom w:val="nil"/>
              <w:right w:val="nil"/>
            </w:tcBorders>
            <w:shd w:val="clear" w:color="468C5C" w:fill="468C5C"/>
            <w:noWrap/>
            <w:vAlign w:val="center"/>
            <w:hideMark/>
          </w:tcPr>
          <w:p w14:paraId="46E50DB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0.920</w:t>
            </w:r>
          </w:p>
        </w:tc>
        <w:tc>
          <w:tcPr>
            <w:tcW w:w="760" w:type="dxa"/>
            <w:tcBorders>
              <w:top w:val="single" w:sz="4" w:space="0" w:color="auto"/>
              <w:left w:val="nil"/>
              <w:bottom w:val="nil"/>
              <w:right w:val="single" w:sz="4" w:space="0" w:color="auto"/>
            </w:tcBorders>
            <w:shd w:val="clear" w:color="468C5C" w:fill="468C5C"/>
            <w:noWrap/>
            <w:vAlign w:val="center"/>
            <w:hideMark/>
          </w:tcPr>
          <w:p w14:paraId="5C4D0FC2"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1362683C"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14588B5"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239A697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75CCA84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344DDFB7"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0F04C903"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(3) Fast realkapital, PIM-dd funksjon</w:t>
            </w:r>
          </w:p>
        </w:tc>
        <w:tc>
          <w:tcPr>
            <w:tcW w:w="760" w:type="dxa"/>
            <w:tcBorders>
              <w:top w:val="nil"/>
              <w:left w:val="nil"/>
              <w:bottom w:val="nil"/>
              <w:right w:val="nil"/>
            </w:tcBorders>
            <w:shd w:val="clear" w:color="468C5C" w:fill="468C5C"/>
            <w:noWrap/>
            <w:vAlign w:val="center"/>
            <w:hideMark/>
          </w:tcPr>
          <w:p w14:paraId="45A03947"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0.925</w:t>
            </w:r>
          </w:p>
        </w:tc>
        <w:tc>
          <w:tcPr>
            <w:tcW w:w="760" w:type="dxa"/>
            <w:tcBorders>
              <w:top w:val="nil"/>
              <w:left w:val="nil"/>
              <w:bottom w:val="nil"/>
              <w:right w:val="nil"/>
            </w:tcBorders>
            <w:shd w:val="clear" w:color="468C5C" w:fill="468C5C"/>
            <w:noWrap/>
            <w:vAlign w:val="center"/>
            <w:hideMark/>
          </w:tcPr>
          <w:p w14:paraId="2EC233A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0.978</w:t>
            </w:r>
          </w:p>
        </w:tc>
        <w:tc>
          <w:tcPr>
            <w:tcW w:w="760" w:type="dxa"/>
            <w:tcBorders>
              <w:top w:val="single" w:sz="4" w:space="0" w:color="auto"/>
              <w:left w:val="nil"/>
              <w:bottom w:val="nil"/>
              <w:right w:val="single" w:sz="4" w:space="0" w:color="auto"/>
            </w:tcBorders>
            <w:shd w:val="clear" w:color="468C5C" w:fill="468C5C"/>
            <w:noWrap/>
            <w:vAlign w:val="center"/>
            <w:hideMark/>
          </w:tcPr>
          <w:p w14:paraId="6B4580B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6467B28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79392BAD"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214D79F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5E40BC0B"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2A8C2C2D"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(4) Fast realkapital, PIM-ad funksjon</w:t>
            </w:r>
          </w:p>
        </w:tc>
        <w:tc>
          <w:tcPr>
            <w:tcW w:w="760" w:type="dxa"/>
            <w:tcBorders>
              <w:top w:val="nil"/>
              <w:left w:val="nil"/>
              <w:bottom w:val="nil"/>
              <w:right w:val="nil"/>
            </w:tcBorders>
            <w:shd w:val="clear" w:color="468C5C" w:fill="468C5C"/>
            <w:noWrap/>
            <w:vAlign w:val="center"/>
            <w:hideMark/>
          </w:tcPr>
          <w:p w14:paraId="5E8772C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0.932</w:t>
            </w:r>
          </w:p>
        </w:tc>
        <w:tc>
          <w:tcPr>
            <w:tcW w:w="760" w:type="dxa"/>
            <w:tcBorders>
              <w:top w:val="nil"/>
              <w:left w:val="nil"/>
              <w:bottom w:val="nil"/>
              <w:right w:val="nil"/>
            </w:tcBorders>
            <w:shd w:val="clear" w:color="468C5C" w:fill="468C5C"/>
            <w:noWrap/>
            <w:vAlign w:val="center"/>
            <w:hideMark/>
          </w:tcPr>
          <w:p w14:paraId="0D4AC0CB"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0.975</w:t>
            </w:r>
          </w:p>
        </w:tc>
        <w:tc>
          <w:tcPr>
            <w:tcW w:w="760" w:type="dxa"/>
            <w:tcBorders>
              <w:top w:val="nil"/>
              <w:left w:val="nil"/>
              <w:bottom w:val="nil"/>
              <w:right w:val="nil"/>
            </w:tcBorders>
            <w:shd w:val="clear" w:color="468C5C" w:fill="468C5C"/>
            <w:noWrap/>
            <w:vAlign w:val="center"/>
            <w:hideMark/>
          </w:tcPr>
          <w:p w14:paraId="07D2DB5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0.992</w:t>
            </w:r>
          </w:p>
        </w:tc>
        <w:tc>
          <w:tcPr>
            <w:tcW w:w="760" w:type="dxa"/>
            <w:tcBorders>
              <w:top w:val="single" w:sz="4" w:space="0" w:color="auto"/>
              <w:left w:val="nil"/>
              <w:bottom w:val="nil"/>
              <w:right w:val="single" w:sz="4" w:space="0" w:color="auto"/>
            </w:tcBorders>
            <w:shd w:val="clear" w:color="468C5C" w:fill="468C5C"/>
            <w:noWrap/>
            <w:vAlign w:val="center"/>
            <w:hideMark/>
          </w:tcPr>
          <w:p w14:paraId="3F34E61B"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6B6C635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382AD52C"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1921C37E"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747AE1A3"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(5) Fast realkapital, PIM-da funksjon</w:t>
            </w:r>
          </w:p>
        </w:tc>
        <w:tc>
          <w:tcPr>
            <w:tcW w:w="760" w:type="dxa"/>
            <w:tcBorders>
              <w:top w:val="nil"/>
              <w:left w:val="nil"/>
              <w:bottom w:val="nil"/>
              <w:right w:val="nil"/>
            </w:tcBorders>
            <w:shd w:val="clear" w:color="468C5C" w:fill="468C5C"/>
            <w:noWrap/>
            <w:vAlign w:val="center"/>
            <w:hideMark/>
          </w:tcPr>
          <w:p w14:paraId="292F1CC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0.927</w:t>
            </w:r>
          </w:p>
        </w:tc>
        <w:tc>
          <w:tcPr>
            <w:tcW w:w="760" w:type="dxa"/>
            <w:tcBorders>
              <w:top w:val="nil"/>
              <w:left w:val="nil"/>
              <w:bottom w:val="nil"/>
              <w:right w:val="nil"/>
            </w:tcBorders>
            <w:shd w:val="clear" w:color="468C5C" w:fill="468C5C"/>
            <w:noWrap/>
            <w:vAlign w:val="center"/>
            <w:hideMark/>
          </w:tcPr>
          <w:p w14:paraId="0F6FF42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0.988</w:t>
            </w:r>
          </w:p>
        </w:tc>
        <w:tc>
          <w:tcPr>
            <w:tcW w:w="760" w:type="dxa"/>
            <w:tcBorders>
              <w:top w:val="nil"/>
              <w:left w:val="nil"/>
              <w:bottom w:val="nil"/>
              <w:right w:val="nil"/>
            </w:tcBorders>
            <w:shd w:val="clear" w:color="468C5C" w:fill="468C5C"/>
            <w:noWrap/>
            <w:vAlign w:val="center"/>
            <w:hideMark/>
          </w:tcPr>
          <w:p w14:paraId="54F671A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0.994</w:t>
            </w:r>
          </w:p>
        </w:tc>
        <w:tc>
          <w:tcPr>
            <w:tcW w:w="760" w:type="dxa"/>
            <w:tcBorders>
              <w:top w:val="nil"/>
              <w:left w:val="nil"/>
              <w:bottom w:val="nil"/>
              <w:right w:val="nil"/>
            </w:tcBorders>
            <w:shd w:val="clear" w:color="468C5C" w:fill="468C5C"/>
            <w:noWrap/>
            <w:vAlign w:val="center"/>
            <w:hideMark/>
          </w:tcPr>
          <w:p w14:paraId="0D730CA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0.987</w:t>
            </w:r>
          </w:p>
        </w:tc>
        <w:tc>
          <w:tcPr>
            <w:tcW w:w="760" w:type="dxa"/>
            <w:tcBorders>
              <w:top w:val="single" w:sz="4" w:space="0" w:color="auto"/>
              <w:left w:val="nil"/>
              <w:bottom w:val="nil"/>
              <w:right w:val="single" w:sz="4" w:space="0" w:color="auto"/>
            </w:tcBorders>
            <w:shd w:val="clear" w:color="468C5C" w:fill="468C5C"/>
            <w:noWrap/>
            <w:vAlign w:val="center"/>
            <w:hideMark/>
          </w:tcPr>
          <w:p w14:paraId="11BA301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2ED4147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10963B04" w14:textId="77777777" w:rsidTr="002F1EAE">
        <w:trPr>
          <w:trHeight w:val="276"/>
        </w:trPr>
        <w:tc>
          <w:tcPr>
            <w:tcW w:w="3400" w:type="dxa"/>
            <w:tcBorders>
              <w:top w:val="nil"/>
              <w:left w:val="single" w:sz="4" w:space="0" w:color="auto"/>
              <w:bottom w:val="single" w:sz="4" w:space="0" w:color="auto"/>
              <w:right w:val="single" w:sz="4" w:space="0" w:color="auto"/>
            </w:tcBorders>
            <w:shd w:val="clear" w:color="000000" w:fill="A9C6E4"/>
            <w:vAlign w:val="center"/>
            <w:hideMark/>
          </w:tcPr>
          <w:p w14:paraId="3F557D55"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(6) Fast realkapital, PIM-aa funksjon</w:t>
            </w:r>
          </w:p>
        </w:tc>
        <w:tc>
          <w:tcPr>
            <w:tcW w:w="760" w:type="dxa"/>
            <w:tcBorders>
              <w:top w:val="nil"/>
              <w:left w:val="nil"/>
              <w:bottom w:val="single" w:sz="4" w:space="0" w:color="auto"/>
              <w:right w:val="nil"/>
            </w:tcBorders>
            <w:shd w:val="clear" w:color="468C5C" w:fill="468C5C"/>
            <w:noWrap/>
            <w:vAlign w:val="center"/>
            <w:hideMark/>
          </w:tcPr>
          <w:p w14:paraId="4DB6076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0.933</w:t>
            </w:r>
          </w:p>
        </w:tc>
        <w:tc>
          <w:tcPr>
            <w:tcW w:w="760" w:type="dxa"/>
            <w:tcBorders>
              <w:top w:val="nil"/>
              <w:left w:val="nil"/>
              <w:bottom w:val="single" w:sz="4" w:space="0" w:color="auto"/>
              <w:right w:val="nil"/>
            </w:tcBorders>
            <w:shd w:val="clear" w:color="468C5C" w:fill="468C5C"/>
            <w:noWrap/>
            <w:vAlign w:val="center"/>
            <w:hideMark/>
          </w:tcPr>
          <w:p w14:paraId="5B481A32"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0.984</w:t>
            </w:r>
          </w:p>
        </w:tc>
        <w:tc>
          <w:tcPr>
            <w:tcW w:w="760" w:type="dxa"/>
            <w:tcBorders>
              <w:top w:val="nil"/>
              <w:left w:val="nil"/>
              <w:bottom w:val="single" w:sz="4" w:space="0" w:color="auto"/>
              <w:right w:val="nil"/>
            </w:tcBorders>
            <w:shd w:val="clear" w:color="468C5C" w:fill="468C5C"/>
            <w:noWrap/>
            <w:vAlign w:val="center"/>
            <w:hideMark/>
          </w:tcPr>
          <w:p w14:paraId="7821C71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0.984</w:t>
            </w:r>
          </w:p>
        </w:tc>
        <w:tc>
          <w:tcPr>
            <w:tcW w:w="760" w:type="dxa"/>
            <w:tcBorders>
              <w:top w:val="nil"/>
              <w:left w:val="nil"/>
              <w:bottom w:val="single" w:sz="4" w:space="0" w:color="auto"/>
              <w:right w:val="nil"/>
            </w:tcBorders>
            <w:shd w:val="clear" w:color="468C5C" w:fill="468C5C"/>
            <w:noWrap/>
            <w:vAlign w:val="center"/>
            <w:hideMark/>
          </w:tcPr>
          <w:p w14:paraId="42DF3F1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0.993</w:t>
            </w:r>
          </w:p>
        </w:tc>
        <w:tc>
          <w:tcPr>
            <w:tcW w:w="760" w:type="dxa"/>
            <w:tcBorders>
              <w:top w:val="nil"/>
              <w:left w:val="nil"/>
              <w:bottom w:val="single" w:sz="4" w:space="0" w:color="auto"/>
              <w:right w:val="nil"/>
            </w:tcBorders>
            <w:shd w:val="clear" w:color="468C5C" w:fill="468C5C"/>
            <w:noWrap/>
            <w:vAlign w:val="center"/>
            <w:hideMark/>
          </w:tcPr>
          <w:p w14:paraId="0983C30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0.992</w:t>
            </w:r>
          </w:p>
        </w:tc>
        <w:tc>
          <w:tcPr>
            <w:tcW w:w="760" w:type="dxa"/>
            <w:tcBorders>
              <w:top w:val="single" w:sz="4" w:space="0" w:color="auto"/>
              <w:left w:val="nil"/>
              <w:bottom w:val="single" w:sz="4" w:space="0" w:color="auto"/>
              <w:right w:val="single" w:sz="4" w:space="0" w:color="auto"/>
            </w:tcBorders>
            <w:shd w:val="clear" w:color="468C5C" w:fill="468C5C"/>
            <w:noWrap/>
            <w:vAlign w:val="center"/>
            <w:hideMark/>
          </w:tcPr>
          <w:p w14:paraId="1EDC9D9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r>
    </w:tbl>
    <w:p w14:paraId="19857398" w14:textId="2277438D" w:rsidR="008B5049" w:rsidRPr="0055149C" w:rsidRDefault="00A47F7A" w:rsidP="008B5049">
      <w:pPr>
        <w:pStyle w:val="Billedtekst-forklaring"/>
        <w:ind w:left="0" w:firstLine="0"/>
        <w:rPr>
          <w:shd w:val="clear" w:color="auto" w:fill="468C5C" w:themeFill="accent6"/>
          <w:lang w:eastAsia="nb-NO"/>
        </w:rPr>
      </w:pPr>
      <w:r>
        <w:t>I f</w:t>
      </w:r>
      <w:r w:rsidR="000E08F8" w:rsidRPr="0055149C">
        <w:t xml:space="preserve">orkortelsene dd, ad, da og aa angir </w:t>
      </w:r>
      <w:r w:rsidR="002F706F" w:rsidRPr="0055149C">
        <w:t>første</w:t>
      </w:r>
      <w:r w:rsidR="0091006A" w:rsidRPr="0055149C">
        <w:t xml:space="preserve"> </w:t>
      </w:r>
      <w:r w:rsidR="007B7938" w:rsidRPr="0055149C">
        <w:t xml:space="preserve">og </w:t>
      </w:r>
      <w:r w:rsidR="0091006A" w:rsidRPr="0055149C">
        <w:t xml:space="preserve">andre bokstav om henholdsvis </w:t>
      </w:r>
      <w:r w:rsidR="00A3266D" w:rsidRPr="0055149C">
        <w:t>kapital</w:t>
      </w:r>
      <w:r w:rsidR="00F423C9" w:rsidRPr="0055149C">
        <w:t>deflatorene</w:t>
      </w:r>
      <w:r w:rsidR="00A3266D" w:rsidRPr="0055149C">
        <w:t xml:space="preserve"> og depresieringsratene er aggregerte (a) eller </w:t>
      </w:r>
      <w:r w:rsidR="00A2507B" w:rsidRPr="0055149C">
        <w:t>disaggregerte</w:t>
      </w:r>
      <w:r w:rsidR="00A3266D" w:rsidRPr="0055149C">
        <w:t xml:space="preserve"> (d). </w:t>
      </w:r>
      <w:r w:rsidR="008B5049" w:rsidRPr="0055149C">
        <w:t xml:space="preserve">Angivelse av fargekoder for korrelasjonskoeffisientene: </w:t>
      </w:r>
      <w:r w:rsidR="008B5049" w:rsidRPr="0055149C">
        <w:rPr>
          <w:shd w:val="clear" w:color="auto" w:fill="A60E24" w:themeFill="accent5"/>
          <w:lang w:eastAsia="nb-NO"/>
        </w:rPr>
        <w:t>(-1,00)-(-0,90)</w:t>
      </w:r>
      <w:r w:rsidR="008B5049" w:rsidRPr="0055149C">
        <w:rPr>
          <w:lang w:eastAsia="nb-NO"/>
        </w:rPr>
        <w:t xml:space="preserve">, </w:t>
      </w:r>
      <w:r w:rsidR="008B5049" w:rsidRPr="0055149C">
        <w:rPr>
          <w:shd w:val="clear" w:color="auto" w:fill="EF485F" w:themeFill="accent5" w:themeFillTint="99"/>
          <w:lang w:eastAsia="nb-NO"/>
        </w:rPr>
        <w:t>(-0,90)-(-0,75)</w:t>
      </w:r>
      <w:r w:rsidR="008B5049" w:rsidRPr="0055149C">
        <w:rPr>
          <w:lang w:eastAsia="nb-NO"/>
        </w:rPr>
        <w:t xml:space="preserve">, </w:t>
      </w:r>
      <w:r w:rsidR="008B5049" w:rsidRPr="0055149C">
        <w:rPr>
          <w:shd w:val="clear" w:color="auto" w:fill="F48594" w:themeFill="accent5" w:themeFillTint="66"/>
          <w:lang w:eastAsia="nb-NO"/>
        </w:rPr>
        <w:t>(-0,75)-(-0,50)</w:t>
      </w:r>
      <w:r w:rsidR="008B5049" w:rsidRPr="0055149C">
        <w:rPr>
          <w:lang w:eastAsia="nb-NO"/>
        </w:rPr>
        <w:t xml:space="preserve">, </w:t>
      </w:r>
      <w:r w:rsidR="008B5049" w:rsidRPr="0055149C">
        <w:rPr>
          <w:shd w:val="clear" w:color="auto" w:fill="FAC2C9" w:themeFill="accent5" w:themeFillTint="33"/>
          <w:lang w:eastAsia="nb-NO"/>
        </w:rPr>
        <w:t>(-0,50)-(-0,25)</w:t>
      </w:r>
      <w:r w:rsidR="008B5049" w:rsidRPr="0055149C">
        <w:rPr>
          <w:lang w:eastAsia="nb-NO"/>
        </w:rPr>
        <w:t>,</w:t>
      </w:r>
      <w:r w:rsidR="00000642" w:rsidRPr="0055149C">
        <w:rPr>
          <w:lang w:eastAsia="nb-NO"/>
        </w:rPr>
        <w:t xml:space="preserve"> </w:t>
      </w:r>
      <w:r w:rsidR="00000642" w:rsidRPr="0055149C">
        <w:rPr>
          <w:shd w:val="clear" w:color="auto" w:fill="FABF8F" w:themeFill="accent4" w:themeFillTint="99"/>
          <w:lang w:eastAsia="nb-NO"/>
        </w:rPr>
        <w:t>(-0,25)-(-0,10</w:t>
      </w:r>
      <w:r w:rsidR="00000642" w:rsidRPr="0055149C">
        <w:rPr>
          <w:shd w:val="clear" w:color="auto" w:fill="FBD4B4"/>
          <w:lang w:eastAsia="nb-NO"/>
        </w:rPr>
        <w:t>)</w:t>
      </w:r>
      <w:r w:rsidR="00000642" w:rsidRPr="0055149C">
        <w:rPr>
          <w:lang w:eastAsia="nb-NO"/>
        </w:rPr>
        <w:t xml:space="preserve">, </w:t>
      </w:r>
      <w:r w:rsidR="008B5049" w:rsidRPr="0055149C">
        <w:rPr>
          <w:shd w:val="clear" w:color="auto" w:fill="FBD4B4" w:themeFill="accent4" w:themeFillTint="66"/>
          <w:lang w:eastAsia="nb-NO"/>
        </w:rPr>
        <w:t>(-0,</w:t>
      </w:r>
      <w:r w:rsidR="00000642" w:rsidRPr="0055149C">
        <w:rPr>
          <w:shd w:val="clear" w:color="auto" w:fill="FBD4B4" w:themeFill="accent4" w:themeFillTint="66"/>
          <w:lang w:eastAsia="nb-NO"/>
        </w:rPr>
        <w:t>10</w:t>
      </w:r>
      <w:r w:rsidR="008B5049" w:rsidRPr="0055149C">
        <w:rPr>
          <w:shd w:val="clear" w:color="auto" w:fill="FBD4B4" w:themeFill="accent4" w:themeFillTint="66"/>
          <w:lang w:eastAsia="nb-NO"/>
        </w:rPr>
        <w:t>)-(-0,</w:t>
      </w:r>
      <w:r w:rsidR="00000642" w:rsidRPr="0055149C">
        <w:rPr>
          <w:shd w:val="clear" w:color="auto" w:fill="FBD4B4" w:themeFill="accent4" w:themeFillTint="66"/>
          <w:lang w:eastAsia="nb-NO"/>
        </w:rPr>
        <w:t>0</w:t>
      </w:r>
      <w:r w:rsidR="008B5049" w:rsidRPr="0055149C">
        <w:rPr>
          <w:shd w:val="clear" w:color="auto" w:fill="FBD4B4" w:themeFill="accent4" w:themeFillTint="66"/>
          <w:lang w:eastAsia="nb-NO"/>
        </w:rPr>
        <w:t>0)</w:t>
      </w:r>
      <w:r w:rsidR="008B5049" w:rsidRPr="0055149C">
        <w:rPr>
          <w:lang w:eastAsia="nb-NO"/>
        </w:rPr>
        <w:t>,</w:t>
      </w:r>
      <w:r w:rsidR="008B5049" w:rsidRPr="0055149C">
        <w:t xml:space="preserve"> </w:t>
      </w:r>
      <w:r w:rsidR="008B5049" w:rsidRPr="0055149C">
        <w:rPr>
          <w:shd w:val="clear" w:color="auto" w:fill="CCCC00"/>
          <w:lang w:eastAsia="nb-NO"/>
        </w:rPr>
        <w:t>0.00-0,10</w:t>
      </w:r>
      <w:r w:rsidR="008B5049" w:rsidRPr="0055149C">
        <w:rPr>
          <w:lang w:eastAsia="nb-NO"/>
        </w:rPr>
        <w:t xml:space="preserve">, </w:t>
      </w:r>
      <w:r w:rsidR="008B5049" w:rsidRPr="0055149C">
        <w:rPr>
          <w:shd w:val="clear" w:color="auto" w:fill="FFFF99"/>
          <w:lang w:eastAsia="nb-NO"/>
        </w:rPr>
        <w:t>0,10-0,25</w:t>
      </w:r>
      <w:r w:rsidR="008B5049" w:rsidRPr="0055149C">
        <w:rPr>
          <w:lang w:eastAsia="nb-NO"/>
        </w:rPr>
        <w:t xml:space="preserve">, </w:t>
      </w:r>
      <w:r w:rsidR="008B5049" w:rsidRPr="0055149C">
        <w:rPr>
          <w:shd w:val="clear" w:color="auto" w:fill="D7EBDD" w:themeFill="accent6" w:themeFillTint="33"/>
          <w:lang w:eastAsia="nb-NO"/>
        </w:rPr>
        <w:t>0.25-0,50</w:t>
      </w:r>
      <w:r w:rsidR="008B5049" w:rsidRPr="0055149C">
        <w:rPr>
          <w:lang w:eastAsia="nb-NO"/>
        </w:rPr>
        <w:t xml:space="preserve">, </w:t>
      </w:r>
      <w:r w:rsidR="008B5049" w:rsidRPr="0055149C">
        <w:rPr>
          <w:shd w:val="clear" w:color="auto" w:fill="AFD7BB" w:themeFill="accent6" w:themeFillTint="66"/>
          <w:lang w:eastAsia="nb-NO"/>
        </w:rPr>
        <w:t>0,50-0,75</w:t>
      </w:r>
      <w:r w:rsidR="008B5049" w:rsidRPr="0055149C">
        <w:rPr>
          <w:lang w:eastAsia="nb-NO"/>
        </w:rPr>
        <w:t xml:space="preserve">, </w:t>
      </w:r>
      <w:r w:rsidR="008B5049" w:rsidRPr="0055149C">
        <w:rPr>
          <w:shd w:val="clear" w:color="auto" w:fill="87C399" w:themeFill="accent6" w:themeFillTint="99"/>
          <w:lang w:eastAsia="nb-NO"/>
        </w:rPr>
        <w:t>0,75-0,90</w:t>
      </w:r>
      <w:r w:rsidR="008B5049" w:rsidRPr="0055149C">
        <w:rPr>
          <w:lang w:eastAsia="nb-NO"/>
        </w:rPr>
        <w:t xml:space="preserve"> og </w:t>
      </w:r>
      <w:r w:rsidR="008B5049" w:rsidRPr="0055149C">
        <w:rPr>
          <w:shd w:val="clear" w:color="auto" w:fill="468C5C" w:themeFill="accent6"/>
          <w:lang w:eastAsia="nb-NO"/>
        </w:rPr>
        <w:t>0,90-1,00</w:t>
      </w:r>
    </w:p>
    <w:p w14:paraId="2FB05494" w14:textId="77777777" w:rsidR="008B5049" w:rsidRPr="0055149C" w:rsidRDefault="008B5049" w:rsidP="008B5049">
      <w:pPr>
        <w:pStyle w:val="Source"/>
        <w:rPr>
          <w:lang w:eastAsia="nb-NO"/>
        </w:rPr>
      </w:pPr>
      <w:r w:rsidRPr="0055149C">
        <w:rPr>
          <w:lang w:eastAsia="nb-NO"/>
        </w:rPr>
        <w:t>Kilde: Vista Analyse</w:t>
      </w:r>
    </w:p>
    <w:p w14:paraId="63509AA0" w14:textId="1AAB96DD" w:rsidR="00F37BE4" w:rsidRDefault="00674268" w:rsidP="00ED5A00">
      <w:pPr>
        <w:rPr>
          <w:lang w:eastAsia="nb-NO"/>
        </w:rPr>
      </w:pPr>
      <w:r w:rsidRPr="0055149C">
        <w:rPr>
          <w:lang w:eastAsia="nb-NO"/>
        </w:rPr>
        <w:t xml:space="preserve">I </w:t>
      </w:r>
      <w:r w:rsidR="00DE7F62" w:rsidRPr="0055149C">
        <w:rPr>
          <w:lang w:eastAsia="nb-NO"/>
        </w:rPr>
        <w:fldChar w:fldCharType="begin"/>
      </w:r>
      <w:r w:rsidR="00DE7F62" w:rsidRPr="0055149C">
        <w:rPr>
          <w:lang w:eastAsia="nb-NO"/>
        </w:rPr>
        <w:instrText xml:space="preserve"> REF _Ref168347603 </w:instrText>
      </w:r>
      <w:r w:rsidR="00DE7F62" w:rsidRPr="0055149C">
        <w:rPr>
          <w:lang w:eastAsia="nb-NO"/>
        </w:rPr>
        <w:fldChar w:fldCharType="separate"/>
      </w:r>
      <w:r w:rsidR="009B1DA8" w:rsidRPr="0055149C">
        <w:t xml:space="preserve">Figur </w:t>
      </w:r>
      <w:r w:rsidR="009B1DA8">
        <w:rPr>
          <w:noProof/>
        </w:rPr>
        <w:t>4</w:t>
      </w:r>
      <w:r w:rsidR="009B1DA8">
        <w:t>.</w:t>
      </w:r>
      <w:r w:rsidR="009B1DA8">
        <w:rPr>
          <w:noProof/>
        </w:rPr>
        <w:t>12</w:t>
      </w:r>
      <w:r w:rsidR="00DE7F62" w:rsidRPr="0055149C">
        <w:rPr>
          <w:lang w:eastAsia="nb-NO"/>
        </w:rPr>
        <w:fldChar w:fldCharType="end"/>
      </w:r>
      <w:r w:rsidR="00DE7F62" w:rsidRPr="0055149C">
        <w:rPr>
          <w:lang w:eastAsia="nb-NO"/>
        </w:rPr>
        <w:t xml:space="preserve"> har vi illustrert utviklingen i kapitalmassen basert på de ulike tilnærmingene. Figuren viser tydelig </w:t>
      </w:r>
      <w:r w:rsidR="00F37BE4">
        <w:rPr>
          <w:lang w:eastAsia="nb-NO"/>
        </w:rPr>
        <w:t xml:space="preserve">at DM innebærer en svakere utvikling </w:t>
      </w:r>
      <w:r w:rsidR="0034547E">
        <w:rPr>
          <w:lang w:eastAsia="nb-NO"/>
        </w:rPr>
        <w:t xml:space="preserve">enn </w:t>
      </w:r>
      <w:r w:rsidR="00F37BE4">
        <w:rPr>
          <w:lang w:eastAsia="nb-NO"/>
        </w:rPr>
        <w:t>PIM, hvilket følger av at prisingen baseres på historisk prising snarere en</w:t>
      </w:r>
      <w:r w:rsidR="00EA6C1B">
        <w:rPr>
          <w:lang w:eastAsia="nb-NO"/>
        </w:rPr>
        <w:t>n</w:t>
      </w:r>
      <w:r w:rsidR="00F37BE4">
        <w:rPr>
          <w:lang w:eastAsia="nb-NO"/>
        </w:rPr>
        <w:t xml:space="preserve"> oppdatert prising. Videre er utviklingen i PIM-estimatet basert på kapitalarter relativt positiv i perioden fra 2008 til 2016 sammenliknet med PIM-estimatene basert på funksjon. Mellom 202</w:t>
      </w:r>
      <w:r w:rsidR="0034547E">
        <w:rPr>
          <w:lang w:eastAsia="nb-NO"/>
        </w:rPr>
        <w:t>1</w:t>
      </w:r>
      <w:r w:rsidR="00F37BE4">
        <w:rPr>
          <w:lang w:eastAsia="nb-NO"/>
        </w:rPr>
        <w:t xml:space="preserve"> </w:t>
      </w:r>
      <w:r w:rsidR="0034547E">
        <w:rPr>
          <w:lang w:eastAsia="nb-NO"/>
        </w:rPr>
        <w:t>og</w:t>
      </w:r>
      <w:r w:rsidR="00C1345D">
        <w:rPr>
          <w:lang w:eastAsia="nb-NO"/>
        </w:rPr>
        <w:t xml:space="preserve"> </w:t>
      </w:r>
      <w:r w:rsidR="00F37BE4">
        <w:rPr>
          <w:lang w:eastAsia="nb-NO"/>
        </w:rPr>
        <w:t>2022 er derimot utviklingen i kapitalmassen vesentlig svakere for PIM-estimatet basert på kapitalart enn PIM-estimatene basert på funksjon.</w:t>
      </w:r>
    </w:p>
    <w:p w14:paraId="4525A5D1" w14:textId="61AEE580" w:rsidR="00DB1B2D" w:rsidRPr="0055149C" w:rsidRDefault="00DB1B2D" w:rsidP="00DB1B2D">
      <w:pPr>
        <w:pStyle w:val="Bildetekst"/>
        <w:jc w:val="both"/>
      </w:pPr>
      <w:bookmarkStart w:id="109" w:name="_Ref168347603"/>
      <w:r w:rsidRPr="0055149C">
        <w:t xml:space="preserve">Figur </w:t>
      </w:r>
      <w:fldSimple w:instr=" STYLEREF 1 \s ">
        <w:r w:rsidR="009B1DA8">
          <w:rPr>
            <w:noProof/>
          </w:rPr>
          <w:t>4</w:t>
        </w:r>
      </w:fldSimple>
      <w:r w:rsidR="004B03E3">
        <w:t>.</w:t>
      </w:r>
      <w:fldSimple w:instr=" SEQ Figur \* ARABIC \s 1 ">
        <w:r w:rsidR="009B1DA8">
          <w:rPr>
            <w:noProof/>
          </w:rPr>
          <w:t>12</w:t>
        </w:r>
      </w:fldSimple>
      <w:bookmarkEnd w:id="109"/>
      <w:r w:rsidRPr="0055149C">
        <w:tab/>
        <w:t>Utvikling</w:t>
      </w:r>
      <w:r w:rsidR="00BD005E" w:rsidRPr="0055149C">
        <w:t xml:space="preserve"> i alternative mål for</w:t>
      </w:r>
      <w:r w:rsidRPr="0055149C">
        <w:t xml:space="preserve"> realkapitalbeholdningen i løpende priser i primærkommune fra 2003 til 2022</w:t>
      </w:r>
    </w:p>
    <w:p w14:paraId="5057217C" w14:textId="4DCD5CFF" w:rsidR="00DB1B2D" w:rsidRPr="0055149C" w:rsidRDefault="0073361D" w:rsidP="00F45E31">
      <w:pPr>
        <w:jc w:val="center"/>
        <w:rPr>
          <w:lang w:eastAsia="nb-NO"/>
        </w:rPr>
      </w:pPr>
      <w:r>
        <w:rPr>
          <w:noProof/>
          <w:lang w:val="en-US" w:eastAsia="en-US"/>
        </w:rPr>
        <w:drawing>
          <wp:inline distT="0" distB="0" distL="0" distR="0" wp14:anchorId="5A757462" wp14:editId="4EF69383">
            <wp:extent cx="5364000" cy="3240000"/>
            <wp:effectExtent l="0" t="0" r="8255" b="0"/>
            <wp:docPr id="2038439662" name="Diagram 1">
              <a:extLst xmlns:a="http://schemas.openxmlformats.org/drawingml/2006/main">
                <a:ext uri="{FF2B5EF4-FFF2-40B4-BE49-F238E27FC236}">
                  <a16:creationId xmlns:a16="http://schemas.microsoft.com/office/drawing/2014/main" id="{CB2EDDD7-C611-05F7-7E44-7D4DC6963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89BFF9C" w14:textId="60DFB876" w:rsidR="00DB1B2D" w:rsidRPr="0055149C" w:rsidRDefault="00A47F7A" w:rsidP="00DB1B2D">
      <w:pPr>
        <w:pStyle w:val="Billedtekst-forklaring"/>
        <w:ind w:left="0" w:firstLine="0"/>
        <w:rPr>
          <w:shd w:val="clear" w:color="auto" w:fill="468C5C" w:themeFill="accent6"/>
          <w:lang w:eastAsia="nb-NO"/>
        </w:rPr>
      </w:pPr>
      <w:r>
        <w:t>I f</w:t>
      </w:r>
      <w:r w:rsidR="000E08F8" w:rsidRPr="0055149C">
        <w:t xml:space="preserve">orkortelsene dd, ad, da og aa angir </w:t>
      </w:r>
      <w:r w:rsidR="00DB1B2D" w:rsidRPr="0055149C">
        <w:t>første og andre bokstav om henholdsvis kapitaldeflatorene og depresieringsratene er aggregerte (a) eller disaggregerte (d).</w:t>
      </w:r>
    </w:p>
    <w:p w14:paraId="43A9EA53" w14:textId="77777777" w:rsidR="00DB1B2D" w:rsidRPr="0055149C" w:rsidRDefault="00DB1B2D" w:rsidP="00DB1B2D">
      <w:pPr>
        <w:pStyle w:val="Source"/>
        <w:rPr>
          <w:lang w:eastAsia="nb-NO"/>
        </w:rPr>
      </w:pPr>
      <w:r w:rsidRPr="0055149C">
        <w:rPr>
          <w:lang w:eastAsia="nb-NO"/>
        </w:rPr>
        <w:t>Kilde: Vista Analyse</w:t>
      </w:r>
    </w:p>
    <w:p w14:paraId="685B99A6" w14:textId="7A2ADEEF" w:rsidR="00C5131E" w:rsidRPr="0055149C" w:rsidRDefault="00C5131E" w:rsidP="000E08F8">
      <w:pPr>
        <w:pStyle w:val="Overskrift4"/>
        <w:numPr>
          <w:ilvl w:val="0"/>
          <w:numId w:val="0"/>
        </w:numPr>
      </w:pPr>
      <w:r w:rsidRPr="0055149C">
        <w:lastRenderedPageBreak/>
        <w:t>Fylkeskommunene</w:t>
      </w:r>
    </w:p>
    <w:p w14:paraId="34C707FC" w14:textId="0CCBDC72" w:rsidR="00C5131E" w:rsidRPr="0055149C" w:rsidRDefault="006705AA" w:rsidP="00C63518">
      <w:pPr>
        <w:rPr>
          <w:color w:val="auto"/>
          <w:lang w:eastAsia="nb-NO"/>
        </w:rPr>
      </w:pPr>
      <w:r w:rsidRPr="0055149C">
        <w:rPr>
          <w:color w:val="auto"/>
          <w:lang w:eastAsia="nb-NO"/>
        </w:rPr>
        <w:t>Våre estimater for realkapitalbehold</w:t>
      </w:r>
      <w:r w:rsidRPr="00CC77E0">
        <w:rPr>
          <w:color w:val="auto"/>
          <w:lang w:eastAsia="nb-NO"/>
        </w:rPr>
        <w:t xml:space="preserve">ningen til norske fylkeskommuner ligger </w:t>
      </w:r>
      <w:r w:rsidR="001029EA" w:rsidRPr="00CC77E0">
        <w:rPr>
          <w:color w:val="auto"/>
          <w:lang w:eastAsia="nb-NO"/>
        </w:rPr>
        <w:t xml:space="preserve">mellom </w:t>
      </w:r>
      <w:r w:rsidR="0098037B" w:rsidRPr="00CC77E0">
        <w:rPr>
          <w:color w:val="auto"/>
          <w:lang w:eastAsia="nb-NO"/>
        </w:rPr>
        <w:t xml:space="preserve">0,21 billioner kroner estimert ved DM </w:t>
      </w:r>
      <w:r w:rsidR="001029EA" w:rsidRPr="00CC77E0">
        <w:rPr>
          <w:color w:val="auto"/>
          <w:lang w:eastAsia="nb-NO"/>
        </w:rPr>
        <w:t xml:space="preserve">og </w:t>
      </w:r>
      <w:r w:rsidR="0098037B" w:rsidRPr="00CC77E0">
        <w:rPr>
          <w:color w:val="auto"/>
          <w:lang w:eastAsia="nb-NO"/>
        </w:rPr>
        <w:t>0,3</w:t>
      </w:r>
      <w:r w:rsidR="00CC77E0" w:rsidRPr="00CC77E0">
        <w:rPr>
          <w:color w:val="auto"/>
          <w:lang w:eastAsia="nb-NO"/>
        </w:rPr>
        <w:t>4</w:t>
      </w:r>
      <w:r w:rsidR="001029EA" w:rsidRPr="00CC77E0">
        <w:rPr>
          <w:color w:val="auto"/>
          <w:lang w:eastAsia="nb-NO"/>
        </w:rPr>
        <w:t xml:space="preserve"> </w:t>
      </w:r>
      <w:r w:rsidR="0098037B" w:rsidRPr="00CC77E0">
        <w:rPr>
          <w:color w:val="auto"/>
          <w:lang w:eastAsia="nb-NO"/>
        </w:rPr>
        <w:t>billioner</w:t>
      </w:r>
      <w:r w:rsidR="001029EA" w:rsidRPr="00CC77E0">
        <w:rPr>
          <w:color w:val="auto"/>
          <w:lang w:eastAsia="nb-NO"/>
        </w:rPr>
        <w:t xml:space="preserve"> kroner</w:t>
      </w:r>
      <w:r w:rsidR="0098037B" w:rsidRPr="00CC77E0">
        <w:rPr>
          <w:color w:val="auto"/>
          <w:lang w:eastAsia="nb-NO"/>
        </w:rPr>
        <w:t xml:space="preserve"> estimert ved PIM på funksjonsnivå med aggregerte kapitalforutsetninger. PIM-estimatene basert på disaggregerte kapitalforutsetninger er 0,27 </w:t>
      </w:r>
      <w:r w:rsidR="00F74369">
        <w:rPr>
          <w:color w:val="auto"/>
          <w:lang w:eastAsia="nb-NO"/>
        </w:rPr>
        <w:t>billioner</w:t>
      </w:r>
      <w:r w:rsidR="0098037B" w:rsidRPr="00CC77E0">
        <w:rPr>
          <w:color w:val="auto"/>
          <w:lang w:eastAsia="nb-NO"/>
        </w:rPr>
        <w:t xml:space="preserve"> </w:t>
      </w:r>
      <w:r w:rsidR="00131AF1" w:rsidRPr="00CC77E0">
        <w:rPr>
          <w:color w:val="auto"/>
          <w:lang w:eastAsia="nb-NO"/>
        </w:rPr>
        <w:t xml:space="preserve">kroner </w:t>
      </w:r>
      <w:r w:rsidR="0098037B" w:rsidRPr="00CC77E0">
        <w:rPr>
          <w:color w:val="auto"/>
          <w:lang w:eastAsia="nb-NO"/>
        </w:rPr>
        <w:t>både ved esti</w:t>
      </w:r>
      <w:r w:rsidR="0098037B" w:rsidRPr="0055149C">
        <w:rPr>
          <w:color w:val="auto"/>
          <w:lang w:eastAsia="nb-NO"/>
        </w:rPr>
        <w:t>mering basert på kapitalart og basert på funksjon</w:t>
      </w:r>
      <w:r w:rsidR="001029EA" w:rsidRPr="0055149C">
        <w:rPr>
          <w:color w:val="auto"/>
          <w:lang w:eastAsia="nb-NO"/>
        </w:rPr>
        <w:t>.</w:t>
      </w:r>
      <w:r w:rsidR="006949A5" w:rsidRPr="0055149C">
        <w:rPr>
          <w:color w:val="auto"/>
          <w:lang w:eastAsia="nb-NO"/>
        </w:rPr>
        <w:t xml:space="preserve"> </w:t>
      </w:r>
      <w:r w:rsidR="00832172" w:rsidRPr="0055149C">
        <w:rPr>
          <w:color w:val="auto"/>
          <w:lang w:eastAsia="nb-NO"/>
        </w:rPr>
        <w:t xml:space="preserve">Dette </w:t>
      </w:r>
      <w:r w:rsidR="0098037B" w:rsidRPr="0055149C">
        <w:rPr>
          <w:color w:val="auto"/>
          <w:lang w:eastAsia="nb-NO"/>
        </w:rPr>
        <w:t>er visualisert i</w:t>
      </w:r>
      <w:r w:rsidR="00832172" w:rsidRPr="0055149C">
        <w:rPr>
          <w:color w:val="auto"/>
          <w:lang w:eastAsia="nb-NO"/>
        </w:rPr>
        <w:t xml:space="preserve"> våre illustrasjoner </w:t>
      </w:r>
      <w:r w:rsidR="009C064A" w:rsidRPr="0055149C">
        <w:rPr>
          <w:color w:val="auto"/>
          <w:lang w:eastAsia="nb-NO"/>
        </w:rPr>
        <w:fldChar w:fldCharType="begin"/>
      </w:r>
      <w:r w:rsidR="009C064A" w:rsidRPr="0055149C">
        <w:rPr>
          <w:color w:val="auto"/>
          <w:lang w:eastAsia="nb-NO"/>
        </w:rPr>
        <w:instrText xml:space="preserve"> REF _Ref166936816 \h </w:instrText>
      </w:r>
      <w:r w:rsidR="009C064A" w:rsidRPr="0055149C">
        <w:rPr>
          <w:color w:val="auto"/>
          <w:lang w:eastAsia="nb-NO"/>
        </w:rPr>
      </w:r>
      <w:r w:rsidR="009C064A" w:rsidRPr="0055149C">
        <w:rPr>
          <w:color w:val="auto"/>
          <w:lang w:eastAsia="nb-NO"/>
        </w:rPr>
        <w:fldChar w:fldCharType="separate"/>
      </w:r>
      <w:r w:rsidR="009B1DA8" w:rsidRPr="0055149C">
        <w:t xml:space="preserve">Figur </w:t>
      </w:r>
      <w:r w:rsidR="009B1DA8">
        <w:rPr>
          <w:noProof/>
        </w:rPr>
        <w:t>4</w:t>
      </w:r>
      <w:r w:rsidR="009B1DA8">
        <w:t>.</w:t>
      </w:r>
      <w:r w:rsidR="009B1DA8">
        <w:rPr>
          <w:noProof/>
        </w:rPr>
        <w:t>13</w:t>
      </w:r>
      <w:r w:rsidR="009C064A" w:rsidRPr="0055149C">
        <w:rPr>
          <w:color w:val="auto"/>
          <w:lang w:eastAsia="nb-NO"/>
        </w:rPr>
        <w:fldChar w:fldCharType="end"/>
      </w:r>
      <w:r w:rsidR="00832172" w:rsidRPr="0055149C">
        <w:rPr>
          <w:color w:val="auto"/>
          <w:lang w:eastAsia="nb-NO"/>
        </w:rPr>
        <w:t xml:space="preserve">. </w:t>
      </w:r>
      <w:r w:rsidR="0098037B" w:rsidRPr="0055149C">
        <w:rPr>
          <w:color w:val="auto"/>
          <w:lang w:eastAsia="nb-NO"/>
        </w:rPr>
        <w:t>Også</w:t>
      </w:r>
      <w:r w:rsidR="0010158F" w:rsidRPr="0055149C">
        <w:rPr>
          <w:color w:val="auto"/>
          <w:lang w:eastAsia="nb-NO"/>
        </w:rPr>
        <w:t xml:space="preserve"> </w:t>
      </w:r>
      <w:r w:rsidR="0098037B" w:rsidRPr="0055149C">
        <w:rPr>
          <w:color w:val="auto"/>
          <w:lang w:eastAsia="nb-NO"/>
        </w:rPr>
        <w:t>i</w:t>
      </w:r>
      <w:r w:rsidR="0010158F" w:rsidRPr="0055149C">
        <w:rPr>
          <w:color w:val="auto"/>
          <w:lang w:eastAsia="nb-NO"/>
        </w:rPr>
        <w:t xml:space="preserve"> </w:t>
      </w:r>
      <w:r w:rsidR="00EF4B4A" w:rsidRPr="0055149C">
        <w:rPr>
          <w:color w:val="auto"/>
          <w:lang w:eastAsia="nb-NO"/>
        </w:rPr>
        <w:t>tilfellet fylkeskommunene bidrar</w:t>
      </w:r>
      <w:r w:rsidR="001265DB" w:rsidRPr="0055149C">
        <w:rPr>
          <w:color w:val="auto"/>
          <w:lang w:eastAsia="nb-NO"/>
        </w:rPr>
        <w:t xml:space="preserve"> bruk av</w:t>
      </w:r>
      <w:r w:rsidR="00EF4B4A" w:rsidRPr="0055149C">
        <w:rPr>
          <w:color w:val="auto"/>
          <w:lang w:eastAsia="nb-NO"/>
        </w:rPr>
        <w:t xml:space="preserve"> både aggregerte depresieringsrater og aggregerte deflatorer </w:t>
      </w:r>
      <w:r w:rsidR="002F1CEF" w:rsidRPr="0055149C">
        <w:rPr>
          <w:color w:val="auto"/>
          <w:lang w:eastAsia="nb-NO"/>
        </w:rPr>
        <w:t>til å trekke opp</w:t>
      </w:r>
      <w:r w:rsidR="001265DB" w:rsidRPr="0055149C">
        <w:rPr>
          <w:color w:val="auto"/>
          <w:lang w:eastAsia="nb-NO"/>
        </w:rPr>
        <w:t xml:space="preserve"> disse kapitalestimatene</w:t>
      </w:r>
      <w:r w:rsidR="0098037B" w:rsidRPr="0055149C">
        <w:rPr>
          <w:color w:val="auto"/>
          <w:lang w:eastAsia="nb-NO"/>
        </w:rPr>
        <w:t>.</w:t>
      </w:r>
    </w:p>
    <w:p w14:paraId="4C9BC421" w14:textId="24052B2B" w:rsidR="00CC7152" w:rsidRPr="0055149C" w:rsidRDefault="00CC7152" w:rsidP="00CC7152">
      <w:pPr>
        <w:pStyle w:val="Bildetekst"/>
        <w:jc w:val="both"/>
      </w:pPr>
      <w:bookmarkStart w:id="110" w:name="_Ref166936816"/>
      <w:r w:rsidRPr="0055149C">
        <w:t xml:space="preserve">Figur </w:t>
      </w:r>
      <w:fldSimple w:instr=" STYLEREF 1 \s ">
        <w:r w:rsidR="009B1DA8">
          <w:rPr>
            <w:noProof/>
          </w:rPr>
          <w:t>4</w:t>
        </w:r>
      </w:fldSimple>
      <w:r w:rsidR="004B03E3">
        <w:t>.</w:t>
      </w:r>
      <w:fldSimple w:instr=" SEQ Figur \* ARABIC \s 1 ">
        <w:r w:rsidR="009B1DA8">
          <w:rPr>
            <w:noProof/>
          </w:rPr>
          <w:t>13</w:t>
        </w:r>
      </w:fldSimple>
      <w:bookmarkEnd w:id="110"/>
      <w:r w:rsidRPr="0055149C">
        <w:tab/>
        <w:t>Estimert fast realkapitalbeholdning i fylkeskommunene ved utgangen av 2022 etter a) art (øverst) og b) funksjon (nederst)</w:t>
      </w:r>
    </w:p>
    <w:p w14:paraId="3E9123A5" w14:textId="4055302D" w:rsidR="000F06AE" w:rsidRPr="0055149C" w:rsidRDefault="00C356A3" w:rsidP="00F45E31">
      <w:pPr>
        <w:jc w:val="center"/>
      </w:pPr>
      <w:r>
        <w:rPr>
          <w:noProof/>
          <w:lang w:val="en-US" w:eastAsia="en-US"/>
        </w:rPr>
        <w:drawing>
          <wp:inline distT="0" distB="0" distL="0" distR="0" wp14:anchorId="1F261514" wp14:editId="2596A349">
            <wp:extent cx="5364000" cy="2160000"/>
            <wp:effectExtent l="0" t="0" r="8255" b="0"/>
            <wp:docPr id="864280329" name="Diagram 1">
              <a:extLst xmlns:a="http://schemas.openxmlformats.org/drawingml/2006/main">
                <a:ext uri="{FF2B5EF4-FFF2-40B4-BE49-F238E27FC236}">
                  <a16:creationId xmlns:a16="http://schemas.microsoft.com/office/drawing/2014/main" id="{FCBE5F69-903A-4A33-BA9E-1966554B0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val="en-US" w:eastAsia="en-US"/>
        </w:rPr>
        <w:drawing>
          <wp:inline distT="0" distB="0" distL="0" distR="0" wp14:anchorId="01DB8FC2" wp14:editId="1F02F17A">
            <wp:extent cx="5364000" cy="2880000"/>
            <wp:effectExtent l="0" t="0" r="8255" b="0"/>
            <wp:docPr id="269319836" name="Diagram 2">
              <a:extLst xmlns:a="http://schemas.openxmlformats.org/drawingml/2006/main">
                <a:ext uri="{FF2B5EF4-FFF2-40B4-BE49-F238E27FC236}">
                  <a16:creationId xmlns:a16="http://schemas.microsoft.com/office/drawing/2014/main" id="{C204C949-B5A2-45BE-905D-0DFAE32B1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15AD6F5" w14:textId="12F42A4C" w:rsidR="0081584F" w:rsidRPr="0055149C" w:rsidRDefault="00A47F7A" w:rsidP="0081584F">
      <w:pPr>
        <w:pStyle w:val="Billedtekst-forklaring"/>
        <w:ind w:left="0" w:firstLine="0"/>
        <w:rPr>
          <w:shd w:val="clear" w:color="auto" w:fill="468C5C" w:themeFill="accent6"/>
          <w:lang w:eastAsia="nb-NO"/>
        </w:rPr>
      </w:pPr>
      <w:r>
        <w:t>I f</w:t>
      </w:r>
      <w:r w:rsidR="0081584F" w:rsidRPr="0055149C">
        <w:t>orkortelsene dd, ad, da og aa angir første og andre bokstav om henholdsvis kapitaldeflatorene og depresieringsratene er aggregerte (a) eller disaggregerte (d).</w:t>
      </w:r>
    </w:p>
    <w:p w14:paraId="2229BDA8" w14:textId="0433BE3F" w:rsidR="00CC7152" w:rsidRDefault="00CC7152" w:rsidP="00CC7152">
      <w:pPr>
        <w:pStyle w:val="Source"/>
        <w:rPr>
          <w:lang w:eastAsia="nb-NO"/>
        </w:rPr>
      </w:pPr>
      <w:r w:rsidRPr="0055149C">
        <w:rPr>
          <w:lang w:eastAsia="nb-NO"/>
        </w:rPr>
        <w:t>Kilde: Vista Analyse</w:t>
      </w:r>
    </w:p>
    <w:p w14:paraId="7A4BAF1A" w14:textId="734F4381" w:rsidR="000F2D01" w:rsidRPr="000F2D01" w:rsidRDefault="000F2D01" w:rsidP="000F2D01">
      <w:pPr>
        <w:rPr>
          <w:color w:val="auto"/>
          <w:lang w:eastAsia="nb-NO"/>
        </w:rPr>
      </w:pPr>
      <w:r w:rsidRPr="0055149C">
        <w:rPr>
          <w:color w:val="auto"/>
          <w:lang w:eastAsia="nb-NO"/>
        </w:rPr>
        <w:t xml:space="preserve">I fylkeskommunene dominerer særlig samferdsel, men også videregående opplæring, funksjonene som realkapitalmassen kan tilskrives. Tannhelse og administrasjon og fellesutgifter er ikke spesielt kapitalintensive og står dermed for en mindre andel av kapitalmassen enn av bruttodriftsresultatene. Fast eiendom og </w:t>
      </w:r>
      <w:r w:rsidRPr="002F1EAE">
        <w:rPr>
          <w:color w:val="auto"/>
          <w:lang w:eastAsia="nb-NO"/>
        </w:rPr>
        <w:t>anlegg dominerer kapitalmassen med en andel på 97,5 prosent og 98,0 prosent estimert med henholds</w:t>
      </w:r>
      <w:r>
        <w:rPr>
          <w:color w:val="auto"/>
          <w:lang w:eastAsia="nb-NO"/>
        </w:rPr>
        <w:t>vis DM og PIM basert på art, mens m</w:t>
      </w:r>
      <w:r w:rsidRPr="0055149C">
        <w:rPr>
          <w:color w:val="auto"/>
          <w:lang w:eastAsia="nb-NO"/>
        </w:rPr>
        <w:t xml:space="preserve">askiner, </w:t>
      </w:r>
      <w:r w:rsidRPr="0055149C">
        <w:rPr>
          <w:color w:val="auto"/>
          <w:lang w:eastAsia="nb-NO"/>
        </w:rPr>
        <w:lastRenderedPageBreak/>
        <w:t>utstyr og transportmidler står for resten. Fylkeskommun</w:t>
      </w:r>
      <w:r>
        <w:rPr>
          <w:color w:val="auto"/>
          <w:lang w:eastAsia="nb-NO"/>
        </w:rPr>
        <w:t>ene</w:t>
      </w:r>
      <w:r w:rsidRPr="0055149C">
        <w:rPr>
          <w:color w:val="auto"/>
          <w:lang w:eastAsia="nb-NO"/>
        </w:rPr>
        <w:t xml:space="preserve"> står ikke oppført med immaterielle eiendeler i </w:t>
      </w:r>
      <w:r w:rsidR="008E7E43">
        <w:rPr>
          <w:color w:val="auto"/>
          <w:lang w:eastAsia="nb-NO"/>
        </w:rPr>
        <w:t>KOSTRA</w:t>
      </w:r>
      <w:r w:rsidRPr="0055149C">
        <w:rPr>
          <w:color w:val="auto"/>
          <w:lang w:eastAsia="nb-NO"/>
        </w:rPr>
        <w:t xml:space="preserve"> i 2022.</w:t>
      </w:r>
    </w:p>
    <w:p w14:paraId="0D2F3A35" w14:textId="76B6CBAB" w:rsidR="001557F1" w:rsidRPr="0055149C" w:rsidRDefault="00C755C8" w:rsidP="000F06AE">
      <w:pPr>
        <w:rPr>
          <w:lang w:eastAsia="nb-NO"/>
        </w:rPr>
      </w:pPr>
      <w:r w:rsidRPr="0055149C">
        <w:rPr>
          <w:lang w:eastAsia="nb-NO"/>
        </w:rPr>
        <w:t xml:space="preserve">I </w:t>
      </w:r>
      <w:r w:rsidR="00B8704E" w:rsidRPr="0055149C">
        <w:rPr>
          <w:lang w:eastAsia="nb-NO"/>
        </w:rPr>
        <w:fldChar w:fldCharType="begin"/>
      </w:r>
      <w:r w:rsidR="00B8704E" w:rsidRPr="0055149C">
        <w:rPr>
          <w:lang w:eastAsia="nb-NO"/>
        </w:rPr>
        <w:instrText xml:space="preserve"> REF _Ref168349220 </w:instrText>
      </w:r>
      <w:r w:rsidR="00B8704E" w:rsidRPr="0055149C">
        <w:rPr>
          <w:lang w:eastAsia="nb-NO"/>
        </w:rPr>
        <w:fldChar w:fldCharType="separate"/>
      </w:r>
      <w:r w:rsidR="009B1DA8" w:rsidRPr="0055149C">
        <w:t xml:space="preserve">Tabell </w:t>
      </w:r>
      <w:r w:rsidR="009B1DA8">
        <w:rPr>
          <w:noProof/>
        </w:rPr>
        <w:t>4</w:t>
      </w:r>
      <w:r w:rsidR="009B1DA8" w:rsidRPr="0055149C">
        <w:t>.</w:t>
      </w:r>
      <w:r w:rsidR="009B1DA8">
        <w:rPr>
          <w:noProof/>
        </w:rPr>
        <w:t>2</w:t>
      </w:r>
      <w:r w:rsidR="00B8704E" w:rsidRPr="0055149C">
        <w:rPr>
          <w:lang w:eastAsia="nb-NO"/>
        </w:rPr>
        <w:fldChar w:fldCharType="end"/>
      </w:r>
      <w:r w:rsidR="001557F1" w:rsidRPr="0055149C">
        <w:rPr>
          <w:lang w:eastAsia="nb-NO"/>
        </w:rPr>
        <w:t xml:space="preserve"> har vi illustrert korrelasjonen mellom estimatene for kapitalbeholdningene. Fylkesfunksjonene i Oslo </w:t>
      </w:r>
      <w:r w:rsidR="00FD4E73">
        <w:rPr>
          <w:lang w:eastAsia="nb-NO"/>
        </w:rPr>
        <w:t xml:space="preserve">er </w:t>
      </w:r>
      <w:r w:rsidR="001557F1" w:rsidRPr="0055149C">
        <w:rPr>
          <w:lang w:eastAsia="nb-NO"/>
        </w:rPr>
        <w:t xml:space="preserve">inkludert som en egen observasjon, uten at dette gir store utslag på koeffisientene. </w:t>
      </w:r>
      <w:r w:rsidR="00A44795" w:rsidRPr="005B31A0">
        <w:rPr>
          <w:lang w:eastAsia="nb-NO"/>
        </w:rPr>
        <w:t xml:space="preserve">Korrelasjonsestimatet beregnet med </w:t>
      </w:r>
      <w:r w:rsidR="005B31A0" w:rsidRPr="005B31A0">
        <w:rPr>
          <w:lang w:eastAsia="nb-NO"/>
        </w:rPr>
        <w:t xml:space="preserve">DM og </w:t>
      </w:r>
      <w:r w:rsidR="00A44795" w:rsidRPr="005B31A0">
        <w:rPr>
          <w:lang w:eastAsia="nb-NO"/>
        </w:rPr>
        <w:t>PIM basert på kapitalarter involverer de laveste korrelasjonskoeffisientene i intervallet 0,</w:t>
      </w:r>
      <w:r w:rsidR="005B31A0" w:rsidRPr="005B31A0">
        <w:rPr>
          <w:lang w:eastAsia="nb-NO"/>
        </w:rPr>
        <w:t>93</w:t>
      </w:r>
      <w:r w:rsidR="00A44795" w:rsidRPr="005B31A0">
        <w:rPr>
          <w:lang w:eastAsia="nb-NO"/>
        </w:rPr>
        <w:t xml:space="preserve"> til 0,</w:t>
      </w:r>
      <w:r w:rsidR="005B31A0" w:rsidRPr="005B31A0">
        <w:rPr>
          <w:lang w:eastAsia="nb-NO"/>
        </w:rPr>
        <w:t>98</w:t>
      </w:r>
      <w:r w:rsidR="00A44795" w:rsidRPr="005B31A0">
        <w:rPr>
          <w:lang w:eastAsia="nb-NO"/>
        </w:rPr>
        <w:t xml:space="preserve">. </w:t>
      </w:r>
      <w:r w:rsidR="005B31A0" w:rsidRPr="005B31A0">
        <w:rPr>
          <w:lang w:eastAsia="nb-NO"/>
        </w:rPr>
        <w:t xml:space="preserve">Merk </w:t>
      </w:r>
      <w:r w:rsidR="00A44795" w:rsidRPr="005B31A0">
        <w:rPr>
          <w:lang w:eastAsia="nb-NO"/>
        </w:rPr>
        <w:t xml:space="preserve">at dette kapitalestimatet </w:t>
      </w:r>
      <w:r w:rsidR="005B31A0" w:rsidRPr="005B31A0">
        <w:rPr>
          <w:lang w:eastAsia="nb-NO"/>
        </w:rPr>
        <w:t xml:space="preserve">implisitt </w:t>
      </w:r>
      <w:r w:rsidR="00A44795" w:rsidRPr="005B31A0">
        <w:rPr>
          <w:lang w:eastAsia="nb-NO"/>
        </w:rPr>
        <w:t xml:space="preserve">likebehandler fast </w:t>
      </w:r>
      <w:r w:rsidR="00A84BFA">
        <w:rPr>
          <w:lang w:eastAsia="nb-NO"/>
        </w:rPr>
        <w:t>e</w:t>
      </w:r>
      <w:r w:rsidR="00A84BFA" w:rsidRPr="005B31A0">
        <w:rPr>
          <w:lang w:eastAsia="nb-NO"/>
        </w:rPr>
        <w:t>iendom</w:t>
      </w:r>
      <w:r w:rsidR="00A44795" w:rsidRPr="005B31A0">
        <w:rPr>
          <w:lang w:eastAsia="nb-NO"/>
        </w:rPr>
        <w:t xml:space="preserve"> og anlegg innenfor fylkeskommunal samferdsel og resten av fylkeskommunene. </w:t>
      </w:r>
      <w:r w:rsidR="001557F1" w:rsidRPr="005B31A0">
        <w:rPr>
          <w:lang w:eastAsia="nb-NO"/>
        </w:rPr>
        <w:t>Ellers</w:t>
      </w:r>
      <w:r w:rsidR="001557F1" w:rsidRPr="0055149C">
        <w:rPr>
          <w:lang w:eastAsia="nb-NO"/>
        </w:rPr>
        <w:t xml:space="preserve"> er </w:t>
      </w:r>
      <w:r w:rsidR="00A44795" w:rsidRPr="0055149C">
        <w:rPr>
          <w:lang w:eastAsia="nb-NO"/>
        </w:rPr>
        <w:t>korrelasjo</w:t>
      </w:r>
      <w:r w:rsidR="00A44795" w:rsidRPr="00EB40E0">
        <w:rPr>
          <w:lang w:eastAsia="nb-NO"/>
        </w:rPr>
        <w:t xml:space="preserve">nskoeffisientene </w:t>
      </w:r>
      <w:r w:rsidR="001557F1" w:rsidRPr="00EB40E0">
        <w:rPr>
          <w:lang w:eastAsia="nb-NO"/>
        </w:rPr>
        <w:t>innad mellom de forskjellige PIM-funksjons</w:t>
      </w:r>
      <w:r w:rsidR="00FD4E73">
        <w:rPr>
          <w:lang w:eastAsia="nb-NO"/>
        </w:rPr>
        <w:softHyphen/>
      </w:r>
      <w:r w:rsidR="001557F1" w:rsidRPr="00EB40E0">
        <w:rPr>
          <w:lang w:eastAsia="nb-NO"/>
        </w:rPr>
        <w:t>estimatene på over 0,9</w:t>
      </w:r>
      <w:r w:rsidR="005B31A0" w:rsidRPr="00EB40E0">
        <w:rPr>
          <w:lang w:eastAsia="nb-NO"/>
        </w:rPr>
        <w:t>8</w:t>
      </w:r>
      <w:r w:rsidR="001557F1" w:rsidRPr="00EB40E0">
        <w:rPr>
          <w:lang w:eastAsia="nb-NO"/>
        </w:rPr>
        <w:t>.</w:t>
      </w:r>
    </w:p>
    <w:p w14:paraId="6DB57E3A" w14:textId="1393FF6E" w:rsidR="00C755C8" w:rsidRDefault="00C755C8" w:rsidP="00C755C8">
      <w:pPr>
        <w:pStyle w:val="Bildetekst"/>
      </w:pPr>
      <w:bookmarkStart w:id="111" w:name="_Ref168349220"/>
      <w:r w:rsidRPr="0055149C">
        <w:t xml:space="preserve">Tabell </w:t>
      </w:r>
      <w:fldSimple w:instr=" STYLEREF 1 \s ">
        <w:r w:rsidR="009B1DA8">
          <w:rPr>
            <w:noProof/>
          </w:rPr>
          <w:t>4</w:t>
        </w:r>
      </w:fldSimple>
      <w:r w:rsidR="00B9323E" w:rsidRPr="0055149C">
        <w:t>.</w:t>
      </w:r>
      <w:fldSimple w:instr=" SEQ Tabell \* ARABIC \s 1 ">
        <w:r w:rsidR="009B1DA8">
          <w:rPr>
            <w:noProof/>
          </w:rPr>
          <w:t>2</w:t>
        </w:r>
      </w:fldSimple>
      <w:bookmarkEnd w:id="111"/>
      <w:r w:rsidRPr="0055149C">
        <w:tab/>
        <w:t>Korrelasjon mellom estimater for realkapitalbeholdninger per innbygger i norske fylkeskommuner ved utgangen av 2022</w:t>
      </w:r>
    </w:p>
    <w:tbl>
      <w:tblPr>
        <w:tblW w:w="7960" w:type="dxa"/>
        <w:tblCellMar>
          <w:left w:w="70" w:type="dxa"/>
          <w:right w:w="70" w:type="dxa"/>
        </w:tblCellMar>
        <w:tblLook w:val="04A0" w:firstRow="1" w:lastRow="0" w:firstColumn="1" w:lastColumn="0" w:noHBand="0" w:noVBand="1"/>
      </w:tblPr>
      <w:tblGrid>
        <w:gridCol w:w="3400"/>
        <w:gridCol w:w="760"/>
        <w:gridCol w:w="760"/>
        <w:gridCol w:w="760"/>
        <w:gridCol w:w="760"/>
        <w:gridCol w:w="760"/>
        <w:gridCol w:w="760"/>
      </w:tblGrid>
      <w:tr w:rsidR="002F1EAE" w:rsidRPr="002F1EAE" w14:paraId="56A3E232" w14:textId="77777777" w:rsidTr="002F1EAE">
        <w:trPr>
          <w:trHeight w:val="276"/>
        </w:trPr>
        <w:tc>
          <w:tcPr>
            <w:tcW w:w="3400" w:type="dxa"/>
            <w:tcBorders>
              <w:top w:val="single" w:sz="4" w:space="0" w:color="auto"/>
              <w:left w:val="single" w:sz="4" w:space="0" w:color="auto"/>
              <w:bottom w:val="nil"/>
              <w:right w:val="nil"/>
            </w:tcBorders>
            <w:shd w:val="clear" w:color="000000" w:fill="3672B0"/>
            <w:noWrap/>
            <w:vAlign w:val="center"/>
            <w:hideMark/>
          </w:tcPr>
          <w:p w14:paraId="7D83FE37" w14:textId="77777777" w:rsidR="002F1EAE" w:rsidRPr="002F1EAE" w:rsidRDefault="002F1EAE" w:rsidP="002F1EAE">
            <w:pPr>
              <w:spacing w:before="0" w:line="240" w:lineRule="auto"/>
              <w:jc w:val="left"/>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Variabler</w:t>
            </w:r>
          </w:p>
        </w:tc>
        <w:tc>
          <w:tcPr>
            <w:tcW w:w="760" w:type="dxa"/>
            <w:tcBorders>
              <w:top w:val="single" w:sz="4" w:space="0" w:color="auto"/>
              <w:left w:val="nil"/>
              <w:bottom w:val="single" w:sz="4" w:space="0" w:color="auto"/>
              <w:right w:val="nil"/>
            </w:tcBorders>
            <w:shd w:val="clear" w:color="000000" w:fill="3672B0"/>
            <w:noWrap/>
            <w:vAlign w:val="center"/>
            <w:hideMark/>
          </w:tcPr>
          <w:p w14:paraId="4BBC836F"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(1)</w:t>
            </w:r>
          </w:p>
        </w:tc>
        <w:tc>
          <w:tcPr>
            <w:tcW w:w="760" w:type="dxa"/>
            <w:tcBorders>
              <w:top w:val="single" w:sz="4" w:space="0" w:color="auto"/>
              <w:left w:val="nil"/>
              <w:bottom w:val="nil"/>
              <w:right w:val="nil"/>
            </w:tcBorders>
            <w:shd w:val="clear" w:color="000000" w:fill="3672B0"/>
            <w:noWrap/>
            <w:vAlign w:val="center"/>
            <w:hideMark/>
          </w:tcPr>
          <w:p w14:paraId="1A0B121E"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(2)</w:t>
            </w:r>
          </w:p>
        </w:tc>
        <w:tc>
          <w:tcPr>
            <w:tcW w:w="760" w:type="dxa"/>
            <w:tcBorders>
              <w:top w:val="single" w:sz="4" w:space="0" w:color="auto"/>
              <w:left w:val="nil"/>
              <w:bottom w:val="nil"/>
              <w:right w:val="nil"/>
            </w:tcBorders>
            <w:shd w:val="clear" w:color="000000" w:fill="3672B0"/>
            <w:noWrap/>
            <w:vAlign w:val="center"/>
            <w:hideMark/>
          </w:tcPr>
          <w:p w14:paraId="35C2C5BE"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(3)</w:t>
            </w:r>
          </w:p>
        </w:tc>
        <w:tc>
          <w:tcPr>
            <w:tcW w:w="760" w:type="dxa"/>
            <w:tcBorders>
              <w:top w:val="single" w:sz="4" w:space="0" w:color="auto"/>
              <w:left w:val="nil"/>
              <w:bottom w:val="nil"/>
              <w:right w:val="nil"/>
            </w:tcBorders>
            <w:shd w:val="clear" w:color="000000" w:fill="3672B0"/>
            <w:noWrap/>
            <w:vAlign w:val="center"/>
            <w:hideMark/>
          </w:tcPr>
          <w:p w14:paraId="0C28D062"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(4)</w:t>
            </w:r>
          </w:p>
        </w:tc>
        <w:tc>
          <w:tcPr>
            <w:tcW w:w="760" w:type="dxa"/>
            <w:tcBorders>
              <w:top w:val="single" w:sz="4" w:space="0" w:color="auto"/>
              <w:left w:val="nil"/>
              <w:bottom w:val="nil"/>
              <w:right w:val="nil"/>
            </w:tcBorders>
            <w:shd w:val="clear" w:color="000000" w:fill="3672B0"/>
            <w:noWrap/>
            <w:vAlign w:val="center"/>
            <w:hideMark/>
          </w:tcPr>
          <w:p w14:paraId="14CF0896"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(5)</w:t>
            </w:r>
          </w:p>
        </w:tc>
        <w:tc>
          <w:tcPr>
            <w:tcW w:w="760" w:type="dxa"/>
            <w:tcBorders>
              <w:top w:val="single" w:sz="4" w:space="0" w:color="auto"/>
              <w:left w:val="nil"/>
              <w:bottom w:val="nil"/>
              <w:right w:val="nil"/>
            </w:tcBorders>
            <w:shd w:val="clear" w:color="000000" w:fill="3672B0"/>
            <w:noWrap/>
            <w:vAlign w:val="center"/>
            <w:hideMark/>
          </w:tcPr>
          <w:p w14:paraId="658912D2"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(6)</w:t>
            </w:r>
          </w:p>
        </w:tc>
      </w:tr>
      <w:tr w:rsidR="002F1EAE" w:rsidRPr="002F1EAE" w14:paraId="68B1C2CD" w14:textId="77777777" w:rsidTr="002F1EAE">
        <w:trPr>
          <w:trHeight w:val="276"/>
        </w:trPr>
        <w:tc>
          <w:tcPr>
            <w:tcW w:w="3400" w:type="dxa"/>
            <w:tcBorders>
              <w:top w:val="single" w:sz="4" w:space="0" w:color="auto"/>
              <w:left w:val="single" w:sz="4" w:space="0" w:color="auto"/>
              <w:bottom w:val="nil"/>
              <w:right w:val="single" w:sz="4" w:space="0" w:color="auto"/>
            </w:tcBorders>
            <w:shd w:val="clear" w:color="000000" w:fill="A9C6E4"/>
            <w:vAlign w:val="center"/>
            <w:hideMark/>
          </w:tcPr>
          <w:p w14:paraId="6829852F"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 Fast realkapital, DM</w:t>
            </w:r>
          </w:p>
        </w:tc>
        <w:tc>
          <w:tcPr>
            <w:tcW w:w="760" w:type="dxa"/>
            <w:tcBorders>
              <w:top w:val="single" w:sz="4" w:space="0" w:color="auto"/>
              <w:left w:val="single" w:sz="4" w:space="0" w:color="auto"/>
              <w:bottom w:val="nil"/>
              <w:right w:val="single" w:sz="4" w:space="0" w:color="auto"/>
            </w:tcBorders>
            <w:shd w:val="clear" w:color="468C5C" w:fill="468C5C"/>
            <w:noWrap/>
            <w:vAlign w:val="center"/>
            <w:hideMark/>
          </w:tcPr>
          <w:p w14:paraId="1BE740E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11B2B0AC"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0F30718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508026F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5F6423F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1FC521E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6863F896"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068B1B4D" w14:textId="77777777" w:rsidR="002F1EAE" w:rsidRPr="00A84BFA" w:rsidRDefault="002F1EAE" w:rsidP="002F1EAE">
            <w:pPr>
              <w:spacing w:before="0" w:line="240" w:lineRule="auto"/>
              <w:rPr>
                <w:rFonts w:ascii="Aptos Narrow" w:eastAsia="Times New Roman" w:hAnsi="Aptos Narrow" w:cs="Times New Roman"/>
                <w:color w:val="000000"/>
                <w:sz w:val="20"/>
                <w:szCs w:val="20"/>
                <w:lang w:val="de-DE" w:eastAsia="nb-NO"/>
              </w:rPr>
            </w:pPr>
            <w:r w:rsidRPr="00A84BFA">
              <w:rPr>
                <w:rFonts w:ascii="Aptos Narrow" w:eastAsia="Times New Roman" w:hAnsi="Aptos Narrow" w:cs="Times New Roman"/>
                <w:color w:val="000000"/>
                <w:sz w:val="20"/>
                <w:szCs w:val="20"/>
                <w:lang w:val="de-DE" w:eastAsia="nb-NO"/>
              </w:rPr>
              <w:t>(2) Fast realkapital, PIM-dd art</w:t>
            </w:r>
          </w:p>
        </w:tc>
        <w:tc>
          <w:tcPr>
            <w:tcW w:w="760" w:type="dxa"/>
            <w:tcBorders>
              <w:top w:val="nil"/>
              <w:left w:val="nil"/>
              <w:bottom w:val="nil"/>
              <w:right w:val="nil"/>
            </w:tcBorders>
            <w:shd w:val="clear" w:color="468C5C" w:fill="468C5C"/>
            <w:noWrap/>
            <w:vAlign w:val="center"/>
            <w:hideMark/>
          </w:tcPr>
          <w:p w14:paraId="21A310D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0.937</w:t>
            </w:r>
          </w:p>
        </w:tc>
        <w:tc>
          <w:tcPr>
            <w:tcW w:w="760" w:type="dxa"/>
            <w:tcBorders>
              <w:top w:val="single" w:sz="4" w:space="0" w:color="auto"/>
              <w:left w:val="nil"/>
              <w:bottom w:val="nil"/>
              <w:right w:val="single" w:sz="4" w:space="0" w:color="auto"/>
            </w:tcBorders>
            <w:shd w:val="clear" w:color="468C5C" w:fill="468C5C"/>
            <w:noWrap/>
            <w:vAlign w:val="center"/>
            <w:hideMark/>
          </w:tcPr>
          <w:p w14:paraId="07CB01D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1211A1B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975CDC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765605B"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172E5AF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42F97C9F"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5E448A4D"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(3) Fast realkapital, PIM-dd funksjon</w:t>
            </w:r>
          </w:p>
        </w:tc>
        <w:tc>
          <w:tcPr>
            <w:tcW w:w="760" w:type="dxa"/>
            <w:tcBorders>
              <w:top w:val="nil"/>
              <w:left w:val="nil"/>
              <w:bottom w:val="nil"/>
              <w:right w:val="nil"/>
            </w:tcBorders>
            <w:shd w:val="clear" w:color="468C5C" w:fill="468C5C"/>
            <w:noWrap/>
            <w:vAlign w:val="center"/>
            <w:hideMark/>
          </w:tcPr>
          <w:p w14:paraId="067A96D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0.968</w:t>
            </w:r>
          </w:p>
        </w:tc>
        <w:tc>
          <w:tcPr>
            <w:tcW w:w="760" w:type="dxa"/>
            <w:tcBorders>
              <w:top w:val="nil"/>
              <w:left w:val="nil"/>
              <w:bottom w:val="nil"/>
              <w:right w:val="nil"/>
            </w:tcBorders>
            <w:shd w:val="clear" w:color="468C5C" w:fill="468C5C"/>
            <w:noWrap/>
            <w:vAlign w:val="center"/>
            <w:hideMark/>
          </w:tcPr>
          <w:p w14:paraId="27F8D0E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0.965</w:t>
            </w:r>
          </w:p>
        </w:tc>
        <w:tc>
          <w:tcPr>
            <w:tcW w:w="760" w:type="dxa"/>
            <w:tcBorders>
              <w:top w:val="single" w:sz="4" w:space="0" w:color="auto"/>
              <w:left w:val="nil"/>
              <w:bottom w:val="nil"/>
              <w:right w:val="single" w:sz="4" w:space="0" w:color="auto"/>
            </w:tcBorders>
            <w:shd w:val="clear" w:color="468C5C" w:fill="468C5C"/>
            <w:noWrap/>
            <w:vAlign w:val="center"/>
            <w:hideMark/>
          </w:tcPr>
          <w:p w14:paraId="0F72125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263776B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38D1364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D1BEA5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668EF7C5"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782EAD02"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(4) Fast realkapital, PIM-ad funksjon</w:t>
            </w:r>
          </w:p>
        </w:tc>
        <w:tc>
          <w:tcPr>
            <w:tcW w:w="760" w:type="dxa"/>
            <w:tcBorders>
              <w:top w:val="nil"/>
              <w:left w:val="nil"/>
              <w:bottom w:val="nil"/>
              <w:right w:val="nil"/>
            </w:tcBorders>
            <w:shd w:val="clear" w:color="468C5C" w:fill="468C5C"/>
            <w:noWrap/>
            <w:vAlign w:val="center"/>
            <w:hideMark/>
          </w:tcPr>
          <w:p w14:paraId="31B0305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0.955</w:t>
            </w:r>
          </w:p>
        </w:tc>
        <w:tc>
          <w:tcPr>
            <w:tcW w:w="760" w:type="dxa"/>
            <w:tcBorders>
              <w:top w:val="nil"/>
              <w:left w:val="nil"/>
              <w:bottom w:val="nil"/>
              <w:right w:val="nil"/>
            </w:tcBorders>
            <w:shd w:val="clear" w:color="468C5C" w:fill="468C5C"/>
            <w:noWrap/>
            <w:vAlign w:val="center"/>
            <w:hideMark/>
          </w:tcPr>
          <w:p w14:paraId="4F3B7B4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0.948</w:t>
            </w:r>
          </w:p>
        </w:tc>
        <w:tc>
          <w:tcPr>
            <w:tcW w:w="760" w:type="dxa"/>
            <w:tcBorders>
              <w:top w:val="nil"/>
              <w:left w:val="nil"/>
              <w:bottom w:val="nil"/>
              <w:right w:val="nil"/>
            </w:tcBorders>
            <w:shd w:val="clear" w:color="468C5C" w:fill="468C5C"/>
            <w:noWrap/>
            <w:vAlign w:val="center"/>
            <w:hideMark/>
          </w:tcPr>
          <w:p w14:paraId="37F6494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0.996</w:t>
            </w:r>
          </w:p>
        </w:tc>
        <w:tc>
          <w:tcPr>
            <w:tcW w:w="760" w:type="dxa"/>
            <w:tcBorders>
              <w:top w:val="single" w:sz="4" w:space="0" w:color="auto"/>
              <w:left w:val="nil"/>
              <w:bottom w:val="nil"/>
              <w:right w:val="single" w:sz="4" w:space="0" w:color="auto"/>
            </w:tcBorders>
            <w:shd w:val="clear" w:color="468C5C" w:fill="468C5C"/>
            <w:noWrap/>
            <w:vAlign w:val="center"/>
            <w:hideMark/>
          </w:tcPr>
          <w:p w14:paraId="7E66493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351398B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BD5DD1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0E31D3A3"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15C4208D"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(5) Fast realkapital, PIM-da funksjon</w:t>
            </w:r>
          </w:p>
        </w:tc>
        <w:tc>
          <w:tcPr>
            <w:tcW w:w="760" w:type="dxa"/>
            <w:tcBorders>
              <w:top w:val="nil"/>
              <w:left w:val="nil"/>
              <w:bottom w:val="nil"/>
              <w:right w:val="nil"/>
            </w:tcBorders>
            <w:shd w:val="clear" w:color="468C5C" w:fill="468C5C"/>
            <w:noWrap/>
            <w:vAlign w:val="center"/>
            <w:hideMark/>
          </w:tcPr>
          <w:p w14:paraId="20218ED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0.979</w:t>
            </w:r>
          </w:p>
        </w:tc>
        <w:tc>
          <w:tcPr>
            <w:tcW w:w="760" w:type="dxa"/>
            <w:tcBorders>
              <w:top w:val="nil"/>
              <w:left w:val="nil"/>
              <w:bottom w:val="nil"/>
              <w:right w:val="nil"/>
            </w:tcBorders>
            <w:shd w:val="clear" w:color="468C5C" w:fill="468C5C"/>
            <w:noWrap/>
            <w:vAlign w:val="center"/>
            <w:hideMark/>
          </w:tcPr>
          <w:p w14:paraId="4271FB9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0.979</w:t>
            </w:r>
          </w:p>
        </w:tc>
        <w:tc>
          <w:tcPr>
            <w:tcW w:w="760" w:type="dxa"/>
            <w:tcBorders>
              <w:top w:val="nil"/>
              <w:left w:val="nil"/>
              <w:bottom w:val="nil"/>
              <w:right w:val="nil"/>
            </w:tcBorders>
            <w:shd w:val="clear" w:color="468C5C" w:fill="468C5C"/>
            <w:noWrap/>
            <w:vAlign w:val="center"/>
            <w:hideMark/>
          </w:tcPr>
          <w:p w14:paraId="29CCB04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0.991</w:t>
            </w:r>
          </w:p>
        </w:tc>
        <w:tc>
          <w:tcPr>
            <w:tcW w:w="760" w:type="dxa"/>
            <w:tcBorders>
              <w:top w:val="nil"/>
              <w:left w:val="nil"/>
              <w:bottom w:val="nil"/>
              <w:right w:val="nil"/>
            </w:tcBorders>
            <w:shd w:val="clear" w:color="468C5C" w:fill="468C5C"/>
            <w:noWrap/>
            <w:vAlign w:val="center"/>
            <w:hideMark/>
          </w:tcPr>
          <w:p w14:paraId="2C92B1DD"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0.981</w:t>
            </w:r>
          </w:p>
        </w:tc>
        <w:tc>
          <w:tcPr>
            <w:tcW w:w="760" w:type="dxa"/>
            <w:tcBorders>
              <w:top w:val="single" w:sz="4" w:space="0" w:color="auto"/>
              <w:left w:val="nil"/>
              <w:bottom w:val="nil"/>
              <w:right w:val="single" w:sz="4" w:space="0" w:color="auto"/>
            </w:tcBorders>
            <w:shd w:val="clear" w:color="468C5C" w:fill="468C5C"/>
            <w:noWrap/>
            <w:vAlign w:val="center"/>
            <w:hideMark/>
          </w:tcPr>
          <w:p w14:paraId="12BE359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261BA912"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1F370947" w14:textId="77777777" w:rsidTr="002F1EAE">
        <w:trPr>
          <w:trHeight w:val="276"/>
        </w:trPr>
        <w:tc>
          <w:tcPr>
            <w:tcW w:w="3400" w:type="dxa"/>
            <w:tcBorders>
              <w:top w:val="nil"/>
              <w:left w:val="single" w:sz="4" w:space="0" w:color="auto"/>
              <w:bottom w:val="single" w:sz="4" w:space="0" w:color="auto"/>
              <w:right w:val="single" w:sz="4" w:space="0" w:color="auto"/>
            </w:tcBorders>
            <w:shd w:val="clear" w:color="000000" w:fill="A9C6E4"/>
            <w:vAlign w:val="center"/>
            <w:hideMark/>
          </w:tcPr>
          <w:p w14:paraId="2890BB41"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(6) Fast realkapital, PIM-aa funksjon</w:t>
            </w:r>
          </w:p>
        </w:tc>
        <w:tc>
          <w:tcPr>
            <w:tcW w:w="760" w:type="dxa"/>
            <w:tcBorders>
              <w:top w:val="nil"/>
              <w:left w:val="nil"/>
              <w:bottom w:val="single" w:sz="4" w:space="0" w:color="auto"/>
              <w:right w:val="nil"/>
            </w:tcBorders>
            <w:shd w:val="clear" w:color="468C5C" w:fill="468C5C"/>
            <w:noWrap/>
            <w:vAlign w:val="center"/>
            <w:hideMark/>
          </w:tcPr>
          <w:p w14:paraId="536C787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0.975</w:t>
            </w:r>
          </w:p>
        </w:tc>
        <w:tc>
          <w:tcPr>
            <w:tcW w:w="760" w:type="dxa"/>
            <w:tcBorders>
              <w:top w:val="nil"/>
              <w:left w:val="nil"/>
              <w:bottom w:val="single" w:sz="4" w:space="0" w:color="auto"/>
              <w:right w:val="nil"/>
            </w:tcBorders>
            <w:shd w:val="clear" w:color="468C5C" w:fill="468C5C"/>
            <w:noWrap/>
            <w:vAlign w:val="center"/>
            <w:hideMark/>
          </w:tcPr>
          <w:p w14:paraId="03555A0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0.970</w:t>
            </w:r>
          </w:p>
        </w:tc>
        <w:tc>
          <w:tcPr>
            <w:tcW w:w="760" w:type="dxa"/>
            <w:tcBorders>
              <w:top w:val="nil"/>
              <w:left w:val="nil"/>
              <w:bottom w:val="single" w:sz="4" w:space="0" w:color="auto"/>
              <w:right w:val="nil"/>
            </w:tcBorders>
            <w:shd w:val="clear" w:color="468C5C" w:fill="468C5C"/>
            <w:noWrap/>
            <w:vAlign w:val="center"/>
            <w:hideMark/>
          </w:tcPr>
          <w:p w14:paraId="7C6A6865"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0.992</w:t>
            </w:r>
          </w:p>
        </w:tc>
        <w:tc>
          <w:tcPr>
            <w:tcW w:w="760" w:type="dxa"/>
            <w:tcBorders>
              <w:top w:val="nil"/>
              <w:left w:val="nil"/>
              <w:bottom w:val="single" w:sz="4" w:space="0" w:color="auto"/>
              <w:right w:val="nil"/>
            </w:tcBorders>
            <w:shd w:val="clear" w:color="468C5C" w:fill="468C5C"/>
            <w:noWrap/>
            <w:vAlign w:val="center"/>
            <w:hideMark/>
          </w:tcPr>
          <w:p w14:paraId="1933E5F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0.989</w:t>
            </w:r>
          </w:p>
        </w:tc>
        <w:tc>
          <w:tcPr>
            <w:tcW w:w="760" w:type="dxa"/>
            <w:tcBorders>
              <w:top w:val="nil"/>
              <w:left w:val="nil"/>
              <w:bottom w:val="single" w:sz="4" w:space="0" w:color="auto"/>
              <w:right w:val="nil"/>
            </w:tcBorders>
            <w:shd w:val="clear" w:color="468C5C" w:fill="468C5C"/>
            <w:noWrap/>
            <w:vAlign w:val="center"/>
            <w:hideMark/>
          </w:tcPr>
          <w:p w14:paraId="7709846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0.997</w:t>
            </w:r>
          </w:p>
        </w:tc>
        <w:tc>
          <w:tcPr>
            <w:tcW w:w="760" w:type="dxa"/>
            <w:tcBorders>
              <w:top w:val="single" w:sz="4" w:space="0" w:color="auto"/>
              <w:left w:val="nil"/>
              <w:bottom w:val="single" w:sz="4" w:space="0" w:color="auto"/>
              <w:right w:val="single" w:sz="4" w:space="0" w:color="auto"/>
            </w:tcBorders>
            <w:shd w:val="clear" w:color="468C5C" w:fill="468C5C"/>
            <w:noWrap/>
            <w:vAlign w:val="center"/>
            <w:hideMark/>
          </w:tcPr>
          <w:p w14:paraId="4329373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r>
    </w:tbl>
    <w:p w14:paraId="48461799" w14:textId="2A5D2C9B" w:rsidR="00BE0447" w:rsidRPr="0055149C" w:rsidRDefault="00A47F7A" w:rsidP="00BE0447">
      <w:pPr>
        <w:pStyle w:val="Billedtekst-forklaring"/>
        <w:ind w:left="0" w:firstLine="0"/>
        <w:rPr>
          <w:shd w:val="clear" w:color="auto" w:fill="468C5C" w:themeFill="accent6"/>
          <w:lang w:eastAsia="nb-NO"/>
        </w:rPr>
      </w:pPr>
      <w:r>
        <w:t>I f</w:t>
      </w:r>
      <w:r w:rsidR="000E08F8" w:rsidRPr="0055149C">
        <w:t xml:space="preserve">orkortelsene dd, ad, da og aa angir </w:t>
      </w:r>
      <w:r w:rsidR="00BE0447" w:rsidRPr="0055149C">
        <w:t xml:space="preserve">første og andre bokstav om henholdsvis kapitaldeflatorene og depresieringsratene er aggregerte (a) eller disaggregerte (d). Angivelse av fargekoder for korrelasjonskoeffisientene: </w:t>
      </w:r>
      <w:r w:rsidR="00BE0447" w:rsidRPr="0055149C">
        <w:rPr>
          <w:shd w:val="clear" w:color="auto" w:fill="A60E24" w:themeFill="accent5"/>
          <w:lang w:eastAsia="nb-NO"/>
        </w:rPr>
        <w:t>(-1,00)-(-0,90)</w:t>
      </w:r>
      <w:r w:rsidR="00BE0447" w:rsidRPr="0055149C">
        <w:rPr>
          <w:lang w:eastAsia="nb-NO"/>
        </w:rPr>
        <w:t xml:space="preserve">, </w:t>
      </w:r>
      <w:r w:rsidR="00BE0447" w:rsidRPr="0055149C">
        <w:rPr>
          <w:shd w:val="clear" w:color="auto" w:fill="EF485F" w:themeFill="accent5" w:themeFillTint="99"/>
          <w:lang w:eastAsia="nb-NO"/>
        </w:rPr>
        <w:t>(-0,90)-(-0,75)</w:t>
      </w:r>
      <w:r w:rsidR="00BE0447" w:rsidRPr="0055149C">
        <w:rPr>
          <w:lang w:eastAsia="nb-NO"/>
        </w:rPr>
        <w:t xml:space="preserve">, </w:t>
      </w:r>
      <w:r w:rsidR="00BE0447" w:rsidRPr="0055149C">
        <w:rPr>
          <w:shd w:val="clear" w:color="auto" w:fill="F48594" w:themeFill="accent5" w:themeFillTint="66"/>
          <w:lang w:eastAsia="nb-NO"/>
        </w:rPr>
        <w:t>(-0,75)-(-0,50)</w:t>
      </w:r>
      <w:r w:rsidR="00BE0447" w:rsidRPr="0055149C">
        <w:rPr>
          <w:lang w:eastAsia="nb-NO"/>
        </w:rPr>
        <w:t xml:space="preserve">, </w:t>
      </w:r>
      <w:r w:rsidR="00BE0447" w:rsidRPr="0055149C">
        <w:rPr>
          <w:shd w:val="clear" w:color="auto" w:fill="FAC2C9" w:themeFill="accent5" w:themeFillTint="33"/>
          <w:lang w:eastAsia="nb-NO"/>
        </w:rPr>
        <w:t>(-0,50)-(-0,25)</w:t>
      </w:r>
      <w:r w:rsidR="00BE0447" w:rsidRPr="0055149C">
        <w:rPr>
          <w:lang w:eastAsia="nb-NO"/>
        </w:rPr>
        <w:t xml:space="preserve">, </w:t>
      </w:r>
      <w:r w:rsidR="00BE0447" w:rsidRPr="0055149C">
        <w:rPr>
          <w:shd w:val="clear" w:color="auto" w:fill="FABF8F" w:themeFill="accent4" w:themeFillTint="99"/>
          <w:lang w:eastAsia="nb-NO"/>
        </w:rPr>
        <w:t>(-0,25)-(-0,10</w:t>
      </w:r>
      <w:r w:rsidR="00BE0447" w:rsidRPr="0055149C">
        <w:rPr>
          <w:shd w:val="clear" w:color="auto" w:fill="FBD4B4"/>
          <w:lang w:eastAsia="nb-NO"/>
        </w:rPr>
        <w:t>)</w:t>
      </w:r>
      <w:r w:rsidR="00BE0447" w:rsidRPr="0055149C">
        <w:rPr>
          <w:lang w:eastAsia="nb-NO"/>
        </w:rPr>
        <w:t xml:space="preserve">, </w:t>
      </w:r>
      <w:r w:rsidR="00BE0447" w:rsidRPr="0055149C">
        <w:rPr>
          <w:shd w:val="clear" w:color="auto" w:fill="FBD4B4" w:themeFill="accent4" w:themeFillTint="66"/>
          <w:lang w:eastAsia="nb-NO"/>
        </w:rPr>
        <w:t>(-0,10)-(-0,00)</w:t>
      </w:r>
      <w:r w:rsidR="00BE0447" w:rsidRPr="0055149C">
        <w:rPr>
          <w:lang w:eastAsia="nb-NO"/>
        </w:rPr>
        <w:t>,</w:t>
      </w:r>
      <w:r w:rsidR="00BE0447" w:rsidRPr="0055149C">
        <w:t xml:space="preserve"> </w:t>
      </w:r>
      <w:r w:rsidR="00BE0447" w:rsidRPr="0055149C">
        <w:rPr>
          <w:shd w:val="clear" w:color="auto" w:fill="CCCC00"/>
          <w:lang w:eastAsia="nb-NO"/>
        </w:rPr>
        <w:t>0.00-0,10</w:t>
      </w:r>
      <w:r w:rsidR="00BE0447" w:rsidRPr="0055149C">
        <w:rPr>
          <w:lang w:eastAsia="nb-NO"/>
        </w:rPr>
        <w:t xml:space="preserve">, </w:t>
      </w:r>
      <w:r w:rsidR="00BE0447" w:rsidRPr="0055149C">
        <w:rPr>
          <w:shd w:val="clear" w:color="auto" w:fill="FFFF99"/>
          <w:lang w:eastAsia="nb-NO"/>
        </w:rPr>
        <w:t>0,10-0,25</w:t>
      </w:r>
      <w:r w:rsidR="00BE0447" w:rsidRPr="0055149C">
        <w:rPr>
          <w:lang w:eastAsia="nb-NO"/>
        </w:rPr>
        <w:t xml:space="preserve">, </w:t>
      </w:r>
      <w:r w:rsidR="00BE0447" w:rsidRPr="0055149C">
        <w:rPr>
          <w:shd w:val="clear" w:color="auto" w:fill="D7EBDD" w:themeFill="accent6" w:themeFillTint="33"/>
          <w:lang w:eastAsia="nb-NO"/>
        </w:rPr>
        <w:t>0.25-0,50</w:t>
      </w:r>
      <w:r w:rsidR="00BE0447" w:rsidRPr="0055149C">
        <w:rPr>
          <w:lang w:eastAsia="nb-NO"/>
        </w:rPr>
        <w:t xml:space="preserve">, </w:t>
      </w:r>
      <w:r w:rsidR="00BE0447" w:rsidRPr="0055149C">
        <w:rPr>
          <w:shd w:val="clear" w:color="auto" w:fill="AFD7BB" w:themeFill="accent6" w:themeFillTint="66"/>
          <w:lang w:eastAsia="nb-NO"/>
        </w:rPr>
        <w:t>0,50-0,75</w:t>
      </w:r>
      <w:r w:rsidR="00BE0447" w:rsidRPr="0055149C">
        <w:rPr>
          <w:lang w:eastAsia="nb-NO"/>
        </w:rPr>
        <w:t xml:space="preserve">, </w:t>
      </w:r>
      <w:r w:rsidR="00BE0447" w:rsidRPr="0055149C">
        <w:rPr>
          <w:shd w:val="clear" w:color="auto" w:fill="87C399" w:themeFill="accent6" w:themeFillTint="99"/>
          <w:lang w:eastAsia="nb-NO"/>
        </w:rPr>
        <w:t>0,75-0,90</w:t>
      </w:r>
      <w:r w:rsidR="00BE0447" w:rsidRPr="0055149C">
        <w:rPr>
          <w:lang w:eastAsia="nb-NO"/>
        </w:rPr>
        <w:t xml:space="preserve"> og </w:t>
      </w:r>
      <w:r w:rsidR="00BE0447" w:rsidRPr="0055149C">
        <w:rPr>
          <w:shd w:val="clear" w:color="auto" w:fill="468C5C" w:themeFill="accent6"/>
          <w:lang w:eastAsia="nb-NO"/>
        </w:rPr>
        <w:t>0,90-1,00</w:t>
      </w:r>
    </w:p>
    <w:p w14:paraId="44041AB4" w14:textId="77777777" w:rsidR="00BE0447" w:rsidRPr="0055149C" w:rsidRDefault="00BE0447" w:rsidP="00BE0447">
      <w:pPr>
        <w:pStyle w:val="Source"/>
        <w:rPr>
          <w:lang w:eastAsia="nb-NO"/>
        </w:rPr>
      </w:pPr>
      <w:r w:rsidRPr="0055149C">
        <w:rPr>
          <w:lang w:eastAsia="nb-NO"/>
        </w:rPr>
        <w:t>Kilde: Vista Analyse</w:t>
      </w:r>
    </w:p>
    <w:p w14:paraId="3F501F5D" w14:textId="7EAEF368" w:rsidR="00DB1B2D" w:rsidRPr="0055149C" w:rsidRDefault="00F67D9F" w:rsidP="00ED5A00">
      <w:pPr>
        <w:rPr>
          <w:lang w:eastAsia="nb-NO"/>
        </w:rPr>
      </w:pPr>
      <w:r w:rsidRPr="0055149C">
        <w:rPr>
          <w:lang w:eastAsia="nb-NO"/>
        </w:rPr>
        <w:fldChar w:fldCharType="begin"/>
      </w:r>
      <w:r w:rsidRPr="0055149C">
        <w:rPr>
          <w:lang w:eastAsia="nb-NO"/>
        </w:rPr>
        <w:instrText xml:space="preserve"> REF _Ref168349760 </w:instrText>
      </w:r>
      <w:r w:rsidRPr="0055149C">
        <w:rPr>
          <w:lang w:eastAsia="nb-NO"/>
        </w:rPr>
        <w:fldChar w:fldCharType="separate"/>
      </w:r>
      <w:r w:rsidR="009B1DA8" w:rsidRPr="0055149C">
        <w:t xml:space="preserve">Figur </w:t>
      </w:r>
      <w:r w:rsidR="009B1DA8">
        <w:rPr>
          <w:noProof/>
        </w:rPr>
        <w:t>4</w:t>
      </w:r>
      <w:r w:rsidR="009B1DA8">
        <w:t>.</w:t>
      </w:r>
      <w:r w:rsidR="009B1DA8">
        <w:rPr>
          <w:noProof/>
        </w:rPr>
        <w:t>14</w:t>
      </w:r>
      <w:r w:rsidRPr="0055149C">
        <w:rPr>
          <w:lang w:eastAsia="nb-NO"/>
        </w:rPr>
        <w:fldChar w:fldCharType="end"/>
      </w:r>
      <w:r w:rsidR="002811C4" w:rsidRPr="0055149C">
        <w:rPr>
          <w:lang w:eastAsia="nb-NO"/>
        </w:rPr>
        <w:t xml:space="preserve"> </w:t>
      </w:r>
      <w:r w:rsidR="00BD005E" w:rsidRPr="0055149C">
        <w:rPr>
          <w:lang w:eastAsia="nb-NO"/>
        </w:rPr>
        <w:t xml:space="preserve">viser utviklingen i de ulike estimatene </w:t>
      </w:r>
      <w:r w:rsidR="003F4F03" w:rsidRPr="0055149C">
        <w:rPr>
          <w:lang w:eastAsia="nb-NO"/>
        </w:rPr>
        <w:t xml:space="preserve">for fylkeskommunenes realkapitalbeholdning fra 2003 til 2022. Figuren </w:t>
      </w:r>
      <w:r w:rsidR="001F2382">
        <w:rPr>
          <w:lang w:eastAsia="nb-NO"/>
        </w:rPr>
        <w:t>illustrerer</w:t>
      </w:r>
      <w:r w:rsidR="003F4F03" w:rsidRPr="0055149C">
        <w:rPr>
          <w:lang w:eastAsia="nb-NO"/>
        </w:rPr>
        <w:t xml:space="preserve"> i korte trekk at estimatene var relativt like fram til 2010, for deretter bli gradvis mer forskjellige.</w:t>
      </w:r>
      <w:r w:rsidR="002F75C7">
        <w:rPr>
          <w:lang w:eastAsia="nb-NO"/>
        </w:rPr>
        <w:t xml:space="preserve"> DM-estimatet har et negativt skift fra 2010 til 2011 med en tilsvarende innhentning fra 2011 til 2012. Noe tilsvarende er ikke synlig for PIM-estimatene. Fra 2021 til 2022 har PIM-estimatet basert på kapitalartene en langt mer negativ utvikling enn øvrige estimater.</w:t>
      </w:r>
    </w:p>
    <w:p w14:paraId="7C8FE306" w14:textId="4BA502BA" w:rsidR="00DB1B2D" w:rsidRPr="0055149C" w:rsidRDefault="00DB1B2D" w:rsidP="00DB1B2D">
      <w:pPr>
        <w:pStyle w:val="Bildetekst"/>
        <w:jc w:val="both"/>
      </w:pPr>
      <w:bookmarkStart w:id="112" w:name="_Ref168349760"/>
      <w:r w:rsidRPr="0055149C">
        <w:lastRenderedPageBreak/>
        <w:t xml:space="preserve">Figur </w:t>
      </w:r>
      <w:fldSimple w:instr=" STYLEREF 1 \s ">
        <w:r w:rsidR="009B1DA8">
          <w:rPr>
            <w:noProof/>
          </w:rPr>
          <w:t>4</w:t>
        </w:r>
      </w:fldSimple>
      <w:r w:rsidR="004B03E3">
        <w:t>.</w:t>
      </w:r>
      <w:fldSimple w:instr=" SEQ Figur \* ARABIC \s 1 ">
        <w:r w:rsidR="009B1DA8">
          <w:rPr>
            <w:noProof/>
          </w:rPr>
          <w:t>14</w:t>
        </w:r>
      </w:fldSimple>
      <w:bookmarkEnd w:id="112"/>
      <w:r w:rsidRPr="0055149C">
        <w:tab/>
        <w:t>Utvikling i</w:t>
      </w:r>
      <w:r w:rsidR="00BD005E" w:rsidRPr="0055149C">
        <w:t xml:space="preserve"> alternative mål for</w:t>
      </w:r>
      <w:r w:rsidRPr="0055149C">
        <w:t xml:space="preserve"> realkapitalbeholdningen i løpende priser i </w:t>
      </w:r>
      <w:r w:rsidR="00DE7F62" w:rsidRPr="0055149C">
        <w:t>fylkes</w:t>
      </w:r>
      <w:r w:rsidRPr="0055149C">
        <w:t>kommune fra 2003 til 2022</w:t>
      </w:r>
    </w:p>
    <w:p w14:paraId="37055F55" w14:textId="69784BC2" w:rsidR="00DB1B2D" w:rsidRPr="0055149C" w:rsidRDefault="00ED4CF9" w:rsidP="00F45E31">
      <w:pPr>
        <w:jc w:val="center"/>
        <w:rPr>
          <w:lang w:eastAsia="nb-NO"/>
        </w:rPr>
      </w:pPr>
      <w:r>
        <w:rPr>
          <w:noProof/>
          <w:lang w:val="en-US" w:eastAsia="en-US"/>
        </w:rPr>
        <w:drawing>
          <wp:inline distT="0" distB="0" distL="0" distR="0" wp14:anchorId="46FF35CE" wp14:editId="6485D949">
            <wp:extent cx="5364000" cy="3240000"/>
            <wp:effectExtent l="0" t="0" r="8255" b="0"/>
            <wp:docPr id="1606415716" name="Diagram 1">
              <a:extLst xmlns:a="http://schemas.openxmlformats.org/drawingml/2006/main">
                <a:ext uri="{FF2B5EF4-FFF2-40B4-BE49-F238E27FC236}">
                  <a16:creationId xmlns:a16="http://schemas.microsoft.com/office/drawing/2014/main" id="{B5A1318E-2081-4379-8C62-3176E723E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42706FC" w14:textId="05A35C71" w:rsidR="00DB1B2D" w:rsidRPr="0055149C" w:rsidRDefault="00A47F7A" w:rsidP="00DB1B2D">
      <w:pPr>
        <w:pStyle w:val="Billedtekst-forklaring"/>
        <w:ind w:left="0" w:firstLine="0"/>
        <w:rPr>
          <w:shd w:val="clear" w:color="auto" w:fill="468C5C" w:themeFill="accent6"/>
          <w:lang w:eastAsia="nb-NO"/>
        </w:rPr>
      </w:pPr>
      <w:r>
        <w:t>I f</w:t>
      </w:r>
      <w:r w:rsidR="000E08F8" w:rsidRPr="0055149C">
        <w:t xml:space="preserve">orkortelsene dd, ad, da og aa angir </w:t>
      </w:r>
      <w:r w:rsidR="00DB1B2D" w:rsidRPr="0055149C">
        <w:t>første og andre bokstav om henholdsvis kapitaldeflatorene og depresieringsratene er aggregerte (a) eller disaggregerte (d).</w:t>
      </w:r>
    </w:p>
    <w:p w14:paraId="0F078E8F" w14:textId="419BC385" w:rsidR="00ED5A00" w:rsidRPr="0055149C" w:rsidRDefault="00DB1B2D" w:rsidP="00DB1B2D">
      <w:pPr>
        <w:pStyle w:val="Source"/>
        <w:rPr>
          <w:lang w:eastAsia="nb-NO"/>
        </w:rPr>
      </w:pPr>
      <w:r w:rsidRPr="0055149C">
        <w:rPr>
          <w:lang w:eastAsia="nb-NO"/>
        </w:rPr>
        <w:t>Kilde: Vista Analyse</w:t>
      </w:r>
    </w:p>
    <w:p w14:paraId="51C375EE" w14:textId="7D2D8AE2" w:rsidR="00AA027F" w:rsidRPr="0055149C" w:rsidRDefault="001F36CD" w:rsidP="000E08F8">
      <w:pPr>
        <w:pStyle w:val="Overskrift4"/>
        <w:numPr>
          <w:ilvl w:val="0"/>
          <w:numId w:val="0"/>
        </w:numPr>
      </w:pPr>
      <w:r w:rsidRPr="0055149C">
        <w:t>Kommunal sektor samlet</w:t>
      </w:r>
    </w:p>
    <w:p w14:paraId="2CFBBD84" w14:textId="5AC751EB" w:rsidR="008B5995" w:rsidRDefault="00A21E6A" w:rsidP="0098037B">
      <w:pPr>
        <w:rPr>
          <w:color w:val="auto"/>
          <w:lang w:eastAsia="nb-NO"/>
        </w:rPr>
      </w:pPr>
      <w:r w:rsidRPr="0055149C">
        <w:rPr>
          <w:color w:val="auto"/>
          <w:lang w:eastAsia="nb-NO"/>
        </w:rPr>
        <w:t>Samlet sett varierer våre estimater for realkapitalbeholdningen</w:t>
      </w:r>
      <w:r w:rsidR="0080235F" w:rsidRPr="0055149C">
        <w:rPr>
          <w:color w:val="auto"/>
          <w:lang w:eastAsia="nb-NO"/>
        </w:rPr>
        <w:t xml:space="preserve"> </w:t>
      </w:r>
      <w:r w:rsidR="000E3464" w:rsidRPr="0055149C">
        <w:rPr>
          <w:color w:val="auto"/>
          <w:lang w:eastAsia="nb-NO"/>
        </w:rPr>
        <w:t xml:space="preserve">inkludert tomter i kommunal sektor i 2022 </w:t>
      </w:r>
      <w:r w:rsidR="00FD4E73">
        <w:rPr>
          <w:color w:val="auto"/>
          <w:lang w:eastAsia="nb-NO"/>
        </w:rPr>
        <w:t>fra</w:t>
      </w:r>
      <w:r w:rsidR="00FD4E73" w:rsidRPr="0055149C">
        <w:rPr>
          <w:color w:val="auto"/>
          <w:lang w:eastAsia="nb-NO"/>
        </w:rPr>
        <w:t xml:space="preserve"> </w:t>
      </w:r>
      <w:r w:rsidR="00200D78" w:rsidRPr="0055149C">
        <w:rPr>
          <w:color w:val="auto"/>
          <w:lang w:eastAsia="nb-NO"/>
        </w:rPr>
        <w:t>1,</w:t>
      </w:r>
      <w:r w:rsidR="00B97749" w:rsidRPr="0055149C">
        <w:rPr>
          <w:color w:val="auto"/>
          <w:lang w:eastAsia="nb-NO"/>
        </w:rPr>
        <w:t>05</w:t>
      </w:r>
      <w:r w:rsidR="00200D78" w:rsidRPr="0055149C">
        <w:rPr>
          <w:color w:val="auto"/>
          <w:lang w:eastAsia="nb-NO"/>
        </w:rPr>
        <w:t xml:space="preserve"> </w:t>
      </w:r>
      <w:r w:rsidR="0098037B" w:rsidRPr="0055149C">
        <w:rPr>
          <w:color w:val="auto"/>
          <w:lang w:eastAsia="nb-NO"/>
        </w:rPr>
        <w:t xml:space="preserve">billioner kroner </w:t>
      </w:r>
      <w:r w:rsidR="008B5995">
        <w:rPr>
          <w:color w:val="auto"/>
          <w:lang w:eastAsia="nb-NO"/>
        </w:rPr>
        <w:t xml:space="preserve">ved DM </w:t>
      </w:r>
      <w:r w:rsidR="0098037B" w:rsidRPr="0055149C">
        <w:rPr>
          <w:color w:val="auto"/>
          <w:lang w:eastAsia="nb-NO"/>
        </w:rPr>
        <w:t>og i spennet 1,</w:t>
      </w:r>
      <w:r w:rsidR="008B5995">
        <w:rPr>
          <w:color w:val="auto"/>
          <w:lang w:eastAsia="nb-NO"/>
        </w:rPr>
        <w:t>65</w:t>
      </w:r>
      <w:r w:rsidR="0098037B" w:rsidRPr="0055149C">
        <w:rPr>
          <w:color w:val="auto"/>
          <w:lang w:eastAsia="nb-NO"/>
        </w:rPr>
        <w:t xml:space="preserve"> til 1,</w:t>
      </w:r>
      <w:r w:rsidR="008B5995">
        <w:rPr>
          <w:color w:val="auto"/>
          <w:lang w:eastAsia="nb-NO"/>
        </w:rPr>
        <w:t>83</w:t>
      </w:r>
      <w:r w:rsidR="0098037B" w:rsidRPr="0055149C">
        <w:rPr>
          <w:color w:val="auto"/>
          <w:lang w:eastAsia="nb-NO"/>
        </w:rPr>
        <w:t xml:space="preserve"> billioner kroner baser</w:t>
      </w:r>
      <w:r w:rsidR="00FD4E73">
        <w:rPr>
          <w:color w:val="auto"/>
          <w:lang w:eastAsia="nb-NO"/>
        </w:rPr>
        <w:t>t</w:t>
      </w:r>
      <w:r w:rsidR="0098037B" w:rsidRPr="0055149C">
        <w:rPr>
          <w:color w:val="auto"/>
          <w:lang w:eastAsia="nb-NO"/>
        </w:rPr>
        <w:t xml:space="preserve"> på PIM.</w:t>
      </w:r>
      <w:r w:rsidR="00393777" w:rsidRPr="0055149C">
        <w:rPr>
          <w:color w:val="auto"/>
          <w:lang w:eastAsia="nb-NO"/>
        </w:rPr>
        <w:t xml:space="preserve"> </w:t>
      </w:r>
      <w:r w:rsidR="002D16A1" w:rsidRPr="0055149C">
        <w:rPr>
          <w:color w:val="auto"/>
          <w:lang w:eastAsia="nb-NO"/>
        </w:rPr>
        <w:t xml:space="preserve">Til sammenlikning har Statistisk sentralbyrå i </w:t>
      </w:r>
      <w:r w:rsidR="005B31F3" w:rsidRPr="0055149C">
        <w:rPr>
          <w:color w:val="auto"/>
          <w:lang w:eastAsia="nb-NO"/>
        </w:rPr>
        <w:t>nasjonalregnskap</w:t>
      </w:r>
      <w:r w:rsidR="002D16A1" w:rsidRPr="0055149C">
        <w:rPr>
          <w:color w:val="auto"/>
          <w:lang w:eastAsia="nb-NO"/>
        </w:rPr>
        <w:t xml:space="preserve">et anslått </w:t>
      </w:r>
      <w:r w:rsidR="006B5F29" w:rsidRPr="0055149C">
        <w:rPr>
          <w:color w:val="auto"/>
          <w:lang w:eastAsia="nb-NO"/>
        </w:rPr>
        <w:t>realkapitalmassen ek</w:t>
      </w:r>
      <w:r w:rsidR="00393777" w:rsidRPr="0055149C">
        <w:rPr>
          <w:color w:val="auto"/>
          <w:lang w:eastAsia="nb-NO"/>
        </w:rPr>
        <w:t xml:space="preserve">skludert tomter i </w:t>
      </w:r>
      <w:r w:rsidR="002D16A1" w:rsidRPr="0055149C">
        <w:rPr>
          <w:color w:val="auto"/>
          <w:lang w:eastAsia="nb-NO"/>
        </w:rPr>
        <w:t xml:space="preserve">kommunal sektor </w:t>
      </w:r>
      <w:r w:rsidR="00FA54BC" w:rsidRPr="0055149C">
        <w:rPr>
          <w:color w:val="auto"/>
          <w:lang w:eastAsia="nb-NO"/>
        </w:rPr>
        <w:t xml:space="preserve">i 2022 til </w:t>
      </w:r>
      <w:r w:rsidR="0085753D" w:rsidRPr="0055149C">
        <w:rPr>
          <w:color w:val="auto"/>
          <w:lang w:eastAsia="nb-NO"/>
        </w:rPr>
        <w:t>1,6</w:t>
      </w:r>
      <w:r w:rsidR="008B5995">
        <w:rPr>
          <w:color w:val="auto"/>
          <w:lang w:eastAsia="nb-NO"/>
        </w:rPr>
        <w:t>6</w:t>
      </w:r>
      <w:r w:rsidR="00FA54BC" w:rsidRPr="0055149C">
        <w:rPr>
          <w:color w:val="auto"/>
          <w:lang w:eastAsia="nb-NO"/>
        </w:rPr>
        <w:t xml:space="preserve"> billioner kroner</w:t>
      </w:r>
      <w:r w:rsidR="00697536" w:rsidRPr="0055149C">
        <w:rPr>
          <w:color w:val="auto"/>
          <w:lang w:eastAsia="nb-NO"/>
        </w:rPr>
        <w:t xml:space="preserve"> basert på PIM med både disaggregerte </w:t>
      </w:r>
      <w:r w:rsidR="00A577FD" w:rsidRPr="0055149C">
        <w:rPr>
          <w:color w:val="auto"/>
          <w:lang w:eastAsia="nb-NO"/>
        </w:rPr>
        <w:t>kapital</w:t>
      </w:r>
      <w:r w:rsidR="00697536" w:rsidRPr="0055149C">
        <w:rPr>
          <w:color w:val="auto"/>
          <w:lang w:eastAsia="nb-NO"/>
        </w:rPr>
        <w:t>arter og funksjoner</w:t>
      </w:r>
      <w:r w:rsidR="00FA54BC" w:rsidRPr="0055149C">
        <w:rPr>
          <w:color w:val="auto"/>
          <w:lang w:eastAsia="nb-NO"/>
        </w:rPr>
        <w:t>.</w:t>
      </w:r>
      <w:r w:rsidR="00003DCD" w:rsidRPr="0055149C">
        <w:rPr>
          <w:color w:val="auto"/>
          <w:lang w:eastAsia="nb-NO"/>
        </w:rPr>
        <w:t xml:space="preserve"> </w:t>
      </w:r>
      <w:r w:rsidR="0098037B" w:rsidRPr="0055149C">
        <w:rPr>
          <w:color w:val="auto"/>
          <w:lang w:eastAsia="nb-NO"/>
        </w:rPr>
        <w:t xml:space="preserve">Tilsynelatende er dermed estimatene ganske like. </w:t>
      </w:r>
    </w:p>
    <w:p w14:paraId="475EC260" w14:textId="2C9F5172" w:rsidR="00003DCD" w:rsidRDefault="00BF189E" w:rsidP="0098037B">
      <w:pPr>
        <w:rPr>
          <w:color w:val="auto"/>
          <w:lang w:eastAsia="nb-NO"/>
        </w:rPr>
      </w:pPr>
      <w:r>
        <w:rPr>
          <w:color w:val="auto"/>
          <w:lang w:eastAsia="nb-NO"/>
        </w:rPr>
        <w:t>A</w:t>
      </w:r>
      <w:r w:rsidR="003D4794" w:rsidRPr="0055149C">
        <w:rPr>
          <w:color w:val="auto"/>
          <w:lang w:eastAsia="nb-NO"/>
        </w:rPr>
        <w:t xml:space="preserve">v </w:t>
      </w:r>
      <w:r w:rsidR="0098037B" w:rsidRPr="0055149C">
        <w:rPr>
          <w:color w:val="auto"/>
          <w:lang w:eastAsia="nb-NO"/>
        </w:rPr>
        <w:t xml:space="preserve">kapitalmassen i </w:t>
      </w:r>
      <w:r w:rsidR="005B31F3" w:rsidRPr="0055149C">
        <w:rPr>
          <w:color w:val="auto"/>
          <w:lang w:eastAsia="nb-NO"/>
        </w:rPr>
        <w:t>n</w:t>
      </w:r>
      <w:r w:rsidR="0098037B" w:rsidRPr="0055149C">
        <w:rPr>
          <w:color w:val="auto"/>
          <w:lang w:eastAsia="nb-NO"/>
        </w:rPr>
        <w:t>asjonalregnskap</w:t>
      </w:r>
      <w:r w:rsidR="005B31F3" w:rsidRPr="0055149C">
        <w:rPr>
          <w:color w:val="auto"/>
          <w:lang w:eastAsia="nb-NO"/>
        </w:rPr>
        <w:t xml:space="preserve">et </w:t>
      </w:r>
      <w:r w:rsidR="0098037B" w:rsidRPr="0055149C">
        <w:rPr>
          <w:color w:val="auto"/>
          <w:lang w:eastAsia="nb-NO"/>
        </w:rPr>
        <w:t>er imidlertid</w:t>
      </w:r>
      <w:r w:rsidR="003D4794" w:rsidRPr="0055149C">
        <w:rPr>
          <w:color w:val="auto"/>
          <w:lang w:eastAsia="nb-NO"/>
        </w:rPr>
        <w:t xml:space="preserve"> 98,</w:t>
      </w:r>
      <w:r w:rsidR="00003DCD" w:rsidRPr="0055149C">
        <w:rPr>
          <w:color w:val="auto"/>
          <w:lang w:eastAsia="nb-NO"/>
        </w:rPr>
        <w:t xml:space="preserve">2 </w:t>
      </w:r>
      <w:r w:rsidR="0003460F" w:rsidRPr="0055149C">
        <w:rPr>
          <w:color w:val="auto"/>
          <w:lang w:eastAsia="nb-NO"/>
        </w:rPr>
        <w:t xml:space="preserve">prosent </w:t>
      </w:r>
      <w:r w:rsidR="00003DCD" w:rsidRPr="0055149C">
        <w:rPr>
          <w:color w:val="auto"/>
          <w:lang w:eastAsia="nb-NO"/>
        </w:rPr>
        <w:t xml:space="preserve">bygg og anlegg, hvilket er vesentlig høyere enn </w:t>
      </w:r>
      <w:r w:rsidR="006E0852" w:rsidRPr="0055149C">
        <w:rPr>
          <w:color w:val="auto"/>
          <w:lang w:eastAsia="nb-NO"/>
        </w:rPr>
        <w:t xml:space="preserve">hva </w:t>
      </w:r>
      <w:r w:rsidR="008E7E43">
        <w:rPr>
          <w:color w:val="auto"/>
          <w:lang w:eastAsia="nb-NO"/>
        </w:rPr>
        <w:t>KOSTRA</w:t>
      </w:r>
      <w:r w:rsidR="006E0852" w:rsidRPr="0055149C">
        <w:rPr>
          <w:color w:val="auto"/>
          <w:lang w:eastAsia="nb-NO"/>
        </w:rPr>
        <w:t>-tallene tilsier, selv uten at tomter er medregnet</w:t>
      </w:r>
      <w:r w:rsidR="00003DCD" w:rsidRPr="0055149C">
        <w:rPr>
          <w:color w:val="auto"/>
          <w:lang w:eastAsia="nb-NO"/>
        </w:rPr>
        <w:t>.</w:t>
      </w:r>
      <w:r w:rsidR="00913208" w:rsidRPr="0055149C">
        <w:rPr>
          <w:color w:val="auto"/>
          <w:lang w:eastAsia="nb-NO"/>
        </w:rPr>
        <w:t xml:space="preserve"> Dersom tomter står for om lag 35 prosent av eiendomsverdien i gjennomsnitt,</w:t>
      </w:r>
      <w:r w:rsidR="00521EF7" w:rsidRPr="0055149C">
        <w:rPr>
          <w:color w:val="auto"/>
          <w:lang w:eastAsia="nb-NO"/>
        </w:rPr>
        <w:t xml:space="preserve"> til</w:t>
      </w:r>
      <w:r w:rsidR="00685DE5" w:rsidRPr="0055149C">
        <w:rPr>
          <w:color w:val="auto"/>
          <w:lang w:eastAsia="nb-NO"/>
        </w:rPr>
        <w:t xml:space="preserve">svarer nasjonalregnskapstallene at realkapitalbeholdningen inkludert tomter er verdt </w:t>
      </w:r>
      <w:r w:rsidR="00BF34E7" w:rsidRPr="0055149C">
        <w:rPr>
          <w:color w:val="auto"/>
          <w:lang w:eastAsia="nb-NO"/>
        </w:rPr>
        <w:t xml:space="preserve">2,26 </w:t>
      </w:r>
      <w:r w:rsidR="0084645F">
        <w:rPr>
          <w:color w:val="auto"/>
          <w:lang w:eastAsia="nb-NO"/>
        </w:rPr>
        <w:t>billioner</w:t>
      </w:r>
      <w:r w:rsidR="00BF34E7" w:rsidRPr="0055149C">
        <w:rPr>
          <w:color w:val="auto"/>
          <w:lang w:eastAsia="nb-NO"/>
        </w:rPr>
        <w:t xml:space="preserve"> kroner</w:t>
      </w:r>
      <w:r w:rsidR="00773E0E" w:rsidRPr="0055149C">
        <w:rPr>
          <w:color w:val="auto"/>
          <w:lang w:eastAsia="nb-NO"/>
        </w:rPr>
        <w:t xml:space="preserve">, altså </w:t>
      </w:r>
      <w:r w:rsidR="0098037B" w:rsidRPr="0055149C">
        <w:rPr>
          <w:color w:val="auto"/>
          <w:lang w:eastAsia="nb-NO"/>
        </w:rPr>
        <w:t>vesentlig høyere enn våre estimater</w:t>
      </w:r>
      <w:r w:rsidR="00EE5BEE" w:rsidRPr="0055149C">
        <w:rPr>
          <w:color w:val="auto"/>
          <w:lang w:eastAsia="nb-NO"/>
        </w:rPr>
        <w:t>.</w:t>
      </w:r>
      <w:r w:rsidR="008B5995">
        <w:rPr>
          <w:color w:val="auto"/>
          <w:lang w:eastAsia="nb-NO"/>
        </w:rPr>
        <w:t xml:space="preserve"> Vi referer</w:t>
      </w:r>
      <w:r w:rsidR="00393697">
        <w:rPr>
          <w:color w:val="auto"/>
          <w:lang w:eastAsia="nb-NO"/>
        </w:rPr>
        <w:t>er</w:t>
      </w:r>
      <w:r w:rsidR="008B5995">
        <w:rPr>
          <w:color w:val="auto"/>
          <w:lang w:eastAsia="nb-NO"/>
        </w:rPr>
        <w:t xml:space="preserve"> til delseksjonen om andeler av kapitalbeholdningen for mer om denne problemstillingen.</w:t>
      </w:r>
    </w:p>
    <w:p w14:paraId="6B757083" w14:textId="1F628DB6" w:rsidR="00136024" w:rsidRDefault="00136024" w:rsidP="00136024">
      <w:pPr>
        <w:rPr>
          <w:color w:val="auto"/>
          <w:lang w:eastAsia="nb-NO"/>
        </w:rPr>
      </w:pPr>
      <w:r>
        <w:rPr>
          <w:color w:val="auto"/>
          <w:lang w:eastAsia="nb-NO"/>
        </w:rPr>
        <w:t>Siden vi er interessert i hele eiendomsmassen og ikke bare bygg- og anleggskomponenten, har vi benyttet eiendomsdeflatorer istedenfor bygg- og anlegg</w:t>
      </w:r>
      <w:r w:rsidR="00975998">
        <w:rPr>
          <w:color w:val="auto"/>
          <w:lang w:eastAsia="nb-NO"/>
        </w:rPr>
        <w:t>s</w:t>
      </w:r>
      <w:r>
        <w:rPr>
          <w:color w:val="auto"/>
          <w:lang w:eastAsia="nb-NO"/>
        </w:rPr>
        <w:t xml:space="preserve">deflatorer, som ligger til grunn for Statistisk sentralbyrås nasjonalregnskap. På et aggregert nivå utvikler eiendomsprisene seg typisk noe mer aggressivt enn bygg- og anleggsdeflatorene, på grunn av relativt høy prisvekst i tomtekomponenten. Relativt aggressive deflatorer skulle imidlertid isolert sett innebåret at historiske investeringer verdsettes relativt høyt med dagens kroneverdi og ikke motsatt. Våre deflatorer tar utgangspunkt i den geografiske prisutviklingen og justeres deretter for næringsrelatert prisutvikling, jamfør seksjon </w:t>
      </w:r>
      <w:r>
        <w:rPr>
          <w:color w:val="auto"/>
          <w:lang w:eastAsia="nb-NO"/>
        </w:rPr>
        <w:fldChar w:fldCharType="begin"/>
      </w:r>
      <w:r>
        <w:rPr>
          <w:color w:val="auto"/>
          <w:lang w:eastAsia="nb-NO"/>
        </w:rPr>
        <w:instrText xml:space="preserve"> REF _Ref176556372 \r \h </w:instrText>
      </w:r>
      <w:r>
        <w:rPr>
          <w:color w:val="auto"/>
          <w:lang w:eastAsia="nb-NO"/>
        </w:rPr>
      </w:r>
      <w:r>
        <w:rPr>
          <w:color w:val="auto"/>
          <w:lang w:eastAsia="nb-NO"/>
        </w:rPr>
        <w:fldChar w:fldCharType="separate"/>
      </w:r>
      <w:r w:rsidR="009B1DA8">
        <w:rPr>
          <w:color w:val="auto"/>
          <w:lang w:eastAsia="nb-NO"/>
        </w:rPr>
        <w:t>3.1.2</w:t>
      </w:r>
      <w:r>
        <w:rPr>
          <w:color w:val="auto"/>
          <w:lang w:eastAsia="nb-NO"/>
        </w:rPr>
        <w:fldChar w:fldCharType="end"/>
      </w:r>
      <w:r>
        <w:rPr>
          <w:color w:val="auto"/>
          <w:lang w:eastAsia="nb-NO"/>
        </w:rPr>
        <w:t>.</w:t>
      </w:r>
    </w:p>
    <w:p w14:paraId="621FD4CD" w14:textId="7C6D6B9C" w:rsidR="00E43306" w:rsidRDefault="00B2408C" w:rsidP="00C63518">
      <w:pPr>
        <w:rPr>
          <w:color w:val="auto"/>
          <w:lang w:eastAsia="nb-NO"/>
        </w:rPr>
      </w:pPr>
      <w:r w:rsidRPr="0055149C">
        <w:rPr>
          <w:color w:val="auto"/>
          <w:lang w:eastAsia="nb-NO"/>
        </w:rPr>
        <w:lastRenderedPageBreak/>
        <w:t xml:space="preserve">En </w:t>
      </w:r>
      <w:r w:rsidR="008B5995">
        <w:rPr>
          <w:color w:val="auto"/>
          <w:lang w:eastAsia="nb-NO"/>
        </w:rPr>
        <w:t>viktig</w:t>
      </w:r>
      <w:r w:rsidRPr="0055149C">
        <w:rPr>
          <w:color w:val="auto"/>
          <w:lang w:eastAsia="nb-NO"/>
        </w:rPr>
        <w:t xml:space="preserve"> grunn til </w:t>
      </w:r>
      <w:r w:rsidR="00F1251A" w:rsidRPr="0055149C">
        <w:rPr>
          <w:color w:val="auto"/>
          <w:lang w:eastAsia="nb-NO"/>
        </w:rPr>
        <w:t xml:space="preserve">forskjeller i kapitalestimatene er utvilsomt at </w:t>
      </w:r>
      <w:r w:rsidR="008E7E43">
        <w:rPr>
          <w:color w:val="auto"/>
          <w:lang w:eastAsia="nb-NO"/>
        </w:rPr>
        <w:t>KOSTRA</w:t>
      </w:r>
      <w:r w:rsidR="00F1251A" w:rsidRPr="0055149C">
        <w:rPr>
          <w:color w:val="auto"/>
          <w:lang w:eastAsia="nb-NO"/>
        </w:rPr>
        <w:t>-tallene er verdsatt til historisk kost</w:t>
      </w:r>
      <w:r w:rsidR="00F01D9B" w:rsidRPr="0055149C">
        <w:rPr>
          <w:color w:val="auto"/>
          <w:lang w:eastAsia="nb-NO"/>
        </w:rPr>
        <w:t>.</w:t>
      </w:r>
      <w:r w:rsidR="00234013" w:rsidRPr="0055149C">
        <w:rPr>
          <w:color w:val="auto"/>
          <w:lang w:eastAsia="nb-NO"/>
        </w:rPr>
        <w:t xml:space="preserve"> Selv om våre PIM-data tar hensyn til kapitalens prisutvikling, </w:t>
      </w:r>
      <w:r w:rsidR="0054492E" w:rsidRPr="0055149C">
        <w:rPr>
          <w:color w:val="auto"/>
          <w:lang w:eastAsia="nb-NO"/>
        </w:rPr>
        <w:t xml:space="preserve">har vi ikke </w:t>
      </w:r>
      <w:r w:rsidR="00304C5E" w:rsidRPr="0055149C">
        <w:rPr>
          <w:color w:val="auto"/>
          <w:lang w:eastAsia="nb-NO"/>
        </w:rPr>
        <w:t>gjort forsøk på å oppjustere</w:t>
      </w:r>
      <w:r w:rsidR="00234013" w:rsidRPr="0055149C">
        <w:rPr>
          <w:color w:val="auto"/>
          <w:lang w:eastAsia="nb-NO"/>
        </w:rPr>
        <w:t xml:space="preserve"> de inngående kapital</w:t>
      </w:r>
      <w:r w:rsidR="00304C5E" w:rsidRPr="0055149C">
        <w:rPr>
          <w:color w:val="auto"/>
          <w:lang w:eastAsia="nb-NO"/>
        </w:rPr>
        <w:t>beholdningene. Som kjent ble disse verdiene satt nokså ad hoc i begynnelsen av 2000-tallet. På en annen side er store deler</w:t>
      </w:r>
      <w:r w:rsidR="00E43306" w:rsidRPr="0055149C">
        <w:rPr>
          <w:color w:val="auto"/>
          <w:lang w:eastAsia="nb-NO"/>
        </w:rPr>
        <w:t xml:space="preserve"> </w:t>
      </w:r>
      <w:r w:rsidR="00FD4E73">
        <w:rPr>
          <w:color w:val="auto"/>
          <w:lang w:eastAsia="nb-NO"/>
        </w:rPr>
        <w:t xml:space="preserve">av </w:t>
      </w:r>
      <w:r w:rsidR="00E43306" w:rsidRPr="0055149C">
        <w:rPr>
          <w:color w:val="auto"/>
          <w:lang w:eastAsia="nb-NO"/>
        </w:rPr>
        <w:t>disse kapitalverdiene avskrevet i dag og mange bygninger har også skiftet hender siden den gang.</w:t>
      </w:r>
      <w:r w:rsidR="003A7A0F" w:rsidRPr="0055149C">
        <w:rPr>
          <w:color w:val="auto"/>
          <w:lang w:eastAsia="nb-NO"/>
        </w:rPr>
        <w:t xml:space="preserve"> </w:t>
      </w:r>
      <w:r w:rsidR="00C16EAC" w:rsidRPr="0055149C">
        <w:rPr>
          <w:color w:val="auto"/>
          <w:lang w:eastAsia="nb-NO"/>
        </w:rPr>
        <w:t>Merk at i</w:t>
      </w:r>
      <w:r w:rsidR="00E43306" w:rsidRPr="0055149C">
        <w:rPr>
          <w:color w:val="auto"/>
          <w:lang w:eastAsia="nb-NO"/>
        </w:rPr>
        <w:t xml:space="preserve"> </w:t>
      </w:r>
      <w:r w:rsidR="00F33027" w:rsidRPr="0055149C">
        <w:rPr>
          <w:color w:val="auto"/>
          <w:lang w:eastAsia="nb-NO"/>
        </w:rPr>
        <w:t xml:space="preserve">analoge </w:t>
      </w:r>
      <w:r w:rsidR="00E43306" w:rsidRPr="0055149C">
        <w:rPr>
          <w:color w:val="auto"/>
          <w:lang w:eastAsia="nb-NO"/>
        </w:rPr>
        <w:t xml:space="preserve">sammenlikninger mellom </w:t>
      </w:r>
      <w:r w:rsidR="00F33027" w:rsidRPr="0055149C">
        <w:rPr>
          <w:color w:val="auto"/>
          <w:lang w:eastAsia="nb-NO"/>
        </w:rPr>
        <w:t xml:space="preserve">bygg- og anleggskapital </w:t>
      </w:r>
      <w:r w:rsidR="00B62F63" w:rsidRPr="0055149C">
        <w:rPr>
          <w:color w:val="auto"/>
          <w:lang w:eastAsia="nb-NO"/>
        </w:rPr>
        <w:t xml:space="preserve">eksklusive tomter </w:t>
      </w:r>
      <w:r w:rsidR="00F33027" w:rsidRPr="0055149C">
        <w:rPr>
          <w:color w:val="auto"/>
          <w:lang w:eastAsia="nb-NO"/>
        </w:rPr>
        <w:t xml:space="preserve">i </w:t>
      </w:r>
      <w:r w:rsidR="00354F2A" w:rsidRPr="0055149C">
        <w:rPr>
          <w:color w:val="auto"/>
          <w:lang w:eastAsia="nb-NO"/>
        </w:rPr>
        <w:t>n</w:t>
      </w:r>
      <w:r w:rsidR="00F33027" w:rsidRPr="0055149C">
        <w:rPr>
          <w:color w:val="auto"/>
          <w:lang w:eastAsia="nb-NO"/>
        </w:rPr>
        <w:t>asjonalregnskapet og eiendomsverdier</w:t>
      </w:r>
      <w:r w:rsidR="00B62F63" w:rsidRPr="0055149C">
        <w:rPr>
          <w:color w:val="auto"/>
          <w:lang w:eastAsia="nb-NO"/>
        </w:rPr>
        <w:t xml:space="preserve"> inklusive tomter</w:t>
      </w:r>
      <w:r w:rsidR="00F33027" w:rsidRPr="0055149C">
        <w:rPr>
          <w:color w:val="auto"/>
          <w:lang w:eastAsia="nb-NO"/>
        </w:rPr>
        <w:t xml:space="preserve"> i Foretaksregisteret i Brønnøysund</w:t>
      </w:r>
      <w:r w:rsidR="00111F40" w:rsidRPr="0055149C">
        <w:rPr>
          <w:color w:val="auto"/>
          <w:lang w:eastAsia="nb-NO"/>
        </w:rPr>
        <w:t xml:space="preserve"> </w:t>
      </w:r>
      <w:r w:rsidR="00354F2A" w:rsidRPr="0055149C">
        <w:rPr>
          <w:color w:val="auto"/>
          <w:lang w:eastAsia="nb-NO"/>
        </w:rPr>
        <w:t>er nasjonalregnskapstallene relativt høye</w:t>
      </w:r>
      <w:r w:rsidR="003A7A0F" w:rsidRPr="0055149C">
        <w:rPr>
          <w:color w:val="auto"/>
          <w:lang w:eastAsia="nb-NO"/>
        </w:rPr>
        <w:t xml:space="preserve"> sammenliknet med regnskapstallene etter at tomteverdier legges til </w:t>
      </w:r>
      <w:r w:rsidR="00E43306" w:rsidRPr="0055149C">
        <w:rPr>
          <w:color w:val="auto"/>
          <w:lang w:eastAsia="nb-NO"/>
        </w:rPr>
        <w:t>(se for eksempel Holmen 2022</w:t>
      </w:r>
      <w:r w:rsidR="007E0471">
        <w:rPr>
          <w:color w:val="auto"/>
          <w:lang w:eastAsia="nb-NO"/>
        </w:rPr>
        <w:t>a</w:t>
      </w:r>
      <w:r w:rsidR="00E43306" w:rsidRPr="0055149C">
        <w:rPr>
          <w:color w:val="auto"/>
          <w:lang w:eastAsia="nb-NO"/>
        </w:rPr>
        <w:t>)</w:t>
      </w:r>
      <w:r w:rsidR="003A7A0F" w:rsidRPr="0055149C">
        <w:rPr>
          <w:color w:val="auto"/>
          <w:lang w:eastAsia="nb-NO"/>
        </w:rPr>
        <w:t>.</w:t>
      </w:r>
    </w:p>
    <w:p w14:paraId="6CC7D104" w14:textId="63532E0D" w:rsidR="00F9272E" w:rsidRPr="0055149C" w:rsidRDefault="001F472C" w:rsidP="00C63518">
      <w:pPr>
        <w:rPr>
          <w:color w:val="auto"/>
          <w:lang w:eastAsia="nb-NO"/>
        </w:rPr>
      </w:pPr>
      <w:r w:rsidRPr="0055149C">
        <w:rPr>
          <w:color w:val="auto"/>
          <w:lang w:eastAsia="nb-NO"/>
        </w:rPr>
        <w:t xml:space="preserve">Det er naturligvis også andre grunner til at estimatene </w:t>
      </w:r>
      <w:r w:rsidR="003A1304" w:rsidRPr="0055149C">
        <w:rPr>
          <w:color w:val="auto"/>
          <w:lang w:eastAsia="nb-NO"/>
        </w:rPr>
        <w:t xml:space="preserve">for kapitalbeholdningen i kommunal sektor </w:t>
      </w:r>
      <w:r w:rsidR="0098037B" w:rsidRPr="0055149C">
        <w:rPr>
          <w:color w:val="auto"/>
          <w:lang w:eastAsia="nb-NO"/>
        </w:rPr>
        <w:t>avviker</w:t>
      </w:r>
      <w:r w:rsidRPr="0055149C">
        <w:rPr>
          <w:color w:val="auto"/>
          <w:lang w:eastAsia="nb-NO"/>
        </w:rPr>
        <w:t xml:space="preserve">. </w:t>
      </w:r>
      <w:r w:rsidR="00003607" w:rsidRPr="0055149C">
        <w:rPr>
          <w:color w:val="auto"/>
          <w:lang w:eastAsia="nb-NO"/>
        </w:rPr>
        <w:t>Statistisk sentralbyrås nasjonalregnskapsavdeling har tilgang til mer detaljerte</w:t>
      </w:r>
      <w:r w:rsidR="00F9272E" w:rsidRPr="0055149C">
        <w:rPr>
          <w:color w:val="auto"/>
          <w:lang w:eastAsia="nb-NO"/>
        </w:rPr>
        <w:t xml:space="preserve"> tall for kapitalsammensetningen i kommunal sektor enn vi</w:t>
      </w:r>
      <w:r w:rsidR="009F66B5" w:rsidRPr="0055149C">
        <w:rPr>
          <w:color w:val="auto"/>
          <w:lang w:eastAsia="nb-NO"/>
        </w:rPr>
        <w:t xml:space="preserve"> </w:t>
      </w:r>
      <w:r w:rsidR="005D5A92" w:rsidRPr="0055149C">
        <w:rPr>
          <w:color w:val="auto"/>
          <w:lang w:eastAsia="nb-NO"/>
        </w:rPr>
        <w:t>har</w:t>
      </w:r>
      <w:r w:rsidR="003E218E" w:rsidRPr="0055149C">
        <w:rPr>
          <w:color w:val="auto"/>
          <w:lang w:eastAsia="nb-NO"/>
        </w:rPr>
        <w:t>, samtidig som de foretar</w:t>
      </w:r>
      <w:r w:rsidR="0033206A" w:rsidRPr="0055149C">
        <w:rPr>
          <w:color w:val="auto"/>
          <w:lang w:eastAsia="nb-NO"/>
        </w:rPr>
        <w:t xml:space="preserve"> supplerende spørreundersøkelser som beriker </w:t>
      </w:r>
      <w:r w:rsidR="00697536" w:rsidRPr="0055149C">
        <w:rPr>
          <w:color w:val="auto"/>
          <w:lang w:eastAsia="nb-NO"/>
        </w:rPr>
        <w:t xml:space="preserve">grunnlaget for å anslå investeringstallene. </w:t>
      </w:r>
      <w:r w:rsidR="005A060F" w:rsidRPr="0055149C">
        <w:rPr>
          <w:color w:val="auto"/>
          <w:lang w:eastAsia="nb-NO"/>
        </w:rPr>
        <w:t xml:space="preserve">Innleie av realkapital vil kunne være med i </w:t>
      </w:r>
      <w:r w:rsidR="005B31F3" w:rsidRPr="0055149C">
        <w:rPr>
          <w:color w:val="auto"/>
          <w:lang w:eastAsia="nb-NO"/>
        </w:rPr>
        <w:t>nasjonalregnskap</w:t>
      </w:r>
      <w:r w:rsidR="005A060F" w:rsidRPr="0055149C">
        <w:rPr>
          <w:color w:val="auto"/>
          <w:lang w:eastAsia="nb-NO"/>
        </w:rPr>
        <w:t xml:space="preserve">sdataene, men vil være en del av </w:t>
      </w:r>
      <w:r w:rsidR="00CB5C43" w:rsidRPr="0055149C">
        <w:rPr>
          <w:color w:val="auto"/>
          <w:lang w:eastAsia="nb-NO"/>
        </w:rPr>
        <w:t>bruttodriftsutgift</w:t>
      </w:r>
      <w:r w:rsidR="005A060F" w:rsidRPr="0055149C">
        <w:rPr>
          <w:color w:val="auto"/>
          <w:lang w:eastAsia="nb-NO"/>
        </w:rPr>
        <w:t xml:space="preserve">ene i våre tall. </w:t>
      </w:r>
      <w:r w:rsidR="0080491B" w:rsidRPr="0055149C">
        <w:rPr>
          <w:color w:val="auto"/>
          <w:lang w:eastAsia="nb-NO"/>
        </w:rPr>
        <w:t xml:space="preserve">Ellers fanger varige driftsmidler og immaterielle eiendeler opp den vesentlige del </w:t>
      </w:r>
      <w:r w:rsidR="00862DB1">
        <w:rPr>
          <w:color w:val="auto"/>
          <w:lang w:eastAsia="nb-NO"/>
        </w:rPr>
        <w:t xml:space="preserve">av </w:t>
      </w:r>
      <w:r w:rsidR="0080491B" w:rsidRPr="0055149C">
        <w:rPr>
          <w:color w:val="auto"/>
          <w:lang w:eastAsia="nb-NO"/>
        </w:rPr>
        <w:t xml:space="preserve">kommunal sektors kapitalmasse. </w:t>
      </w:r>
      <w:r w:rsidR="00D02B77" w:rsidRPr="0055149C">
        <w:rPr>
          <w:color w:val="auto"/>
          <w:lang w:eastAsia="nb-NO"/>
        </w:rPr>
        <w:t>Forskjeller og n</w:t>
      </w:r>
      <w:r w:rsidR="003A1304" w:rsidRPr="0055149C">
        <w:rPr>
          <w:color w:val="auto"/>
          <w:lang w:eastAsia="nb-NO"/>
        </w:rPr>
        <w:t xml:space="preserve">yanser i </w:t>
      </w:r>
      <w:r w:rsidR="00D02B77" w:rsidRPr="0055149C">
        <w:rPr>
          <w:color w:val="auto"/>
          <w:lang w:eastAsia="nb-NO"/>
        </w:rPr>
        <w:t xml:space="preserve">dataene for realkapitalens prisutvikling </w:t>
      </w:r>
      <w:r w:rsidR="00A577FD" w:rsidRPr="0055149C">
        <w:rPr>
          <w:color w:val="auto"/>
          <w:lang w:eastAsia="nb-NO"/>
        </w:rPr>
        <w:t>og depresieringsrater</w:t>
      </w:r>
      <w:r w:rsidR="00E149F1" w:rsidRPr="0055149C">
        <w:rPr>
          <w:color w:val="auto"/>
          <w:lang w:eastAsia="nb-NO"/>
        </w:rPr>
        <w:t xml:space="preserve"> vil også virke inn på estimatene. Nedskrivninger inngår ikke i </w:t>
      </w:r>
      <w:r w:rsidR="008E7E43">
        <w:rPr>
          <w:color w:val="auto"/>
          <w:lang w:eastAsia="nb-NO"/>
        </w:rPr>
        <w:t>KOSTRA</w:t>
      </w:r>
      <w:r w:rsidR="00E149F1" w:rsidRPr="0055149C">
        <w:rPr>
          <w:color w:val="auto"/>
          <w:lang w:eastAsia="nb-NO"/>
        </w:rPr>
        <w:t>.</w:t>
      </w:r>
    </w:p>
    <w:p w14:paraId="6C5F2569" w14:textId="4D1C2578" w:rsidR="004337EE" w:rsidRPr="0055149C" w:rsidRDefault="00E70ADE" w:rsidP="004337EE">
      <w:pPr>
        <w:pStyle w:val="Overskrift3"/>
      </w:pPr>
      <w:bookmarkStart w:id="113" w:name="_Ref178445277"/>
      <w:r w:rsidRPr="0055149C">
        <w:t>K</w:t>
      </w:r>
      <w:r w:rsidR="004337EE" w:rsidRPr="0055149C">
        <w:t xml:space="preserve">apitalkostnader og </w:t>
      </w:r>
      <w:r w:rsidRPr="0055149C">
        <w:t>kapital</w:t>
      </w:r>
      <w:r w:rsidR="004337EE" w:rsidRPr="0055149C">
        <w:t>utgifter</w:t>
      </w:r>
      <w:bookmarkEnd w:id="113"/>
    </w:p>
    <w:p w14:paraId="2DCABD8D" w14:textId="58D3F99D" w:rsidR="00EE1D7F" w:rsidRPr="0055149C" w:rsidRDefault="00EE1D7F" w:rsidP="00EE1D7F">
      <w:pPr>
        <w:rPr>
          <w:lang w:eastAsia="nb-NO"/>
        </w:rPr>
      </w:pPr>
      <w:r w:rsidRPr="0055149C">
        <w:rPr>
          <w:lang w:eastAsia="nb-NO"/>
        </w:rPr>
        <w:t xml:space="preserve">Vi retter nå søkelyset mot alternative mål for primærkommunenes og fylkeskommunenes kapitalkostnader og kapitalutgifter. Det fins flere alternative mål for kapitalkostnader og kapitalutgifter som kan tenkes å benyttes i </w:t>
      </w:r>
      <w:r w:rsidR="00A77528">
        <w:rPr>
          <w:lang w:eastAsia="nb-NO"/>
        </w:rPr>
        <w:t xml:space="preserve">utgiftsutjevningen i </w:t>
      </w:r>
      <w:r w:rsidRPr="0055149C">
        <w:rPr>
          <w:lang w:eastAsia="nb-NO"/>
        </w:rPr>
        <w:t xml:space="preserve">det kommunale inntektssystemet. En </w:t>
      </w:r>
      <w:r w:rsidR="00227BE3">
        <w:rPr>
          <w:lang w:eastAsia="nb-NO"/>
        </w:rPr>
        <w:t>retning</w:t>
      </w:r>
      <w:r w:rsidRPr="0055149C">
        <w:rPr>
          <w:lang w:eastAsia="nb-NO"/>
        </w:rPr>
        <w:t xml:space="preserve"> er å se på brutto</w:t>
      </w:r>
      <w:r w:rsidR="00227BE3">
        <w:rPr>
          <w:lang w:eastAsia="nb-NO"/>
        </w:rPr>
        <w:t>investerings</w:t>
      </w:r>
      <w:r w:rsidRPr="0055149C">
        <w:rPr>
          <w:lang w:eastAsia="nb-NO"/>
        </w:rPr>
        <w:t>utgifter, eventuelt brutto</w:t>
      </w:r>
      <w:r w:rsidR="00227BE3">
        <w:rPr>
          <w:lang w:eastAsia="nb-NO"/>
        </w:rPr>
        <w:t>investering</w:t>
      </w:r>
      <w:r w:rsidRPr="0055149C">
        <w:rPr>
          <w:lang w:eastAsia="nb-NO"/>
        </w:rPr>
        <w:t xml:space="preserve">sutgiftstrømmer, der man har korrigert for avhendelse av kapitalen. En annen retning </w:t>
      </w:r>
      <w:r w:rsidR="008E7E43">
        <w:rPr>
          <w:lang w:eastAsia="nb-NO"/>
        </w:rPr>
        <w:t xml:space="preserve">er </w:t>
      </w:r>
      <w:r w:rsidRPr="0055149C">
        <w:rPr>
          <w:lang w:eastAsia="nb-NO"/>
        </w:rPr>
        <w:t xml:space="preserve">å ta utgangspunkt i kommunenes kapitalslit, basert på anslagene for kapitalslitet som vi redegjorde for i seksjon </w:t>
      </w:r>
      <w:r w:rsidR="00227BE3">
        <w:rPr>
          <w:lang w:eastAsia="nb-NO"/>
        </w:rPr>
        <w:fldChar w:fldCharType="begin"/>
      </w:r>
      <w:r w:rsidR="00227BE3">
        <w:rPr>
          <w:lang w:eastAsia="nb-NO"/>
        </w:rPr>
        <w:instrText xml:space="preserve"> REF _Ref178445271 \r \h </w:instrText>
      </w:r>
      <w:r w:rsidR="00227BE3">
        <w:rPr>
          <w:lang w:eastAsia="nb-NO"/>
        </w:rPr>
      </w:r>
      <w:r w:rsidR="00227BE3">
        <w:rPr>
          <w:lang w:eastAsia="nb-NO"/>
        </w:rPr>
        <w:fldChar w:fldCharType="separate"/>
      </w:r>
      <w:r w:rsidR="009B1DA8">
        <w:rPr>
          <w:lang w:eastAsia="nb-NO"/>
        </w:rPr>
        <w:t>4.1.3</w:t>
      </w:r>
      <w:r w:rsidR="00227BE3">
        <w:rPr>
          <w:lang w:eastAsia="nb-NO"/>
        </w:rPr>
        <w:fldChar w:fldCharType="end"/>
      </w:r>
      <w:r w:rsidRPr="00227BE3">
        <w:rPr>
          <w:lang w:eastAsia="nb-NO"/>
        </w:rPr>
        <w:t>. En tredje retning er å summere kapitalslitet med anslag for rentekostnadene, enten det er snakk om en for</w:t>
      </w:r>
      <w:r w:rsidR="00BE57EF">
        <w:rPr>
          <w:lang w:eastAsia="nb-NO"/>
        </w:rPr>
        <w:t>m for</w:t>
      </w:r>
      <w:r w:rsidRPr="00227BE3">
        <w:rPr>
          <w:lang w:eastAsia="nb-NO"/>
        </w:rPr>
        <w:t xml:space="preserve"> flytende eller fast rente. Som redegjort for i seksjon </w:t>
      </w:r>
      <w:r w:rsidR="00227BE3" w:rsidRPr="00227BE3">
        <w:rPr>
          <w:lang w:eastAsia="nb-NO"/>
        </w:rPr>
        <w:fldChar w:fldCharType="begin"/>
      </w:r>
      <w:r w:rsidR="00227BE3" w:rsidRPr="00227BE3">
        <w:rPr>
          <w:lang w:eastAsia="nb-NO"/>
        </w:rPr>
        <w:instrText xml:space="preserve"> REF _Ref177896768 \r \h </w:instrText>
      </w:r>
      <w:r w:rsidR="00227BE3">
        <w:rPr>
          <w:lang w:eastAsia="nb-NO"/>
        </w:rPr>
        <w:instrText xml:space="preserve"> \* MERGEFORMAT </w:instrText>
      </w:r>
      <w:r w:rsidR="00227BE3" w:rsidRPr="00227BE3">
        <w:rPr>
          <w:lang w:eastAsia="nb-NO"/>
        </w:rPr>
      </w:r>
      <w:r w:rsidR="00227BE3" w:rsidRPr="00227BE3">
        <w:rPr>
          <w:lang w:eastAsia="nb-NO"/>
        </w:rPr>
        <w:fldChar w:fldCharType="separate"/>
      </w:r>
      <w:r w:rsidR="009B1DA8">
        <w:rPr>
          <w:lang w:eastAsia="nb-NO"/>
        </w:rPr>
        <w:t>3.2.1</w:t>
      </w:r>
      <w:r w:rsidR="00227BE3" w:rsidRPr="00227BE3">
        <w:rPr>
          <w:lang w:eastAsia="nb-NO"/>
        </w:rPr>
        <w:fldChar w:fldCharType="end"/>
      </w:r>
      <w:r w:rsidRPr="00227BE3">
        <w:rPr>
          <w:lang w:eastAsia="nb-NO"/>
        </w:rPr>
        <w:t xml:space="preserve"> har vi operert med en flytende rente tilsvarende kalkyle</w:t>
      </w:r>
      <w:r w:rsidR="00862DB1">
        <w:rPr>
          <w:lang w:eastAsia="nb-NO"/>
        </w:rPr>
        <w:softHyphen/>
      </w:r>
      <w:r w:rsidRPr="00227BE3">
        <w:rPr>
          <w:lang w:eastAsia="nb-NO"/>
        </w:rPr>
        <w:t>r</w:t>
      </w:r>
      <w:r w:rsidR="008E7E43">
        <w:rPr>
          <w:lang w:eastAsia="nb-NO"/>
        </w:rPr>
        <w:t>e</w:t>
      </w:r>
      <w:r w:rsidRPr="00227BE3">
        <w:rPr>
          <w:lang w:eastAsia="nb-NO"/>
        </w:rPr>
        <w:t>nte og en risikopremie på 1,5 prosent</w:t>
      </w:r>
      <w:r w:rsidR="008E7E43">
        <w:rPr>
          <w:lang w:eastAsia="nb-NO"/>
        </w:rPr>
        <w:t>,</w:t>
      </w:r>
      <w:r w:rsidRPr="00227BE3">
        <w:rPr>
          <w:lang w:eastAsia="nb-NO"/>
        </w:rPr>
        <w:t xml:space="preserve"> og en fast rente tilsvarende et realavkastningskrav på </w:t>
      </w:r>
      <w:r w:rsidR="008E7E43">
        <w:rPr>
          <w:lang w:eastAsia="nb-NO"/>
        </w:rPr>
        <w:t xml:space="preserve">fire </w:t>
      </w:r>
      <w:r w:rsidRPr="00227BE3">
        <w:rPr>
          <w:lang w:eastAsia="nb-NO"/>
        </w:rPr>
        <w:t>prosent og e</w:t>
      </w:r>
      <w:r w:rsidR="00C772E4" w:rsidRPr="00227BE3">
        <w:rPr>
          <w:lang w:eastAsia="nb-NO"/>
        </w:rPr>
        <w:t>n inflasjonsforvent</w:t>
      </w:r>
      <w:r w:rsidR="008E7E43">
        <w:rPr>
          <w:lang w:eastAsia="nb-NO"/>
        </w:rPr>
        <w:t>n</w:t>
      </w:r>
      <w:r w:rsidR="00C772E4" w:rsidRPr="00227BE3">
        <w:rPr>
          <w:lang w:eastAsia="nb-NO"/>
        </w:rPr>
        <w:t xml:space="preserve">ing på </w:t>
      </w:r>
      <w:r w:rsidR="008E7E43">
        <w:rPr>
          <w:lang w:eastAsia="nb-NO"/>
        </w:rPr>
        <w:t>to</w:t>
      </w:r>
      <w:r w:rsidR="00C772E4" w:rsidRPr="00227BE3">
        <w:rPr>
          <w:lang w:eastAsia="nb-NO"/>
        </w:rPr>
        <w:t xml:space="preserve"> prosent. En f</w:t>
      </w:r>
      <w:r w:rsidR="00C772E4" w:rsidRPr="0055149C">
        <w:rPr>
          <w:lang w:eastAsia="nb-NO"/>
        </w:rPr>
        <w:t>jerde variant er å i tillegg ta hensyn til prisutviklingen på kapitalbeholdningen og kapitalslitet, hvilket tilsvarer det såkalte kapitaltjenestebegrepet.</w:t>
      </w:r>
      <w:r w:rsidR="00227BE3">
        <w:rPr>
          <w:lang w:eastAsia="nb-NO"/>
        </w:rPr>
        <w:t xml:space="preserve"> I det følgende tar vi for oss alle disse variantene i kombinasjon med estimatene for realkapitalbeholdningen, redegjort for i seksjon </w:t>
      </w:r>
      <w:r w:rsidR="00227BE3">
        <w:rPr>
          <w:lang w:eastAsia="nb-NO"/>
        </w:rPr>
        <w:fldChar w:fldCharType="begin"/>
      </w:r>
      <w:r w:rsidR="00227BE3">
        <w:rPr>
          <w:lang w:eastAsia="nb-NO"/>
        </w:rPr>
        <w:instrText xml:space="preserve"> REF _Ref178445277 \r \h </w:instrText>
      </w:r>
      <w:r w:rsidR="00227BE3">
        <w:rPr>
          <w:lang w:eastAsia="nb-NO"/>
        </w:rPr>
      </w:r>
      <w:r w:rsidR="00227BE3">
        <w:rPr>
          <w:lang w:eastAsia="nb-NO"/>
        </w:rPr>
        <w:fldChar w:fldCharType="separate"/>
      </w:r>
      <w:r w:rsidR="009B1DA8">
        <w:rPr>
          <w:lang w:eastAsia="nb-NO"/>
        </w:rPr>
        <w:t>4.1.4</w:t>
      </w:r>
      <w:r w:rsidR="00227BE3">
        <w:rPr>
          <w:lang w:eastAsia="nb-NO"/>
        </w:rPr>
        <w:fldChar w:fldCharType="end"/>
      </w:r>
      <w:r w:rsidR="00227BE3">
        <w:rPr>
          <w:lang w:eastAsia="nb-NO"/>
        </w:rPr>
        <w:t>.</w:t>
      </w:r>
    </w:p>
    <w:p w14:paraId="235E7BCB" w14:textId="77777777" w:rsidR="004337EE" w:rsidRPr="0055149C" w:rsidRDefault="004337EE" w:rsidP="000E08F8">
      <w:pPr>
        <w:pStyle w:val="Overskrift4"/>
        <w:numPr>
          <w:ilvl w:val="0"/>
          <w:numId w:val="0"/>
        </w:numPr>
      </w:pPr>
      <w:r w:rsidRPr="0055149C">
        <w:t>Primærkommunene</w:t>
      </w:r>
    </w:p>
    <w:p w14:paraId="17C991FD" w14:textId="79EB673C" w:rsidR="00110301" w:rsidRPr="0055149C" w:rsidRDefault="00C772E4" w:rsidP="00DC4A61">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_Ref168148678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15</w:t>
      </w:r>
      <w:r w:rsidRPr="0055149C">
        <w:rPr>
          <w:lang w:eastAsia="nb-NO"/>
        </w:rPr>
        <w:fldChar w:fldCharType="end"/>
      </w:r>
      <w:r w:rsidRPr="0055149C">
        <w:rPr>
          <w:lang w:eastAsia="nb-NO"/>
        </w:rPr>
        <w:t xml:space="preserve"> har vi framvist våre anslag på realkapitalkostnader. </w:t>
      </w:r>
      <w:r w:rsidR="00735A1C" w:rsidRPr="0055149C">
        <w:rPr>
          <w:lang w:eastAsia="nb-NO"/>
        </w:rPr>
        <w:t xml:space="preserve">Ikke overaskende spriker estimatene vesentlig, da </w:t>
      </w:r>
      <w:r w:rsidR="00862DB1">
        <w:rPr>
          <w:lang w:eastAsia="nb-NO"/>
        </w:rPr>
        <w:t xml:space="preserve">det </w:t>
      </w:r>
      <w:r w:rsidR="00735A1C" w:rsidRPr="0055149C">
        <w:rPr>
          <w:lang w:eastAsia="nb-NO"/>
        </w:rPr>
        <w:t xml:space="preserve">er snakk om nokså forskjellige mål. </w:t>
      </w:r>
      <w:r w:rsidR="00BB3F5E">
        <w:rPr>
          <w:lang w:eastAsia="nb-NO"/>
        </w:rPr>
        <w:t xml:space="preserve">Kapitalmålene som </w:t>
      </w:r>
      <w:r w:rsidR="006232E3">
        <w:rPr>
          <w:lang w:eastAsia="nb-NO"/>
        </w:rPr>
        <w:t>inne</w:t>
      </w:r>
      <w:r w:rsidR="00D76D61">
        <w:rPr>
          <w:lang w:eastAsia="nb-NO"/>
        </w:rPr>
        <w:t xml:space="preserve">bærer </w:t>
      </w:r>
      <w:r w:rsidR="00BB3F5E">
        <w:rPr>
          <w:lang w:eastAsia="nb-NO"/>
        </w:rPr>
        <w:t>s</w:t>
      </w:r>
      <w:r w:rsidR="00F60C49">
        <w:rPr>
          <w:lang w:eastAsia="nb-NO"/>
        </w:rPr>
        <w:t>umme</w:t>
      </w:r>
      <w:r w:rsidR="006232E3">
        <w:rPr>
          <w:lang w:eastAsia="nb-NO"/>
        </w:rPr>
        <w:t>r</w:t>
      </w:r>
      <w:r w:rsidR="00D76D61">
        <w:rPr>
          <w:lang w:eastAsia="nb-NO"/>
        </w:rPr>
        <w:t>ing av</w:t>
      </w:r>
      <w:r w:rsidR="00F60C49">
        <w:rPr>
          <w:lang w:eastAsia="nb-NO"/>
        </w:rPr>
        <w:t xml:space="preserve"> kapitalslitet og rentekostnadene</w:t>
      </w:r>
      <w:r w:rsidR="00D76D61">
        <w:rPr>
          <w:lang w:eastAsia="nb-NO"/>
        </w:rPr>
        <w:t>,</w:t>
      </w:r>
      <w:r w:rsidR="00F60C49">
        <w:rPr>
          <w:lang w:eastAsia="nb-NO"/>
        </w:rPr>
        <w:t xml:space="preserve"> utgjør </w:t>
      </w:r>
      <w:r w:rsidR="006232E3">
        <w:rPr>
          <w:lang w:eastAsia="nb-NO"/>
        </w:rPr>
        <w:t>de</w:t>
      </w:r>
      <w:r w:rsidR="00F60C49">
        <w:rPr>
          <w:lang w:eastAsia="nb-NO"/>
        </w:rPr>
        <w:t xml:space="preserve"> av mest omfattende </w:t>
      </w:r>
      <w:r w:rsidR="00D76D61">
        <w:rPr>
          <w:lang w:eastAsia="nb-NO"/>
        </w:rPr>
        <w:t xml:space="preserve">i </w:t>
      </w:r>
      <w:r w:rsidR="00F60C49">
        <w:rPr>
          <w:lang w:eastAsia="nb-NO"/>
        </w:rPr>
        <w:t xml:space="preserve">størrelsesorden. </w:t>
      </w:r>
      <w:r w:rsidR="00735A1C" w:rsidRPr="0055149C">
        <w:rPr>
          <w:lang w:eastAsia="nb-NO"/>
        </w:rPr>
        <w:t xml:space="preserve">Bruttoinvesteringsmålene er høyere enn kapitalslitmålene, hvilket innebærer at kapitalmengden øker over tid. </w:t>
      </w:r>
      <w:r w:rsidR="00110301" w:rsidRPr="0055149C">
        <w:rPr>
          <w:lang w:eastAsia="nb-NO"/>
        </w:rPr>
        <w:t>Bruttoinvesteringene er høyere enn bruttoinvesteringsstrømmene ved konstruksjon, ettersom avhending er trukket fra i strømningsvariabelen.</w:t>
      </w:r>
      <w:r w:rsidR="00110301">
        <w:rPr>
          <w:lang w:eastAsia="nb-NO"/>
        </w:rPr>
        <w:t xml:space="preserve"> </w:t>
      </w:r>
      <w:r w:rsidR="00735A1C" w:rsidRPr="0055149C">
        <w:rPr>
          <w:lang w:eastAsia="nb-NO"/>
        </w:rPr>
        <w:t xml:space="preserve">Størrelsesforholdene mellom kapitalslitestimatene henger sammen med forskjellene i estimatene til beholdningene. </w:t>
      </w:r>
      <w:r w:rsidR="00F60C49">
        <w:rPr>
          <w:lang w:eastAsia="nb-NO"/>
        </w:rPr>
        <w:t xml:space="preserve">Bruk av aggregerte framfor disaggregerte kapitaldeflatorer og depresieringsrater tenderer til å </w:t>
      </w:r>
      <w:r w:rsidR="00F60C49">
        <w:rPr>
          <w:lang w:eastAsia="nb-NO"/>
        </w:rPr>
        <w:lastRenderedPageBreak/>
        <w:t xml:space="preserve">øke kapitalslitet, hvilket henger sammen med hvilken kapitalbeholdning som legges til grunn. </w:t>
      </w:r>
      <w:r w:rsidR="00735A1C" w:rsidRPr="0055149C">
        <w:rPr>
          <w:lang w:eastAsia="nb-NO"/>
        </w:rPr>
        <w:t>Anslagene øker videre når man legger til rentekostnader</w:t>
      </w:r>
      <w:r w:rsidR="00110301">
        <w:rPr>
          <w:lang w:eastAsia="nb-NO"/>
        </w:rPr>
        <w:t xml:space="preserve">. </w:t>
      </w:r>
      <w:r w:rsidR="00110301" w:rsidRPr="0055149C">
        <w:rPr>
          <w:lang w:eastAsia="nb-NO"/>
        </w:rPr>
        <w:t>For 2022 er vårt estimat med fast rente høyere enn vårt estimat med flytende rente, gitt forutsetningene som er lagt til grunn.</w:t>
      </w:r>
    </w:p>
    <w:p w14:paraId="7B71E02D" w14:textId="0B6020B0" w:rsidR="001323AB" w:rsidRPr="0055149C" w:rsidRDefault="001323AB" w:rsidP="001323AB">
      <w:pPr>
        <w:pStyle w:val="Bildetekst"/>
        <w:jc w:val="both"/>
      </w:pPr>
      <w:bookmarkStart w:id="114" w:name="_Ref168148678"/>
      <w:r w:rsidRPr="0055149C">
        <w:t xml:space="preserve">Figur </w:t>
      </w:r>
      <w:fldSimple w:instr=" STYLEREF 1 \s ">
        <w:r w:rsidR="009B1DA8">
          <w:rPr>
            <w:noProof/>
          </w:rPr>
          <w:t>4</w:t>
        </w:r>
      </w:fldSimple>
      <w:r w:rsidR="004B03E3">
        <w:t>.</w:t>
      </w:r>
      <w:fldSimple w:instr=" SEQ Figur \* ARABIC \s 1 ">
        <w:r w:rsidR="009B1DA8">
          <w:rPr>
            <w:noProof/>
          </w:rPr>
          <w:t>15</w:t>
        </w:r>
      </w:fldSimple>
      <w:bookmarkEnd w:id="114"/>
      <w:r w:rsidRPr="0055149C">
        <w:tab/>
        <w:t>Estimert</w:t>
      </w:r>
      <w:r w:rsidR="000C5F8E" w:rsidRPr="0055149C">
        <w:t xml:space="preserve">e </w:t>
      </w:r>
      <w:r w:rsidRPr="0055149C">
        <w:t xml:space="preserve">kapitalkostnader og </w:t>
      </w:r>
      <w:r w:rsidR="000C5F8E" w:rsidRPr="0055149C">
        <w:t>kapital</w:t>
      </w:r>
      <w:r w:rsidRPr="0055149C">
        <w:t>utgifter i primærkommunene i 2022 etter a) art (øverst) og b) funksjon (nederst)</w:t>
      </w:r>
    </w:p>
    <w:p w14:paraId="0B9381CB" w14:textId="322EC7FB" w:rsidR="004337EE" w:rsidRPr="0055149C" w:rsidRDefault="00886043" w:rsidP="00F45E31">
      <w:pPr>
        <w:jc w:val="center"/>
        <w:rPr>
          <w:lang w:eastAsia="nb-NO"/>
        </w:rPr>
      </w:pPr>
      <w:r>
        <w:rPr>
          <w:noProof/>
          <w:lang w:val="en-US" w:eastAsia="en-US"/>
        </w:rPr>
        <w:drawing>
          <wp:inline distT="0" distB="0" distL="0" distR="0" wp14:anchorId="20DDD58C" wp14:editId="79562D74">
            <wp:extent cx="5364000" cy="2340000"/>
            <wp:effectExtent l="0" t="0" r="8255" b="3175"/>
            <wp:docPr id="94319830" name="Diagram 1">
              <a:extLst xmlns:a="http://schemas.openxmlformats.org/drawingml/2006/main">
                <a:ext uri="{FF2B5EF4-FFF2-40B4-BE49-F238E27FC236}">
                  <a16:creationId xmlns:a16="http://schemas.microsoft.com/office/drawing/2014/main" id="{7F039E75-A9F5-465F-BF30-8E2F4F07F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rPr>
        <w:t xml:space="preserve"> </w:t>
      </w:r>
      <w:r>
        <w:rPr>
          <w:noProof/>
          <w:lang w:val="en-US" w:eastAsia="en-US"/>
        </w:rPr>
        <w:drawing>
          <wp:inline distT="0" distB="0" distL="0" distR="0" wp14:anchorId="47BAA39A" wp14:editId="5E23265B">
            <wp:extent cx="5364000" cy="3240000"/>
            <wp:effectExtent l="0" t="0" r="8255" b="0"/>
            <wp:docPr id="1888601545" name="Diagram 1">
              <a:extLst xmlns:a="http://schemas.openxmlformats.org/drawingml/2006/main">
                <a:ext uri="{FF2B5EF4-FFF2-40B4-BE49-F238E27FC236}">
                  <a16:creationId xmlns:a16="http://schemas.microsoft.com/office/drawing/2014/main" id="{0000194C-6167-4D52-AB2D-0F0B26D21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098DBCB" w14:textId="4923C260" w:rsidR="00735A1C" w:rsidRPr="0055149C" w:rsidRDefault="00A47F7A" w:rsidP="00735A1C">
      <w:pPr>
        <w:pStyle w:val="Billedtekst-forklaring"/>
        <w:ind w:left="0" w:firstLine="0"/>
        <w:rPr>
          <w:lang w:eastAsia="nb-NO"/>
        </w:rPr>
      </w:pPr>
      <w:r>
        <w:t>I f</w:t>
      </w:r>
      <w:r w:rsidR="00735A1C" w:rsidRPr="0055149C">
        <w:t>orkortelsene dd, ad, da og aa angir første og andre bokstav om henholdsvis kapitaldeflatorene og depresieringsratene er aggregerte (a) eller disaggregerte (d).</w:t>
      </w:r>
      <w:r w:rsidR="00A612E2" w:rsidRPr="0055149C">
        <w:t xml:space="preserve"> </w:t>
      </w:r>
      <w:r w:rsidR="00735A1C" w:rsidRPr="0055149C">
        <w:t>f og l som følger angir om eventuelle avkastningskrav er fast eller løpende.</w:t>
      </w:r>
    </w:p>
    <w:p w14:paraId="4FFB1EDF" w14:textId="77777777" w:rsidR="001323AB" w:rsidRPr="0055149C" w:rsidRDefault="001323AB" w:rsidP="001323AB">
      <w:pPr>
        <w:pStyle w:val="Source"/>
        <w:rPr>
          <w:lang w:eastAsia="nb-NO"/>
        </w:rPr>
      </w:pPr>
      <w:r w:rsidRPr="0055149C">
        <w:rPr>
          <w:lang w:eastAsia="nb-NO"/>
        </w:rPr>
        <w:t>Kilde: Vista Analyse</w:t>
      </w:r>
    </w:p>
    <w:p w14:paraId="1F88E44D" w14:textId="17D2FEAC" w:rsidR="004337EE" w:rsidRDefault="00735A1C" w:rsidP="004337EE">
      <w:pPr>
        <w:rPr>
          <w:lang w:eastAsia="nb-NO"/>
        </w:rPr>
      </w:pPr>
      <w:r w:rsidRPr="0055149C">
        <w:rPr>
          <w:lang w:eastAsia="nb-NO"/>
        </w:rPr>
        <w:t>Som for realkapitalbeholdningen dominerer fast eiendom og anlegg de samlede tallene, men i mindre grad. Den økte betydningen skyldes høyere depresieringsrater, hvilket igjen innebærer at et relativt større investeringsomfang er nødvendig for å opprettholde kapitalbeholdningen. Samtidig krever relativt kort levetid og relativ</w:t>
      </w:r>
      <w:r w:rsidR="00B671B0">
        <w:rPr>
          <w:lang w:eastAsia="nb-NO"/>
        </w:rPr>
        <w:t>t</w:t>
      </w:r>
      <w:r w:rsidRPr="0055149C">
        <w:rPr>
          <w:lang w:eastAsia="nb-NO"/>
        </w:rPr>
        <w:t xml:space="preserve"> svak prisutvikling på kapitalen </w:t>
      </w:r>
      <w:r w:rsidR="00B671B0">
        <w:rPr>
          <w:lang w:eastAsia="nb-NO"/>
        </w:rPr>
        <w:t xml:space="preserve">til </w:t>
      </w:r>
      <w:r w:rsidRPr="0055149C">
        <w:rPr>
          <w:lang w:eastAsia="nb-NO"/>
        </w:rPr>
        <w:t xml:space="preserve">at </w:t>
      </w:r>
      <w:r w:rsidR="008D0BD4">
        <w:rPr>
          <w:lang w:eastAsia="nb-NO"/>
        </w:rPr>
        <w:t>høyere</w:t>
      </w:r>
      <w:r w:rsidRPr="0055149C">
        <w:rPr>
          <w:lang w:eastAsia="nb-NO"/>
        </w:rPr>
        <w:t xml:space="preserve"> </w:t>
      </w:r>
      <w:r w:rsidR="008D0BD4">
        <w:rPr>
          <w:lang w:eastAsia="nb-NO"/>
        </w:rPr>
        <w:t xml:space="preserve">årlig </w:t>
      </w:r>
      <w:r w:rsidRPr="0055149C">
        <w:rPr>
          <w:lang w:eastAsia="nb-NO"/>
        </w:rPr>
        <w:t xml:space="preserve">avkastning må til for å opprettholde samme kapitalverdi. Kapitalkostnader knyttet til immateriell </w:t>
      </w:r>
      <w:r w:rsidRPr="0055149C">
        <w:rPr>
          <w:lang w:eastAsia="nb-NO"/>
        </w:rPr>
        <w:lastRenderedPageBreak/>
        <w:t>kapital har i praksis liten betydning, i hvert fall den som er bokført framfor å være kostnadsført direkte.</w:t>
      </w:r>
    </w:p>
    <w:p w14:paraId="0273A431" w14:textId="4EB58DCF" w:rsidR="00F137F7" w:rsidRPr="0055149C" w:rsidRDefault="00F137F7" w:rsidP="004337EE">
      <w:pPr>
        <w:rPr>
          <w:lang w:eastAsia="nb-NO"/>
        </w:rPr>
      </w:pPr>
      <w:r>
        <w:rPr>
          <w:lang w:eastAsia="nb-NO"/>
        </w:rPr>
        <w:t xml:space="preserve">Som for realkapitalbeholdningen er grunnskolen og VAR-tjenestene de største tjenestefunksjonene. De to funksjonene dominerer imidlertid kapitalkostnadene vesentlig mindre enn realkapitalbeholdningene, hvilket henger sammen med at deres kapitalmasse </w:t>
      </w:r>
      <w:r w:rsidR="001A2FF5">
        <w:rPr>
          <w:lang w:eastAsia="nb-NO"/>
        </w:rPr>
        <w:t xml:space="preserve">i relativt stor grad </w:t>
      </w:r>
      <w:r>
        <w:rPr>
          <w:lang w:eastAsia="nb-NO"/>
        </w:rPr>
        <w:t xml:space="preserve">domineres av </w:t>
      </w:r>
      <w:r w:rsidR="001A2FF5">
        <w:rPr>
          <w:lang w:eastAsia="nb-NO"/>
        </w:rPr>
        <w:t>fast eiendom og anlegg</w:t>
      </w:r>
      <w:r>
        <w:rPr>
          <w:lang w:eastAsia="nb-NO"/>
        </w:rPr>
        <w:t>.</w:t>
      </w:r>
    </w:p>
    <w:p w14:paraId="52308D74" w14:textId="08F8D42E" w:rsidR="00C21C44" w:rsidRPr="0055149C" w:rsidRDefault="00A905AC" w:rsidP="00C21C44">
      <w:pPr>
        <w:rPr>
          <w:lang w:eastAsia="nb-NO"/>
        </w:rPr>
      </w:pPr>
      <w:r w:rsidRPr="0055149C">
        <w:rPr>
          <w:lang w:eastAsia="nb-NO"/>
        </w:rPr>
        <w:t xml:space="preserve">Når vi ser på korrelasjonen mellom de ulike kapitalkostnadsmålene og kapitalutgiftsmålene, </w:t>
      </w:r>
      <w:r w:rsidR="006C7FD7" w:rsidRPr="0055149C">
        <w:rPr>
          <w:lang w:eastAsia="nb-NO"/>
        </w:rPr>
        <w:t xml:space="preserve">som framvist i </w:t>
      </w:r>
      <w:r w:rsidR="006C7FD7" w:rsidRPr="0055149C">
        <w:rPr>
          <w:lang w:eastAsia="nb-NO"/>
        </w:rPr>
        <w:fldChar w:fldCharType="begin"/>
      </w:r>
      <w:r w:rsidR="006C7FD7" w:rsidRPr="0055149C">
        <w:rPr>
          <w:lang w:eastAsia="nb-NO"/>
        </w:rPr>
        <w:instrText xml:space="preserve"> REF _Ref168403699 \h </w:instrText>
      </w:r>
      <w:r w:rsidR="006C7FD7" w:rsidRPr="0055149C">
        <w:rPr>
          <w:lang w:eastAsia="nb-NO"/>
        </w:rPr>
      </w:r>
      <w:r w:rsidR="006C7FD7" w:rsidRPr="0055149C">
        <w:rPr>
          <w:lang w:eastAsia="nb-NO"/>
        </w:rPr>
        <w:fldChar w:fldCharType="separate"/>
      </w:r>
      <w:r w:rsidR="009B1DA8" w:rsidRPr="0055149C">
        <w:t xml:space="preserve">Tabell </w:t>
      </w:r>
      <w:r w:rsidR="009B1DA8">
        <w:rPr>
          <w:noProof/>
        </w:rPr>
        <w:t>4</w:t>
      </w:r>
      <w:r w:rsidR="009B1DA8" w:rsidRPr="0055149C">
        <w:t>.</w:t>
      </w:r>
      <w:r w:rsidR="009B1DA8">
        <w:rPr>
          <w:noProof/>
        </w:rPr>
        <w:t>3</w:t>
      </w:r>
      <w:r w:rsidR="006C7FD7" w:rsidRPr="0055149C">
        <w:rPr>
          <w:lang w:eastAsia="nb-NO"/>
        </w:rPr>
        <w:fldChar w:fldCharType="end"/>
      </w:r>
      <w:r w:rsidR="006C7FD7" w:rsidRPr="0055149C">
        <w:rPr>
          <w:lang w:eastAsia="nb-NO"/>
        </w:rPr>
        <w:t xml:space="preserve">, </w:t>
      </w:r>
      <w:r w:rsidRPr="0055149C">
        <w:rPr>
          <w:lang w:eastAsia="nb-NO"/>
        </w:rPr>
        <w:t xml:space="preserve">er korrelasjonene i </w:t>
      </w:r>
      <w:r w:rsidRPr="005E0347">
        <w:rPr>
          <w:lang w:eastAsia="nb-NO"/>
        </w:rPr>
        <w:t xml:space="preserve">hovedsak relativt sterke med </w:t>
      </w:r>
      <w:r w:rsidR="00BD005E" w:rsidRPr="005E0347">
        <w:rPr>
          <w:lang w:eastAsia="nb-NO"/>
        </w:rPr>
        <w:t>koeffisienter</w:t>
      </w:r>
      <w:r w:rsidRPr="005E0347">
        <w:rPr>
          <w:lang w:eastAsia="nb-NO"/>
        </w:rPr>
        <w:t xml:space="preserve"> over 0,</w:t>
      </w:r>
      <w:r w:rsidR="005E0347" w:rsidRPr="005E0347">
        <w:rPr>
          <w:lang w:eastAsia="nb-NO"/>
        </w:rPr>
        <w:t>86</w:t>
      </w:r>
      <w:r w:rsidRPr="005E0347">
        <w:rPr>
          <w:lang w:eastAsia="nb-NO"/>
        </w:rPr>
        <w:t>. Unntakene</w:t>
      </w:r>
      <w:r w:rsidRPr="0055149C">
        <w:rPr>
          <w:lang w:eastAsia="nb-NO"/>
        </w:rPr>
        <w:t xml:space="preserve"> er bruttoinvesteringsutgifter og bruttoinvesteringsstrømmer, som har moderate korrelasjonskoeffisienter med de øvrige </w:t>
      </w:r>
      <w:r w:rsidR="00BD005E" w:rsidRPr="00BB4F7F">
        <w:rPr>
          <w:lang w:eastAsia="nb-NO"/>
        </w:rPr>
        <w:t>variablene</w:t>
      </w:r>
      <w:r w:rsidRPr="00BB4F7F">
        <w:rPr>
          <w:lang w:eastAsia="nb-NO"/>
        </w:rPr>
        <w:t xml:space="preserve"> i sjiktet 0,3</w:t>
      </w:r>
      <w:r w:rsidR="00BB4F7F" w:rsidRPr="00BB4F7F">
        <w:rPr>
          <w:lang w:eastAsia="nb-NO"/>
        </w:rPr>
        <w:t>3</w:t>
      </w:r>
      <w:r w:rsidRPr="00BB4F7F">
        <w:rPr>
          <w:lang w:eastAsia="nb-NO"/>
        </w:rPr>
        <w:t xml:space="preserve"> til 0,</w:t>
      </w:r>
      <w:r w:rsidR="00BB4F7F" w:rsidRPr="00BB4F7F">
        <w:rPr>
          <w:lang w:eastAsia="nb-NO"/>
        </w:rPr>
        <w:t>40</w:t>
      </w:r>
      <w:r w:rsidRPr="00BB4F7F">
        <w:rPr>
          <w:lang w:eastAsia="nb-NO"/>
        </w:rPr>
        <w:t>. Selv</w:t>
      </w:r>
      <w:r w:rsidRPr="0055149C">
        <w:rPr>
          <w:lang w:eastAsia="nb-NO"/>
        </w:rPr>
        <w:t xml:space="preserve"> om disse bruttoinvesteringsvariablene i motsetning til de øvrige målene reflekterer eksakt når utgiftene faktisk finner sted, er det langt fra hvert år det skjer. Man kunne tatt bruttoinvesteringer over noen år, men da kan man også begynne å snakke om neddiskontering og nærmer seg noe som kan minne om et kapitalslitmål.</w:t>
      </w:r>
    </w:p>
    <w:p w14:paraId="0FC6CDD2" w14:textId="0A6C34D3" w:rsidR="00C21C44" w:rsidRPr="0055149C" w:rsidRDefault="00C21C44" w:rsidP="00C21C44">
      <w:pPr>
        <w:rPr>
          <w:lang w:eastAsia="nb-NO"/>
        </w:rPr>
      </w:pPr>
      <w:r w:rsidRPr="0055149C">
        <w:rPr>
          <w:lang w:eastAsia="nb-NO"/>
        </w:rPr>
        <w:t xml:space="preserve">For de ulike </w:t>
      </w:r>
      <w:r w:rsidR="00C27952">
        <w:rPr>
          <w:lang w:eastAsia="nb-NO"/>
        </w:rPr>
        <w:t>kapitalkostnads</w:t>
      </w:r>
      <w:r w:rsidRPr="0055149C">
        <w:rPr>
          <w:lang w:eastAsia="nb-NO"/>
        </w:rPr>
        <w:t>målene basert på PIM utregne</w:t>
      </w:r>
      <w:r w:rsidR="00C27952">
        <w:rPr>
          <w:lang w:eastAsia="nb-NO"/>
        </w:rPr>
        <w:t>t</w:t>
      </w:r>
      <w:r w:rsidRPr="0055149C">
        <w:rPr>
          <w:lang w:eastAsia="nb-NO"/>
        </w:rPr>
        <w:t xml:space="preserve"> med basis </w:t>
      </w:r>
      <w:r w:rsidR="005E0347">
        <w:rPr>
          <w:lang w:eastAsia="nb-NO"/>
        </w:rPr>
        <w:t>i tjeneste</w:t>
      </w:r>
      <w:r w:rsidRPr="0055149C">
        <w:rPr>
          <w:lang w:eastAsia="nb-NO"/>
        </w:rPr>
        <w:t xml:space="preserve">funksjoner er </w:t>
      </w:r>
      <w:r w:rsidRPr="005E0347">
        <w:rPr>
          <w:lang w:eastAsia="nb-NO"/>
        </w:rPr>
        <w:t>korrelasjonskoeffisientene på over 0,97. Det gjelder også når man inkluderer rentekostnadene og eventuelt en korreksjon for prisutviklingen</w:t>
      </w:r>
      <w:r w:rsidRPr="0055149C">
        <w:rPr>
          <w:lang w:eastAsia="nb-NO"/>
        </w:rPr>
        <w:t>. Det kan tolkes som at disse påslagene er fordelt relativt symmetrisk, som kapitalslitet står overfor en form for multiplikatoreffekt. Denne symmetrien er imidlertid svakere når vi ser på kapitalarter, hvilket tyder på at den svekkes når man tar hensyn til heterogeniteten i kapitalmassen.</w:t>
      </w:r>
    </w:p>
    <w:p w14:paraId="405BD490" w14:textId="172724D6" w:rsidR="00A612E2" w:rsidRPr="0055149C" w:rsidRDefault="00A905AC" w:rsidP="00BB547D">
      <w:pPr>
        <w:rPr>
          <w:lang w:eastAsia="nb-NO"/>
        </w:rPr>
      </w:pPr>
      <w:r w:rsidRPr="00BB4F7F">
        <w:rPr>
          <w:lang w:eastAsia="nb-NO"/>
        </w:rPr>
        <w:t xml:space="preserve">Merk at primærkommuneaktiviteten til Oslo er inkludert som egen primærkommune i </w:t>
      </w:r>
      <w:r w:rsidR="00C21C44" w:rsidRPr="00BB4F7F">
        <w:rPr>
          <w:lang w:eastAsia="nb-NO"/>
        </w:rPr>
        <w:t>korrelasjonsanalysene</w:t>
      </w:r>
      <w:r w:rsidRPr="00BB4F7F">
        <w:rPr>
          <w:lang w:eastAsia="nb-NO"/>
        </w:rPr>
        <w:t>. Hvorvidt man inkluderer eller ekskluderer Oslo har imidlertid lite å si for resultatene.</w:t>
      </w:r>
      <w:r w:rsidR="006C7FD7" w:rsidRPr="00BB4F7F">
        <w:rPr>
          <w:lang w:eastAsia="nb-NO"/>
        </w:rPr>
        <w:t xml:space="preserve"> </w:t>
      </w:r>
      <w:r w:rsidR="00A612E2" w:rsidRPr="00BB4F7F">
        <w:rPr>
          <w:lang w:eastAsia="nb-NO"/>
        </w:rPr>
        <w:t>Våre analyser viser at valget mellom</w:t>
      </w:r>
      <w:r w:rsidR="00A612E2" w:rsidRPr="0055149C">
        <w:rPr>
          <w:lang w:eastAsia="nb-NO"/>
        </w:rPr>
        <w:t xml:space="preserve"> aggregerte og disaggregerte deflatorer og depresieringsrater har mindre betydning for korrelasjonene, men har litt å si for nivåene på estimatene. </w:t>
      </w:r>
      <w:r w:rsidR="005D6CA9">
        <w:rPr>
          <w:lang w:eastAsia="nb-NO"/>
        </w:rPr>
        <w:t>For s</w:t>
      </w:r>
      <w:r w:rsidR="00A612E2" w:rsidRPr="0055149C">
        <w:rPr>
          <w:lang w:eastAsia="nb-NO"/>
        </w:rPr>
        <w:t xml:space="preserve">amtlige av disse </w:t>
      </w:r>
      <w:r w:rsidR="00ED6CFB">
        <w:rPr>
          <w:lang w:eastAsia="nb-NO"/>
        </w:rPr>
        <w:t>estimatene</w:t>
      </w:r>
      <w:r w:rsidR="00A612E2" w:rsidRPr="0055149C">
        <w:rPr>
          <w:lang w:eastAsia="nb-NO"/>
        </w:rPr>
        <w:t xml:space="preserve"> </w:t>
      </w:r>
      <w:r w:rsidR="00ED6CFB">
        <w:rPr>
          <w:lang w:eastAsia="nb-NO"/>
        </w:rPr>
        <w:t xml:space="preserve">vil imidlertid nivåene </w:t>
      </w:r>
      <w:r w:rsidR="00BB547D">
        <w:rPr>
          <w:lang w:eastAsia="nb-NO"/>
        </w:rPr>
        <w:t>for</w:t>
      </w:r>
      <w:r w:rsidR="00BB547D" w:rsidRPr="00BB547D">
        <w:rPr>
          <w:lang w:eastAsia="nb-NO"/>
        </w:rPr>
        <w:t xml:space="preserve"> </w:t>
      </w:r>
      <w:r w:rsidR="00BB547D" w:rsidRPr="0055149C">
        <w:rPr>
          <w:lang w:eastAsia="nb-NO"/>
        </w:rPr>
        <w:t>deflatorene og depresieringsratene</w:t>
      </w:r>
      <w:r w:rsidR="00BB547D">
        <w:rPr>
          <w:lang w:eastAsia="nb-NO"/>
        </w:rPr>
        <w:t xml:space="preserve"> sammenfalle</w:t>
      </w:r>
      <w:r w:rsidR="00E57A28">
        <w:rPr>
          <w:lang w:eastAsia="nb-NO"/>
        </w:rPr>
        <w:t>,</w:t>
      </w:r>
      <w:r w:rsidR="00BB547D">
        <w:rPr>
          <w:lang w:eastAsia="nb-NO"/>
        </w:rPr>
        <w:t xml:space="preserve"> </w:t>
      </w:r>
      <w:r w:rsidR="00E57A28">
        <w:rPr>
          <w:lang w:eastAsia="nb-NO"/>
        </w:rPr>
        <w:t>ders</w:t>
      </w:r>
      <w:r w:rsidR="00BB547D">
        <w:rPr>
          <w:lang w:eastAsia="nb-NO"/>
        </w:rPr>
        <w:t>om man aggregerer seg opp</w:t>
      </w:r>
      <w:r w:rsidR="00D67A89">
        <w:rPr>
          <w:lang w:eastAsia="nb-NO"/>
        </w:rPr>
        <w:t xml:space="preserve"> til samlede kapitalstørrelser</w:t>
      </w:r>
      <w:r w:rsidR="00BE22A7">
        <w:rPr>
          <w:lang w:eastAsia="nb-NO"/>
        </w:rPr>
        <w:t>.</w:t>
      </w:r>
      <w:r w:rsidR="00BB547D">
        <w:rPr>
          <w:lang w:eastAsia="nb-NO"/>
        </w:rPr>
        <w:t xml:space="preserve"> </w:t>
      </w:r>
      <w:r w:rsidR="00BE22A7">
        <w:rPr>
          <w:lang w:eastAsia="nb-NO"/>
        </w:rPr>
        <w:t>Dermed ligger</w:t>
      </w:r>
      <w:r w:rsidR="00BB547D">
        <w:rPr>
          <w:lang w:eastAsia="nb-NO"/>
        </w:rPr>
        <w:t xml:space="preserve"> forskjellen</w:t>
      </w:r>
      <w:r w:rsidR="00BE22A7">
        <w:rPr>
          <w:lang w:eastAsia="nb-NO"/>
        </w:rPr>
        <w:t>e</w:t>
      </w:r>
      <w:r w:rsidR="00BB547D">
        <w:rPr>
          <w:lang w:eastAsia="nb-NO"/>
        </w:rPr>
        <w:t xml:space="preserve"> kun i </w:t>
      </w:r>
      <w:r w:rsidR="00BE22A7">
        <w:rPr>
          <w:lang w:eastAsia="nb-NO"/>
        </w:rPr>
        <w:t>om man tar hensyn til de disaggregerte kapitalegenskapene eller ikke</w:t>
      </w:r>
      <w:r w:rsidR="00A612E2" w:rsidRPr="0055149C">
        <w:rPr>
          <w:lang w:eastAsia="nb-NO"/>
        </w:rPr>
        <w:t>.</w:t>
      </w:r>
    </w:p>
    <w:p w14:paraId="4E8207E4" w14:textId="5492C3FC" w:rsidR="00A612E2" w:rsidRPr="0055149C" w:rsidRDefault="00A612E2" w:rsidP="004337EE">
      <w:r w:rsidRPr="0055149C">
        <w:rPr>
          <w:lang w:eastAsia="nb-NO"/>
        </w:rPr>
        <w:t xml:space="preserve">En annen form for målefeil i deflatorene og depresieringsratene er om man bruker parametere som er systematisk for høye eller for lave. Denne problemstillingen har vi belyst i </w:t>
      </w:r>
      <w:r w:rsidRPr="0055149C">
        <w:rPr>
          <w:lang w:eastAsia="nb-NO"/>
        </w:rPr>
        <w:fldChar w:fldCharType="begin"/>
      </w:r>
      <w:r w:rsidRPr="0055149C">
        <w:rPr>
          <w:lang w:eastAsia="nb-NO"/>
        </w:rPr>
        <w:instrText xml:space="preserve"> REF _Ref168318665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16</w:t>
      </w:r>
      <w:r w:rsidRPr="0055149C">
        <w:rPr>
          <w:lang w:eastAsia="nb-NO"/>
        </w:rPr>
        <w:fldChar w:fldCharType="end"/>
      </w:r>
      <w:r w:rsidRPr="0055149C">
        <w:rPr>
          <w:lang w:eastAsia="nb-NO"/>
        </w:rPr>
        <w:t xml:space="preserve"> a) og b)</w:t>
      </w:r>
      <w:r w:rsidR="00950A0E">
        <w:rPr>
          <w:lang w:eastAsia="nb-NO"/>
        </w:rPr>
        <w:t xml:space="preserve"> </w:t>
      </w:r>
      <w:r w:rsidR="000F4522">
        <w:t xml:space="preserve">(se for eksempel Holmen 2019 for tilsvarende robusthetsanalyser for målefeil i deflatorene og </w:t>
      </w:r>
      <w:r w:rsidR="000F4522" w:rsidRPr="008207B2">
        <w:t>depresieringsratene</w:t>
      </w:r>
      <w:r w:rsidR="000F4522">
        <w:t>)</w:t>
      </w:r>
      <w:r w:rsidRPr="0055149C">
        <w:rPr>
          <w:lang w:eastAsia="nb-NO"/>
        </w:rPr>
        <w:t xml:space="preserve">. Her har vi illustrert hvordan en målefeil på 20 prosent i enten deflatoren og depresieringsraten vil slå ut for kapitalslit-estimatene for PIM basert på art eller funksjoner i 2022. </w:t>
      </w:r>
      <w:r w:rsidRPr="0055149C">
        <w:rPr>
          <w:lang w:eastAsia="nb-NO"/>
        </w:rPr>
        <w:fldChar w:fldCharType="begin"/>
      </w:r>
      <w:r w:rsidRPr="0055149C">
        <w:rPr>
          <w:lang w:eastAsia="nb-NO"/>
        </w:rPr>
        <w:instrText xml:space="preserve"> REF _Ref168318665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16</w:t>
      </w:r>
      <w:r w:rsidRPr="0055149C">
        <w:rPr>
          <w:lang w:eastAsia="nb-NO"/>
        </w:rPr>
        <w:fldChar w:fldCharType="end"/>
      </w:r>
      <w:r w:rsidRPr="0055149C">
        <w:rPr>
          <w:lang w:eastAsia="nb-NO"/>
        </w:rPr>
        <w:t xml:space="preserve"> a) viser at størrelsesforholdene mellom kommunene i liten grad blir påvirket, ettersom samtlige korrelasjonskoeffisienter er over 0,9</w:t>
      </w:r>
      <w:r w:rsidR="001A25AD">
        <w:rPr>
          <w:lang w:eastAsia="nb-NO"/>
        </w:rPr>
        <w:t>9</w:t>
      </w:r>
      <w:r w:rsidRPr="0055149C">
        <w:rPr>
          <w:lang w:eastAsia="nb-NO"/>
        </w:rPr>
        <w:t>6.</w:t>
      </w:r>
      <w:r w:rsidR="005F0598">
        <w:rPr>
          <w:lang w:eastAsia="nb-NO"/>
        </w:rPr>
        <w:t xml:space="preserve"> </w:t>
      </w:r>
      <w:r w:rsidR="00B93CA4">
        <w:rPr>
          <w:lang w:eastAsia="nb-NO"/>
        </w:rPr>
        <w:t>Dette funnet bidrar blant annet til å belyse konsekvensen</w:t>
      </w:r>
      <w:r w:rsidR="002133F0">
        <w:rPr>
          <w:lang w:eastAsia="nb-NO"/>
        </w:rPr>
        <w:t>e</w:t>
      </w:r>
      <w:r w:rsidR="00B93CA4">
        <w:rPr>
          <w:lang w:eastAsia="nb-NO"/>
        </w:rPr>
        <w:t xml:space="preserve"> av</w:t>
      </w:r>
      <w:r w:rsidR="002133F0">
        <w:rPr>
          <w:lang w:eastAsia="nb-NO"/>
        </w:rPr>
        <w:t xml:space="preserve"> valget mellom å bruke en eiendomsdeflator eller en bygg- og anleggsdeflator for eiendomskapitalen</w:t>
      </w:r>
      <w:r w:rsidR="007F2A10">
        <w:rPr>
          <w:lang w:eastAsia="nb-NO"/>
        </w:rPr>
        <w:t>, som ut fra dette ikke framstår radikalt</w:t>
      </w:r>
      <w:r w:rsidR="002133F0">
        <w:rPr>
          <w:lang w:eastAsia="nb-NO"/>
        </w:rPr>
        <w:t>.</w:t>
      </w:r>
    </w:p>
    <w:p w14:paraId="38F73BD2" w14:textId="31D40862" w:rsidR="002B3303" w:rsidRPr="0055149C" w:rsidRDefault="002B3303" w:rsidP="004337EE">
      <w:pPr>
        <w:sectPr w:rsidR="002B3303" w:rsidRPr="0055149C" w:rsidSect="004337EE">
          <w:headerReference w:type="default" r:id="rId69"/>
          <w:footerReference w:type="default" r:id="rId70"/>
          <w:type w:val="continuous"/>
          <w:pgSz w:w="11906" w:h="16838" w:code="9"/>
          <w:pgMar w:top="1418" w:right="1418" w:bottom="1418" w:left="1985" w:header="567" w:footer="284" w:gutter="0"/>
          <w:cols w:space="708"/>
          <w:docGrid w:linePitch="360"/>
        </w:sectPr>
      </w:pPr>
      <w:r w:rsidRPr="0055149C">
        <w:rPr>
          <w:lang w:eastAsia="nb-NO"/>
        </w:rPr>
        <w:t xml:space="preserve">Det er imidlertid snakk om moderate utslag på det samlede kapitalslitet, jamfør </w:t>
      </w:r>
      <w:r w:rsidRPr="0055149C">
        <w:rPr>
          <w:lang w:eastAsia="nb-NO"/>
        </w:rPr>
        <w:fldChar w:fldCharType="begin"/>
      </w:r>
      <w:r w:rsidRPr="0055149C">
        <w:rPr>
          <w:lang w:eastAsia="nb-NO"/>
        </w:rPr>
        <w:instrText xml:space="preserve"> REF _Ref168346757 </w:instrText>
      </w:r>
      <w:r w:rsidRPr="0055149C">
        <w:rPr>
          <w:lang w:eastAsia="nb-NO"/>
        </w:rPr>
        <w:fldChar w:fldCharType="separate"/>
      </w:r>
      <w:r w:rsidR="009B1DA8" w:rsidRPr="0055149C">
        <w:t xml:space="preserve">Figur </w:t>
      </w:r>
      <w:r w:rsidR="009B1DA8">
        <w:rPr>
          <w:noProof/>
        </w:rPr>
        <w:t>4</w:t>
      </w:r>
      <w:r w:rsidR="009B1DA8">
        <w:t>.</w:t>
      </w:r>
      <w:r w:rsidR="009B1DA8">
        <w:rPr>
          <w:noProof/>
        </w:rPr>
        <w:t>16</w:t>
      </w:r>
      <w:r w:rsidRPr="0055149C">
        <w:rPr>
          <w:lang w:eastAsia="nb-NO"/>
        </w:rPr>
        <w:fldChar w:fldCharType="end"/>
      </w:r>
      <w:r w:rsidRPr="0055149C">
        <w:rPr>
          <w:lang w:eastAsia="nb-NO"/>
        </w:rPr>
        <w:t xml:space="preserve"> b). Nivået på kostnaden vil naturligvis få betydning om kapitalslitet slås sammen med bruttodrift</w:t>
      </w:r>
      <w:r w:rsidR="00295A21">
        <w:rPr>
          <w:lang w:eastAsia="nb-NO"/>
        </w:rPr>
        <w:t>s</w:t>
      </w:r>
      <w:r w:rsidRPr="0055149C">
        <w:rPr>
          <w:lang w:eastAsia="nb-NO"/>
        </w:rPr>
        <w:t>utgiftene i beregninger inne i i</w:t>
      </w:r>
      <w:r w:rsidRPr="004C168E">
        <w:rPr>
          <w:lang w:eastAsia="nb-NO"/>
        </w:rPr>
        <w:t xml:space="preserve">nntektssystemet. For 2022-estimatene gir feilvurderinger i depresieringsratene på 20 prosent </w:t>
      </w:r>
      <w:r w:rsidR="004C168E" w:rsidRPr="004C168E">
        <w:rPr>
          <w:lang w:eastAsia="nb-NO"/>
        </w:rPr>
        <w:t xml:space="preserve">nedover eller oppover i tilfellet DM </w:t>
      </w:r>
      <w:r w:rsidRPr="004C168E">
        <w:rPr>
          <w:lang w:eastAsia="nb-NO"/>
        </w:rPr>
        <w:t>noe større utslag på beholdningstallene enn tilsvarende feilvurderinger i kapitaldeflatorene</w:t>
      </w:r>
      <w:r w:rsidR="004C168E" w:rsidRPr="004C168E">
        <w:rPr>
          <w:lang w:eastAsia="nb-NO"/>
        </w:rPr>
        <w:t>. For feilvurderinger oppover i tilfellet PIM er det derimot motsatt</w:t>
      </w:r>
      <w:r w:rsidRPr="004C168E">
        <w:rPr>
          <w:lang w:eastAsia="nb-NO"/>
        </w:rPr>
        <w:t>.</w:t>
      </w:r>
    </w:p>
    <w:p w14:paraId="518B4465" w14:textId="3BC86A3D" w:rsidR="004337EE" w:rsidRDefault="004337EE" w:rsidP="004337EE">
      <w:pPr>
        <w:pStyle w:val="Bildetekst"/>
      </w:pPr>
      <w:bookmarkStart w:id="115" w:name="_Ref168403699"/>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3</w:t>
        </w:r>
      </w:fldSimple>
      <w:bookmarkEnd w:id="115"/>
      <w:r w:rsidRPr="0055149C">
        <w:tab/>
        <w:t>Korrelasjon mellom estimater for kapitalkostnader</w:t>
      </w:r>
      <w:r w:rsidR="000C5F8E" w:rsidRPr="0055149C">
        <w:t xml:space="preserve"> per innbygger og kapitalutgifter</w:t>
      </w:r>
      <w:r w:rsidRPr="0055149C">
        <w:t xml:space="preserve"> per innbygger i norske primærkommuner i 2022</w:t>
      </w:r>
    </w:p>
    <w:tbl>
      <w:tblPr>
        <w:tblW w:w="12240" w:type="dxa"/>
        <w:tblCellMar>
          <w:left w:w="70" w:type="dxa"/>
          <w:right w:w="70" w:type="dxa"/>
        </w:tblCellMar>
        <w:tblLook w:val="04A0" w:firstRow="1" w:lastRow="0" w:firstColumn="1" w:lastColumn="0" w:noHBand="0" w:noVBand="1"/>
      </w:tblPr>
      <w:tblGrid>
        <w:gridCol w:w="3600"/>
        <w:gridCol w:w="720"/>
        <w:gridCol w:w="720"/>
        <w:gridCol w:w="720"/>
        <w:gridCol w:w="720"/>
        <w:gridCol w:w="720"/>
        <w:gridCol w:w="720"/>
        <w:gridCol w:w="720"/>
        <w:gridCol w:w="720"/>
        <w:gridCol w:w="720"/>
        <w:gridCol w:w="720"/>
        <w:gridCol w:w="720"/>
        <w:gridCol w:w="720"/>
      </w:tblGrid>
      <w:tr w:rsidR="005E0347" w:rsidRPr="005E0347" w14:paraId="47E1A131" w14:textId="77777777" w:rsidTr="005E0347">
        <w:trPr>
          <w:trHeight w:val="276"/>
        </w:trPr>
        <w:tc>
          <w:tcPr>
            <w:tcW w:w="3600" w:type="dxa"/>
            <w:tcBorders>
              <w:top w:val="single" w:sz="4" w:space="0" w:color="auto"/>
              <w:left w:val="single" w:sz="4" w:space="0" w:color="auto"/>
              <w:bottom w:val="nil"/>
              <w:right w:val="nil"/>
            </w:tcBorders>
            <w:shd w:val="clear" w:color="000000" w:fill="3672B0"/>
            <w:noWrap/>
            <w:vAlign w:val="center"/>
            <w:hideMark/>
          </w:tcPr>
          <w:p w14:paraId="32350714" w14:textId="77777777" w:rsidR="005E0347" w:rsidRPr="005E0347" w:rsidRDefault="005E0347" w:rsidP="005E0347">
            <w:pPr>
              <w:spacing w:before="0" w:line="240" w:lineRule="auto"/>
              <w:jc w:val="left"/>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Variabler</w:t>
            </w:r>
          </w:p>
        </w:tc>
        <w:tc>
          <w:tcPr>
            <w:tcW w:w="720" w:type="dxa"/>
            <w:tcBorders>
              <w:top w:val="single" w:sz="4" w:space="0" w:color="auto"/>
              <w:left w:val="nil"/>
              <w:bottom w:val="single" w:sz="4" w:space="0" w:color="auto"/>
              <w:right w:val="nil"/>
            </w:tcBorders>
            <w:shd w:val="clear" w:color="000000" w:fill="3672B0"/>
            <w:noWrap/>
            <w:vAlign w:val="center"/>
            <w:hideMark/>
          </w:tcPr>
          <w:p w14:paraId="375D5532"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129A2B38"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3F78C4D5"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1723EFC8"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58B27B4F"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5231739E"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4E2D6025"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3DCE4CEC"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2E69DFA3"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2EB54B41"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7C14CAAF"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44B0A61E"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(12)</w:t>
            </w:r>
          </w:p>
        </w:tc>
      </w:tr>
      <w:tr w:rsidR="005E0347" w:rsidRPr="005E0347" w14:paraId="1FACD7C8" w14:textId="77777777" w:rsidTr="005E0347">
        <w:trPr>
          <w:trHeight w:val="276"/>
        </w:trPr>
        <w:tc>
          <w:tcPr>
            <w:tcW w:w="3600" w:type="dxa"/>
            <w:tcBorders>
              <w:top w:val="single" w:sz="4" w:space="0" w:color="auto"/>
              <w:left w:val="single" w:sz="4" w:space="0" w:color="auto"/>
              <w:bottom w:val="nil"/>
              <w:right w:val="single" w:sz="4" w:space="0" w:color="auto"/>
            </w:tcBorders>
            <w:shd w:val="clear" w:color="000000" w:fill="A9C6E4"/>
            <w:vAlign w:val="center"/>
            <w:hideMark/>
          </w:tcPr>
          <w:p w14:paraId="35F1BBE7"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 Bruttoinvesteringsutgifter</w:t>
            </w:r>
          </w:p>
        </w:tc>
        <w:tc>
          <w:tcPr>
            <w:tcW w:w="720" w:type="dxa"/>
            <w:tcBorders>
              <w:top w:val="single" w:sz="4" w:space="0" w:color="auto"/>
              <w:left w:val="single" w:sz="4" w:space="0" w:color="auto"/>
              <w:bottom w:val="nil"/>
              <w:right w:val="single" w:sz="4" w:space="0" w:color="auto"/>
            </w:tcBorders>
            <w:shd w:val="clear" w:color="468C5C" w:fill="468C5C"/>
            <w:noWrap/>
            <w:vAlign w:val="center"/>
            <w:hideMark/>
          </w:tcPr>
          <w:p w14:paraId="15C2645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D90F6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D4538B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39CC6E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087554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2DF319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77EAC3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1A2DBC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FD65AE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D6A223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BAE763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EF9C95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2FF74193"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4DEE5B4"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(2) Bruttoinvesteringsstrøm</w:t>
            </w:r>
          </w:p>
        </w:tc>
        <w:tc>
          <w:tcPr>
            <w:tcW w:w="720" w:type="dxa"/>
            <w:tcBorders>
              <w:top w:val="nil"/>
              <w:left w:val="nil"/>
              <w:bottom w:val="nil"/>
              <w:right w:val="nil"/>
            </w:tcBorders>
            <w:shd w:val="clear" w:color="468C5C" w:fill="468C5C"/>
            <w:noWrap/>
            <w:vAlign w:val="center"/>
            <w:hideMark/>
          </w:tcPr>
          <w:p w14:paraId="361F004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single" w:sz="4" w:space="0" w:color="auto"/>
              <w:left w:val="nil"/>
              <w:bottom w:val="nil"/>
              <w:right w:val="single" w:sz="4" w:space="0" w:color="auto"/>
            </w:tcBorders>
            <w:shd w:val="clear" w:color="468C5C" w:fill="468C5C"/>
            <w:noWrap/>
            <w:vAlign w:val="center"/>
            <w:hideMark/>
          </w:tcPr>
          <w:p w14:paraId="5E59C3F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4BF81F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1EACE0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EDE95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D1C599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3A599D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30AEE5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565A23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0E184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2C69AB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82A0B1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7F0D9306"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3B9B794C"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(3) Kapitalslit, DM</w:t>
            </w:r>
          </w:p>
        </w:tc>
        <w:tc>
          <w:tcPr>
            <w:tcW w:w="720" w:type="dxa"/>
            <w:tcBorders>
              <w:top w:val="nil"/>
              <w:left w:val="nil"/>
              <w:bottom w:val="nil"/>
              <w:right w:val="nil"/>
            </w:tcBorders>
            <w:shd w:val="clear" w:color="000000" w:fill="D7EBDD"/>
            <w:noWrap/>
            <w:vAlign w:val="center"/>
            <w:hideMark/>
          </w:tcPr>
          <w:p w14:paraId="56892AB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0.358</w:t>
            </w:r>
          </w:p>
        </w:tc>
        <w:tc>
          <w:tcPr>
            <w:tcW w:w="720" w:type="dxa"/>
            <w:tcBorders>
              <w:top w:val="nil"/>
              <w:left w:val="nil"/>
              <w:bottom w:val="nil"/>
              <w:right w:val="nil"/>
            </w:tcBorders>
            <w:shd w:val="clear" w:color="000000" w:fill="D7EBDD"/>
            <w:noWrap/>
            <w:vAlign w:val="center"/>
            <w:hideMark/>
          </w:tcPr>
          <w:p w14:paraId="673924C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0.346</w:t>
            </w:r>
          </w:p>
        </w:tc>
        <w:tc>
          <w:tcPr>
            <w:tcW w:w="720" w:type="dxa"/>
            <w:tcBorders>
              <w:top w:val="single" w:sz="4" w:space="0" w:color="auto"/>
              <w:left w:val="nil"/>
              <w:bottom w:val="nil"/>
              <w:right w:val="single" w:sz="4" w:space="0" w:color="auto"/>
            </w:tcBorders>
            <w:shd w:val="clear" w:color="468C5C" w:fill="468C5C"/>
            <w:noWrap/>
            <w:vAlign w:val="center"/>
            <w:hideMark/>
          </w:tcPr>
          <w:p w14:paraId="1644756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B59CAF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ECC1C9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71321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C9C159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AF43AC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67F11A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3D4D9B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7B1BF4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9034F7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75381E7D"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6CE4FDB"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(4) Kapitalslit, PIM-dd art</w:t>
            </w:r>
          </w:p>
        </w:tc>
        <w:tc>
          <w:tcPr>
            <w:tcW w:w="720" w:type="dxa"/>
            <w:tcBorders>
              <w:top w:val="nil"/>
              <w:left w:val="nil"/>
              <w:bottom w:val="nil"/>
              <w:right w:val="nil"/>
            </w:tcBorders>
            <w:shd w:val="clear" w:color="000000" w:fill="D7EBDD"/>
            <w:noWrap/>
            <w:vAlign w:val="center"/>
            <w:hideMark/>
          </w:tcPr>
          <w:p w14:paraId="73DA560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0.353</w:t>
            </w:r>
          </w:p>
        </w:tc>
        <w:tc>
          <w:tcPr>
            <w:tcW w:w="720" w:type="dxa"/>
            <w:tcBorders>
              <w:top w:val="nil"/>
              <w:left w:val="nil"/>
              <w:bottom w:val="nil"/>
              <w:right w:val="nil"/>
            </w:tcBorders>
            <w:shd w:val="clear" w:color="000000" w:fill="D7EBDD"/>
            <w:noWrap/>
            <w:vAlign w:val="center"/>
            <w:hideMark/>
          </w:tcPr>
          <w:p w14:paraId="1A224F3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0.336</w:t>
            </w:r>
          </w:p>
        </w:tc>
        <w:tc>
          <w:tcPr>
            <w:tcW w:w="720" w:type="dxa"/>
            <w:tcBorders>
              <w:top w:val="nil"/>
              <w:left w:val="nil"/>
              <w:bottom w:val="nil"/>
              <w:right w:val="nil"/>
            </w:tcBorders>
            <w:shd w:val="clear" w:color="000000" w:fill="87C399"/>
            <w:noWrap/>
            <w:vAlign w:val="center"/>
            <w:hideMark/>
          </w:tcPr>
          <w:p w14:paraId="3145A55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0.862</w:t>
            </w:r>
          </w:p>
        </w:tc>
        <w:tc>
          <w:tcPr>
            <w:tcW w:w="720" w:type="dxa"/>
            <w:tcBorders>
              <w:top w:val="single" w:sz="4" w:space="0" w:color="auto"/>
              <w:left w:val="nil"/>
              <w:bottom w:val="nil"/>
              <w:right w:val="single" w:sz="4" w:space="0" w:color="auto"/>
            </w:tcBorders>
            <w:shd w:val="clear" w:color="468C5C" w:fill="468C5C"/>
            <w:noWrap/>
            <w:vAlign w:val="center"/>
            <w:hideMark/>
          </w:tcPr>
          <w:p w14:paraId="57E56C9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1785046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5079C5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004BDA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0EC443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30129A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EA8A0D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62E8ED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432B751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56AD6947"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04F69C85"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(5) Kapitalslit, PIM-dd funk.</w:t>
            </w:r>
          </w:p>
        </w:tc>
        <w:tc>
          <w:tcPr>
            <w:tcW w:w="720" w:type="dxa"/>
            <w:tcBorders>
              <w:top w:val="nil"/>
              <w:left w:val="nil"/>
              <w:bottom w:val="nil"/>
              <w:right w:val="nil"/>
            </w:tcBorders>
            <w:shd w:val="clear" w:color="000000" w:fill="D7EBDD"/>
            <w:noWrap/>
            <w:vAlign w:val="center"/>
            <w:hideMark/>
          </w:tcPr>
          <w:p w14:paraId="03DF5E9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0.390</w:t>
            </w:r>
          </w:p>
        </w:tc>
        <w:tc>
          <w:tcPr>
            <w:tcW w:w="720" w:type="dxa"/>
            <w:tcBorders>
              <w:top w:val="nil"/>
              <w:left w:val="nil"/>
              <w:bottom w:val="nil"/>
              <w:right w:val="nil"/>
            </w:tcBorders>
            <w:shd w:val="clear" w:color="000000" w:fill="D7EBDD"/>
            <w:noWrap/>
            <w:vAlign w:val="center"/>
            <w:hideMark/>
          </w:tcPr>
          <w:p w14:paraId="2B3C197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0.382</w:t>
            </w:r>
          </w:p>
        </w:tc>
        <w:tc>
          <w:tcPr>
            <w:tcW w:w="720" w:type="dxa"/>
            <w:tcBorders>
              <w:top w:val="nil"/>
              <w:left w:val="nil"/>
              <w:bottom w:val="nil"/>
              <w:right w:val="nil"/>
            </w:tcBorders>
            <w:shd w:val="clear" w:color="000000" w:fill="87C399"/>
            <w:noWrap/>
            <w:vAlign w:val="center"/>
            <w:hideMark/>
          </w:tcPr>
          <w:p w14:paraId="3BA927C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0.897</w:t>
            </w:r>
          </w:p>
        </w:tc>
        <w:tc>
          <w:tcPr>
            <w:tcW w:w="720" w:type="dxa"/>
            <w:tcBorders>
              <w:top w:val="nil"/>
              <w:left w:val="nil"/>
              <w:bottom w:val="nil"/>
              <w:right w:val="nil"/>
            </w:tcBorders>
            <w:shd w:val="clear" w:color="000000" w:fill="87C399"/>
            <w:noWrap/>
            <w:vAlign w:val="center"/>
            <w:hideMark/>
          </w:tcPr>
          <w:p w14:paraId="636785F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0.886</w:t>
            </w:r>
          </w:p>
        </w:tc>
        <w:tc>
          <w:tcPr>
            <w:tcW w:w="720" w:type="dxa"/>
            <w:tcBorders>
              <w:top w:val="single" w:sz="4" w:space="0" w:color="auto"/>
              <w:left w:val="nil"/>
              <w:bottom w:val="nil"/>
              <w:right w:val="single" w:sz="4" w:space="0" w:color="auto"/>
            </w:tcBorders>
            <w:shd w:val="clear" w:color="468C5C" w:fill="468C5C"/>
            <w:noWrap/>
            <w:vAlign w:val="center"/>
            <w:hideMark/>
          </w:tcPr>
          <w:p w14:paraId="158BF11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4AC98F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C75B3A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A7A82D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8FA0BC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BA3C3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487C57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7AF99D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5C4F13EA"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55ACAE05"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(6) Kapitalslit, PIM-ad funk.</w:t>
            </w:r>
          </w:p>
        </w:tc>
        <w:tc>
          <w:tcPr>
            <w:tcW w:w="720" w:type="dxa"/>
            <w:tcBorders>
              <w:top w:val="nil"/>
              <w:left w:val="nil"/>
              <w:bottom w:val="nil"/>
              <w:right w:val="nil"/>
            </w:tcBorders>
            <w:shd w:val="clear" w:color="000000" w:fill="D7EBDD"/>
            <w:noWrap/>
            <w:vAlign w:val="center"/>
            <w:hideMark/>
          </w:tcPr>
          <w:p w14:paraId="5C9CDED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0.373</w:t>
            </w:r>
          </w:p>
        </w:tc>
        <w:tc>
          <w:tcPr>
            <w:tcW w:w="720" w:type="dxa"/>
            <w:tcBorders>
              <w:top w:val="nil"/>
              <w:left w:val="nil"/>
              <w:bottom w:val="nil"/>
              <w:right w:val="nil"/>
            </w:tcBorders>
            <w:shd w:val="clear" w:color="000000" w:fill="D7EBDD"/>
            <w:noWrap/>
            <w:vAlign w:val="center"/>
            <w:hideMark/>
          </w:tcPr>
          <w:p w14:paraId="091EB77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0.364</w:t>
            </w:r>
          </w:p>
        </w:tc>
        <w:tc>
          <w:tcPr>
            <w:tcW w:w="720" w:type="dxa"/>
            <w:tcBorders>
              <w:top w:val="nil"/>
              <w:left w:val="nil"/>
              <w:bottom w:val="nil"/>
              <w:right w:val="nil"/>
            </w:tcBorders>
            <w:shd w:val="clear" w:color="468C5C" w:fill="468C5C"/>
            <w:noWrap/>
            <w:vAlign w:val="center"/>
            <w:hideMark/>
          </w:tcPr>
          <w:p w14:paraId="7A70979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0.905</w:t>
            </w:r>
          </w:p>
        </w:tc>
        <w:tc>
          <w:tcPr>
            <w:tcW w:w="720" w:type="dxa"/>
            <w:tcBorders>
              <w:top w:val="nil"/>
              <w:left w:val="nil"/>
              <w:bottom w:val="nil"/>
              <w:right w:val="nil"/>
            </w:tcBorders>
            <w:shd w:val="clear" w:color="000000" w:fill="87C399"/>
            <w:noWrap/>
            <w:vAlign w:val="center"/>
            <w:hideMark/>
          </w:tcPr>
          <w:p w14:paraId="4C74230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0.887</w:t>
            </w:r>
          </w:p>
        </w:tc>
        <w:tc>
          <w:tcPr>
            <w:tcW w:w="720" w:type="dxa"/>
            <w:tcBorders>
              <w:top w:val="nil"/>
              <w:left w:val="nil"/>
              <w:bottom w:val="nil"/>
              <w:right w:val="nil"/>
            </w:tcBorders>
            <w:shd w:val="clear" w:color="468C5C" w:fill="468C5C"/>
            <w:noWrap/>
            <w:vAlign w:val="center"/>
            <w:hideMark/>
          </w:tcPr>
          <w:p w14:paraId="1E7136D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0.994</w:t>
            </w:r>
          </w:p>
        </w:tc>
        <w:tc>
          <w:tcPr>
            <w:tcW w:w="720" w:type="dxa"/>
            <w:tcBorders>
              <w:top w:val="single" w:sz="4" w:space="0" w:color="auto"/>
              <w:left w:val="nil"/>
              <w:bottom w:val="nil"/>
              <w:right w:val="single" w:sz="4" w:space="0" w:color="auto"/>
            </w:tcBorders>
            <w:shd w:val="clear" w:color="468C5C" w:fill="468C5C"/>
            <w:noWrap/>
            <w:vAlign w:val="center"/>
            <w:hideMark/>
          </w:tcPr>
          <w:p w14:paraId="7851816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69DE98E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B9C7DD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D950D4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A2B4B0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E9935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0C68E5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30ED2E78"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60BBEB52"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(7) Kapitalslit, PIM-da funk.</w:t>
            </w:r>
          </w:p>
        </w:tc>
        <w:tc>
          <w:tcPr>
            <w:tcW w:w="720" w:type="dxa"/>
            <w:tcBorders>
              <w:top w:val="nil"/>
              <w:left w:val="nil"/>
              <w:bottom w:val="nil"/>
              <w:right w:val="nil"/>
            </w:tcBorders>
            <w:shd w:val="clear" w:color="000000" w:fill="D7EBDD"/>
            <w:noWrap/>
            <w:vAlign w:val="center"/>
            <w:hideMark/>
          </w:tcPr>
          <w:p w14:paraId="243FA30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0.393</w:t>
            </w:r>
          </w:p>
        </w:tc>
        <w:tc>
          <w:tcPr>
            <w:tcW w:w="720" w:type="dxa"/>
            <w:tcBorders>
              <w:top w:val="nil"/>
              <w:left w:val="nil"/>
              <w:bottom w:val="nil"/>
              <w:right w:val="nil"/>
            </w:tcBorders>
            <w:shd w:val="clear" w:color="000000" w:fill="D7EBDD"/>
            <w:noWrap/>
            <w:vAlign w:val="center"/>
            <w:hideMark/>
          </w:tcPr>
          <w:p w14:paraId="385CF44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0.385</w:t>
            </w:r>
          </w:p>
        </w:tc>
        <w:tc>
          <w:tcPr>
            <w:tcW w:w="720" w:type="dxa"/>
            <w:tcBorders>
              <w:top w:val="nil"/>
              <w:left w:val="nil"/>
              <w:bottom w:val="nil"/>
              <w:right w:val="nil"/>
            </w:tcBorders>
            <w:shd w:val="clear" w:color="468C5C" w:fill="468C5C"/>
            <w:noWrap/>
            <w:vAlign w:val="center"/>
            <w:hideMark/>
          </w:tcPr>
          <w:p w14:paraId="6114AB0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0.906</w:t>
            </w:r>
          </w:p>
        </w:tc>
        <w:tc>
          <w:tcPr>
            <w:tcW w:w="720" w:type="dxa"/>
            <w:tcBorders>
              <w:top w:val="nil"/>
              <w:left w:val="nil"/>
              <w:bottom w:val="nil"/>
              <w:right w:val="nil"/>
            </w:tcBorders>
            <w:shd w:val="clear" w:color="468C5C" w:fill="468C5C"/>
            <w:noWrap/>
            <w:vAlign w:val="center"/>
            <w:hideMark/>
          </w:tcPr>
          <w:p w14:paraId="70F2E85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0.902</w:t>
            </w:r>
          </w:p>
        </w:tc>
        <w:tc>
          <w:tcPr>
            <w:tcW w:w="720" w:type="dxa"/>
            <w:tcBorders>
              <w:top w:val="nil"/>
              <w:left w:val="nil"/>
              <w:bottom w:val="nil"/>
              <w:right w:val="nil"/>
            </w:tcBorders>
            <w:shd w:val="clear" w:color="468C5C" w:fill="468C5C"/>
            <w:noWrap/>
            <w:vAlign w:val="center"/>
            <w:hideMark/>
          </w:tcPr>
          <w:p w14:paraId="31C82A8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nil"/>
              <w:left w:val="nil"/>
              <w:bottom w:val="nil"/>
              <w:right w:val="nil"/>
            </w:tcBorders>
            <w:shd w:val="clear" w:color="468C5C" w:fill="468C5C"/>
            <w:noWrap/>
            <w:vAlign w:val="center"/>
            <w:hideMark/>
          </w:tcPr>
          <w:p w14:paraId="671507B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0.983</w:t>
            </w:r>
          </w:p>
        </w:tc>
        <w:tc>
          <w:tcPr>
            <w:tcW w:w="720" w:type="dxa"/>
            <w:tcBorders>
              <w:top w:val="single" w:sz="4" w:space="0" w:color="auto"/>
              <w:left w:val="nil"/>
              <w:bottom w:val="nil"/>
              <w:right w:val="single" w:sz="4" w:space="0" w:color="auto"/>
            </w:tcBorders>
            <w:shd w:val="clear" w:color="468C5C" w:fill="468C5C"/>
            <w:noWrap/>
            <w:vAlign w:val="center"/>
            <w:hideMark/>
          </w:tcPr>
          <w:p w14:paraId="2CD5BC9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1EAFCC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93CDC8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EE59A0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953276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61C90D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75ACE472"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161C8B70"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(8) Kapitalslit, PIM-aa funk.</w:t>
            </w:r>
          </w:p>
        </w:tc>
        <w:tc>
          <w:tcPr>
            <w:tcW w:w="720" w:type="dxa"/>
            <w:tcBorders>
              <w:top w:val="nil"/>
              <w:left w:val="nil"/>
              <w:bottom w:val="nil"/>
              <w:right w:val="nil"/>
            </w:tcBorders>
            <w:shd w:val="clear" w:color="000000" w:fill="D7EBDD"/>
            <w:noWrap/>
            <w:vAlign w:val="center"/>
            <w:hideMark/>
          </w:tcPr>
          <w:p w14:paraId="601DF2F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0.374</w:t>
            </w:r>
          </w:p>
        </w:tc>
        <w:tc>
          <w:tcPr>
            <w:tcW w:w="720" w:type="dxa"/>
            <w:tcBorders>
              <w:top w:val="nil"/>
              <w:left w:val="nil"/>
              <w:bottom w:val="nil"/>
              <w:right w:val="nil"/>
            </w:tcBorders>
            <w:shd w:val="clear" w:color="000000" w:fill="D7EBDD"/>
            <w:noWrap/>
            <w:vAlign w:val="center"/>
            <w:hideMark/>
          </w:tcPr>
          <w:p w14:paraId="77FFFA0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0.366</w:t>
            </w:r>
          </w:p>
        </w:tc>
        <w:tc>
          <w:tcPr>
            <w:tcW w:w="720" w:type="dxa"/>
            <w:tcBorders>
              <w:top w:val="nil"/>
              <w:left w:val="nil"/>
              <w:bottom w:val="nil"/>
              <w:right w:val="nil"/>
            </w:tcBorders>
            <w:shd w:val="clear" w:color="468C5C" w:fill="468C5C"/>
            <w:noWrap/>
            <w:vAlign w:val="center"/>
            <w:hideMark/>
          </w:tcPr>
          <w:p w14:paraId="3227ACC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0.913</w:t>
            </w:r>
          </w:p>
        </w:tc>
        <w:tc>
          <w:tcPr>
            <w:tcW w:w="720" w:type="dxa"/>
            <w:tcBorders>
              <w:top w:val="nil"/>
              <w:left w:val="nil"/>
              <w:bottom w:val="nil"/>
              <w:right w:val="nil"/>
            </w:tcBorders>
            <w:shd w:val="clear" w:color="000000" w:fill="87C399"/>
            <w:noWrap/>
            <w:vAlign w:val="center"/>
            <w:hideMark/>
          </w:tcPr>
          <w:p w14:paraId="371BCD5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0.900</w:t>
            </w:r>
          </w:p>
        </w:tc>
        <w:tc>
          <w:tcPr>
            <w:tcW w:w="720" w:type="dxa"/>
            <w:tcBorders>
              <w:top w:val="nil"/>
              <w:left w:val="nil"/>
              <w:bottom w:val="nil"/>
              <w:right w:val="nil"/>
            </w:tcBorders>
            <w:shd w:val="clear" w:color="468C5C" w:fill="468C5C"/>
            <w:noWrap/>
            <w:vAlign w:val="center"/>
            <w:hideMark/>
          </w:tcPr>
          <w:p w14:paraId="40A08EC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0.980</w:t>
            </w:r>
          </w:p>
        </w:tc>
        <w:tc>
          <w:tcPr>
            <w:tcW w:w="720" w:type="dxa"/>
            <w:tcBorders>
              <w:top w:val="nil"/>
              <w:left w:val="nil"/>
              <w:bottom w:val="nil"/>
              <w:right w:val="nil"/>
            </w:tcBorders>
            <w:shd w:val="clear" w:color="468C5C" w:fill="468C5C"/>
            <w:noWrap/>
            <w:vAlign w:val="center"/>
            <w:hideMark/>
          </w:tcPr>
          <w:p w14:paraId="6A91D61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nil"/>
              <w:left w:val="nil"/>
              <w:bottom w:val="nil"/>
              <w:right w:val="nil"/>
            </w:tcBorders>
            <w:shd w:val="clear" w:color="468C5C" w:fill="468C5C"/>
            <w:noWrap/>
            <w:vAlign w:val="center"/>
            <w:hideMark/>
          </w:tcPr>
          <w:p w14:paraId="77CEDE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0.993</w:t>
            </w:r>
          </w:p>
        </w:tc>
        <w:tc>
          <w:tcPr>
            <w:tcW w:w="720" w:type="dxa"/>
            <w:tcBorders>
              <w:top w:val="single" w:sz="4" w:space="0" w:color="auto"/>
              <w:left w:val="nil"/>
              <w:bottom w:val="nil"/>
              <w:right w:val="single" w:sz="4" w:space="0" w:color="auto"/>
            </w:tcBorders>
            <w:shd w:val="clear" w:color="468C5C" w:fill="468C5C"/>
            <w:noWrap/>
            <w:vAlign w:val="center"/>
            <w:hideMark/>
          </w:tcPr>
          <w:p w14:paraId="563B1D3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4DD51F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9DB83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2B1B1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15EB0F0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325186AA"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04C4E640"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(9) Kapitalslit og rentekost, PIM-ddl art</w:t>
            </w:r>
          </w:p>
        </w:tc>
        <w:tc>
          <w:tcPr>
            <w:tcW w:w="720" w:type="dxa"/>
            <w:tcBorders>
              <w:top w:val="nil"/>
              <w:left w:val="nil"/>
              <w:bottom w:val="nil"/>
              <w:right w:val="nil"/>
            </w:tcBorders>
            <w:shd w:val="clear" w:color="000000" w:fill="D7EBDD"/>
            <w:noWrap/>
            <w:vAlign w:val="center"/>
            <w:hideMark/>
          </w:tcPr>
          <w:p w14:paraId="10C1CA0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0.383</w:t>
            </w:r>
          </w:p>
        </w:tc>
        <w:tc>
          <w:tcPr>
            <w:tcW w:w="720" w:type="dxa"/>
            <w:tcBorders>
              <w:top w:val="nil"/>
              <w:left w:val="nil"/>
              <w:bottom w:val="nil"/>
              <w:right w:val="nil"/>
            </w:tcBorders>
            <w:shd w:val="clear" w:color="000000" w:fill="D7EBDD"/>
            <w:noWrap/>
            <w:vAlign w:val="center"/>
            <w:hideMark/>
          </w:tcPr>
          <w:p w14:paraId="7570C29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0.371</w:t>
            </w:r>
          </w:p>
        </w:tc>
        <w:tc>
          <w:tcPr>
            <w:tcW w:w="720" w:type="dxa"/>
            <w:tcBorders>
              <w:top w:val="nil"/>
              <w:left w:val="nil"/>
              <w:bottom w:val="nil"/>
              <w:right w:val="nil"/>
            </w:tcBorders>
            <w:shd w:val="clear" w:color="468C5C" w:fill="468C5C"/>
            <w:noWrap/>
            <w:vAlign w:val="center"/>
            <w:hideMark/>
          </w:tcPr>
          <w:p w14:paraId="01E5F65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0.906</w:t>
            </w:r>
          </w:p>
        </w:tc>
        <w:tc>
          <w:tcPr>
            <w:tcW w:w="720" w:type="dxa"/>
            <w:tcBorders>
              <w:top w:val="nil"/>
              <w:left w:val="nil"/>
              <w:bottom w:val="nil"/>
              <w:right w:val="nil"/>
            </w:tcBorders>
            <w:shd w:val="clear" w:color="468C5C" w:fill="468C5C"/>
            <w:noWrap/>
            <w:vAlign w:val="center"/>
            <w:hideMark/>
          </w:tcPr>
          <w:p w14:paraId="6E285F9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0.949</w:t>
            </w:r>
          </w:p>
        </w:tc>
        <w:tc>
          <w:tcPr>
            <w:tcW w:w="720" w:type="dxa"/>
            <w:tcBorders>
              <w:top w:val="nil"/>
              <w:left w:val="nil"/>
              <w:bottom w:val="nil"/>
              <w:right w:val="nil"/>
            </w:tcBorders>
            <w:shd w:val="clear" w:color="468C5C" w:fill="468C5C"/>
            <w:noWrap/>
            <w:vAlign w:val="center"/>
            <w:hideMark/>
          </w:tcPr>
          <w:p w14:paraId="1DE7101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0.973</w:t>
            </w:r>
          </w:p>
        </w:tc>
        <w:tc>
          <w:tcPr>
            <w:tcW w:w="720" w:type="dxa"/>
            <w:tcBorders>
              <w:top w:val="nil"/>
              <w:left w:val="nil"/>
              <w:bottom w:val="nil"/>
              <w:right w:val="nil"/>
            </w:tcBorders>
            <w:shd w:val="clear" w:color="468C5C" w:fill="468C5C"/>
            <w:noWrap/>
            <w:vAlign w:val="center"/>
            <w:hideMark/>
          </w:tcPr>
          <w:p w14:paraId="446178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0.970</w:t>
            </w:r>
          </w:p>
        </w:tc>
        <w:tc>
          <w:tcPr>
            <w:tcW w:w="720" w:type="dxa"/>
            <w:tcBorders>
              <w:top w:val="nil"/>
              <w:left w:val="nil"/>
              <w:bottom w:val="nil"/>
              <w:right w:val="nil"/>
            </w:tcBorders>
            <w:shd w:val="clear" w:color="468C5C" w:fill="468C5C"/>
            <w:noWrap/>
            <w:vAlign w:val="center"/>
            <w:hideMark/>
          </w:tcPr>
          <w:p w14:paraId="6A58DC8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0.986</w:t>
            </w:r>
          </w:p>
        </w:tc>
        <w:tc>
          <w:tcPr>
            <w:tcW w:w="720" w:type="dxa"/>
            <w:tcBorders>
              <w:top w:val="nil"/>
              <w:left w:val="nil"/>
              <w:bottom w:val="nil"/>
              <w:right w:val="nil"/>
            </w:tcBorders>
            <w:shd w:val="clear" w:color="468C5C" w:fill="468C5C"/>
            <w:noWrap/>
            <w:vAlign w:val="center"/>
            <w:hideMark/>
          </w:tcPr>
          <w:p w14:paraId="6E10336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0.980</w:t>
            </w:r>
          </w:p>
        </w:tc>
        <w:tc>
          <w:tcPr>
            <w:tcW w:w="720" w:type="dxa"/>
            <w:tcBorders>
              <w:top w:val="single" w:sz="4" w:space="0" w:color="auto"/>
              <w:left w:val="nil"/>
              <w:bottom w:val="nil"/>
              <w:right w:val="single" w:sz="4" w:space="0" w:color="auto"/>
            </w:tcBorders>
            <w:shd w:val="clear" w:color="468C5C" w:fill="468C5C"/>
            <w:noWrap/>
            <w:vAlign w:val="center"/>
            <w:hideMark/>
          </w:tcPr>
          <w:p w14:paraId="7E91D26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B40E81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415C41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1211074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637E3EEA"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7CA7E6FE"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 Kapitalslit og rentekost, PIM-ddf funk.</w:t>
            </w:r>
          </w:p>
        </w:tc>
        <w:tc>
          <w:tcPr>
            <w:tcW w:w="720" w:type="dxa"/>
            <w:tcBorders>
              <w:top w:val="nil"/>
              <w:left w:val="nil"/>
              <w:bottom w:val="nil"/>
              <w:right w:val="nil"/>
            </w:tcBorders>
            <w:shd w:val="clear" w:color="000000" w:fill="D7EBDD"/>
            <w:noWrap/>
            <w:vAlign w:val="center"/>
            <w:hideMark/>
          </w:tcPr>
          <w:p w14:paraId="5055AA2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0.397</w:t>
            </w:r>
          </w:p>
        </w:tc>
        <w:tc>
          <w:tcPr>
            <w:tcW w:w="720" w:type="dxa"/>
            <w:tcBorders>
              <w:top w:val="nil"/>
              <w:left w:val="nil"/>
              <w:bottom w:val="nil"/>
              <w:right w:val="nil"/>
            </w:tcBorders>
            <w:shd w:val="clear" w:color="000000" w:fill="D7EBDD"/>
            <w:noWrap/>
            <w:vAlign w:val="center"/>
            <w:hideMark/>
          </w:tcPr>
          <w:p w14:paraId="016DEBE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0.389</w:t>
            </w:r>
          </w:p>
        </w:tc>
        <w:tc>
          <w:tcPr>
            <w:tcW w:w="720" w:type="dxa"/>
            <w:tcBorders>
              <w:top w:val="nil"/>
              <w:left w:val="nil"/>
              <w:bottom w:val="nil"/>
              <w:right w:val="nil"/>
            </w:tcBorders>
            <w:shd w:val="clear" w:color="468C5C" w:fill="468C5C"/>
            <w:noWrap/>
            <w:vAlign w:val="center"/>
            <w:hideMark/>
          </w:tcPr>
          <w:p w14:paraId="70FF737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0.908</w:t>
            </w:r>
          </w:p>
        </w:tc>
        <w:tc>
          <w:tcPr>
            <w:tcW w:w="720" w:type="dxa"/>
            <w:tcBorders>
              <w:top w:val="nil"/>
              <w:left w:val="nil"/>
              <w:bottom w:val="nil"/>
              <w:right w:val="nil"/>
            </w:tcBorders>
            <w:shd w:val="clear" w:color="000000" w:fill="87C399"/>
            <w:noWrap/>
            <w:vAlign w:val="center"/>
            <w:hideMark/>
          </w:tcPr>
          <w:p w14:paraId="12FDED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0.899</w:t>
            </w:r>
          </w:p>
        </w:tc>
        <w:tc>
          <w:tcPr>
            <w:tcW w:w="720" w:type="dxa"/>
            <w:tcBorders>
              <w:top w:val="nil"/>
              <w:left w:val="nil"/>
              <w:bottom w:val="nil"/>
              <w:right w:val="nil"/>
            </w:tcBorders>
            <w:shd w:val="clear" w:color="468C5C" w:fill="468C5C"/>
            <w:noWrap/>
            <w:vAlign w:val="center"/>
            <w:hideMark/>
          </w:tcPr>
          <w:p w14:paraId="328D5FA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nil"/>
              <w:left w:val="nil"/>
              <w:bottom w:val="nil"/>
              <w:right w:val="nil"/>
            </w:tcBorders>
            <w:shd w:val="clear" w:color="468C5C" w:fill="468C5C"/>
            <w:noWrap/>
            <w:vAlign w:val="center"/>
            <w:hideMark/>
          </w:tcPr>
          <w:p w14:paraId="749C6CA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0.982</w:t>
            </w:r>
          </w:p>
        </w:tc>
        <w:tc>
          <w:tcPr>
            <w:tcW w:w="720" w:type="dxa"/>
            <w:tcBorders>
              <w:top w:val="nil"/>
              <w:left w:val="nil"/>
              <w:bottom w:val="nil"/>
              <w:right w:val="nil"/>
            </w:tcBorders>
            <w:shd w:val="clear" w:color="468C5C" w:fill="468C5C"/>
            <w:noWrap/>
            <w:vAlign w:val="center"/>
            <w:hideMark/>
          </w:tcPr>
          <w:p w14:paraId="30021A3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0.998</w:t>
            </w:r>
          </w:p>
        </w:tc>
        <w:tc>
          <w:tcPr>
            <w:tcW w:w="720" w:type="dxa"/>
            <w:tcBorders>
              <w:top w:val="nil"/>
              <w:left w:val="nil"/>
              <w:bottom w:val="nil"/>
              <w:right w:val="nil"/>
            </w:tcBorders>
            <w:shd w:val="clear" w:color="468C5C" w:fill="468C5C"/>
            <w:noWrap/>
            <w:vAlign w:val="center"/>
            <w:hideMark/>
          </w:tcPr>
          <w:p w14:paraId="5BB4831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37155A9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0.983</w:t>
            </w:r>
          </w:p>
        </w:tc>
        <w:tc>
          <w:tcPr>
            <w:tcW w:w="720" w:type="dxa"/>
            <w:tcBorders>
              <w:top w:val="single" w:sz="4" w:space="0" w:color="auto"/>
              <w:left w:val="nil"/>
              <w:bottom w:val="nil"/>
              <w:right w:val="single" w:sz="4" w:space="0" w:color="auto"/>
            </w:tcBorders>
            <w:shd w:val="clear" w:color="468C5C" w:fill="468C5C"/>
            <w:noWrap/>
            <w:vAlign w:val="center"/>
            <w:hideMark/>
          </w:tcPr>
          <w:p w14:paraId="4941929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3A1CA7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0E099F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2CDEC619"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7D406FB8"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(11) Kapitalslit og rentekost, PIM-ddl funk.</w:t>
            </w:r>
          </w:p>
        </w:tc>
        <w:tc>
          <w:tcPr>
            <w:tcW w:w="720" w:type="dxa"/>
            <w:tcBorders>
              <w:top w:val="nil"/>
              <w:left w:val="nil"/>
              <w:bottom w:val="nil"/>
              <w:right w:val="nil"/>
            </w:tcBorders>
            <w:shd w:val="clear" w:color="000000" w:fill="D7EBDD"/>
            <w:noWrap/>
            <w:vAlign w:val="center"/>
            <w:hideMark/>
          </w:tcPr>
          <w:p w14:paraId="2C0AE87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0.396</w:t>
            </w:r>
          </w:p>
        </w:tc>
        <w:tc>
          <w:tcPr>
            <w:tcW w:w="720" w:type="dxa"/>
            <w:tcBorders>
              <w:top w:val="nil"/>
              <w:left w:val="nil"/>
              <w:bottom w:val="nil"/>
              <w:right w:val="nil"/>
            </w:tcBorders>
            <w:shd w:val="clear" w:color="000000" w:fill="D7EBDD"/>
            <w:noWrap/>
            <w:vAlign w:val="center"/>
            <w:hideMark/>
          </w:tcPr>
          <w:p w14:paraId="398427F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0.389</w:t>
            </w:r>
          </w:p>
        </w:tc>
        <w:tc>
          <w:tcPr>
            <w:tcW w:w="720" w:type="dxa"/>
            <w:tcBorders>
              <w:top w:val="nil"/>
              <w:left w:val="nil"/>
              <w:bottom w:val="nil"/>
              <w:right w:val="nil"/>
            </w:tcBorders>
            <w:shd w:val="clear" w:color="468C5C" w:fill="468C5C"/>
            <w:noWrap/>
            <w:vAlign w:val="center"/>
            <w:hideMark/>
          </w:tcPr>
          <w:p w14:paraId="1DFE24A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0.908</w:t>
            </w:r>
          </w:p>
        </w:tc>
        <w:tc>
          <w:tcPr>
            <w:tcW w:w="720" w:type="dxa"/>
            <w:tcBorders>
              <w:top w:val="nil"/>
              <w:left w:val="nil"/>
              <w:bottom w:val="nil"/>
              <w:right w:val="nil"/>
            </w:tcBorders>
            <w:shd w:val="clear" w:color="000000" w:fill="87C399"/>
            <w:noWrap/>
            <w:vAlign w:val="center"/>
            <w:hideMark/>
          </w:tcPr>
          <w:p w14:paraId="39D18A3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0.898</w:t>
            </w:r>
          </w:p>
        </w:tc>
        <w:tc>
          <w:tcPr>
            <w:tcW w:w="720" w:type="dxa"/>
            <w:tcBorders>
              <w:top w:val="nil"/>
              <w:left w:val="nil"/>
              <w:bottom w:val="nil"/>
              <w:right w:val="nil"/>
            </w:tcBorders>
            <w:shd w:val="clear" w:color="468C5C" w:fill="468C5C"/>
            <w:noWrap/>
            <w:vAlign w:val="center"/>
            <w:hideMark/>
          </w:tcPr>
          <w:p w14:paraId="36B02E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1FF4F27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0.984</w:t>
            </w:r>
          </w:p>
        </w:tc>
        <w:tc>
          <w:tcPr>
            <w:tcW w:w="720" w:type="dxa"/>
            <w:tcBorders>
              <w:top w:val="nil"/>
              <w:left w:val="nil"/>
              <w:bottom w:val="nil"/>
              <w:right w:val="nil"/>
            </w:tcBorders>
            <w:shd w:val="clear" w:color="468C5C" w:fill="468C5C"/>
            <w:noWrap/>
            <w:vAlign w:val="center"/>
            <w:hideMark/>
          </w:tcPr>
          <w:p w14:paraId="1307874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0.998</w:t>
            </w:r>
          </w:p>
        </w:tc>
        <w:tc>
          <w:tcPr>
            <w:tcW w:w="720" w:type="dxa"/>
            <w:tcBorders>
              <w:top w:val="nil"/>
              <w:left w:val="nil"/>
              <w:bottom w:val="nil"/>
              <w:right w:val="nil"/>
            </w:tcBorders>
            <w:shd w:val="clear" w:color="468C5C" w:fill="468C5C"/>
            <w:noWrap/>
            <w:vAlign w:val="center"/>
            <w:hideMark/>
          </w:tcPr>
          <w:p w14:paraId="22DD1E1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17D7F86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0.983</w:t>
            </w:r>
          </w:p>
        </w:tc>
        <w:tc>
          <w:tcPr>
            <w:tcW w:w="720" w:type="dxa"/>
            <w:tcBorders>
              <w:top w:val="nil"/>
              <w:left w:val="nil"/>
              <w:bottom w:val="nil"/>
              <w:right w:val="nil"/>
            </w:tcBorders>
            <w:shd w:val="clear" w:color="468C5C" w:fill="468C5C"/>
            <w:noWrap/>
            <w:vAlign w:val="center"/>
            <w:hideMark/>
          </w:tcPr>
          <w:p w14:paraId="53623D8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single" w:sz="4" w:space="0" w:color="auto"/>
              <w:left w:val="nil"/>
              <w:bottom w:val="nil"/>
              <w:right w:val="single" w:sz="4" w:space="0" w:color="auto"/>
            </w:tcBorders>
            <w:shd w:val="clear" w:color="468C5C" w:fill="468C5C"/>
            <w:noWrap/>
            <w:vAlign w:val="center"/>
            <w:hideMark/>
          </w:tcPr>
          <w:p w14:paraId="7ADFF66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single" w:sz="4" w:space="0" w:color="auto"/>
            </w:tcBorders>
            <w:shd w:val="clear" w:color="000000" w:fill="3672B0"/>
            <w:noWrap/>
            <w:vAlign w:val="center"/>
            <w:hideMark/>
          </w:tcPr>
          <w:p w14:paraId="7CFDBA3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6CFC2C1F" w14:textId="77777777" w:rsidTr="005E0347">
        <w:trPr>
          <w:trHeight w:val="276"/>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7962845F"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(12) Kapitaltjenester, PIM-ddl funk.</w:t>
            </w:r>
          </w:p>
        </w:tc>
        <w:tc>
          <w:tcPr>
            <w:tcW w:w="720" w:type="dxa"/>
            <w:tcBorders>
              <w:top w:val="nil"/>
              <w:left w:val="nil"/>
              <w:bottom w:val="single" w:sz="4" w:space="0" w:color="auto"/>
              <w:right w:val="nil"/>
            </w:tcBorders>
            <w:shd w:val="clear" w:color="000000" w:fill="D7EBDD"/>
            <w:noWrap/>
            <w:vAlign w:val="center"/>
            <w:hideMark/>
          </w:tcPr>
          <w:p w14:paraId="537D21C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0.381</w:t>
            </w:r>
          </w:p>
        </w:tc>
        <w:tc>
          <w:tcPr>
            <w:tcW w:w="720" w:type="dxa"/>
            <w:tcBorders>
              <w:top w:val="nil"/>
              <w:left w:val="nil"/>
              <w:bottom w:val="single" w:sz="4" w:space="0" w:color="auto"/>
              <w:right w:val="nil"/>
            </w:tcBorders>
            <w:shd w:val="clear" w:color="000000" w:fill="D7EBDD"/>
            <w:noWrap/>
            <w:vAlign w:val="center"/>
            <w:hideMark/>
          </w:tcPr>
          <w:p w14:paraId="0286A7E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0.372</w:t>
            </w:r>
          </w:p>
        </w:tc>
        <w:tc>
          <w:tcPr>
            <w:tcW w:w="720" w:type="dxa"/>
            <w:tcBorders>
              <w:top w:val="nil"/>
              <w:left w:val="nil"/>
              <w:bottom w:val="single" w:sz="4" w:space="0" w:color="auto"/>
              <w:right w:val="nil"/>
            </w:tcBorders>
            <w:shd w:val="clear" w:color="468C5C" w:fill="468C5C"/>
            <w:noWrap/>
            <w:vAlign w:val="center"/>
            <w:hideMark/>
          </w:tcPr>
          <w:p w14:paraId="02E3975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0.914</w:t>
            </w:r>
          </w:p>
        </w:tc>
        <w:tc>
          <w:tcPr>
            <w:tcW w:w="720" w:type="dxa"/>
            <w:tcBorders>
              <w:top w:val="nil"/>
              <w:left w:val="nil"/>
              <w:bottom w:val="single" w:sz="4" w:space="0" w:color="auto"/>
              <w:right w:val="nil"/>
            </w:tcBorders>
            <w:shd w:val="clear" w:color="000000" w:fill="87C399"/>
            <w:noWrap/>
            <w:vAlign w:val="center"/>
            <w:hideMark/>
          </w:tcPr>
          <w:p w14:paraId="7030CED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0.891</w:t>
            </w:r>
          </w:p>
        </w:tc>
        <w:tc>
          <w:tcPr>
            <w:tcW w:w="720" w:type="dxa"/>
            <w:tcBorders>
              <w:top w:val="nil"/>
              <w:left w:val="nil"/>
              <w:bottom w:val="single" w:sz="4" w:space="0" w:color="auto"/>
              <w:right w:val="nil"/>
            </w:tcBorders>
            <w:shd w:val="clear" w:color="468C5C" w:fill="468C5C"/>
            <w:noWrap/>
            <w:vAlign w:val="center"/>
            <w:hideMark/>
          </w:tcPr>
          <w:p w14:paraId="1B7B61A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single" w:sz="4" w:space="0" w:color="auto"/>
              <w:right w:val="nil"/>
            </w:tcBorders>
            <w:shd w:val="clear" w:color="468C5C" w:fill="468C5C"/>
            <w:noWrap/>
            <w:vAlign w:val="center"/>
            <w:hideMark/>
          </w:tcPr>
          <w:p w14:paraId="675EBA6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0.995</w:t>
            </w:r>
          </w:p>
        </w:tc>
        <w:tc>
          <w:tcPr>
            <w:tcW w:w="720" w:type="dxa"/>
            <w:tcBorders>
              <w:top w:val="nil"/>
              <w:left w:val="nil"/>
              <w:bottom w:val="single" w:sz="4" w:space="0" w:color="auto"/>
              <w:right w:val="nil"/>
            </w:tcBorders>
            <w:shd w:val="clear" w:color="468C5C" w:fill="468C5C"/>
            <w:noWrap/>
            <w:vAlign w:val="center"/>
            <w:hideMark/>
          </w:tcPr>
          <w:p w14:paraId="3822071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0.989</w:t>
            </w:r>
          </w:p>
        </w:tc>
        <w:tc>
          <w:tcPr>
            <w:tcW w:w="720" w:type="dxa"/>
            <w:tcBorders>
              <w:top w:val="nil"/>
              <w:left w:val="nil"/>
              <w:bottom w:val="single" w:sz="4" w:space="0" w:color="auto"/>
              <w:right w:val="nil"/>
            </w:tcBorders>
            <w:shd w:val="clear" w:color="468C5C" w:fill="468C5C"/>
            <w:noWrap/>
            <w:vAlign w:val="center"/>
            <w:hideMark/>
          </w:tcPr>
          <w:p w14:paraId="0C76D8F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0.994</w:t>
            </w:r>
          </w:p>
        </w:tc>
        <w:tc>
          <w:tcPr>
            <w:tcW w:w="720" w:type="dxa"/>
            <w:tcBorders>
              <w:top w:val="nil"/>
              <w:left w:val="nil"/>
              <w:bottom w:val="single" w:sz="4" w:space="0" w:color="auto"/>
              <w:right w:val="nil"/>
            </w:tcBorders>
            <w:shd w:val="clear" w:color="468C5C" w:fill="468C5C"/>
            <w:noWrap/>
            <w:vAlign w:val="center"/>
            <w:hideMark/>
          </w:tcPr>
          <w:p w14:paraId="466F67B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0.974</w:t>
            </w:r>
          </w:p>
        </w:tc>
        <w:tc>
          <w:tcPr>
            <w:tcW w:w="720" w:type="dxa"/>
            <w:tcBorders>
              <w:top w:val="nil"/>
              <w:left w:val="nil"/>
              <w:bottom w:val="single" w:sz="4" w:space="0" w:color="auto"/>
              <w:right w:val="nil"/>
            </w:tcBorders>
            <w:shd w:val="clear" w:color="468C5C" w:fill="468C5C"/>
            <w:noWrap/>
            <w:vAlign w:val="center"/>
            <w:hideMark/>
          </w:tcPr>
          <w:p w14:paraId="3AEB5A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single" w:sz="4" w:space="0" w:color="auto"/>
              <w:right w:val="nil"/>
            </w:tcBorders>
            <w:shd w:val="clear" w:color="468C5C" w:fill="468C5C"/>
            <w:noWrap/>
            <w:vAlign w:val="center"/>
            <w:hideMark/>
          </w:tcPr>
          <w:p w14:paraId="71FC047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single" w:sz="4" w:space="0" w:color="auto"/>
              <w:right w:val="single" w:sz="4" w:space="0" w:color="auto"/>
            </w:tcBorders>
            <w:shd w:val="clear" w:color="468C5C" w:fill="468C5C"/>
            <w:noWrap/>
            <w:vAlign w:val="center"/>
            <w:hideMark/>
          </w:tcPr>
          <w:p w14:paraId="6C434D5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r>
    </w:tbl>
    <w:p w14:paraId="603AA3F6" w14:textId="1CFC4AD6" w:rsidR="004337EE" w:rsidRPr="0055149C" w:rsidRDefault="00A47F7A" w:rsidP="004337EE">
      <w:pPr>
        <w:pStyle w:val="Billedtekst-forklaring"/>
        <w:ind w:left="0" w:firstLine="0"/>
      </w:pPr>
      <w:r>
        <w:t>I f</w:t>
      </w:r>
      <w:r w:rsidR="000E08F8" w:rsidRPr="0055149C">
        <w:t xml:space="preserve">orkortelsene dd, ad, da og aa angir </w:t>
      </w:r>
      <w:r w:rsidR="00A31133" w:rsidRPr="0055149C">
        <w:t>første og andre bokstav om henholdsvis kapitaldeflatorene og depresieringsratene er aggregerte (a) eller disaggregerte (d).</w:t>
      </w:r>
      <w:r w:rsidR="00A612E2" w:rsidRPr="0055149C">
        <w:t xml:space="preserve"> </w:t>
      </w:r>
      <w:r w:rsidR="00A31133" w:rsidRPr="0055149C">
        <w:t xml:space="preserve">f og l som følger angir om eventuelle avkastningskrav er fast eller løpende. Angivelse av fargekoder for korrelasjonskoeffisientene: </w:t>
      </w:r>
      <w:r w:rsidR="00A31133" w:rsidRPr="0055149C">
        <w:rPr>
          <w:shd w:val="clear" w:color="auto" w:fill="A60E24" w:themeFill="accent5"/>
          <w:lang w:eastAsia="nb-NO"/>
        </w:rPr>
        <w:t>(-1,00)-(-0,90)</w:t>
      </w:r>
      <w:r w:rsidR="00A31133" w:rsidRPr="0055149C">
        <w:rPr>
          <w:lang w:eastAsia="nb-NO"/>
        </w:rPr>
        <w:t xml:space="preserve">, </w:t>
      </w:r>
      <w:r w:rsidR="00A31133" w:rsidRPr="0055149C">
        <w:rPr>
          <w:shd w:val="clear" w:color="auto" w:fill="EF485F" w:themeFill="accent5" w:themeFillTint="99"/>
          <w:lang w:eastAsia="nb-NO"/>
        </w:rPr>
        <w:t>(-0,90)-(-0,75)</w:t>
      </w:r>
      <w:r w:rsidR="00A31133" w:rsidRPr="0055149C">
        <w:rPr>
          <w:lang w:eastAsia="nb-NO"/>
        </w:rPr>
        <w:t xml:space="preserve">, </w:t>
      </w:r>
      <w:r w:rsidR="00A31133" w:rsidRPr="0055149C">
        <w:rPr>
          <w:shd w:val="clear" w:color="auto" w:fill="F48594" w:themeFill="accent5" w:themeFillTint="66"/>
          <w:lang w:eastAsia="nb-NO"/>
        </w:rPr>
        <w:t>(-0,75)-(-0,50)</w:t>
      </w:r>
      <w:r w:rsidR="00A31133" w:rsidRPr="0055149C">
        <w:rPr>
          <w:lang w:eastAsia="nb-NO"/>
        </w:rPr>
        <w:t xml:space="preserve">, </w:t>
      </w:r>
      <w:r w:rsidR="00A31133" w:rsidRPr="0055149C">
        <w:rPr>
          <w:shd w:val="clear" w:color="auto" w:fill="FAC2C9" w:themeFill="accent5" w:themeFillTint="33"/>
          <w:lang w:eastAsia="nb-NO"/>
        </w:rPr>
        <w:t>(-0,50)-(-0,25)</w:t>
      </w:r>
      <w:r w:rsidR="00A31133" w:rsidRPr="0055149C">
        <w:rPr>
          <w:lang w:eastAsia="nb-NO"/>
        </w:rPr>
        <w:t xml:space="preserve">, </w:t>
      </w:r>
      <w:r w:rsidR="00A31133" w:rsidRPr="0055149C">
        <w:rPr>
          <w:shd w:val="clear" w:color="auto" w:fill="FABF8F" w:themeFill="accent4" w:themeFillTint="99"/>
          <w:lang w:eastAsia="nb-NO"/>
        </w:rPr>
        <w:t>(-0,25)-(-0,10</w:t>
      </w:r>
      <w:r w:rsidR="00A31133" w:rsidRPr="0055149C">
        <w:rPr>
          <w:shd w:val="clear" w:color="auto" w:fill="FBD4B4"/>
          <w:lang w:eastAsia="nb-NO"/>
        </w:rPr>
        <w:t>)</w:t>
      </w:r>
      <w:r w:rsidR="00A31133" w:rsidRPr="0055149C">
        <w:rPr>
          <w:lang w:eastAsia="nb-NO"/>
        </w:rPr>
        <w:t xml:space="preserve">, </w:t>
      </w:r>
      <w:r w:rsidR="00A31133" w:rsidRPr="0055149C">
        <w:rPr>
          <w:shd w:val="clear" w:color="auto" w:fill="FBD4B4" w:themeFill="accent4" w:themeFillTint="66"/>
          <w:lang w:eastAsia="nb-NO"/>
        </w:rPr>
        <w:t>(-0,10)-(-0,00)</w:t>
      </w:r>
      <w:r w:rsidR="00A31133" w:rsidRPr="0055149C">
        <w:rPr>
          <w:lang w:eastAsia="nb-NO"/>
        </w:rPr>
        <w:t>,</w:t>
      </w:r>
      <w:r w:rsidR="00A31133" w:rsidRPr="0055149C">
        <w:t xml:space="preserve"> </w:t>
      </w:r>
      <w:r w:rsidR="00A31133" w:rsidRPr="0055149C">
        <w:rPr>
          <w:shd w:val="clear" w:color="auto" w:fill="CCCC00"/>
          <w:lang w:eastAsia="nb-NO"/>
        </w:rPr>
        <w:t>0.00-0,10</w:t>
      </w:r>
      <w:r w:rsidR="00A31133" w:rsidRPr="0055149C">
        <w:rPr>
          <w:lang w:eastAsia="nb-NO"/>
        </w:rPr>
        <w:t xml:space="preserve">, </w:t>
      </w:r>
      <w:r w:rsidR="00A31133" w:rsidRPr="0055149C">
        <w:rPr>
          <w:shd w:val="clear" w:color="auto" w:fill="FFFF99"/>
          <w:lang w:eastAsia="nb-NO"/>
        </w:rPr>
        <w:t>0,10-0,25</w:t>
      </w:r>
      <w:r w:rsidR="00A31133" w:rsidRPr="0055149C">
        <w:rPr>
          <w:lang w:eastAsia="nb-NO"/>
        </w:rPr>
        <w:t xml:space="preserve">, </w:t>
      </w:r>
      <w:r w:rsidR="00A31133" w:rsidRPr="0055149C">
        <w:rPr>
          <w:shd w:val="clear" w:color="auto" w:fill="D7EBDD" w:themeFill="accent6" w:themeFillTint="33"/>
          <w:lang w:eastAsia="nb-NO"/>
        </w:rPr>
        <w:t>0.25-0,50</w:t>
      </w:r>
      <w:r w:rsidR="00A31133" w:rsidRPr="0055149C">
        <w:rPr>
          <w:lang w:eastAsia="nb-NO"/>
        </w:rPr>
        <w:t xml:space="preserve">, </w:t>
      </w:r>
      <w:r w:rsidR="00A31133" w:rsidRPr="0055149C">
        <w:rPr>
          <w:shd w:val="clear" w:color="auto" w:fill="AFD7BB" w:themeFill="accent6" w:themeFillTint="66"/>
          <w:lang w:eastAsia="nb-NO"/>
        </w:rPr>
        <w:t>0,50-0,75</w:t>
      </w:r>
      <w:r w:rsidR="00A31133" w:rsidRPr="0055149C">
        <w:rPr>
          <w:lang w:eastAsia="nb-NO"/>
        </w:rPr>
        <w:t xml:space="preserve">, </w:t>
      </w:r>
      <w:r w:rsidR="00A31133" w:rsidRPr="0055149C">
        <w:rPr>
          <w:shd w:val="clear" w:color="auto" w:fill="87C399" w:themeFill="accent6" w:themeFillTint="99"/>
          <w:lang w:eastAsia="nb-NO"/>
        </w:rPr>
        <w:t>0,75-0,90</w:t>
      </w:r>
      <w:r w:rsidR="00A31133" w:rsidRPr="0055149C">
        <w:rPr>
          <w:lang w:eastAsia="nb-NO"/>
        </w:rPr>
        <w:t xml:space="preserve"> og </w:t>
      </w:r>
      <w:r w:rsidR="00A31133" w:rsidRPr="0055149C">
        <w:rPr>
          <w:shd w:val="clear" w:color="auto" w:fill="468C5C" w:themeFill="accent6"/>
          <w:lang w:eastAsia="nb-NO"/>
        </w:rPr>
        <w:t>0,90-1,00</w:t>
      </w:r>
    </w:p>
    <w:p w14:paraId="32C07010" w14:textId="422D7418" w:rsidR="004337EE" w:rsidRPr="0055149C" w:rsidRDefault="004337EE" w:rsidP="00C21C44">
      <w:pPr>
        <w:pStyle w:val="Source"/>
        <w:rPr>
          <w:lang w:eastAsia="nb-NO"/>
        </w:rPr>
        <w:sectPr w:rsidR="004337EE" w:rsidRPr="0055149C" w:rsidSect="004337EE">
          <w:headerReference w:type="default" r:id="rId71"/>
          <w:footerReference w:type="default" r:id="rId72"/>
          <w:pgSz w:w="16838" w:h="11906" w:orient="landscape" w:code="9"/>
          <w:pgMar w:top="1985" w:right="1418" w:bottom="1418" w:left="1418" w:header="567" w:footer="284" w:gutter="0"/>
          <w:cols w:space="708"/>
          <w:docGrid w:linePitch="360"/>
        </w:sectPr>
      </w:pPr>
      <w:r w:rsidRPr="0055149C">
        <w:rPr>
          <w:lang w:eastAsia="nb-NO"/>
        </w:rPr>
        <w:t>Kilde: Vista Analyse</w:t>
      </w:r>
    </w:p>
    <w:p w14:paraId="3398A4CA" w14:textId="0162A18F" w:rsidR="008E1C20" w:rsidRPr="0055149C" w:rsidRDefault="008E1C20" w:rsidP="008E1C20">
      <w:pPr>
        <w:pStyle w:val="Bildetekst"/>
        <w:jc w:val="both"/>
      </w:pPr>
      <w:bookmarkStart w:id="116" w:name="_Ref168318665"/>
      <w:bookmarkStart w:id="117" w:name="_Ref168346757"/>
      <w:r w:rsidRPr="0055149C">
        <w:lastRenderedPageBreak/>
        <w:t xml:space="preserve">Figur </w:t>
      </w:r>
      <w:fldSimple w:instr=" STYLEREF 1 \s ">
        <w:r w:rsidR="009B1DA8">
          <w:rPr>
            <w:noProof/>
          </w:rPr>
          <w:t>4</w:t>
        </w:r>
      </w:fldSimple>
      <w:r w:rsidR="004B03E3">
        <w:t>.</w:t>
      </w:r>
      <w:fldSimple w:instr=" SEQ Figur \* ARABIC \s 1 ">
        <w:r w:rsidR="009B1DA8">
          <w:rPr>
            <w:noProof/>
          </w:rPr>
          <w:t>16</w:t>
        </w:r>
      </w:fldSimple>
      <w:bookmarkEnd w:id="116"/>
      <w:bookmarkEnd w:id="117"/>
      <w:r w:rsidRPr="0055149C">
        <w:tab/>
        <w:t>Betydning av målefeil i kapitaldeflatorene og depresieringsratene for kapitalslitestimatene for primærkommunene illustrert ved sammenstillinger mellom hovedanslag og anslag med innlagt målefeil i form av a) korrelasjonskoeffisienter (til venstre) og kostnadsanslag (til høyre)</w:t>
      </w:r>
    </w:p>
    <w:p w14:paraId="16DAF229" w14:textId="77777777" w:rsidR="002660B0" w:rsidRDefault="009D304D" w:rsidP="002660B0">
      <w:pPr>
        <w:pStyle w:val="Billedtekst-forklaring"/>
        <w:ind w:left="0" w:firstLine="0"/>
      </w:pPr>
      <w:r>
        <w:rPr>
          <w:noProof/>
          <w:lang w:val="en-US" w:eastAsia="en-US"/>
        </w:rPr>
        <w:drawing>
          <wp:inline distT="0" distB="0" distL="0" distR="0" wp14:anchorId="2E6D23AE" wp14:editId="3B8ECD5D">
            <wp:extent cx="2664000" cy="2880000"/>
            <wp:effectExtent l="0" t="0" r="3175" b="0"/>
            <wp:docPr id="655537049" name="Diagram 1">
              <a:extLst xmlns:a="http://schemas.openxmlformats.org/drawingml/2006/main">
                <a:ext uri="{FF2B5EF4-FFF2-40B4-BE49-F238E27FC236}">
                  <a16:creationId xmlns:a16="http://schemas.microsoft.com/office/drawing/2014/main" id="{55000088-458A-D638-9CBC-28E43BCDE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432DD3">
        <w:rPr>
          <w:noProof/>
          <w:color w:val="000000"/>
          <w:lang w:val="en-US" w:eastAsia="en-US"/>
        </w:rPr>
        <w:drawing>
          <wp:inline distT="0" distB="0" distL="0" distR="0" wp14:anchorId="635B5338" wp14:editId="29FBCA5B">
            <wp:extent cx="2664000" cy="2880000"/>
            <wp:effectExtent l="0" t="0" r="3175" b="0"/>
            <wp:docPr id="209002650" name="Diagram 2">
              <a:extLst xmlns:a="http://schemas.openxmlformats.org/drawingml/2006/main">
                <a:ext uri="{FF2B5EF4-FFF2-40B4-BE49-F238E27FC236}">
                  <a16:creationId xmlns:a16="http://schemas.microsoft.com/office/drawing/2014/main" id="{77D7E003-CCB4-48E3-8B8D-3ADD1D28D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1F6B03B" w14:textId="225E4DCA" w:rsidR="008E1C20" w:rsidRPr="0055149C" w:rsidRDefault="00A24E69" w:rsidP="002660B0">
      <w:pPr>
        <w:pStyle w:val="Billedtekst-forklaring"/>
        <w:ind w:left="0" w:firstLine="0"/>
      </w:pPr>
      <w:r>
        <w:t>F</w:t>
      </w:r>
      <w:r w:rsidR="00A612E2" w:rsidRPr="0055149C">
        <w:t>orkortelsen dd angir at kapitaldeflatorene og depresieringsratene er disaggregerte.</w:t>
      </w:r>
    </w:p>
    <w:p w14:paraId="13FABAD5" w14:textId="321D368F" w:rsidR="008E1C20" w:rsidRPr="0055149C" w:rsidRDefault="008E1C20" w:rsidP="008E1C20">
      <w:pPr>
        <w:pStyle w:val="Source"/>
        <w:rPr>
          <w:lang w:eastAsia="nb-NO"/>
        </w:rPr>
      </w:pPr>
      <w:r w:rsidRPr="0055149C">
        <w:rPr>
          <w:lang w:eastAsia="nb-NO"/>
        </w:rPr>
        <w:t>Kilde: Vista Analyse</w:t>
      </w:r>
    </w:p>
    <w:p w14:paraId="5301428D" w14:textId="49887B9B" w:rsidR="00A31133" w:rsidRPr="0055149C" w:rsidRDefault="00A31133" w:rsidP="000E08F8">
      <w:pPr>
        <w:pStyle w:val="Overskrift4"/>
        <w:numPr>
          <w:ilvl w:val="0"/>
          <w:numId w:val="0"/>
        </w:numPr>
      </w:pPr>
      <w:r w:rsidRPr="0055149C">
        <w:t>Fylkeskommunene</w:t>
      </w:r>
    </w:p>
    <w:p w14:paraId="48453BE9" w14:textId="7436CBFC" w:rsidR="005C28A8" w:rsidRPr="0055149C" w:rsidRDefault="000C5F8E" w:rsidP="005C28A8">
      <w:pPr>
        <w:rPr>
          <w:lang w:eastAsia="nb-NO"/>
        </w:rPr>
      </w:pPr>
      <w:r w:rsidRPr="0055149C">
        <w:rPr>
          <w:lang w:eastAsia="nb-NO"/>
        </w:rPr>
        <w:t xml:space="preserve">Våre aggregerte estimater for fylkeskommunenes kapitalkostnader og kapitalutgifter er gitt i </w:t>
      </w:r>
      <w:r w:rsidRPr="0055149C">
        <w:rPr>
          <w:lang w:eastAsia="nb-NO"/>
        </w:rPr>
        <w:fldChar w:fldCharType="begin"/>
      </w:r>
      <w:r w:rsidRPr="0055149C">
        <w:rPr>
          <w:lang w:eastAsia="nb-NO"/>
        </w:rPr>
        <w:instrText xml:space="preserve"> REF _Ref168321232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17</w:t>
      </w:r>
      <w:r w:rsidRPr="0055149C">
        <w:rPr>
          <w:lang w:eastAsia="nb-NO"/>
        </w:rPr>
        <w:fldChar w:fldCharType="end"/>
      </w:r>
      <w:r w:rsidRPr="0055149C">
        <w:rPr>
          <w:lang w:eastAsia="nb-NO"/>
        </w:rPr>
        <w:t>. Igjen ser vi at fast eiendom og anlegg dominerer blant kapitalartene, men mindre enn hva som var tilfellet for realkapitalbeholdningene. Som for realkapitalbeholdningene dominerer samferdsel og videregående skole kapitalmassen.</w:t>
      </w:r>
      <w:r w:rsidR="005C28A8">
        <w:rPr>
          <w:lang w:eastAsia="nb-NO"/>
        </w:rPr>
        <w:t xml:space="preserve"> </w:t>
      </w:r>
      <w:r w:rsidRPr="005E6550">
        <w:rPr>
          <w:lang w:eastAsia="nb-NO"/>
        </w:rPr>
        <w:t xml:space="preserve">For 2022 står PIM-estimatene </w:t>
      </w:r>
      <w:r w:rsidR="001E7E85" w:rsidRPr="005E6550">
        <w:rPr>
          <w:lang w:eastAsia="nb-NO"/>
        </w:rPr>
        <w:t xml:space="preserve">estimert på funksjonsnivå </w:t>
      </w:r>
      <w:r w:rsidRPr="005E6550">
        <w:rPr>
          <w:lang w:eastAsia="nb-NO"/>
        </w:rPr>
        <w:t xml:space="preserve">med </w:t>
      </w:r>
      <w:r w:rsidR="001E7E85" w:rsidRPr="005E6550">
        <w:rPr>
          <w:lang w:eastAsia="nb-NO"/>
        </w:rPr>
        <w:t xml:space="preserve">fast </w:t>
      </w:r>
      <w:r w:rsidRPr="005E6550">
        <w:rPr>
          <w:lang w:eastAsia="nb-NO"/>
        </w:rPr>
        <w:t xml:space="preserve">rente </w:t>
      </w:r>
      <w:r w:rsidR="001E7E85" w:rsidRPr="005E6550">
        <w:rPr>
          <w:lang w:eastAsia="nb-NO"/>
        </w:rPr>
        <w:t>for de høyeste estimatene, etterfulgt av tilsvarende estimater med løpende rente. Deretter følger bruttoinvesteringsvariablene foran kapitaltjenestevariabelen</w:t>
      </w:r>
      <w:r w:rsidR="005E6550" w:rsidRPr="005E6550">
        <w:rPr>
          <w:lang w:eastAsia="nb-NO"/>
        </w:rPr>
        <w:t xml:space="preserve"> estimert ved PIM med disaggregerte kapitalparametere</w:t>
      </w:r>
      <w:r w:rsidR="001E7E85" w:rsidRPr="005E6550">
        <w:rPr>
          <w:lang w:eastAsia="nb-NO"/>
        </w:rPr>
        <w:t xml:space="preserve">, der kapitalens prisutvikling </w:t>
      </w:r>
      <w:r w:rsidR="003A000C" w:rsidRPr="005E6550">
        <w:rPr>
          <w:lang w:eastAsia="nb-NO"/>
        </w:rPr>
        <w:t xml:space="preserve">tas </w:t>
      </w:r>
      <w:r w:rsidR="001E7E85" w:rsidRPr="005E6550">
        <w:rPr>
          <w:lang w:eastAsia="nb-NO"/>
        </w:rPr>
        <w:t>høyde for i tillegg til rentekostnadene.</w:t>
      </w:r>
      <w:r w:rsidR="005C28A8" w:rsidRPr="005C28A8">
        <w:rPr>
          <w:lang w:eastAsia="nb-NO"/>
        </w:rPr>
        <w:t xml:space="preserve"> </w:t>
      </w:r>
      <w:r w:rsidR="005C28A8" w:rsidRPr="0055149C">
        <w:rPr>
          <w:lang w:eastAsia="nb-NO"/>
        </w:rPr>
        <w:t xml:space="preserve">Kapitalslitet estimert med basis i kapitalarter er </w:t>
      </w:r>
      <w:r w:rsidR="005C28A8">
        <w:rPr>
          <w:lang w:eastAsia="nb-NO"/>
        </w:rPr>
        <w:t>relativt</w:t>
      </w:r>
      <w:r w:rsidR="005C28A8" w:rsidRPr="0055149C">
        <w:rPr>
          <w:lang w:eastAsia="nb-NO"/>
        </w:rPr>
        <w:t xml:space="preserve"> lavt</w:t>
      </w:r>
      <w:r w:rsidR="005C28A8">
        <w:rPr>
          <w:lang w:eastAsia="nb-NO"/>
        </w:rPr>
        <w:t>, nesten på nivå med kapitalslitet målt ved DM</w:t>
      </w:r>
      <w:r w:rsidR="005C28A8" w:rsidRPr="0055149C">
        <w:rPr>
          <w:lang w:eastAsia="nb-NO"/>
        </w:rPr>
        <w:t xml:space="preserve">. Dette skyldes </w:t>
      </w:r>
      <w:r w:rsidR="005C28A8">
        <w:rPr>
          <w:lang w:eastAsia="nb-NO"/>
        </w:rPr>
        <w:t xml:space="preserve">trolig </w:t>
      </w:r>
      <w:r w:rsidR="005C28A8" w:rsidRPr="0055149C">
        <w:rPr>
          <w:lang w:eastAsia="nb-NO"/>
        </w:rPr>
        <w:t>at samferdsel som dominerende funksjon i dette tilfellet har blitt tilskrevet den aggregerte depresieringsraten for kommunal sektor, mens funksjonen i realiteten står overfor langt hissigere depresiering enn sektoren samlet. Samtidig har prisutviklingen på kapitalen vært relativt svak over tid for samferdsel.</w:t>
      </w:r>
    </w:p>
    <w:p w14:paraId="23FAB648" w14:textId="629A58C7" w:rsidR="00F7056E" w:rsidRPr="0055149C" w:rsidRDefault="001E7E85" w:rsidP="008E5382">
      <w:pPr>
        <w:rPr>
          <w:lang w:eastAsia="nb-NO"/>
        </w:rPr>
      </w:pPr>
      <w:r w:rsidRPr="0055149C">
        <w:rPr>
          <w:lang w:eastAsia="nb-NO"/>
        </w:rPr>
        <w:t>Omfanget av kapitalslitestimate</w:t>
      </w:r>
      <w:r w:rsidR="003A000C" w:rsidRPr="0055149C">
        <w:rPr>
          <w:lang w:eastAsia="nb-NO"/>
        </w:rPr>
        <w:t xml:space="preserve">ne henger sammen med realkapitalbeholdningene, men </w:t>
      </w:r>
      <w:r w:rsidR="000C08D2">
        <w:rPr>
          <w:lang w:eastAsia="nb-NO"/>
        </w:rPr>
        <w:t xml:space="preserve">heterogeniteten i de underliggende levetidene og prisutviklingsbanene </w:t>
      </w:r>
      <w:r w:rsidR="0092530E">
        <w:rPr>
          <w:lang w:eastAsia="nb-NO"/>
        </w:rPr>
        <w:t xml:space="preserve">gir </w:t>
      </w:r>
      <w:r w:rsidR="000C08D2">
        <w:rPr>
          <w:lang w:eastAsia="nb-NO"/>
        </w:rPr>
        <w:t>e</w:t>
      </w:r>
      <w:r w:rsidR="0092530E">
        <w:rPr>
          <w:lang w:eastAsia="nb-NO"/>
        </w:rPr>
        <w:t>nk</w:t>
      </w:r>
      <w:r w:rsidR="00F86B79">
        <w:rPr>
          <w:lang w:eastAsia="nb-NO"/>
        </w:rPr>
        <w:t xml:space="preserve">elte </w:t>
      </w:r>
      <w:r w:rsidR="000C08D2">
        <w:rPr>
          <w:lang w:eastAsia="nb-NO"/>
        </w:rPr>
        <w:t xml:space="preserve">utslag. For fylkeskommunene drar bruk av aggregerte framfor disaggregerte depresieringsrater ned kapitalslitet for 2022, mens bruk av disaggregerte framfor </w:t>
      </w:r>
      <w:r w:rsidR="000C08D2" w:rsidRPr="000C08D2">
        <w:rPr>
          <w:lang w:eastAsia="nb-NO"/>
        </w:rPr>
        <w:t>aggregerte kapital</w:t>
      </w:r>
      <w:r w:rsidR="00C77F39">
        <w:rPr>
          <w:lang w:eastAsia="nb-NO"/>
        </w:rPr>
        <w:t>de</w:t>
      </w:r>
      <w:r w:rsidR="000C08D2" w:rsidRPr="000C08D2">
        <w:rPr>
          <w:lang w:eastAsia="nb-NO"/>
        </w:rPr>
        <w:t>flatorer drar i motsatt retning</w:t>
      </w:r>
      <w:r w:rsidR="00803855" w:rsidRPr="000C08D2">
        <w:rPr>
          <w:lang w:eastAsia="nb-NO"/>
        </w:rPr>
        <w:t xml:space="preserve">. Bruk av aggregerte </w:t>
      </w:r>
      <w:r w:rsidR="000C08D2" w:rsidRPr="000C08D2">
        <w:rPr>
          <w:lang w:eastAsia="nb-NO"/>
        </w:rPr>
        <w:t>depresieringsrater</w:t>
      </w:r>
      <w:r w:rsidR="00803855" w:rsidRPr="000C08D2">
        <w:rPr>
          <w:lang w:eastAsia="nb-NO"/>
        </w:rPr>
        <w:t xml:space="preserve"> </w:t>
      </w:r>
      <w:r w:rsidR="005C28A8">
        <w:rPr>
          <w:lang w:eastAsia="nb-NO"/>
        </w:rPr>
        <w:t>gir</w:t>
      </w:r>
      <w:r w:rsidR="00803855" w:rsidRPr="000C08D2">
        <w:rPr>
          <w:lang w:eastAsia="nb-NO"/>
        </w:rPr>
        <w:t xml:space="preserve"> </w:t>
      </w:r>
      <w:r w:rsidR="008E5382" w:rsidRPr="000C08D2">
        <w:rPr>
          <w:lang w:eastAsia="nb-NO"/>
        </w:rPr>
        <w:t>litt</w:t>
      </w:r>
      <w:r w:rsidR="00803855" w:rsidRPr="000C08D2">
        <w:rPr>
          <w:lang w:eastAsia="nb-NO"/>
        </w:rPr>
        <w:t xml:space="preserve"> </w:t>
      </w:r>
      <w:r w:rsidR="008E5382" w:rsidRPr="000C08D2">
        <w:rPr>
          <w:lang w:eastAsia="nb-NO"/>
        </w:rPr>
        <w:t>større</w:t>
      </w:r>
      <w:r w:rsidR="00803855" w:rsidRPr="000C08D2">
        <w:rPr>
          <w:lang w:eastAsia="nb-NO"/>
        </w:rPr>
        <w:t xml:space="preserve"> utslag for fylkeskommunene sammenliknet med primærkommunene</w:t>
      </w:r>
      <w:r w:rsidR="008E5382" w:rsidRPr="000C08D2">
        <w:rPr>
          <w:lang w:eastAsia="nb-NO"/>
        </w:rPr>
        <w:t xml:space="preserve">. Det kan ha med få observasjonsenheter å gjøre, men trolig spiller det inn at samferdsel er en stor </w:t>
      </w:r>
      <w:r w:rsidR="005C28A8">
        <w:rPr>
          <w:lang w:eastAsia="nb-NO"/>
        </w:rPr>
        <w:t>del</w:t>
      </w:r>
      <w:r w:rsidR="008E5382" w:rsidRPr="000C08D2">
        <w:rPr>
          <w:lang w:eastAsia="nb-NO"/>
        </w:rPr>
        <w:t>sektor på fylkesnivå. Denne funksjonen har en vesentlig annerledes form for fast eiendom og anlegg enn mange andre kommunale tjenestefunksjoner</w:t>
      </w:r>
      <w:r w:rsidR="008E5382" w:rsidRPr="008E5382">
        <w:rPr>
          <w:lang w:eastAsia="nb-NO"/>
        </w:rPr>
        <w:t xml:space="preserve">, samtidig som </w:t>
      </w:r>
      <w:r w:rsidR="008E5382">
        <w:rPr>
          <w:lang w:eastAsia="nb-NO"/>
        </w:rPr>
        <w:t xml:space="preserve">dens </w:t>
      </w:r>
      <w:r w:rsidR="008E5382" w:rsidRPr="008E5382">
        <w:rPr>
          <w:lang w:eastAsia="nb-NO"/>
        </w:rPr>
        <w:t>omfang varierer over fylker</w:t>
      </w:r>
      <w:r w:rsidR="00803855" w:rsidRPr="008E5382">
        <w:rPr>
          <w:lang w:eastAsia="nb-NO"/>
        </w:rPr>
        <w:t>.</w:t>
      </w:r>
      <w:r w:rsidR="00803855" w:rsidRPr="0055149C">
        <w:rPr>
          <w:lang w:eastAsia="nb-NO"/>
        </w:rPr>
        <w:t xml:space="preserve"> </w:t>
      </w:r>
      <w:r w:rsidR="0024399C" w:rsidRPr="0055149C">
        <w:rPr>
          <w:lang w:eastAsia="nb-NO"/>
        </w:rPr>
        <w:t>Følgelig</w:t>
      </w:r>
      <w:r w:rsidR="00803855" w:rsidRPr="0055149C">
        <w:rPr>
          <w:lang w:eastAsia="nb-NO"/>
        </w:rPr>
        <w:t xml:space="preserve"> vil ikke disse </w:t>
      </w:r>
      <w:r w:rsidR="00803855" w:rsidRPr="0055149C">
        <w:rPr>
          <w:lang w:eastAsia="nb-NO"/>
        </w:rPr>
        <w:lastRenderedPageBreak/>
        <w:t xml:space="preserve">parameterne nødvendigvis treffe like bra for </w:t>
      </w:r>
      <w:r w:rsidR="0024399C" w:rsidRPr="0055149C">
        <w:rPr>
          <w:lang w:eastAsia="nb-NO"/>
        </w:rPr>
        <w:t xml:space="preserve">fylkeskommunene når man </w:t>
      </w:r>
      <w:r w:rsidR="008E5382">
        <w:rPr>
          <w:lang w:eastAsia="nb-NO"/>
        </w:rPr>
        <w:t xml:space="preserve">bruker aggregerte kapitalparametere for kommunal sektor og </w:t>
      </w:r>
      <w:r w:rsidR="0024399C" w:rsidRPr="0055149C">
        <w:rPr>
          <w:lang w:eastAsia="nb-NO"/>
        </w:rPr>
        <w:t>ikke beveger seg ned på funksjonsnivå.</w:t>
      </w:r>
    </w:p>
    <w:p w14:paraId="17791E7F" w14:textId="2CFBE5E6" w:rsidR="007A2E72" w:rsidRPr="0055149C" w:rsidRDefault="007A2E72" w:rsidP="007A2E72">
      <w:pPr>
        <w:pStyle w:val="Bildetekst"/>
        <w:jc w:val="both"/>
      </w:pPr>
      <w:bookmarkStart w:id="118" w:name="_Ref168321232"/>
      <w:r w:rsidRPr="0055149C">
        <w:t xml:space="preserve">Figur </w:t>
      </w:r>
      <w:fldSimple w:instr=" STYLEREF 1 \s ">
        <w:r w:rsidR="009B1DA8">
          <w:rPr>
            <w:noProof/>
          </w:rPr>
          <w:t>4</w:t>
        </w:r>
      </w:fldSimple>
      <w:r w:rsidR="004B03E3">
        <w:t>.</w:t>
      </w:r>
      <w:fldSimple w:instr=" SEQ Figur \* ARABIC \s 1 ">
        <w:r w:rsidR="009B1DA8">
          <w:rPr>
            <w:noProof/>
          </w:rPr>
          <w:t>17</w:t>
        </w:r>
      </w:fldSimple>
      <w:bookmarkEnd w:id="118"/>
      <w:r w:rsidRPr="0055149C">
        <w:tab/>
        <w:t>Estimert</w:t>
      </w:r>
      <w:r w:rsidR="000C5F8E" w:rsidRPr="0055149C">
        <w:t>e</w:t>
      </w:r>
      <w:r w:rsidRPr="0055149C">
        <w:t xml:space="preserve"> kapitalkostnader og </w:t>
      </w:r>
      <w:r w:rsidR="000C5F8E" w:rsidRPr="0055149C">
        <w:t>kapital</w:t>
      </w:r>
      <w:r w:rsidRPr="0055149C">
        <w:t xml:space="preserve">utgifter i </w:t>
      </w:r>
      <w:r w:rsidR="006111A8" w:rsidRPr="0055149C">
        <w:t>fylkes</w:t>
      </w:r>
      <w:r w:rsidRPr="0055149C">
        <w:t>kommunene i</w:t>
      </w:r>
      <w:r w:rsidR="00F63740">
        <w:t xml:space="preserve"> </w:t>
      </w:r>
      <w:r w:rsidRPr="0055149C">
        <w:t>2022 etter a) art (øverst) og b) funksjon (nederst)</w:t>
      </w:r>
    </w:p>
    <w:p w14:paraId="1C93BB17" w14:textId="02976990" w:rsidR="007A2E72" w:rsidRPr="0055149C" w:rsidRDefault="00886043" w:rsidP="005C3179">
      <w:pPr>
        <w:jc w:val="center"/>
        <w:rPr>
          <w:lang w:eastAsia="nb-NO"/>
        </w:rPr>
      </w:pPr>
      <w:r>
        <w:rPr>
          <w:noProof/>
          <w:lang w:val="en-US" w:eastAsia="en-US"/>
        </w:rPr>
        <w:drawing>
          <wp:inline distT="0" distB="0" distL="0" distR="0" wp14:anchorId="3CB1E8F4" wp14:editId="10429CD4">
            <wp:extent cx="5364000" cy="2160000"/>
            <wp:effectExtent l="0" t="0" r="8255" b="0"/>
            <wp:docPr id="1483483532" name="Diagram 1">
              <a:extLst xmlns:a="http://schemas.openxmlformats.org/drawingml/2006/main">
                <a:ext uri="{FF2B5EF4-FFF2-40B4-BE49-F238E27FC236}">
                  <a16:creationId xmlns:a16="http://schemas.microsoft.com/office/drawing/2014/main" id="{D52005E6-4DBB-404E-A9D2-148D1CEB3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rPr>
        <w:t xml:space="preserve"> </w:t>
      </w:r>
      <w:r>
        <w:rPr>
          <w:noProof/>
          <w:lang w:val="en-US" w:eastAsia="en-US"/>
        </w:rPr>
        <w:drawing>
          <wp:inline distT="0" distB="0" distL="0" distR="0" wp14:anchorId="05B978DB" wp14:editId="375E1E3D">
            <wp:extent cx="5364000" cy="3240000"/>
            <wp:effectExtent l="0" t="0" r="8255" b="0"/>
            <wp:docPr id="2002833830" name="Diagram 1">
              <a:extLst xmlns:a="http://schemas.openxmlformats.org/drawingml/2006/main">
                <a:ext uri="{FF2B5EF4-FFF2-40B4-BE49-F238E27FC236}">
                  <a16:creationId xmlns:a16="http://schemas.microsoft.com/office/drawing/2014/main" id="{2FFB535A-9D35-453F-87AD-7C227372A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B184E72" w14:textId="1B2189EE" w:rsidR="00321CA7" w:rsidRPr="0055149C" w:rsidRDefault="00A24E69" w:rsidP="00321CA7">
      <w:pPr>
        <w:pStyle w:val="Billedtekst-forklaring"/>
        <w:ind w:left="0" w:firstLine="0"/>
        <w:rPr>
          <w:lang w:eastAsia="nb-NO"/>
        </w:rPr>
      </w:pPr>
      <w:r>
        <w:t>I f</w:t>
      </w:r>
      <w:r w:rsidR="00321CA7" w:rsidRPr="0055149C">
        <w:t>orkortelsene dd, ad, da og aa angir første og andre bokstav om henholdsvis kapitaldeflatorene og depresieringsratene er aggregerte (a) eller disaggregerte (d). f og l som følger angir om eventuelle avkastningskrav er fast eller løpende.</w:t>
      </w:r>
    </w:p>
    <w:p w14:paraId="6A7D29BC" w14:textId="77777777" w:rsidR="007A2E72" w:rsidRPr="0055149C" w:rsidRDefault="007A2E72" w:rsidP="007A2E72">
      <w:pPr>
        <w:pStyle w:val="Source"/>
        <w:rPr>
          <w:lang w:eastAsia="nb-NO"/>
        </w:rPr>
      </w:pPr>
      <w:r w:rsidRPr="0055149C">
        <w:rPr>
          <w:lang w:eastAsia="nb-NO"/>
        </w:rPr>
        <w:t>Kilde: Vista Analyse</w:t>
      </w:r>
    </w:p>
    <w:p w14:paraId="7EA32570" w14:textId="345828C4" w:rsidR="00A31133" w:rsidRPr="0055149C" w:rsidRDefault="0024399C" w:rsidP="006E73D4">
      <w:pPr>
        <w:rPr>
          <w:lang w:eastAsia="nb-NO"/>
        </w:rPr>
      </w:pPr>
      <w:r w:rsidRPr="0055149C">
        <w:rPr>
          <w:lang w:eastAsia="nb-NO"/>
        </w:rPr>
        <w:t xml:space="preserve">I </w:t>
      </w:r>
      <w:r w:rsidR="00F34E11" w:rsidRPr="0055149C">
        <w:rPr>
          <w:lang w:eastAsia="nb-NO"/>
        </w:rPr>
        <w:fldChar w:fldCharType="begin"/>
      </w:r>
      <w:r w:rsidR="00F34E11" w:rsidRPr="0055149C">
        <w:rPr>
          <w:lang w:eastAsia="nb-NO"/>
        </w:rPr>
        <w:instrText xml:space="preserve"> REF _Ref168345619 </w:instrText>
      </w:r>
      <w:r w:rsidR="00F34E11" w:rsidRPr="0055149C">
        <w:rPr>
          <w:lang w:eastAsia="nb-NO"/>
        </w:rPr>
        <w:fldChar w:fldCharType="separate"/>
      </w:r>
      <w:r w:rsidR="009B1DA8" w:rsidRPr="0055149C">
        <w:t xml:space="preserve">Tabell </w:t>
      </w:r>
      <w:r w:rsidR="009B1DA8">
        <w:rPr>
          <w:noProof/>
        </w:rPr>
        <w:t>4</w:t>
      </w:r>
      <w:r w:rsidR="009B1DA8" w:rsidRPr="0055149C">
        <w:t>.</w:t>
      </w:r>
      <w:r w:rsidR="009B1DA8">
        <w:rPr>
          <w:noProof/>
        </w:rPr>
        <w:t>4</w:t>
      </w:r>
      <w:r w:rsidR="00F34E11" w:rsidRPr="0055149C">
        <w:rPr>
          <w:lang w:eastAsia="nb-NO"/>
        </w:rPr>
        <w:fldChar w:fldCharType="end"/>
      </w:r>
      <w:r w:rsidR="00166D78" w:rsidRPr="0055149C">
        <w:rPr>
          <w:lang w:eastAsia="nb-NO"/>
        </w:rPr>
        <w:t xml:space="preserve"> har vi framvist korrelasjonene mellom de alternative målene for kapitalkostnader og kapitalutgifter. De fylkeskommunale funksjonene i Oslo er inkludert som egen observasjon, uten at dette påvirker korrelasjonene radikalt.</w:t>
      </w:r>
      <w:r w:rsidR="00A87195">
        <w:rPr>
          <w:lang w:eastAsia="nb-NO"/>
        </w:rPr>
        <w:t xml:space="preserve"> </w:t>
      </w:r>
      <w:r w:rsidR="00166D78" w:rsidRPr="0055149C">
        <w:rPr>
          <w:lang w:eastAsia="nb-NO"/>
        </w:rPr>
        <w:t xml:space="preserve">Tabellen viser relativt høye </w:t>
      </w:r>
      <w:r w:rsidR="00515684">
        <w:rPr>
          <w:lang w:eastAsia="nb-NO"/>
        </w:rPr>
        <w:t xml:space="preserve">korrelasjonskoeffisienter </w:t>
      </w:r>
      <w:r w:rsidR="006E73D4">
        <w:rPr>
          <w:lang w:eastAsia="nb-NO"/>
        </w:rPr>
        <w:t>mellom kapitalkostnadsvariablene over 0,91 prosent, bortsett fra enkelte av korrelasjonene med bruttoinvesteringsvariablene</w:t>
      </w:r>
      <w:r w:rsidR="00515684">
        <w:rPr>
          <w:lang w:eastAsia="nb-NO"/>
        </w:rPr>
        <w:t xml:space="preserve"> som likevel involverer korrelasjonskoeffisienter på over 0,86</w:t>
      </w:r>
      <w:r w:rsidR="00166D78" w:rsidRPr="0055149C">
        <w:rPr>
          <w:lang w:eastAsia="nb-NO"/>
        </w:rPr>
        <w:t>.</w:t>
      </w:r>
      <w:r w:rsidR="00515684">
        <w:rPr>
          <w:lang w:eastAsia="nb-NO"/>
        </w:rPr>
        <w:t xml:space="preserve"> </w:t>
      </w:r>
      <w:r w:rsidR="006E73D4">
        <w:rPr>
          <w:lang w:eastAsia="nb-NO"/>
        </w:rPr>
        <w:t>Heterogeniteten innad i kapitalartene når alle funksjoner ses under et</w:t>
      </w:r>
      <w:r w:rsidR="00A87195">
        <w:rPr>
          <w:lang w:eastAsia="nb-NO"/>
        </w:rPr>
        <w:t>t</w:t>
      </w:r>
      <w:r w:rsidR="006E73D4">
        <w:rPr>
          <w:lang w:eastAsia="nb-NO"/>
        </w:rPr>
        <w:t xml:space="preserve"> </w:t>
      </w:r>
      <w:r w:rsidR="00A87195">
        <w:rPr>
          <w:lang w:eastAsia="nb-NO"/>
        </w:rPr>
        <w:t>ser ikke ut til vesentlig å straffe korrelasjonen kapitalkostnadsvariablene estimert med PIM basert på kapitalarter har med de andre kapitalkostnadsmålene.</w:t>
      </w:r>
    </w:p>
    <w:p w14:paraId="353F141B" w14:textId="77777777" w:rsidR="00E22895" w:rsidRPr="0055149C" w:rsidRDefault="00E22895" w:rsidP="004337EE">
      <w:pPr>
        <w:rPr>
          <w:lang w:eastAsia="nb-NO"/>
        </w:rPr>
        <w:sectPr w:rsidR="00E22895" w:rsidRPr="0055149C" w:rsidSect="00357909">
          <w:headerReference w:type="default" r:id="rId77"/>
          <w:footerReference w:type="default" r:id="rId78"/>
          <w:pgSz w:w="11906" w:h="16838" w:code="9"/>
          <w:pgMar w:top="1418" w:right="1418" w:bottom="1418" w:left="1985" w:header="567" w:footer="284" w:gutter="0"/>
          <w:cols w:space="708"/>
          <w:docGrid w:linePitch="360"/>
        </w:sectPr>
      </w:pPr>
    </w:p>
    <w:p w14:paraId="28A2455C" w14:textId="43A408F9" w:rsidR="00E22895" w:rsidRPr="0055149C" w:rsidRDefault="00E22895" w:rsidP="00E22895">
      <w:pPr>
        <w:pStyle w:val="Bildetekst"/>
      </w:pPr>
      <w:bookmarkStart w:id="119" w:name="_Ref168345619"/>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4</w:t>
        </w:r>
      </w:fldSimple>
      <w:bookmarkEnd w:id="119"/>
      <w:r w:rsidRPr="0055149C">
        <w:tab/>
        <w:t xml:space="preserve">Korrelasjon mellom estimater for kapitalkostnader </w:t>
      </w:r>
      <w:r w:rsidR="000C5F8E" w:rsidRPr="0055149C">
        <w:t xml:space="preserve">per innbygger og kapitalutgifter </w:t>
      </w:r>
      <w:r w:rsidRPr="0055149C">
        <w:t xml:space="preserve">per innbygger i norske </w:t>
      </w:r>
      <w:r w:rsidR="000C5F8E" w:rsidRPr="0055149C">
        <w:t>fylkes</w:t>
      </w:r>
      <w:r w:rsidRPr="0055149C">
        <w:t>kommuner i 2022</w:t>
      </w:r>
    </w:p>
    <w:tbl>
      <w:tblPr>
        <w:tblW w:w="12240" w:type="dxa"/>
        <w:tblCellMar>
          <w:left w:w="70" w:type="dxa"/>
          <w:right w:w="70" w:type="dxa"/>
        </w:tblCellMar>
        <w:tblLook w:val="04A0" w:firstRow="1" w:lastRow="0" w:firstColumn="1" w:lastColumn="0" w:noHBand="0" w:noVBand="1"/>
      </w:tblPr>
      <w:tblGrid>
        <w:gridCol w:w="3600"/>
        <w:gridCol w:w="720"/>
        <w:gridCol w:w="720"/>
        <w:gridCol w:w="720"/>
        <w:gridCol w:w="720"/>
        <w:gridCol w:w="720"/>
        <w:gridCol w:w="720"/>
        <w:gridCol w:w="720"/>
        <w:gridCol w:w="720"/>
        <w:gridCol w:w="720"/>
        <w:gridCol w:w="720"/>
        <w:gridCol w:w="720"/>
        <w:gridCol w:w="720"/>
      </w:tblGrid>
      <w:tr w:rsidR="00750909" w:rsidRPr="00750909" w14:paraId="5579482D" w14:textId="77777777" w:rsidTr="00750909">
        <w:trPr>
          <w:trHeight w:val="276"/>
        </w:trPr>
        <w:tc>
          <w:tcPr>
            <w:tcW w:w="3600" w:type="dxa"/>
            <w:tcBorders>
              <w:top w:val="single" w:sz="4" w:space="0" w:color="auto"/>
              <w:left w:val="single" w:sz="4" w:space="0" w:color="auto"/>
              <w:bottom w:val="nil"/>
              <w:right w:val="nil"/>
            </w:tcBorders>
            <w:shd w:val="clear" w:color="000000" w:fill="3672B0"/>
            <w:noWrap/>
            <w:vAlign w:val="center"/>
            <w:hideMark/>
          </w:tcPr>
          <w:p w14:paraId="6E9E405F" w14:textId="77777777" w:rsidR="00750909" w:rsidRPr="00750909" w:rsidRDefault="00750909" w:rsidP="00750909">
            <w:pPr>
              <w:spacing w:before="0" w:line="240" w:lineRule="auto"/>
              <w:jc w:val="left"/>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Variabler</w:t>
            </w:r>
          </w:p>
        </w:tc>
        <w:tc>
          <w:tcPr>
            <w:tcW w:w="720" w:type="dxa"/>
            <w:tcBorders>
              <w:top w:val="single" w:sz="4" w:space="0" w:color="auto"/>
              <w:left w:val="nil"/>
              <w:bottom w:val="single" w:sz="4" w:space="0" w:color="auto"/>
              <w:right w:val="nil"/>
            </w:tcBorders>
            <w:shd w:val="clear" w:color="000000" w:fill="3672B0"/>
            <w:noWrap/>
            <w:vAlign w:val="center"/>
            <w:hideMark/>
          </w:tcPr>
          <w:p w14:paraId="48187BAA"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6E4D0C09"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1CD3A8F6"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7F05AA39"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17604A24"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6408FD40"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47E8669A"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39B5006E"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6FDE57AC"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3FD647E9"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1A919B2D"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5EFAC58B"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(12)</w:t>
            </w:r>
          </w:p>
        </w:tc>
      </w:tr>
      <w:tr w:rsidR="00750909" w:rsidRPr="00750909" w14:paraId="56DF3F6B" w14:textId="77777777" w:rsidTr="00750909">
        <w:trPr>
          <w:trHeight w:val="276"/>
        </w:trPr>
        <w:tc>
          <w:tcPr>
            <w:tcW w:w="3600" w:type="dxa"/>
            <w:tcBorders>
              <w:top w:val="single" w:sz="4" w:space="0" w:color="auto"/>
              <w:left w:val="single" w:sz="4" w:space="0" w:color="auto"/>
              <w:bottom w:val="nil"/>
              <w:right w:val="single" w:sz="4" w:space="0" w:color="auto"/>
            </w:tcBorders>
            <w:shd w:val="clear" w:color="000000" w:fill="A9C6E4"/>
            <w:vAlign w:val="center"/>
            <w:hideMark/>
          </w:tcPr>
          <w:p w14:paraId="28D2C8A8"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 Bruttoinvesteringsutgifter</w:t>
            </w:r>
          </w:p>
        </w:tc>
        <w:tc>
          <w:tcPr>
            <w:tcW w:w="720" w:type="dxa"/>
            <w:tcBorders>
              <w:top w:val="single" w:sz="4" w:space="0" w:color="auto"/>
              <w:left w:val="single" w:sz="4" w:space="0" w:color="auto"/>
              <w:bottom w:val="nil"/>
              <w:right w:val="single" w:sz="4" w:space="0" w:color="auto"/>
            </w:tcBorders>
            <w:shd w:val="clear" w:color="468C5C" w:fill="468C5C"/>
            <w:noWrap/>
            <w:vAlign w:val="center"/>
            <w:hideMark/>
          </w:tcPr>
          <w:p w14:paraId="3968947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C15A03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4AFE37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AB596A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36189B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FEE084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C065D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510692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19E30B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CC0B85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86DFC2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5E6EAC9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59A79898"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D90D8AB"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(2) Bruttoinvesteringsstrøm</w:t>
            </w:r>
          </w:p>
        </w:tc>
        <w:tc>
          <w:tcPr>
            <w:tcW w:w="720" w:type="dxa"/>
            <w:tcBorders>
              <w:top w:val="nil"/>
              <w:left w:val="nil"/>
              <w:bottom w:val="nil"/>
              <w:right w:val="nil"/>
            </w:tcBorders>
            <w:shd w:val="clear" w:color="468C5C" w:fill="468C5C"/>
            <w:noWrap/>
            <w:vAlign w:val="center"/>
            <w:hideMark/>
          </w:tcPr>
          <w:p w14:paraId="48D4E81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0.984</w:t>
            </w:r>
          </w:p>
        </w:tc>
        <w:tc>
          <w:tcPr>
            <w:tcW w:w="720" w:type="dxa"/>
            <w:tcBorders>
              <w:top w:val="single" w:sz="4" w:space="0" w:color="auto"/>
              <w:left w:val="nil"/>
              <w:bottom w:val="nil"/>
              <w:right w:val="single" w:sz="4" w:space="0" w:color="auto"/>
            </w:tcBorders>
            <w:shd w:val="clear" w:color="468C5C" w:fill="468C5C"/>
            <w:noWrap/>
            <w:vAlign w:val="center"/>
            <w:hideMark/>
          </w:tcPr>
          <w:p w14:paraId="2AD7CD1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3E48B7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1C6CAA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258C5D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2AA1E1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35174E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6FDC6B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0BE02D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47F1B0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B3D25E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3E4C00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016D25BF"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0D95E713"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(3) Kapitalslit, DM</w:t>
            </w:r>
          </w:p>
        </w:tc>
        <w:tc>
          <w:tcPr>
            <w:tcW w:w="720" w:type="dxa"/>
            <w:tcBorders>
              <w:top w:val="nil"/>
              <w:left w:val="nil"/>
              <w:bottom w:val="nil"/>
              <w:right w:val="nil"/>
            </w:tcBorders>
            <w:shd w:val="clear" w:color="468C5C" w:fill="468C5C"/>
            <w:noWrap/>
            <w:vAlign w:val="center"/>
            <w:hideMark/>
          </w:tcPr>
          <w:p w14:paraId="4ACE6DF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0.928</w:t>
            </w:r>
          </w:p>
        </w:tc>
        <w:tc>
          <w:tcPr>
            <w:tcW w:w="720" w:type="dxa"/>
            <w:tcBorders>
              <w:top w:val="nil"/>
              <w:left w:val="nil"/>
              <w:bottom w:val="nil"/>
              <w:right w:val="nil"/>
            </w:tcBorders>
            <w:shd w:val="clear" w:color="468C5C" w:fill="468C5C"/>
            <w:noWrap/>
            <w:vAlign w:val="center"/>
            <w:hideMark/>
          </w:tcPr>
          <w:p w14:paraId="6C5C663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0.918</w:t>
            </w:r>
          </w:p>
        </w:tc>
        <w:tc>
          <w:tcPr>
            <w:tcW w:w="720" w:type="dxa"/>
            <w:tcBorders>
              <w:top w:val="single" w:sz="4" w:space="0" w:color="auto"/>
              <w:left w:val="nil"/>
              <w:bottom w:val="nil"/>
              <w:right w:val="single" w:sz="4" w:space="0" w:color="auto"/>
            </w:tcBorders>
            <w:shd w:val="clear" w:color="468C5C" w:fill="468C5C"/>
            <w:noWrap/>
            <w:vAlign w:val="center"/>
            <w:hideMark/>
          </w:tcPr>
          <w:p w14:paraId="2FC9C6D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6ADCDF0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664AB4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F0B31A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B7BFD3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EAD763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F9C794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0E5E1E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E18227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3EEF67C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048A36B3"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534DCBCE"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(4) Kapitalslit, PIM-dd art</w:t>
            </w:r>
          </w:p>
        </w:tc>
        <w:tc>
          <w:tcPr>
            <w:tcW w:w="720" w:type="dxa"/>
            <w:tcBorders>
              <w:top w:val="nil"/>
              <w:left w:val="nil"/>
              <w:bottom w:val="nil"/>
              <w:right w:val="nil"/>
            </w:tcBorders>
            <w:shd w:val="clear" w:color="000000" w:fill="87C399"/>
            <w:noWrap/>
            <w:vAlign w:val="center"/>
            <w:hideMark/>
          </w:tcPr>
          <w:p w14:paraId="6A90793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0.899</w:t>
            </w:r>
          </w:p>
        </w:tc>
        <w:tc>
          <w:tcPr>
            <w:tcW w:w="720" w:type="dxa"/>
            <w:tcBorders>
              <w:top w:val="nil"/>
              <w:left w:val="nil"/>
              <w:bottom w:val="nil"/>
              <w:right w:val="nil"/>
            </w:tcBorders>
            <w:shd w:val="clear" w:color="000000" w:fill="87C399"/>
            <w:noWrap/>
            <w:vAlign w:val="center"/>
            <w:hideMark/>
          </w:tcPr>
          <w:p w14:paraId="4388624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0.876</w:t>
            </w:r>
          </w:p>
        </w:tc>
        <w:tc>
          <w:tcPr>
            <w:tcW w:w="720" w:type="dxa"/>
            <w:tcBorders>
              <w:top w:val="nil"/>
              <w:left w:val="nil"/>
              <w:bottom w:val="nil"/>
              <w:right w:val="nil"/>
            </w:tcBorders>
            <w:shd w:val="clear" w:color="468C5C" w:fill="468C5C"/>
            <w:noWrap/>
            <w:vAlign w:val="center"/>
            <w:hideMark/>
          </w:tcPr>
          <w:p w14:paraId="622EB89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0.959</w:t>
            </w:r>
          </w:p>
        </w:tc>
        <w:tc>
          <w:tcPr>
            <w:tcW w:w="720" w:type="dxa"/>
            <w:tcBorders>
              <w:top w:val="single" w:sz="4" w:space="0" w:color="auto"/>
              <w:left w:val="nil"/>
              <w:bottom w:val="nil"/>
              <w:right w:val="single" w:sz="4" w:space="0" w:color="auto"/>
            </w:tcBorders>
            <w:shd w:val="clear" w:color="468C5C" w:fill="468C5C"/>
            <w:noWrap/>
            <w:vAlign w:val="center"/>
            <w:hideMark/>
          </w:tcPr>
          <w:p w14:paraId="356D978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485A37B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81800A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BDE081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FE8689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202333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973994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2CBF98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3630ADD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29C5B72D"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56134D6"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(5) Kapitalslit, PIM-dd funk.</w:t>
            </w:r>
          </w:p>
        </w:tc>
        <w:tc>
          <w:tcPr>
            <w:tcW w:w="720" w:type="dxa"/>
            <w:tcBorders>
              <w:top w:val="nil"/>
              <w:left w:val="nil"/>
              <w:bottom w:val="nil"/>
              <w:right w:val="nil"/>
            </w:tcBorders>
            <w:shd w:val="clear" w:color="468C5C" w:fill="468C5C"/>
            <w:noWrap/>
            <w:vAlign w:val="center"/>
            <w:hideMark/>
          </w:tcPr>
          <w:p w14:paraId="3D34DE5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0.952</w:t>
            </w:r>
          </w:p>
        </w:tc>
        <w:tc>
          <w:tcPr>
            <w:tcW w:w="720" w:type="dxa"/>
            <w:tcBorders>
              <w:top w:val="nil"/>
              <w:left w:val="nil"/>
              <w:bottom w:val="nil"/>
              <w:right w:val="nil"/>
            </w:tcBorders>
            <w:shd w:val="clear" w:color="468C5C" w:fill="468C5C"/>
            <w:noWrap/>
            <w:vAlign w:val="center"/>
            <w:hideMark/>
          </w:tcPr>
          <w:p w14:paraId="30429F5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0.908</w:t>
            </w:r>
          </w:p>
        </w:tc>
        <w:tc>
          <w:tcPr>
            <w:tcW w:w="720" w:type="dxa"/>
            <w:tcBorders>
              <w:top w:val="nil"/>
              <w:left w:val="nil"/>
              <w:bottom w:val="nil"/>
              <w:right w:val="nil"/>
            </w:tcBorders>
            <w:shd w:val="clear" w:color="468C5C" w:fill="468C5C"/>
            <w:noWrap/>
            <w:vAlign w:val="center"/>
            <w:hideMark/>
          </w:tcPr>
          <w:p w14:paraId="06E7065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0.960</w:t>
            </w:r>
          </w:p>
        </w:tc>
        <w:tc>
          <w:tcPr>
            <w:tcW w:w="720" w:type="dxa"/>
            <w:tcBorders>
              <w:top w:val="nil"/>
              <w:left w:val="nil"/>
              <w:bottom w:val="nil"/>
              <w:right w:val="nil"/>
            </w:tcBorders>
            <w:shd w:val="clear" w:color="468C5C" w:fill="468C5C"/>
            <w:noWrap/>
            <w:vAlign w:val="center"/>
            <w:hideMark/>
          </w:tcPr>
          <w:p w14:paraId="67EA69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0.950</w:t>
            </w:r>
          </w:p>
        </w:tc>
        <w:tc>
          <w:tcPr>
            <w:tcW w:w="720" w:type="dxa"/>
            <w:tcBorders>
              <w:top w:val="single" w:sz="4" w:space="0" w:color="auto"/>
              <w:left w:val="nil"/>
              <w:bottom w:val="nil"/>
              <w:right w:val="single" w:sz="4" w:space="0" w:color="auto"/>
            </w:tcBorders>
            <w:shd w:val="clear" w:color="468C5C" w:fill="468C5C"/>
            <w:noWrap/>
            <w:vAlign w:val="center"/>
            <w:hideMark/>
          </w:tcPr>
          <w:p w14:paraId="26DC760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2A90A8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A053C3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5E441A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0B69F0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0055D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CEAFCA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DEAF4F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78C6AD0D"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2110F95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(6) Kapitalslit, PIM-ad funk.</w:t>
            </w:r>
          </w:p>
        </w:tc>
        <w:tc>
          <w:tcPr>
            <w:tcW w:w="720" w:type="dxa"/>
            <w:tcBorders>
              <w:top w:val="nil"/>
              <w:left w:val="nil"/>
              <w:bottom w:val="nil"/>
              <w:right w:val="nil"/>
            </w:tcBorders>
            <w:shd w:val="clear" w:color="468C5C" w:fill="468C5C"/>
            <w:noWrap/>
            <w:vAlign w:val="center"/>
            <w:hideMark/>
          </w:tcPr>
          <w:p w14:paraId="233A36B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0.954</w:t>
            </w:r>
          </w:p>
        </w:tc>
        <w:tc>
          <w:tcPr>
            <w:tcW w:w="720" w:type="dxa"/>
            <w:tcBorders>
              <w:top w:val="nil"/>
              <w:left w:val="nil"/>
              <w:bottom w:val="nil"/>
              <w:right w:val="nil"/>
            </w:tcBorders>
            <w:shd w:val="clear" w:color="468C5C" w:fill="468C5C"/>
            <w:noWrap/>
            <w:vAlign w:val="center"/>
            <w:hideMark/>
          </w:tcPr>
          <w:p w14:paraId="0B52594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0.912</w:t>
            </w:r>
          </w:p>
        </w:tc>
        <w:tc>
          <w:tcPr>
            <w:tcW w:w="720" w:type="dxa"/>
            <w:tcBorders>
              <w:top w:val="nil"/>
              <w:left w:val="nil"/>
              <w:bottom w:val="nil"/>
              <w:right w:val="nil"/>
            </w:tcBorders>
            <w:shd w:val="clear" w:color="468C5C" w:fill="468C5C"/>
            <w:noWrap/>
            <w:vAlign w:val="center"/>
            <w:hideMark/>
          </w:tcPr>
          <w:p w14:paraId="7138059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0.964</w:t>
            </w:r>
          </w:p>
        </w:tc>
        <w:tc>
          <w:tcPr>
            <w:tcW w:w="720" w:type="dxa"/>
            <w:tcBorders>
              <w:top w:val="nil"/>
              <w:left w:val="nil"/>
              <w:bottom w:val="nil"/>
              <w:right w:val="nil"/>
            </w:tcBorders>
            <w:shd w:val="clear" w:color="468C5C" w:fill="468C5C"/>
            <w:noWrap/>
            <w:vAlign w:val="center"/>
            <w:hideMark/>
          </w:tcPr>
          <w:p w14:paraId="0D3B0A9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0.951</w:t>
            </w:r>
          </w:p>
        </w:tc>
        <w:tc>
          <w:tcPr>
            <w:tcW w:w="720" w:type="dxa"/>
            <w:tcBorders>
              <w:top w:val="nil"/>
              <w:left w:val="nil"/>
              <w:bottom w:val="nil"/>
              <w:right w:val="nil"/>
            </w:tcBorders>
            <w:shd w:val="clear" w:color="468C5C" w:fill="468C5C"/>
            <w:noWrap/>
            <w:vAlign w:val="center"/>
            <w:hideMark/>
          </w:tcPr>
          <w:p w14:paraId="2D11CDD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0.998</w:t>
            </w:r>
          </w:p>
        </w:tc>
        <w:tc>
          <w:tcPr>
            <w:tcW w:w="720" w:type="dxa"/>
            <w:tcBorders>
              <w:top w:val="single" w:sz="4" w:space="0" w:color="auto"/>
              <w:left w:val="nil"/>
              <w:bottom w:val="nil"/>
              <w:right w:val="single" w:sz="4" w:space="0" w:color="auto"/>
            </w:tcBorders>
            <w:shd w:val="clear" w:color="468C5C" w:fill="468C5C"/>
            <w:noWrap/>
            <w:vAlign w:val="center"/>
            <w:hideMark/>
          </w:tcPr>
          <w:p w14:paraId="1F13B26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1AF59A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F0F45C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F451D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2F44C3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11CD32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9DCDAE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76B73E27"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78E9C374"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(7) Kapitalslit, PIM-da funk.</w:t>
            </w:r>
          </w:p>
        </w:tc>
        <w:tc>
          <w:tcPr>
            <w:tcW w:w="720" w:type="dxa"/>
            <w:tcBorders>
              <w:top w:val="nil"/>
              <w:left w:val="nil"/>
              <w:bottom w:val="nil"/>
              <w:right w:val="nil"/>
            </w:tcBorders>
            <w:shd w:val="clear" w:color="468C5C" w:fill="468C5C"/>
            <w:noWrap/>
            <w:vAlign w:val="center"/>
            <w:hideMark/>
          </w:tcPr>
          <w:p w14:paraId="3AFC438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0.906</w:t>
            </w:r>
          </w:p>
        </w:tc>
        <w:tc>
          <w:tcPr>
            <w:tcW w:w="720" w:type="dxa"/>
            <w:tcBorders>
              <w:top w:val="nil"/>
              <w:left w:val="nil"/>
              <w:bottom w:val="nil"/>
              <w:right w:val="nil"/>
            </w:tcBorders>
            <w:shd w:val="clear" w:color="000000" w:fill="87C399"/>
            <w:noWrap/>
            <w:vAlign w:val="center"/>
            <w:hideMark/>
          </w:tcPr>
          <w:p w14:paraId="7AB7A52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0.868</w:t>
            </w:r>
          </w:p>
        </w:tc>
        <w:tc>
          <w:tcPr>
            <w:tcW w:w="720" w:type="dxa"/>
            <w:tcBorders>
              <w:top w:val="nil"/>
              <w:left w:val="nil"/>
              <w:bottom w:val="nil"/>
              <w:right w:val="nil"/>
            </w:tcBorders>
            <w:shd w:val="clear" w:color="468C5C" w:fill="468C5C"/>
            <w:noWrap/>
            <w:vAlign w:val="center"/>
            <w:hideMark/>
          </w:tcPr>
          <w:p w14:paraId="7246ABF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0.963</w:t>
            </w:r>
          </w:p>
        </w:tc>
        <w:tc>
          <w:tcPr>
            <w:tcW w:w="720" w:type="dxa"/>
            <w:tcBorders>
              <w:top w:val="nil"/>
              <w:left w:val="nil"/>
              <w:bottom w:val="nil"/>
              <w:right w:val="nil"/>
            </w:tcBorders>
            <w:shd w:val="clear" w:color="468C5C" w:fill="468C5C"/>
            <w:noWrap/>
            <w:vAlign w:val="center"/>
            <w:hideMark/>
          </w:tcPr>
          <w:p w14:paraId="1C401FF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0.980</w:t>
            </w:r>
          </w:p>
        </w:tc>
        <w:tc>
          <w:tcPr>
            <w:tcW w:w="720" w:type="dxa"/>
            <w:tcBorders>
              <w:top w:val="nil"/>
              <w:left w:val="nil"/>
              <w:bottom w:val="nil"/>
              <w:right w:val="nil"/>
            </w:tcBorders>
            <w:shd w:val="clear" w:color="468C5C" w:fill="468C5C"/>
            <w:noWrap/>
            <w:vAlign w:val="center"/>
            <w:hideMark/>
          </w:tcPr>
          <w:p w14:paraId="631601B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0.981</w:t>
            </w:r>
          </w:p>
        </w:tc>
        <w:tc>
          <w:tcPr>
            <w:tcW w:w="720" w:type="dxa"/>
            <w:tcBorders>
              <w:top w:val="nil"/>
              <w:left w:val="nil"/>
              <w:bottom w:val="nil"/>
              <w:right w:val="nil"/>
            </w:tcBorders>
            <w:shd w:val="clear" w:color="468C5C" w:fill="468C5C"/>
            <w:noWrap/>
            <w:vAlign w:val="center"/>
            <w:hideMark/>
          </w:tcPr>
          <w:p w14:paraId="5E4DC1C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0.983</w:t>
            </w:r>
          </w:p>
        </w:tc>
        <w:tc>
          <w:tcPr>
            <w:tcW w:w="720" w:type="dxa"/>
            <w:tcBorders>
              <w:top w:val="single" w:sz="4" w:space="0" w:color="auto"/>
              <w:left w:val="nil"/>
              <w:bottom w:val="nil"/>
              <w:right w:val="single" w:sz="4" w:space="0" w:color="auto"/>
            </w:tcBorders>
            <w:shd w:val="clear" w:color="468C5C" w:fill="468C5C"/>
            <w:noWrap/>
            <w:vAlign w:val="center"/>
            <w:hideMark/>
          </w:tcPr>
          <w:p w14:paraId="680F840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649A64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27C336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1CBDE5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51C873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27D29B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2180DF62"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6ED8601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(8) Kapitalslit, PIM-aa funk.</w:t>
            </w:r>
          </w:p>
        </w:tc>
        <w:tc>
          <w:tcPr>
            <w:tcW w:w="720" w:type="dxa"/>
            <w:tcBorders>
              <w:top w:val="nil"/>
              <w:left w:val="nil"/>
              <w:bottom w:val="nil"/>
              <w:right w:val="nil"/>
            </w:tcBorders>
            <w:shd w:val="clear" w:color="468C5C" w:fill="468C5C"/>
            <w:noWrap/>
            <w:vAlign w:val="center"/>
            <w:hideMark/>
          </w:tcPr>
          <w:p w14:paraId="7DEB515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0.907</w:t>
            </w:r>
          </w:p>
        </w:tc>
        <w:tc>
          <w:tcPr>
            <w:tcW w:w="720" w:type="dxa"/>
            <w:tcBorders>
              <w:top w:val="nil"/>
              <w:left w:val="nil"/>
              <w:bottom w:val="nil"/>
              <w:right w:val="nil"/>
            </w:tcBorders>
            <w:shd w:val="clear" w:color="000000" w:fill="87C399"/>
            <w:noWrap/>
            <w:vAlign w:val="center"/>
            <w:hideMark/>
          </w:tcPr>
          <w:p w14:paraId="479D0BC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0.874</w:t>
            </w:r>
          </w:p>
        </w:tc>
        <w:tc>
          <w:tcPr>
            <w:tcW w:w="720" w:type="dxa"/>
            <w:tcBorders>
              <w:top w:val="nil"/>
              <w:left w:val="nil"/>
              <w:bottom w:val="nil"/>
              <w:right w:val="nil"/>
            </w:tcBorders>
            <w:shd w:val="clear" w:color="468C5C" w:fill="468C5C"/>
            <w:noWrap/>
            <w:vAlign w:val="center"/>
            <w:hideMark/>
          </w:tcPr>
          <w:p w14:paraId="6ED933D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0.964</w:t>
            </w:r>
          </w:p>
        </w:tc>
        <w:tc>
          <w:tcPr>
            <w:tcW w:w="720" w:type="dxa"/>
            <w:tcBorders>
              <w:top w:val="nil"/>
              <w:left w:val="nil"/>
              <w:bottom w:val="nil"/>
              <w:right w:val="nil"/>
            </w:tcBorders>
            <w:shd w:val="clear" w:color="468C5C" w:fill="468C5C"/>
            <w:noWrap/>
            <w:vAlign w:val="center"/>
            <w:hideMark/>
          </w:tcPr>
          <w:p w14:paraId="1DA6D6E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0.974</w:t>
            </w:r>
          </w:p>
        </w:tc>
        <w:tc>
          <w:tcPr>
            <w:tcW w:w="720" w:type="dxa"/>
            <w:tcBorders>
              <w:top w:val="nil"/>
              <w:left w:val="nil"/>
              <w:bottom w:val="nil"/>
              <w:right w:val="nil"/>
            </w:tcBorders>
            <w:shd w:val="clear" w:color="468C5C" w:fill="468C5C"/>
            <w:noWrap/>
            <w:vAlign w:val="center"/>
            <w:hideMark/>
          </w:tcPr>
          <w:p w14:paraId="248F82C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0.974</w:t>
            </w:r>
          </w:p>
        </w:tc>
        <w:tc>
          <w:tcPr>
            <w:tcW w:w="720" w:type="dxa"/>
            <w:tcBorders>
              <w:top w:val="nil"/>
              <w:left w:val="nil"/>
              <w:bottom w:val="nil"/>
              <w:right w:val="nil"/>
            </w:tcBorders>
            <w:shd w:val="clear" w:color="468C5C" w:fill="468C5C"/>
            <w:noWrap/>
            <w:vAlign w:val="center"/>
            <w:hideMark/>
          </w:tcPr>
          <w:p w14:paraId="3099203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0.981</w:t>
            </w:r>
          </w:p>
        </w:tc>
        <w:tc>
          <w:tcPr>
            <w:tcW w:w="720" w:type="dxa"/>
            <w:tcBorders>
              <w:top w:val="nil"/>
              <w:left w:val="nil"/>
              <w:bottom w:val="nil"/>
              <w:right w:val="nil"/>
            </w:tcBorders>
            <w:shd w:val="clear" w:color="468C5C" w:fill="468C5C"/>
            <w:noWrap/>
            <w:vAlign w:val="center"/>
            <w:hideMark/>
          </w:tcPr>
          <w:p w14:paraId="7D7533C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0.997</w:t>
            </w:r>
          </w:p>
        </w:tc>
        <w:tc>
          <w:tcPr>
            <w:tcW w:w="720" w:type="dxa"/>
            <w:tcBorders>
              <w:top w:val="single" w:sz="4" w:space="0" w:color="auto"/>
              <w:left w:val="nil"/>
              <w:bottom w:val="nil"/>
              <w:right w:val="single" w:sz="4" w:space="0" w:color="auto"/>
            </w:tcBorders>
            <w:shd w:val="clear" w:color="468C5C" w:fill="468C5C"/>
            <w:noWrap/>
            <w:vAlign w:val="center"/>
            <w:hideMark/>
          </w:tcPr>
          <w:p w14:paraId="1450E8D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F01176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7EBDD6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E9A871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93E990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150DB14F"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68067D8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(9) Kapitalslit og rentekost, PIM-ddl art</w:t>
            </w:r>
          </w:p>
        </w:tc>
        <w:tc>
          <w:tcPr>
            <w:tcW w:w="720" w:type="dxa"/>
            <w:tcBorders>
              <w:top w:val="nil"/>
              <w:left w:val="nil"/>
              <w:bottom w:val="nil"/>
              <w:right w:val="nil"/>
            </w:tcBorders>
            <w:shd w:val="clear" w:color="000000" w:fill="87C399"/>
            <w:noWrap/>
            <w:vAlign w:val="center"/>
            <w:hideMark/>
          </w:tcPr>
          <w:p w14:paraId="5C0A967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0.865</w:t>
            </w:r>
          </w:p>
        </w:tc>
        <w:tc>
          <w:tcPr>
            <w:tcW w:w="720" w:type="dxa"/>
            <w:tcBorders>
              <w:top w:val="nil"/>
              <w:left w:val="nil"/>
              <w:bottom w:val="nil"/>
              <w:right w:val="nil"/>
            </w:tcBorders>
            <w:shd w:val="clear" w:color="000000" w:fill="87C399"/>
            <w:noWrap/>
            <w:vAlign w:val="center"/>
            <w:hideMark/>
          </w:tcPr>
          <w:p w14:paraId="1D3AEE5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0.846</w:t>
            </w:r>
          </w:p>
        </w:tc>
        <w:tc>
          <w:tcPr>
            <w:tcW w:w="720" w:type="dxa"/>
            <w:tcBorders>
              <w:top w:val="nil"/>
              <w:left w:val="nil"/>
              <w:bottom w:val="nil"/>
              <w:right w:val="nil"/>
            </w:tcBorders>
            <w:shd w:val="clear" w:color="468C5C" w:fill="468C5C"/>
            <w:noWrap/>
            <w:vAlign w:val="center"/>
            <w:hideMark/>
          </w:tcPr>
          <w:p w14:paraId="78D6E9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0.957</w:t>
            </w:r>
          </w:p>
        </w:tc>
        <w:tc>
          <w:tcPr>
            <w:tcW w:w="720" w:type="dxa"/>
            <w:tcBorders>
              <w:top w:val="nil"/>
              <w:left w:val="nil"/>
              <w:bottom w:val="nil"/>
              <w:right w:val="nil"/>
            </w:tcBorders>
            <w:shd w:val="clear" w:color="468C5C" w:fill="468C5C"/>
            <w:noWrap/>
            <w:vAlign w:val="center"/>
            <w:hideMark/>
          </w:tcPr>
          <w:p w14:paraId="67C7038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0.989</w:t>
            </w:r>
          </w:p>
        </w:tc>
        <w:tc>
          <w:tcPr>
            <w:tcW w:w="720" w:type="dxa"/>
            <w:tcBorders>
              <w:top w:val="nil"/>
              <w:left w:val="nil"/>
              <w:bottom w:val="nil"/>
              <w:right w:val="nil"/>
            </w:tcBorders>
            <w:shd w:val="clear" w:color="468C5C" w:fill="468C5C"/>
            <w:noWrap/>
            <w:vAlign w:val="center"/>
            <w:hideMark/>
          </w:tcPr>
          <w:p w14:paraId="58DEF33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0.944</w:t>
            </w:r>
          </w:p>
        </w:tc>
        <w:tc>
          <w:tcPr>
            <w:tcW w:w="720" w:type="dxa"/>
            <w:tcBorders>
              <w:top w:val="nil"/>
              <w:left w:val="nil"/>
              <w:bottom w:val="nil"/>
              <w:right w:val="nil"/>
            </w:tcBorders>
            <w:shd w:val="clear" w:color="468C5C" w:fill="468C5C"/>
            <w:noWrap/>
            <w:vAlign w:val="center"/>
            <w:hideMark/>
          </w:tcPr>
          <w:p w14:paraId="7C26308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0.943</w:t>
            </w:r>
          </w:p>
        </w:tc>
        <w:tc>
          <w:tcPr>
            <w:tcW w:w="720" w:type="dxa"/>
            <w:tcBorders>
              <w:top w:val="nil"/>
              <w:left w:val="nil"/>
              <w:bottom w:val="nil"/>
              <w:right w:val="nil"/>
            </w:tcBorders>
            <w:shd w:val="clear" w:color="468C5C" w:fill="468C5C"/>
            <w:noWrap/>
            <w:vAlign w:val="center"/>
            <w:hideMark/>
          </w:tcPr>
          <w:p w14:paraId="602125F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0.982</w:t>
            </w:r>
          </w:p>
        </w:tc>
        <w:tc>
          <w:tcPr>
            <w:tcW w:w="720" w:type="dxa"/>
            <w:tcBorders>
              <w:top w:val="nil"/>
              <w:left w:val="nil"/>
              <w:bottom w:val="nil"/>
              <w:right w:val="nil"/>
            </w:tcBorders>
            <w:shd w:val="clear" w:color="468C5C" w:fill="468C5C"/>
            <w:noWrap/>
            <w:vAlign w:val="center"/>
            <w:hideMark/>
          </w:tcPr>
          <w:p w14:paraId="72BACDC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0.973</w:t>
            </w:r>
          </w:p>
        </w:tc>
        <w:tc>
          <w:tcPr>
            <w:tcW w:w="720" w:type="dxa"/>
            <w:tcBorders>
              <w:top w:val="single" w:sz="4" w:space="0" w:color="auto"/>
              <w:left w:val="nil"/>
              <w:bottom w:val="nil"/>
              <w:right w:val="single" w:sz="4" w:space="0" w:color="auto"/>
            </w:tcBorders>
            <w:shd w:val="clear" w:color="468C5C" w:fill="468C5C"/>
            <w:noWrap/>
            <w:vAlign w:val="center"/>
            <w:hideMark/>
          </w:tcPr>
          <w:p w14:paraId="0375ED1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E1661D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BB4CCC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21FB2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344B2840"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957DAC6"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 Kapitalslit og rentekost, PIM-ddf funk.</w:t>
            </w:r>
          </w:p>
        </w:tc>
        <w:tc>
          <w:tcPr>
            <w:tcW w:w="720" w:type="dxa"/>
            <w:tcBorders>
              <w:top w:val="nil"/>
              <w:left w:val="nil"/>
              <w:bottom w:val="nil"/>
              <w:right w:val="nil"/>
            </w:tcBorders>
            <w:shd w:val="clear" w:color="468C5C" w:fill="468C5C"/>
            <w:noWrap/>
            <w:vAlign w:val="center"/>
            <w:hideMark/>
          </w:tcPr>
          <w:p w14:paraId="4A70BBD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0.937</w:t>
            </w:r>
          </w:p>
        </w:tc>
        <w:tc>
          <w:tcPr>
            <w:tcW w:w="720" w:type="dxa"/>
            <w:tcBorders>
              <w:top w:val="nil"/>
              <w:left w:val="nil"/>
              <w:bottom w:val="nil"/>
              <w:right w:val="nil"/>
            </w:tcBorders>
            <w:shd w:val="clear" w:color="000000" w:fill="87C399"/>
            <w:noWrap/>
            <w:vAlign w:val="center"/>
            <w:hideMark/>
          </w:tcPr>
          <w:p w14:paraId="61E20B4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0.897</w:t>
            </w:r>
          </w:p>
        </w:tc>
        <w:tc>
          <w:tcPr>
            <w:tcW w:w="720" w:type="dxa"/>
            <w:tcBorders>
              <w:top w:val="nil"/>
              <w:left w:val="nil"/>
              <w:bottom w:val="nil"/>
              <w:right w:val="nil"/>
            </w:tcBorders>
            <w:shd w:val="clear" w:color="468C5C" w:fill="468C5C"/>
            <w:noWrap/>
            <w:vAlign w:val="center"/>
            <w:hideMark/>
          </w:tcPr>
          <w:p w14:paraId="37D69DA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0.965</w:t>
            </w:r>
          </w:p>
        </w:tc>
        <w:tc>
          <w:tcPr>
            <w:tcW w:w="720" w:type="dxa"/>
            <w:tcBorders>
              <w:top w:val="nil"/>
              <w:left w:val="nil"/>
              <w:bottom w:val="nil"/>
              <w:right w:val="nil"/>
            </w:tcBorders>
            <w:shd w:val="clear" w:color="468C5C" w:fill="468C5C"/>
            <w:noWrap/>
            <w:vAlign w:val="center"/>
            <w:hideMark/>
          </w:tcPr>
          <w:p w14:paraId="3F6AA56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0.968</w:t>
            </w:r>
          </w:p>
        </w:tc>
        <w:tc>
          <w:tcPr>
            <w:tcW w:w="720" w:type="dxa"/>
            <w:tcBorders>
              <w:top w:val="nil"/>
              <w:left w:val="nil"/>
              <w:bottom w:val="nil"/>
              <w:right w:val="nil"/>
            </w:tcBorders>
            <w:shd w:val="clear" w:color="468C5C" w:fill="468C5C"/>
            <w:noWrap/>
            <w:vAlign w:val="center"/>
            <w:hideMark/>
          </w:tcPr>
          <w:p w14:paraId="795807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0.992</w:t>
            </w:r>
          </w:p>
        </w:tc>
        <w:tc>
          <w:tcPr>
            <w:tcW w:w="720" w:type="dxa"/>
            <w:tcBorders>
              <w:top w:val="nil"/>
              <w:left w:val="nil"/>
              <w:bottom w:val="nil"/>
              <w:right w:val="nil"/>
            </w:tcBorders>
            <w:shd w:val="clear" w:color="468C5C" w:fill="468C5C"/>
            <w:noWrap/>
            <w:vAlign w:val="center"/>
            <w:hideMark/>
          </w:tcPr>
          <w:p w14:paraId="4122DF5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71DE92D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02B3856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0.991</w:t>
            </w:r>
          </w:p>
        </w:tc>
        <w:tc>
          <w:tcPr>
            <w:tcW w:w="720" w:type="dxa"/>
            <w:tcBorders>
              <w:top w:val="nil"/>
              <w:left w:val="nil"/>
              <w:bottom w:val="nil"/>
              <w:right w:val="nil"/>
            </w:tcBorders>
            <w:shd w:val="clear" w:color="468C5C" w:fill="468C5C"/>
            <w:noWrap/>
            <w:vAlign w:val="center"/>
            <w:hideMark/>
          </w:tcPr>
          <w:p w14:paraId="3C12088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0.964</w:t>
            </w:r>
          </w:p>
        </w:tc>
        <w:tc>
          <w:tcPr>
            <w:tcW w:w="720" w:type="dxa"/>
            <w:tcBorders>
              <w:top w:val="single" w:sz="4" w:space="0" w:color="auto"/>
              <w:left w:val="nil"/>
              <w:bottom w:val="nil"/>
              <w:right w:val="single" w:sz="4" w:space="0" w:color="auto"/>
            </w:tcBorders>
            <w:shd w:val="clear" w:color="468C5C" w:fill="468C5C"/>
            <w:noWrap/>
            <w:vAlign w:val="center"/>
            <w:hideMark/>
          </w:tcPr>
          <w:p w14:paraId="1ADEE94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4A85AC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79AE71A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6D761A94"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2540095"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(11) Kapitalslit og rentekost, PIM-ddl funk.</w:t>
            </w:r>
          </w:p>
        </w:tc>
        <w:tc>
          <w:tcPr>
            <w:tcW w:w="720" w:type="dxa"/>
            <w:tcBorders>
              <w:top w:val="nil"/>
              <w:left w:val="nil"/>
              <w:bottom w:val="nil"/>
              <w:right w:val="nil"/>
            </w:tcBorders>
            <w:shd w:val="clear" w:color="468C5C" w:fill="468C5C"/>
            <w:noWrap/>
            <w:vAlign w:val="center"/>
            <w:hideMark/>
          </w:tcPr>
          <w:p w14:paraId="2BA72C1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0.939</w:t>
            </w:r>
          </w:p>
        </w:tc>
        <w:tc>
          <w:tcPr>
            <w:tcW w:w="720" w:type="dxa"/>
            <w:tcBorders>
              <w:top w:val="nil"/>
              <w:left w:val="nil"/>
              <w:bottom w:val="nil"/>
              <w:right w:val="nil"/>
            </w:tcBorders>
            <w:shd w:val="clear" w:color="000000" w:fill="87C399"/>
            <w:noWrap/>
            <w:vAlign w:val="center"/>
            <w:hideMark/>
          </w:tcPr>
          <w:p w14:paraId="4753780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0.898</w:t>
            </w:r>
          </w:p>
        </w:tc>
        <w:tc>
          <w:tcPr>
            <w:tcW w:w="720" w:type="dxa"/>
            <w:tcBorders>
              <w:top w:val="nil"/>
              <w:left w:val="nil"/>
              <w:bottom w:val="nil"/>
              <w:right w:val="nil"/>
            </w:tcBorders>
            <w:shd w:val="clear" w:color="468C5C" w:fill="468C5C"/>
            <w:noWrap/>
            <w:vAlign w:val="center"/>
            <w:hideMark/>
          </w:tcPr>
          <w:p w14:paraId="682F655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0.965</w:t>
            </w:r>
          </w:p>
        </w:tc>
        <w:tc>
          <w:tcPr>
            <w:tcW w:w="720" w:type="dxa"/>
            <w:tcBorders>
              <w:top w:val="nil"/>
              <w:left w:val="nil"/>
              <w:bottom w:val="nil"/>
              <w:right w:val="nil"/>
            </w:tcBorders>
            <w:shd w:val="clear" w:color="468C5C" w:fill="468C5C"/>
            <w:noWrap/>
            <w:vAlign w:val="center"/>
            <w:hideMark/>
          </w:tcPr>
          <w:p w14:paraId="7D4F0C5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0.967</w:t>
            </w:r>
          </w:p>
        </w:tc>
        <w:tc>
          <w:tcPr>
            <w:tcW w:w="720" w:type="dxa"/>
            <w:tcBorders>
              <w:top w:val="nil"/>
              <w:left w:val="nil"/>
              <w:bottom w:val="nil"/>
              <w:right w:val="nil"/>
            </w:tcBorders>
            <w:shd w:val="clear" w:color="468C5C" w:fill="468C5C"/>
            <w:noWrap/>
            <w:vAlign w:val="center"/>
            <w:hideMark/>
          </w:tcPr>
          <w:p w14:paraId="5C9A95F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31771B1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0.995</w:t>
            </w:r>
          </w:p>
        </w:tc>
        <w:tc>
          <w:tcPr>
            <w:tcW w:w="720" w:type="dxa"/>
            <w:tcBorders>
              <w:top w:val="nil"/>
              <w:left w:val="nil"/>
              <w:bottom w:val="nil"/>
              <w:right w:val="nil"/>
            </w:tcBorders>
            <w:shd w:val="clear" w:color="468C5C" w:fill="468C5C"/>
            <w:noWrap/>
            <w:vAlign w:val="center"/>
            <w:hideMark/>
          </w:tcPr>
          <w:p w14:paraId="4157015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41DB6B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19B61CD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0.963</w:t>
            </w:r>
          </w:p>
        </w:tc>
        <w:tc>
          <w:tcPr>
            <w:tcW w:w="720" w:type="dxa"/>
            <w:tcBorders>
              <w:top w:val="nil"/>
              <w:left w:val="nil"/>
              <w:bottom w:val="nil"/>
              <w:right w:val="nil"/>
            </w:tcBorders>
            <w:shd w:val="clear" w:color="468C5C" w:fill="468C5C"/>
            <w:noWrap/>
            <w:vAlign w:val="center"/>
            <w:hideMark/>
          </w:tcPr>
          <w:p w14:paraId="7A7DBD9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single" w:sz="4" w:space="0" w:color="auto"/>
              <w:left w:val="nil"/>
              <w:bottom w:val="nil"/>
              <w:right w:val="single" w:sz="4" w:space="0" w:color="auto"/>
            </w:tcBorders>
            <w:shd w:val="clear" w:color="468C5C" w:fill="468C5C"/>
            <w:noWrap/>
            <w:vAlign w:val="center"/>
            <w:hideMark/>
          </w:tcPr>
          <w:p w14:paraId="44E0623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single" w:sz="4" w:space="0" w:color="auto"/>
            </w:tcBorders>
            <w:shd w:val="clear" w:color="000000" w:fill="3672B0"/>
            <w:noWrap/>
            <w:vAlign w:val="center"/>
            <w:hideMark/>
          </w:tcPr>
          <w:p w14:paraId="6F24AFB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1D3781EF" w14:textId="77777777" w:rsidTr="00750909">
        <w:trPr>
          <w:trHeight w:val="276"/>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66E69FF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(12) Kapitaltjenester, PIM-ddl funk.</w:t>
            </w:r>
          </w:p>
        </w:tc>
        <w:tc>
          <w:tcPr>
            <w:tcW w:w="720" w:type="dxa"/>
            <w:tcBorders>
              <w:top w:val="nil"/>
              <w:left w:val="nil"/>
              <w:bottom w:val="single" w:sz="4" w:space="0" w:color="auto"/>
              <w:right w:val="nil"/>
            </w:tcBorders>
            <w:shd w:val="clear" w:color="468C5C" w:fill="468C5C"/>
            <w:noWrap/>
            <w:vAlign w:val="center"/>
            <w:hideMark/>
          </w:tcPr>
          <w:p w14:paraId="3893BED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0.954</w:t>
            </w:r>
          </w:p>
        </w:tc>
        <w:tc>
          <w:tcPr>
            <w:tcW w:w="720" w:type="dxa"/>
            <w:tcBorders>
              <w:top w:val="nil"/>
              <w:left w:val="nil"/>
              <w:bottom w:val="single" w:sz="4" w:space="0" w:color="auto"/>
              <w:right w:val="nil"/>
            </w:tcBorders>
            <w:shd w:val="clear" w:color="468C5C" w:fill="468C5C"/>
            <w:noWrap/>
            <w:vAlign w:val="center"/>
            <w:hideMark/>
          </w:tcPr>
          <w:p w14:paraId="170D1E7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0.913</w:t>
            </w:r>
          </w:p>
        </w:tc>
        <w:tc>
          <w:tcPr>
            <w:tcW w:w="720" w:type="dxa"/>
            <w:tcBorders>
              <w:top w:val="nil"/>
              <w:left w:val="nil"/>
              <w:bottom w:val="single" w:sz="4" w:space="0" w:color="auto"/>
              <w:right w:val="nil"/>
            </w:tcBorders>
            <w:shd w:val="clear" w:color="468C5C" w:fill="468C5C"/>
            <w:noWrap/>
            <w:vAlign w:val="center"/>
            <w:hideMark/>
          </w:tcPr>
          <w:p w14:paraId="6D56855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0.967</w:t>
            </w:r>
          </w:p>
        </w:tc>
        <w:tc>
          <w:tcPr>
            <w:tcW w:w="720" w:type="dxa"/>
            <w:tcBorders>
              <w:top w:val="nil"/>
              <w:left w:val="nil"/>
              <w:bottom w:val="single" w:sz="4" w:space="0" w:color="auto"/>
              <w:right w:val="nil"/>
            </w:tcBorders>
            <w:shd w:val="clear" w:color="468C5C" w:fill="468C5C"/>
            <w:noWrap/>
            <w:vAlign w:val="center"/>
            <w:hideMark/>
          </w:tcPr>
          <w:p w14:paraId="2B46005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0.957</w:t>
            </w:r>
          </w:p>
        </w:tc>
        <w:tc>
          <w:tcPr>
            <w:tcW w:w="720" w:type="dxa"/>
            <w:tcBorders>
              <w:top w:val="nil"/>
              <w:left w:val="nil"/>
              <w:bottom w:val="single" w:sz="4" w:space="0" w:color="auto"/>
              <w:right w:val="nil"/>
            </w:tcBorders>
            <w:shd w:val="clear" w:color="468C5C" w:fill="468C5C"/>
            <w:noWrap/>
            <w:vAlign w:val="center"/>
            <w:hideMark/>
          </w:tcPr>
          <w:p w14:paraId="378904F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0.998</w:t>
            </w:r>
          </w:p>
        </w:tc>
        <w:tc>
          <w:tcPr>
            <w:tcW w:w="720" w:type="dxa"/>
            <w:tcBorders>
              <w:top w:val="nil"/>
              <w:left w:val="nil"/>
              <w:bottom w:val="single" w:sz="4" w:space="0" w:color="auto"/>
              <w:right w:val="nil"/>
            </w:tcBorders>
            <w:shd w:val="clear" w:color="468C5C" w:fill="468C5C"/>
            <w:noWrap/>
            <w:vAlign w:val="center"/>
            <w:hideMark/>
          </w:tcPr>
          <w:p w14:paraId="1E906A6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0.998</w:t>
            </w:r>
          </w:p>
        </w:tc>
        <w:tc>
          <w:tcPr>
            <w:tcW w:w="720" w:type="dxa"/>
            <w:tcBorders>
              <w:top w:val="nil"/>
              <w:left w:val="nil"/>
              <w:bottom w:val="single" w:sz="4" w:space="0" w:color="auto"/>
              <w:right w:val="nil"/>
            </w:tcBorders>
            <w:shd w:val="clear" w:color="468C5C" w:fill="468C5C"/>
            <w:noWrap/>
            <w:vAlign w:val="center"/>
            <w:hideMark/>
          </w:tcPr>
          <w:p w14:paraId="254D94E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0.984</w:t>
            </w:r>
          </w:p>
        </w:tc>
        <w:tc>
          <w:tcPr>
            <w:tcW w:w="720" w:type="dxa"/>
            <w:tcBorders>
              <w:top w:val="nil"/>
              <w:left w:val="nil"/>
              <w:bottom w:val="single" w:sz="4" w:space="0" w:color="auto"/>
              <w:right w:val="nil"/>
            </w:tcBorders>
            <w:shd w:val="clear" w:color="468C5C" w:fill="468C5C"/>
            <w:noWrap/>
            <w:vAlign w:val="center"/>
            <w:hideMark/>
          </w:tcPr>
          <w:p w14:paraId="2C564C5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0.980</w:t>
            </w:r>
          </w:p>
        </w:tc>
        <w:tc>
          <w:tcPr>
            <w:tcW w:w="720" w:type="dxa"/>
            <w:tcBorders>
              <w:top w:val="nil"/>
              <w:left w:val="nil"/>
              <w:bottom w:val="single" w:sz="4" w:space="0" w:color="auto"/>
              <w:right w:val="nil"/>
            </w:tcBorders>
            <w:shd w:val="clear" w:color="468C5C" w:fill="468C5C"/>
            <w:noWrap/>
            <w:vAlign w:val="center"/>
            <w:hideMark/>
          </w:tcPr>
          <w:p w14:paraId="05BA969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0.948</w:t>
            </w:r>
          </w:p>
        </w:tc>
        <w:tc>
          <w:tcPr>
            <w:tcW w:w="720" w:type="dxa"/>
            <w:tcBorders>
              <w:top w:val="nil"/>
              <w:left w:val="nil"/>
              <w:bottom w:val="single" w:sz="4" w:space="0" w:color="auto"/>
              <w:right w:val="nil"/>
            </w:tcBorders>
            <w:shd w:val="clear" w:color="468C5C" w:fill="468C5C"/>
            <w:noWrap/>
            <w:vAlign w:val="center"/>
            <w:hideMark/>
          </w:tcPr>
          <w:p w14:paraId="622F1C0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0.996</w:t>
            </w:r>
          </w:p>
        </w:tc>
        <w:tc>
          <w:tcPr>
            <w:tcW w:w="720" w:type="dxa"/>
            <w:tcBorders>
              <w:top w:val="nil"/>
              <w:left w:val="nil"/>
              <w:bottom w:val="single" w:sz="4" w:space="0" w:color="auto"/>
              <w:right w:val="nil"/>
            </w:tcBorders>
            <w:shd w:val="clear" w:color="468C5C" w:fill="468C5C"/>
            <w:noWrap/>
            <w:vAlign w:val="center"/>
            <w:hideMark/>
          </w:tcPr>
          <w:p w14:paraId="4453333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0.997</w:t>
            </w:r>
          </w:p>
        </w:tc>
        <w:tc>
          <w:tcPr>
            <w:tcW w:w="720" w:type="dxa"/>
            <w:tcBorders>
              <w:top w:val="nil"/>
              <w:left w:val="nil"/>
              <w:bottom w:val="single" w:sz="4" w:space="0" w:color="auto"/>
              <w:right w:val="single" w:sz="4" w:space="0" w:color="auto"/>
            </w:tcBorders>
            <w:shd w:val="clear" w:color="468C5C" w:fill="468C5C"/>
            <w:noWrap/>
            <w:vAlign w:val="center"/>
            <w:hideMark/>
          </w:tcPr>
          <w:p w14:paraId="46E012A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r>
    </w:tbl>
    <w:p w14:paraId="24652023" w14:textId="182E51E8" w:rsidR="00E22895" w:rsidRPr="0055149C" w:rsidRDefault="00A24E69" w:rsidP="00E22895">
      <w:pPr>
        <w:pStyle w:val="Billedtekst-forklaring"/>
        <w:ind w:left="0" w:firstLine="0"/>
      </w:pPr>
      <w:r>
        <w:t>I f</w:t>
      </w:r>
      <w:r w:rsidR="000E08F8" w:rsidRPr="0055149C">
        <w:t xml:space="preserve">orkortelsene dd, ad, da og aa angir </w:t>
      </w:r>
      <w:r w:rsidR="00E22895" w:rsidRPr="0055149C">
        <w:t>første og andre bokstav om henholdsvis kapitaldeflatorene og depresieringsratene er aggregerte (a) eller disaggregerte (d).</w:t>
      </w:r>
      <w:r w:rsidR="00A612E2" w:rsidRPr="0055149C">
        <w:t xml:space="preserve"> </w:t>
      </w:r>
      <w:r w:rsidR="00E22895" w:rsidRPr="0055149C">
        <w:t xml:space="preserve">f og l som følger angir om eventuelle avkastningskrav er fast eller løpende. Angivelse av fargekoder for korrelasjonskoeffisientene: </w:t>
      </w:r>
      <w:r w:rsidR="00E22895" w:rsidRPr="0055149C">
        <w:rPr>
          <w:shd w:val="clear" w:color="auto" w:fill="A60E24" w:themeFill="accent5"/>
          <w:lang w:eastAsia="nb-NO"/>
        </w:rPr>
        <w:t>(-1,00)-(-0,90)</w:t>
      </w:r>
      <w:r w:rsidR="00E22895" w:rsidRPr="0055149C">
        <w:rPr>
          <w:lang w:eastAsia="nb-NO"/>
        </w:rPr>
        <w:t xml:space="preserve">, </w:t>
      </w:r>
      <w:r w:rsidR="00E22895" w:rsidRPr="0055149C">
        <w:rPr>
          <w:shd w:val="clear" w:color="auto" w:fill="EF485F" w:themeFill="accent5" w:themeFillTint="99"/>
          <w:lang w:eastAsia="nb-NO"/>
        </w:rPr>
        <w:t>(-0,90)-(-0,75)</w:t>
      </w:r>
      <w:r w:rsidR="00E22895" w:rsidRPr="0055149C">
        <w:rPr>
          <w:lang w:eastAsia="nb-NO"/>
        </w:rPr>
        <w:t xml:space="preserve">, </w:t>
      </w:r>
      <w:r w:rsidR="00E22895" w:rsidRPr="0055149C">
        <w:rPr>
          <w:shd w:val="clear" w:color="auto" w:fill="F48594" w:themeFill="accent5" w:themeFillTint="66"/>
          <w:lang w:eastAsia="nb-NO"/>
        </w:rPr>
        <w:t>(-0,75)-(-0,50)</w:t>
      </w:r>
      <w:r w:rsidR="00E22895" w:rsidRPr="0055149C">
        <w:rPr>
          <w:lang w:eastAsia="nb-NO"/>
        </w:rPr>
        <w:t xml:space="preserve">, </w:t>
      </w:r>
      <w:r w:rsidR="00E22895" w:rsidRPr="0055149C">
        <w:rPr>
          <w:shd w:val="clear" w:color="auto" w:fill="FAC2C9" w:themeFill="accent5" w:themeFillTint="33"/>
          <w:lang w:eastAsia="nb-NO"/>
        </w:rPr>
        <w:t>(-0,50)-(-0,25)</w:t>
      </w:r>
      <w:r w:rsidR="00E22895" w:rsidRPr="0055149C">
        <w:rPr>
          <w:lang w:eastAsia="nb-NO"/>
        </w:rPr>
        <w:t xml:space="preserve">, </w:t>
      </w:r>
      <w:r w:rsidR="00E22895" w:rsidRPr="0055149C">
        <w:rPr>
          <w:shd w:val="clear" w:color="auto" w:fill="FABF8F" w:themeFill="accent4" w:themeFillTint="99"/>
          <w:lang w:eastAsia="nb-NO"/>
        </w:rPr>
        <w:t>(-0,25)-(-0,10</w:t>
      </w:r>
      <w:r w:rsidR="00E22895" w:rsidRPr="0055149C">
        <w:rPr>
          <w:shd w:val="clear" w:color="auto" w:fill="FBD4B4"/>
          <w:lang w:eastAsia="nb-NO"/>
        </w:rPr>
        <w:t>)</w:t>
      </w:r>
      <w:r w:rsidR="00E22895" w:rsidRPr="0055149C">
        <w:rPr>
          <w:lang w:eastAsia="nb-NO"/>
        </w:rPr>
        <w:t xml:space="preserve">, </w:t>
      </w:r>
      <w:r w:rsidR="00E22895" w:rsidRPr="0055149C">
        <w:rPr>
          <w:shd w:val="clear" w:color="auto" w:fill="FBD4B4" w:themeFill="accent4" w:themeFillTint="66"/>
          <w:lang w:eastAsia="nb-NO"/>
        </w:rPr>
        <w:t>(-0,10)-(-0,00)</w:t>
      </w:r>
      <w:r w:rsidR="00E22895" w:rsidRPr="0055149C">
        <w:rPr>
          <w:lang w:eastAsia="nb-NO"/>
        </w:rPr>
        <w:t>,</w:t>
      </w:r>
      <w:r w:rsidR="00E22895" w:rsidRPr="0055149C">
        <w:t xml:space="preserve"> </w:t>
      </w:r>
      <w:r w:rsidR="00E22895" w:rsidRPr="0055149C">
        <w:rPr>
          <w:shd w:val="clear" w:color="auto" w:fill="CCCC00"/>
          <w:lang w:eastAsia="nb-NO"/>
        </w:rPr>
        <w:t>0.00-0,10</w:t>
      </w:r>
      <w:r w:rsidR="00E22895" w:rsidRPr="0055149C">
        <w:rPr>
          <w:lang w:eastAsia="nb-NO"/>
        </w:rPr>
        <w:t xml:space="preserve">, </w:t>
      </w:r>
      <w:r w:rsidR="00E22895" w:rsidRPr="0055149C">
        <w:rPr>
          <w:shd w:val="clear" w:color="auto" w:fill="FFFF99"/>
          <w:lang w:eastAsia="nb-NO"/>
        </w:rPr>
        <w:t>0,10-0,25</w:t>
      </w:r>
      <w:r w:rsidR="00E22895" w:rsidRPr="0055149C">
        <w:rPr>
          <w:lang w:eastAsia="nb-NO"/>
        </w:rPr>
        <w:t xml:space="preserve">, </w:t>
      </w:r>
      <w:r w:rsidR="00E22895" w:rsidRPr="0055149C">
        <w:rPr>
          <w:shd w:val="clear" w:color="auto" w:fill="D7EBDD" w:themeFill="accent6" w:themeFillTint="33"/>
          <w:lang w:eastAsia="nb-NO"/>
        </w:rPr>
        <w:t>0.25-0,50</w:t>
      </w:r>
      <w:r w:rsidR="00E22895" w:rsidRPr="0055149C">
        <w:rPr>
          <w:lang w:eastAsia="nb-NO"/>
        </w:rPr>
        <w:t xml:space="preserve">, </w:t>
      </w:r>
      <w:r w:rsidR="00E22895" w:rsidRPr="0055149C">
        <w:rPr>
          <w:shd w:val="clear" w:color="auto" w:fill="AFD7BB" w:themeFill="accent6" w:themeFillTint="66"/>
          <w:lang w:eastAsia="nb-NO"/>
        </w:rPr>
        <w:t>0,50-0,75</w:t>
      </w:r>
      <w:r w:rsidR="00E22895" w:rsidRPr="0055149C">
        <w:rPr>
          <w:lang w:eastAsia="nb-NO"/>
        </w:rPr>
        <w:t xml:space="preserve">, </w:t>
      </w:r>
      <w:r w:rsidR="00E22895" w:rsidRPr="0055149C">
        <w:rPr>
          <w:shd w:val="clear" w:color="auto" w:fill="87C399" w:themeFill="accent6" w:themeFillTint="99"/>
          <w:lang w:eastAsia="nb-NO"/>
        </w:rPr>
        <w:t>0,75-0,90</w:t>
      </w:r>
      <w:r w:rsidR="00E22895" w:rsidRPr="0055149C">
        <w:rPr>
          <w:lang w:eastAsia="nb-NO"/>
        </w:rPr>
        <w:t xml:space="preserve"> og </w:t>
      </w:r>
      <w:r w:rsidR="00E22895" w:rsidRPr="0055149C">
        <w:rPr>
          <w:shd w:val="clear" w:color="auto" w:fill="468C5C" w:themeFill="accent6"/>
          <w:lang w:eastAsia="nb-NO"/>
        </w:rPr>
        <w:t>0,90-1,00</w:t>
      </w:r>
    </w:p>
    <w:p w14:paraId="644704E9" w14:textId="6CD329AA" w:rsidR="008E1C20" w:rsidRPr="0055149C" w:rsidRDefault="00E22895" w:rsidP="00E22895">
      <w:pPr>
        <w:pStyle w:val="Source"/>
        <w:rPr>
          <w:lang w:eastAsia="nb-NO"/>
        </w:rPr>
      </w:pPr>
      <w:r w:rsidRPr="0055149C">
        <w:rPr>
          <w:lang w:eastAsia="nb-NO"/>
        </w:rPr>
        <w:t>Kilde: Vista Analyse</w:t>
      </w:r>
    </w:p>
    <w:p w14:paraId="3E6EA24F" w14:textId="77777777" w:rsidR="00E22895" w:rsidRPr="0055149C" w:rsidRDefault="00E22895" w:rsidP="004337EE">
      <w:pPr>
        <w:rPr>
          <w:lang w:eastAsia="nb-NO"/>
        </w:rPr>
        <w:sectPr w:rsidR="00E22895" w:rsidRPr="0055149C" w:rsidSect="00E22895">
          <w:pgSz w:w="16838" w:h="11906" w:orient="landscape" w:code="9"/>
          <w:pgMar w:top="1985" w:right="1418" w:bottom="1418" w:left="1418" w:header="567" w:footer="284" w:gutter="0"/>
          <w:cols w:space="708"/>
          <w:docGrid w:linePitch="360"/>
        </w:sectPr>
      </w:pPr>
    </w:p>
    <w:p w14:paraId="27E4DD0D" w14:textId="4925A567" w:rsidR="00F7056E" w:rsidRPr="0055149C" w:rsidRDefault="00F7056E" w:rsidP="00F7056E">
      <w:r w:rsidRPr="0055149C">
        <w:lastRenderedPageBreak/>
        <w:t xml:space="preserve">I </w:t>
      </w:r>
      <w:fldSimple w:instr=" REF _Ref168346546 ">
        <w:r w:rsidR="009B1DA8" w:rsidRPr="0055149C">
          <w:t xml:space="preserve">Figur </w:t>
        </w:r>
        <w:r w:rsidR="009B1DA8">
          <w:rPr>
            <w:noProof/>
          </w:rPr>
          <w:t>4</w:t>
        </w:r>
        <w:r w:rsidR="009B1DA8">
          <w:t>.</w:t>
        </w:r>
        <w:r w:rsidR="009B1DA8">
          <w:rPr>
            <w:noProof/>
          </w:rPr>
          <w:t>18</w:t>
        </w:r>
      </w:fldSimple>
      <w:r w:rsidRPr="0055149C">
        <w:t xml:space="preserve"> har vi belyst hvordan feilvurderinger i depresieringsratene og kapitaldeflatorene virker inn på </w:t>
      </w:r>
      <w:r w:rsidR="0025575E" w:rsidRPr="0055149C">
        <w:t>kapitalslitet estimert ved PIM. Som tilsvarende figur for primærkommunene viser denne figuren at moderate endringer i depresieringsratene og kapitaldeflatorene gir små utslag i styrkeforholdene mellom estimatene og moderate utslag i nivåene på kapitalslitet.</w:t>
      </w:r>
    </w:p>
    <w:p w14:paraId="75B1BD2E" w14:textId="6A2B51DC" w:rsidR="00A71E60" w:rsidRPr="0055149C" w:rsidRDefault="00A71E60" w:rsidP="00A71E60">
      <w:pPr>
        <w:pStyle w:val="Bildetekst"/>
        <w:jc w:val="both"/>
      </w:pPr>
      <w:bookmarkStart w:id="120" w:name="_Ref168346546"/>
      <w:r w:rsidRPr="0055149C">
        <w:t xml:space="preserve">Figur </w:t>
      </w:r>
      <w:fldSimple w:instr=" STYLEREF 1 \s ">
        <w:r w:rsidR="009B1DA8">
          <w:rPr>
            <w:noProof/>
          </w:rPr>
          <w:t>4</w:t>
        </w:r>
      </w:fldSimple>
      <w:r w:rsidR="004B03E3">
        <w:t>.</w:t>
      </w:r>
      <w:fldSimple w:instr=" SEQ Figur \* ARABIC \s 1 ">
        <w:r w:rsidR="009B1DA8">
          <w:rPr>
            <w:noProof/>
          </w:rPr>
          <w:t>18</w:t>
        </w:r>
      </w:fldSimple>
      <w:bookmarkEnd w:id="120"/>
      <w:r w:rsidRPr="0055149C">
        <w:tab/>
        <w:t>Betydning av målefeil i kapitaldeflatorene og depresieringsratene for kapitalslitestimatene for fylkeskommunene illustrert ved sammenstillinger mellom hovedanslag og anslag med innlagt målefeil i form av a) korrelasjonskoeffisienter (til venstre) og kostnadsanslag (til høyre)</w:t>
      </w:r>
    </w:p>
    <w:p w14:paraId="3EB394BB" w14:textId="46790E4F" w:rsidR="00A71E60" w:rsidRPr="0055149C" w:rsidRDefault="00713FE4" w:rsidP="005C3179">
      <w:pPr>
        <w:jc w:val="center"/>
        <w:rPr>
          <w:lang w:eastAsia="nb-NO"/>
        </w:rPr>
      </w:pPr>
      <w:r>
        <w:rPr>
          <w:noProof/>
          <w:lang w:val="en-US" w:eastAsia="en-US"/>
        </w:rPr>
        <w:drawing>
          <wp:inline distT="0" distB="0" distL="0" distR="0" wp14:anchorId="2D26D3BA" wp14:editId="5EC267FF">
            <wp:extent cx="2664000" cy="2880000"/>
            <wp:effectExtent l="0" t="0" r="3175" b="0"/>
            <wp:docPr id="2085213097" name="Diagram 1">
              <a:extLst xmlns:a="http://schemas.openxmlformats.org/drawingml/2006/main">
                <a:ext uri="{FF2B5EF4-FFF2-40B4-BE49-F238E27FC236}">
                  <a16:creationId xmlns:a16="http://schemas.microsoft.com/office/drawing/2014/main" id="{38D99C59-19A0-4D7E-9AFD-6687BA030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noProof/>
          <w:lang w:val="en-US" w:eastAsia="en-US"/>
        </w:rPr>
        <w:drawing>
          <wp:inline distT="0" distB="0" distL="0" distR="0" wp14:anchorId="0D391DFC" wp14:editId="71AD8CB4">
            <wp:extent cx="2664000" cy="2880000"/>
            <wp:effectExtent l="0" t="0" r="3175" b="0"/>
            <wp:docPr id="1980445591" name="Diagram 2">
              <a:extLst xmlns:a="http://schemas.openxmlformats.org/drawingml/2006/main">
                <a:ext uri="{FF2B5EF4-FFF2-40B4-BE49-F238E27FC236}">
                  <a16:creationId xmlns:a16="http://schemas.microsoft.com/office/drawing/2014/main" id="{494BEB8C-B7F4-4986-8323-4B5D21D0B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E7123A0" w14:textId="77777777" w:rsidR="0081584F" w:rsidRPr="0055149C" w:rsidRDefault="0081584F" w:rsidP="0081584F">
      <w:pPr>
        <w:pStyle w:val="Billedtekst-forklaring"/>
        <w:ind w:left="0" w:firstLine="0"/>
      </w:pPr>
      <w:r w:rsidRPr="0055149C">
        <w:t>Forkortelsen dd angir at kapitaldeflatorene og depresieringsratene er disaggregerte.</w:t>
      </w:r>
    </w:p>
    <w:p w14:paraId="0A5DB011" w14:textId="77777777" w:rsidR="00A71E60" w:rsidRPr="0055149C" w:rsidRDefault="00A71E60" w:rsidP="00A71E60">
      <w:pPr>
        <w:pStyle w:val="Source"/>
        <w:rPr>
          <w:lang w:eastAsia="nb-NO"/>
        </w:rPr>
      </w:pPr>
      <w:r w:rsidRPr="0055149C">
        <w:rPr>
          <w:lang w:eastAsia="nb-NO"/>
        </w:rPr>
        <w:t>Kilde: Vista Analyse</w:t>
      </w:r>
    </w:p>
    <w:p w14:paraId="433392FE" w14:textId="4ED82B87" w:rsidR="00792365" w:rsidRDefault="00354A0B" w:rsidP="00792365">
      <w:pPr>
        <w:pStyle w:val="Overskrift4"/>
        <w:numPr>
          <w:ilvl w:val="0"/>
          <w:numId w:val="0"/>
        </w:numPr>
      </w:pPr>
      <w:r w:rsidRPr="0055149C">
        <w:t>Kommunal sektor samlet</w:t>
      </w:r>
    </w:p>
    <w:p w14:paraId="5AC8F98A" w14:textId="5AB99FDA" w:rsidR="00792365" w:rsidRDefault="00792365" w:rsidP="00792365">
      <w:pPr>
        <w:rPr>
          <w:lang w:eastAsia="nb-NO"/>
        </w:rPr>
      </w:pPr>
      <w:r w:rsidRPr="0055149C">
        <w:rPr>
          <w:color w:val="auto"/>
          <w:lang w:eastAsia="nb-NO"/>
        </w:rPr>
        <w:t>Statistisk sentralbyrå</w:t>
      </w:r>
      <w:r>
        <w:rPr>
          <w:color w:val="auto"/>
          <w:lang w:eastAsia="nb-NO"/>
        </w:rPr>
        <w:t xml:space="preserve"> anslår</w:t>
      </w:r>
      <w:r w:rsidRPr="0055149C">
        <w:rPr>
          <w:color w:val="auto"/>
          <w:lang w:eastAsia="nb-NO"/>
        </w:rPr>
        <w:t xml:space="preserve"> i nasjonalregnskapet </w:t>
      </w:r>
      <w:r>
        <w:rPr>
          <w:color w:val="auto"/>
          <w:lang w:eastAsia="nb-NO"/>
        </w:rPr>
        <w:t>at</w:t>
      </w:r>
      <w:r w:rsidRPr="0055149C">
        <w:rPr>
          <w:color w:val="auto"/>
          <w:lang w:eastAsia="nb-NO"/>
        </w:rPr>
        <w:t xml:space="preserve"> </w:t>
      </w:r>
      <w:r>
        <w:rPr>
          <w:color w:val="auto"/>
          <w:lang w:eastAsia="nb-NO"/>
        </w:rPr>
        <w:t xml:space="preserve">bruttoinvesteringene og kapitalslitet i kommunal sektor </w:t>
      </w:r>
      <w:r w:rsidR="003B1962">
        <w:rPr>
          <w:color w:val="auto"/>
          <w:lang w:eastAsia="nb-NO"/>
        </w:rPr>
        <w:t xml:space="preserve">er </w:t>
      </w:r>
      <w:r>
        <w:rPr>
          <w:color w:val="auto"/>
          <w:lang w:eastAsia="nb-NO"/>
        </w:rPr>
        <w:t xml:space="preserve">henholdsvis 94,5 milliarder kroner og 65,3 milliarder kroner. Våre tall for bruttoinvesteringsutgifter og bruttoinvesteringsstrømmer – avledet fra </w:t>
      </w:r>
      <w:r w:rsidR="008E7E43">
        <w:rPr>
          <w:color w:val="auto"/>
          <w:lang w:eastAsia="nb-NO"/>
        </w:rPr>
        <w:t>KOSTRA</w:t>
      </w:r>
      <w:r>
        <w:rPr>
          <w:color w:val="auto"/>
          <w:lang w:eastAsia="nb-NO"/>
        </w:rPr>
        <w:t xml:space="preserve"> – tilsvarer henholdsvis 106,3 milliarder kroner og 100,5 milliarder kroner, der bruttoinvesteringsstrømmene er ekvivalent</w:t>
      </w:r>
      <w:r w:rsidR="00E962EF">
        <w:rPr>
          <w:color w:val="auto"/>
          <w:lang w:eastAsia="nb-NO"/>
        </w:rPr>
        <w:t>e</w:t>
      </w:r>
      <w:r>
        <w:rPr>
          <w:color w:val="auto"/>
          <w:lang w:eastAsia="nb-NO"/>
        </w:rPr>
        <w:t xml:space="preserve"> med hva man i nasjonalregnskapet omtaler som bruttoinvesteringer. </w:t>
      </w:r>
      <w:r>
        <w:rPr>
          <w:lang w:eastAsia="nb-NO"/>
        </w:rPr>
        <w:t>Våre tall for kapitalslitet er 36,2 milliarder kroner målt ved DM – tilsvarende de regnskapsmessige avskrivningene – og 48,7 til 57,7 milliarder kroner målt ved PIM.</w:t>
      </w:r>
    </w:p>
    <w:p w14:paraId="74026A2B" w14:textId="56A08243" w:rsidR="00B33C8E" w:rsidRPr="0055149C" w:rsidRDefault="00792365" w:rsidP="00354A0B">
      <w:pPr>
        <w:rPr>
          <w:lang w:eastAsia="nb-NO"/>
        </w:rPr>
      </w:pPr>
      <w:r>
        <w:rPr>
          <w:lang w:eastAsia="nb-NO"/>
        </w:rPr>
        <w:t xml:space="preserve">Med andre ord er våre estimater for bruttoinvesteringene og kapitalslitet et hakk lavere enn tilsvarende kostnader i nasjonalregnskapet, hvilket må ses </w:t>
      </w:r>
      <w:r w:rsidR="003B1962">
        <w:rPr>
          <w:lang w:eastAsia="nb-NO"/>
        </w:rPr>
        <w:t xml:space="preserve">i </w:t>
      </w:r>
      <w:r>
        <w:rPr>
          <w:lang w:eastAsia="nb-NO"/>
        </w:rPr>
        <w:t>sammenheng med noe lavere kapitalbeholdning. I og med at forskjellene i realkapitalkostnadene i stor grad er parallelle til forskjellene i realkapitalbeholdningene, referer</w:t>
      </w:r>
      <w:r w:rsidR="00393697">
        <w:rPr>
          <w:lang w:eastAsia="nb-NO"/>
        </w:rPr>
        <w:t>er</w:t>
      </w:r>
      <w:r>
        <w:rPr>
          <w:lang w:eastAsia="nb-NO"/>
        </w:rPr>
        <w:t xml:space="preserve"> vi til delseksjonen om realkapitalbeholdningen for kommunal sektor samlet i seksjon </w:t>
      </w:r>
      <w:r>
        <w:rPr>
          <w:lang w:eastAsia="nb-NO"/>
        </w:rPr>
        <w:fldChar w:fldCharType="begin"/>
      </w:r>
      <w:r>
        <w:rPr>
          <w:lang w:eastAsia="nb-NO"/>
        </w:rPr>
        <w:instrText xml:space="preserve"> REF _Ref178445271 \r \h </w:instrText>
      </w:r>
      <w:r>
        <w:rPr>
          <w:lang w:eastAsia="nb-NO"/>
        </w:rPr>
      </w:r>
      <w:r>
        <w:rPr>
          <w:lang w:eastAsia="nb-NO"/>
        </w:rPr>
        <w:fldChar w:fldCharType="separate"/>
      </w:r>
      <w:r w:rsidR="009B1DA8">
        <w:rPr>
          <w:lang w:eastAsia="nb-NO"/>
        </w:rPr>
        <w:t>4.1.3</w:t>
      </w:r>
      <w:r>
        <w:rPr>
          <w:lang w:eastAsia="nb-NO"/>
        </w:rPr>
        <w:fldChar w:fldCharType="end"/>
      </w:r>
      <w:r>
        <w:rPr>
          <w:lang w:eastAsia="nb-NO"/>
        </w:rPr>
        <w:t xml:space="preserve"> for en nærmere forklaring. I tillegg spiller eventuelle forskjeller i kapitaldeflatorene, depresieringsratene og kapitalsammensetningen inn, jamfør seksjon </w:t>
      </w:r>
      <w:r>
        <w:rPr>
          <w:lang w:eastAsia="nb-NO"/>
        </w:rPr>
        <w:fldChar w:fldCharType="begin"/>
      </w:r>
      <w:r>
        <w:rPr>
          <w:lang w:eastAsia="nb-NO"/>
        </w:rPr>
        <w:instrText xml:space="preserve"> REF _Ref174721107 \r \h </w:instrText>
      </w:r>
      <w:r>
        <w:rPr>
          <w:lang w:eastAsia="nb-NO"/>
        </w:rPr>
      </w:r>
      <w:r>
        <w:rPr>
          <w:lang w:eastAsia="nb-NO"/>
        </w:rPr>
        <w:fldChar w:fldCharType="separate"/>
      </w:r>
      <w:r w:rsidR="009B1DA8">
        <w:rPr>
          <w:lang w:eastAsia="nb-NO"/>
        </w:rPr>
        <w:t>4.1.1</w:t>
      </w:r>
      <w:r>
        <w:rPr>
          <w:lang w:eastAsia="nb-NO"/>
        </w:rPr>
        <w:fldChar w:fldCharType="end"/>
      </w:r>
      <w:r>
        <w:rPr>
          <w:lang w:eastAsia="nb-NO"/>
        </w:rPr>
        <w:t xml:space="preserve">, samt vår bearbeiding av data og estimering av kapital, jamfør delkapittel </w:t>
      </w:r>
      <w:r>
        <w:rPr>
          <w:lang w:eastAsia="nb-NO"/>
        </w:rPr>
        <w:fldChar w:fldCharType="begin"/>
      </w:r>
      <w:r>
        <w:rPr>
          <w:lang w:eastAsia="nb-NO"/>
        </w:rPr>
        <w:instrText xml:space="preserve"> REF _Ref178521930 \r \h </w:instrText>
      </w:r>
      <w:r>
        <w:rPr>
          <w:lang w:eastAsia="nb-NO"/>
        </w:rPr>
      </w:r>
      <w:r>
        <w:rPr>
          <w:lang w:eastAsia="nb-NO"/>
        </w:rPr>
        <w:fldChar w:fldCharType="separate"/>
      </w:r>
      <w:r w:rsidR="009B1DA8">
        <w:rPr>
          <w:lang w:eastAsia="nb-NO"/>
        </w:rPr>
        <w:t>3.1</w:t>
      </w:r>
      <w:r>
        <w:rPr>
          <w:lang w:eastAsia="nb-NO"/>
        </w:rPr>
        <w:fldChar w:fldCharType="end"/>
      </w:r>
      <w:r>
        <w:rPr>
          <w:lang w:eastAsia="nb-NO"/>
        </w:rPr>
        <w:t xml:space="preserve"> og seksjon </w:t>
      </w:r>
      <w:r>
        <w:rPr>
          <w:lang w:eastAsia="nb-NO"/>
        </w:rPr>
        <w:fldChar w:fldCharType="begin"/>
      </w:r>
      <w:r>
        <w:rPr>
          <w:lang w:eastAsia="nb-NO"/>
        </w:rPr>
        <w:instrText xml:space="preserve"> REF _Ref177896768 \r \h </w:instrText>
      </w:r>
      <w:r>
        <w:rPr>
          <w:lang w:eastAsia="nb-NO"/>
        </w:rPr>
      </w:r>
      <w:r>
        <w:rPr>
          <w:lang w:eastAsia="nb-NO"/>
        </w:rPr>
        <w:fldChar w:fldCharType="separate"/>
      </w:r>
      <w:r w:rsidR="009B1DA8">
        <w:rPr>
          <w:lang w:eastAsia="nb-NO"/>
        </w:rPr>
        <w:t>3.2.1</w:t>
      </w:r>
      <w:r>
        <w:rPr>
          <w:lang w:eastAsia="nb-NO"/>
        </w:rPr>
        <w:fldChar w:fldCharType="end"/>
      </w:r>
      <w:r>
        <w:rPr>
          <w:lang w:eastAsia="nb-NO"/>
        </w:rPr>
        <w:t>.</w:t>
      </w:r>
    </w:p>
    <w:p w14:paraId="4791E8C1" w14:textId="1A959C94" w:rsidR="00393CC0" w:rsidRPr="0055149C" w:rsidRDefault="006216E2" w:rsidP="00527BE6">
      <w:pPr>
        <w:pStyle w:val="Overskrift2"/>
      </w:pPr>
      <w:bookmarkStart w:id="121" w:name="_Toc182321018"/>
      <w:r w:rsidRPr="0055149C">
        <w:lastRenderedPageBreak/>
        <w:t xml:space="preserve">Kapitalkostnader og </w:t>
      </w:r>
      <w:r w:rsidR="00E70ADE" w:rsidRPr="0055149C">
        <w:t>kommunenes økonomi</w:t>
      </w:r>
      <w:bookmarkEnd w:id="121"/>
    </w:p>
    <w:p w14:paraId="0A1DEC38" w14:textId="444A7433" w:rsidR="0076700A" w:rsidRPr="0055149C" w:rsidRDefault="0076700A" w:rsidP="00E1055C">
      <w:pPr>
        <w:rPr>
          <w:lang w:eastAsia="nb-NO"/>
        </w:rPr>
      </w:pPr>
      <w:r w:rsidRPr="0055149C">
        <w:rPr>
          <w:lang w:eastAsia="nb-NO"/>
        </w:rPr>
        <w:t>Vi vil nå rette søkelyset mot hvordan kapitalkostnadene henger sammen med økonomien i kommunene. V</w:t>
      </w:r>
      <w:r w:rsidR="003B1962">
        <w:rPr>
          <w:lang w:eastAsia="nb-NO"/>
        </w:rPr>
        <w:t>i</w:t>
      </w:r>
      <w:r w:rsidRPr="0055149C">
        <w:rPr>
          <w:lang w:eastAsia="nb-NO"/>
        </w:rPr>
        <w:t xml:space="preserve"> starter med å analysere hvordan kapitalkostnadene henger sammen med kommunenes øvrige driftsøkonomi. Deretter går vi inn på hvordan kommunenes kapitalkostnader og bruttodriftsutgifter henger sammen med geografiske og sosioøkonomiske forhold i omgivelsene. Vi avslutter delkapittelet med å presentere empiriske undersøkelser </w:t>
      </w:r>
      <w:r w:rsidR="00584A7E" w:rsidRPr="0055149C">
        <w:rPr>
          <w:lang w:eastAsia="nb-NO"/>
        </w:rPr>
        <w:t>av</w:t>
      </w:r>
      <w:r w:rsidRPr="0055149C">
        <w:rPr>
          <w:lang w:eastAsia="nb-NO"/>
        </w:rPr>
        <w:t xml:space="preserve"> </w:t>
      </w:r>
      <w:r w:rsidR="00584A7E" w:rsidRPr="0055149C">
        <w:rPr>
          <w:lang w:eastAsia="nb-NO"/>
        </w:rPr>
        <w:t xml:space="preserve">hvordan </w:t>
      </w:r>
      <w:r w:rsidRPr="0055149C">
        <w:rPr>
          <w:lang w:eastAsia="nb-NO"/>
        </w:rPr>
        <w:t>det kommunale inntektssystemet påvirkes</w:t>
      </w:r>
      <w:r w:rsidR="00AF2B3D">
        <w:rPr>
          <w:lang w:eastAsia="nb-NO"/>
        </w:rPr>
        <w:t>,</w:t>
      </w:r>
      <w:r w:rsidRPr="0055149C">
        <w:rPr>
          <w:lang w:eastAsia="nb-NO"/>
        </w:rPr>
        <w:t xml:space="preserve"> dersom</w:t>
      </w:r>
      <w:r w:rsidR="00584A7E" w:rsidRPr="0055149C">
        <w:rPr>
          <w:lang w:eastAsia="nb-NO"/>
        </w:rPr>
        <w:t xml:space="preserve"> kapitalkostnadene inkluderes i utregningene av systemets kriterievekter.</w:t>
      </w:r>
    </w:p>
    <w:p w14:paraId="41E2D502" w14:textId="5162CFC1" w:rsidR="00C7480E" w:rsidRPr="0055149C" w:rsidRDefault="00C2435B" w:rsidP="00C7480E">
      <w:pPr>
        <w:pStyle w:val="Overskrift3"/>
      </w:pPr>
      <w:bookmarkStart w:id="122" w:name="_Ref178371258"/>
      <w:r w:rsidRPr="0055149C">
        <w:t>Kapital</w:t>
      </w:r>
      <w:r w:rsidR="00D36EA8" w:rsidRPr="0055149C">
        <w:t xml:space="preserve">kostnader og </w:t>
      </w:r>
      <w:r w:rsidR="00E70ADE" w:rsidRPr="0055149C">
        <w:t>den kommunale</w:t>
      </w:r>
      <w:r w:rsidR="00D36EA8" w:rsidRPr="0055149C">
        <w:t xml:space="preserve"> driftsøkonomi</w:t>
      </w:r>
      <w:bookmarkEnd w:id="122"/>
      <w:r w:rsidR="00955D53">
        <w:t>en</w:t>
      </w:r>
    </w:p>
    <w:p w14:paraId="71D4507D" w14:textId="04E397EB" w:rsidR="0096748D" w:rsidRPr="0055149C" w:rsidRDefault="0096748D" w:rsidP="005449D1">
      <w:pPr>
        <w:rPr>
          <w:lang w:eastAsia="nb-NO"/>
        </w:rPr>
      </w:pPr>
      <w:r w:rsidRPr="0055149C">
        <w:rPr>
          <w:lang w:eastAsia="nb-NO"/>
        </w:rPr>
        <w:t xml:space="preserve">Kommunenes kapitalkostnader henger tett sammen med deres driftsøkonomi, men empiriske undersøkelser må til for å </w:t>
      </w:r>
      <w:r w:rsidR="00875A8C" w:rsidRPr="0055149C">
        <w:rPr>
          <w:lang w:eastAsia="nb-NO"/>
        </w:rPr>
        <w:t>kunne fastslå</w:t>
      </w:r>
      <w:r w:rsidRPr="0055149C">
        <w:rPr>
          <w:lang w:eastAsia="nb-NO"/>
        </w:rPr>
        <w:t xml:space="preserve"> styrken på og </w:t>
      </w:r>
      <w:r w:rsidR="009C4627" w:rsidRPr="0055149C">
        <w:rPr>
          <w:lang w:eastAsia="nb-NO"/>
        </w:rPr>
        <w:t>egenskapene til</w:t>
      </w:r>
      <w:r w:rsidRPr="0055149C">
        <w:rPr>
          <w:lang w:eastAsia="nb-NO"/>
        </w:rPr>
        <w:t xml:space="preserve"> sammenhengen</w:t>
      </w:r>
      <w:r w:rsidR="009C4627" w:rsidRPr="0055149C">
        <w:rPr>
          <w:lang w:eastAsia="nb-NO"/>
        </w:rPr>
        <w:t>e</w:t>
      </w:r>
      <w:r w:rsidRPr="0055149C">
        <w:rPr>
          <w:lang w:eastAsia="nb-NO"/>
        </w:rPr>
        <w:t xml:space="preserve">. I denne seksjonen undersøker vi nærmere hvordan våre kapitalkostnadsmål for kommunene henger sammen med deres bruttodriftsutgifter og </w:t>
      </w:r>
      <w:r w:rsidR="00BB3FD0" w:rsidRPr="0055149C">
        <w:rPr>
          <w:lang w:eastAsia="nb-NO"/>
        </w:rPr>
        <w:t>andre sentrale</w:t>
      </w:r>
      <w:r w:rsidRPr="0055149C">
        <w:rPr>
          <w:lang w:eastAsia="nb-NO"/>
        </w:rPr>
        <w:t xml:space="preserve"> drifts</w:t>
      </w:r>
      <w:r w:rsidR="00BB3FD0" w:rsidRPr="0055149C">
        <w:rPr>
          <w:lang w:eastAsia="nb-NO"/>
        </w:rPr>
        <w:t>regnskaps</w:t>
      </w:r>
      <w:r w:rsidRPr="0055149C">
        <w:rPr>
          <w:lang w:eastAsia="nb-NO"/>
        </w:rPr>
        <w:t>poster på tvers av sentralitet og landsdeler.</w:t>
      </w:r>
    </w:p>
    <w:p w14:paraId="0C47E4E5" w14:textId="0FDF2CC2" w:rsidR="00BB3FD0" w:rsidRPr="0055149C" w:rsidRDefault="00BB3FD0" w:rsidP="00BB3FD0">
      <w:pPr>
        <w:rPr>
          <w:lang w:eastAsia="nb-NO"/>
        </w:rPr>
      </w:pPr>
      <w:r w:rsidRPr="0055149C">
        <w:rPr>
          <w:lang w:eastAsia="nb-NO"/>
        </w:rPr>
        <w:t>Det er verdt å merke seg at bruttodrift</w:t>
      </w:r>
      <w:r w:rsidR="00ED277F">
        <w:rPr>
          <w:lang w:eastAsia="nb-NO"/>
        </w:rPr>
        <w:t>s</w:t>
      </w:r>
      <w:r w:rsidRPr="0055149C">
        <w:rPr>
          <w:lang w:eastAsia="nb-NO"/>
        </w:rPr>
        <w:t xml:space="preserve">utgifter kan dekomponeres i lønnsutgifter og </w:t>
      </w:r>
      <w:r w:rsidR="0062722C">
        <w:rPr>
          <w:lang w:eastAsia="nb-NO"/>
        </w:rPr>
        <w:t xml:space="preserve">produktinnsatsutgifter </w:t>
      </w:r>
      <w:r w:rsidRPr="0055149C">
        <w:rPr>
          <w:lang w:eastAsia="nb-NO"/>
        </w:rPr>
        <w:t xml:space="preserve">og </w:t>
      </w:r>
      <w:r w:rsidR="004F0889" w:rsidRPr="0055149C">
        <w:rPr>
          <w:lang w:eastAsia="nb-NO"/>
        </w:rPr>
        <w:t>fordringstap</w:t>
      </w:r>
      <w:r w:rsidRPr="0055149C">
        <w:rPr>
          <w:lang w:eastAsia="nb-NO"/>
        </w:rPr>
        <w:t>, mens nettodrift</w:t>
      </w:r>
      <w:r w:rsidR="00ED277F">
        <w:rPr>
          <w:lang w:eastAsia="nb-NO"/>
        </w:rPr>
        <w:t>s</w:t>
      </w:r>
      <w:r w:rsidRPr="0055149C">
        <w:rPr>
          <w:lang w:eastAsia="nb-NO"/>
        </w:rPr>
        <w:t>utgifter tilsvarer differansen mellom bruttodrift</w:t>
      </w:r>
      <w:r w:rsidR="00ED277F">
        <w:rPr>
          <w:lang w:eastAsia="nb-NO"/>
        </w:rPr>
        <w:t>s</w:t>
      </w:r>
      <w:r w:rsidRPr="0055149C">
        <w:rPr>
          <w:lang w:eastAsia="nb-NO"/>
        </w:rPr>
        <w:t xml:space="preserve">utgifter og </w:t>
      </w:r>
      <w:r w:rsidR="001A148E" w:rsidRPr="0055149C">
        <w:rPr>
          <w:lang w:eastAsia="nb-NO"/>
        </w:rPr>
        <w:t>bruttodrift</w:t>
      </w:r>
      <w:r w:rsidR="001A148E">
        <w:rPr>
          <w:lang w:eastAsia="nb-NO"/>
        </w:rPr>
        <w:t>sinntekter</w:t>
      </w:r>
      <w:r w:rsidRPr="0055149C">
        <w:rPr>
          <w:lang w:eastAsia="nb-NO"/>
        </w:rPr>
        <w:t xml:space="preserve">. Et annet sentral begrep i </w:t>
      </w:r>
      <w:r w:rsidR="008E7E43">
        <w:rPr>
          <w:lang w:eastAsia="nb-NO"/>
        </w:rPr>
        <w:t>KOSTRA</w:t>
      </w:r>
      <w:r w:rsidRPr="0055149C">
        <w:rPr>
          <w:lang w:eastAsia="nb-NO"/>
        </w:rPr>
        <w:t>-terminologi er korrigerte bruttodriftsutgifter. Konseptet defineres som driftsutgiftene til egen tjenesteproduksjon inklusive merverdiavgift og avskrivninger, og fratrukket sykelønnsrefusjon og kompensasjon for merverdiavgift.</w:t>
      </w:r>
    </w:p>
    <w:p w14:paraId="24C38C43" w14:textId="7C8A7C91" w:rsidR="00D36F4B" w:rsidRPr="0055149C" w:rsidRDefault="005449D1" w:rsidP="007B5D49">
      <w:pPr>
        <w:pStyle w:val="Overskrift4"/>
        <w:numPr>
          <w:ilvl w:val="0"/>
          <w:numId w:val="0"/>
        </w:numPr>
      </w:pPr>
      <w:r w:rsidRPr="0055149C">
        <w:t>Primærkommunene</w:t>
      </w:r>
    </w:p>
    <w:p w14:paraId="0BA2A384" w14:textId="73B4191F" w:rsidR="00C7480E" w:rsidRDefault="00D36F4B" w:rsidP="00D36F4B">
      <w:pPr>
        <w:rPr>
          <w:lang w:eastAsia="nb-NO"/>
        </w:rPr>
      </w:pPr>
      <w:r w:rsidRPr="0055149C">
        <w:rPr>
          <w:lang w:eastAsia="nb-NO"/>
        </w:rPr>
        <w:t xml:space="preserve">Nivået på bruttodriftsutgifter per innbygger i primærkommunene er fallende med befolkningsnivået og sentralitet. Dette kommer fram av </w:t>
      </w:r>
      <w:r w:rsidRPr="0055149C">
        <w:rPr>
          <w:lang w:eastAsia="nb-NO"/>
        </w:rPr>
        <w:fldChar w:fldCharType="begin"/>
      </w:r>
      <w:r w:rsidRPr="0055149C">
        <w:rPr>
          <w:lang w:eastAsia="nb-NO"/>
        </w:rPr>
        <w:instrText xml:space="preserve"> REF _Ref168384142 </w:instrText>
      </w:r>
      <w:r w:rsidRPr="0055149C">
        <w:rPr>
          <w:lang w:eastAsia="nb-NO"/>
        </w:rPr>
        <w:fldChar w:fldCharType="separate"/>
      </w:r>
      <w:r w:rsidR="009B1DA8" w:rsidRPr="0055149C">
        <w:t xml:space="preserve">Figur </w:t>
      </w:r>
      <w:r w:rsidR="009B1DA8">
        <w:rPr>
          <w:noProof/>
        </w:rPr>
        <w:t>4</w:t>
      </w:r>
      <w:r w:rsidR="009B1DA8">
        <w:t>.</w:t>
      </w:r>
      <w:r w:rsidR="009B1DA8">
        <w:rPr>
          <w:noProof/>
        </w:rPr>
        <w:t>19</w:t>
      </w:r>
      <w:r w:rsidRPr="0055149C">
        <w:rPr>
          <w:lang w:eastAsia="nb-NO"/>
        </w:rPr>
        <w:fldChar w:fldCharType="end"/>
      </w:r>
      <w:r w:rsidRPr="0055149C">
        <w:rPr>
          <w:lang w:eastAsia="nb-NO"/>
        </w:rPr>
        <w:t xml:space="preserve"> a). En svakere variant av det samme mønsteret ser vi over landsdeler, som vist i </w:t>
      </w:r>
      <w:r w:rsidRPr="0055149C">
        <w:rPr>
          <w:lang w:eastAsia="nb-NO"/>
        </w:rPr>
        <w:fldChar w:fldCharType="begin"/>
      </w:r>
      <w:r w:rsidRPr="0055149C">
        <w:rPr>
          <w:lang w:eastAsia="nb-NO"/>
        </w:rPr>
        <w:instrText xml:space="preserve"> REF _Ref168384142 </w:instrText>
      </w:r>
      <w:r w:rsidRPr="0055149C">
        <w:rPr>
          <w:lang w:eastAsia="nb-NO"/>
        </w:rPr>
        <w:fldChar w:fldCharType="separate"/>
      </w:r>
      <w:r w:rsidR="009B1DA8" w:rsidRPr="0055149C">
        <w:t xml:space="preserve">Figur </w:t>
      </w:r>
      <w:r w:rsidR="009B1DA8">
        <w:rPr>
          <w:noProof/>
        </w:rPr>
        <w:t>4</w:t>
      </w:r>
      <w:r w:rsidR="009B1DA8">
        <w:t>.</w:t>
      </w:r>
      <w:r w:rsidR="009B1DA8">
        <w:rPr>
          <w:noProof/>
        </w:rPr>
        <w:t>19</w:t>
      </w:r>
      <w:r w:rsidRPr="0055149C">
        <w:rPr>
          <w:lang w:eastAsia="nb-NO"/>
        </w:rPr>
        <w:fldChar w:fldCharType="end"/>
      </w:r>
      <w:r w:rsidRPr="0055149C">
        <w:rPr>
          <w:lang w:eastAsia="nb-NO"/>
        </w:rPr>
        <w:t xml:space="preserve"> b), der bruttodriftsutgiftene per innbygger tenderer til å være høyere i Nord-Norge enn Oslo og Viken.</w:t>
      </w:r>
    </w:p>
    <w:p w14:paraId="36695802" w14:textId="3671CD63" w:rsidR="00DA148C" w:rsidRPr="0055149C" w:rsidRDefault="00DA148C" w:rsidP="00DA148C">
      <w:pPr>
        <w:pStyle w:val="Bildetekst"/>
        <w:jc w:val="both"/>
      </w:pPr>
      <w:bookmarkStart w:id="123" w:name="_Ref168384142"/>
      <w:r w:rsidRPr="0055149C">
        <w:lastRenderedPageBreak/>
        <w:t xml:space="preserve">Figur </w:t>
      </w:r>
      <w:fldSimple w:instr=" STYLEREF 1 \s ">
        <w:r w:rsidR="009B1DA8">
          <w:rPr>
            <w:noProof/>
          </w:rPr>
          <w:t>4</w:t>
        </w:r>
      </w:fldSimple>
      <w:r w:rsidR="004B03E3">
        <w:t>.</w:t>
      </w:r>
      <w:fldSimple w:instr=" SEQ Figur \* ARABIC \s 1 ">
        <w:r w:rsidR="009B1DA8">
          <w:rPr>
            <w:noProof/>
          </w:rPr>
          <w:t>19</w:t>
        </w:r>
      </w:fldSimple>
      <w:bookmarkEnd w:id="123"/>
      <w:r w:rsidRPr="0055149C">
        <w:tab/>
        <w:t>Plott for sammenhengen mellom bruttodriftsutgifter per innbygger og befolkningsstørrelsen over primærkommunene målt ved logaritmisk skala over a)</w:t>
      </w:r>
      <w:r w:rsidR="008C4F3C">
        <w:t xml:space="preserve"> </w:t>
      </w:r>
      <w:r w:rsidRPr="0055149C">
        <w:t>sentralitetsnivåer (til venstre) og b) NUTS2-landsdeler (til høyre)</w:t>
      </w:r>
    </w:p>
    <w:p w14:paraId="0F5348C6" w14:textId="1427354B" w:rsidR="00C7480E" w:rsidRPr="0055149C" w:rsidRDefault="009466FE" w:rsidP="0092074C">
      <w:pPr>
        <w:jc w:val="center"/>
        <w:rPr>
          <w:lang w:eastAsia="nb-NO"/>
        </w:rPr>
      </w:pPr>
      <w:r>
        <w:rPr>
          <w:noProof/>
          <w:lang w:val="en-US" w:eastAsia="en-US"/>
        </w:rPr>
        <w:drawing>
          <wp:inline distT="0" distB="0" distL="0" distR="0" wp14:anchorId="3F34285B" wp14:editId="53F70871">
            <wp:extent cx="2664000" cy="2880000"/>
            <wp:effectExtent l="0" t="0" r="3175" b="0"/>
            <wp:docPr id="2084670804" name="Diagram 1">
              <a:extLst xmlns:a="http://schemas.openxmlformats.org/drawingml/2006/main">
                <a:ext uri="{FF2B5EF4-FFF2-40B4-BE49-F238E27FC236}">
                  <a16:creationId xmlns:a16="http://schemas.microsoft.com/office/drawing/2014/main" id="{1977B6DE-F5C8-4606-AB7A-17DCE03E9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lang w:val="en-US" w:eastAsia="en-US"/>
        </w:rPr>
        <w:drawing>
          <wp:inline distT="0" distB="0" distL="0" distR="0" wp14:anchorId="5C2A77CB" wp14:editId="12B5FEE8">
            <wp:extent cx="2664000" cy="2880000"/>
            <wp:effectExtent l="0" t="0" r="3175" b="0"/>
            <wp:docPr id="1759064578" name="Diagram 2">
              <a:extLst xmlns:a="http://schemas.openxmlformats.org/drawingml/2006/main">
                <a:ext uri="{FF2B5EF4-FFF2-40B4-BE49-F238E27FC236}">
                  <a16:creationId xmlns:a16="http://schemas.microsoft.com/office/drawing/2014/main" id="{A53CE84F-B905-4E27-973C-111A72B9F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FFDE586" w14:textId="77777777" w:rsidR="008D3D0A" w:rsidRPr="0055149C" w:rsidRDefault="008D3D0A" w:rsidP="008D3D0A">
      <w:pPr>
        <w:pStyle w:val="Source"/>
        <w:rPr>
          <w:lang w:eastAsia="nb-NO"/>
        </w:rPr>
      </w:pPr>
      <w:r w:rsidRPr="0055149C">
        <w:rPr>
          <w:lang w:eastAsia="nb-NO"/>
        </w:rPr>
        <w:t>Kilde: Vista Analyses bearbeidinger av data fra Statistisk sentralbyrå</w:t>
      </w:r>
    </w:p>
    <w:p w14:paraId="5C535B08" w14:textId="0C1D7330" w:rsidR="00B3144D" w:rsidRPr="0055149C" w:rsidRDefault="00B3144D" w:rsidP="00B3144D">
      <w:pPr>
        <w:rPr>
          <w:lang w:eastAsia="nb-NO"/>
        </w:rPr>
      </w:pPr>
      <w:r w:rsidRPr="0055149C">
        <w:rPr>
          <w:lang w:eastAsia="nb-NO"/>
        </w:rPr>
        <w:t xml:space="preserve">Våre mål for kapitalkostnader og kapitalutgifter </w:t>
      </w:r>
      <w:r>
        <w:rPr>
          <w:lang w:eastAsia="nb-NO"/>
        </w:rPr>
        <w:t xml:space="preserve">per innbygger </w:t>
      </w:r>
      <w:r w:rsidRPr="0055149C">
        <w:rPr>
          <w:lang w:eastAsia="nb-NO"/>
        </w:rPr>
        <w:t>er jevnt over høyt korrelerte med sentrale driftsregnskapsposter</w:t>
      </w:r>
      <w:r>
        <w:rPr>
          <w:lang w:eastAsia="nb-NO"/>
        </w:rPr>
        <w:t xml:space="preserve"> per innbygger</w:t>
      </w:r>
      <w:r w:rsidRPr="0055149C">
        <w:rPr>
          <w:lang w:eastAsia="nb-NO"/>
        </w:rPr>
        <w:t xml:space="preserve">, som vist i </w:t>
      </w:r>
      <w:r w:rsidRPr="0062538A">
        <w:rPr>
          <w:lang w:eastAsia="nb-NO"/>
        </w:rPr>
        <w:fldChar w:fldCharType="begin"/>
      </w:r>
      <w:r w:rsidRPr="0062538A">
        <w:rPr>
          <w:lang w:eastAsia="nb-NO"/>
        </w:rPr>
        <w:instrText xml:space="preserve"> REF _Ref168394663 </w:instrText>
      </w:r>
      <w:r>
        <w:rPr>
          <w:lang w:eastAsia="nb-NO"/>
        </w:rPr>
        <w:instrText xml:space="preserve"> \* MERGEFORMAT </w:instrText>
      </w:r>
      <w:r w:rsidRPr="0062538A">
        <w:rPr>
          <w:lang w:eastAsia="nb-NO"/>
        </w:rPr>
        <w:fldChar w:fldCharType="separate"/>
      </w:r>
      <w:r w:rsidR="009B1DA8" w:rsidRPr="0055149C">
        <w:t xml:space="preserve">Tabell </w:t>
      </w:r>
      <w:r w:rsidR="009B1DA8">
        <w:rPr>
          <w:noProof/>
        </w:rPr>
        <w:t>4</w:t>
      </w:r>
      <w:r w:rsidR="009B1DA8" w:rsidRPr="0055149C">
        <w:t>.</w:t>
      </w:r>
      <w:r w:rsidR="009B1DA8">
        <w:rPr>
          <w:noProof/>
        </w:rPr>
        <w:t>5</w:t>
      </w:r>
      <w:r w:rsidRPr="0062538A">
        <w:rPr>
          <w:lang w:eastAsia="nb-NO"/>
        </w:rPr>
        <w:fldChar w:fldCharType="end"/>
      </w:r>
      <w:r w:rsidRPr="0062538A">
        <w:rPr>
          <w:lang w:eastAsia="nb-NO"/>
        </w:rPr>
        <w:t>. Korrelasjonskoeffisientene mellom bruttodriftsutgifter per innbygger og bruttodriftsinvesteringer per innbygger ligger i overkant av 0,30. Ellers ligger korrelasjonskoeffisientene mellom bruttodriftsutgifter per innbygger og kapitalkostnadsmålene per innbygger høyt, mellom 0,76 og 0,83. S</w:t>
      </w:r>
      <w:r w:rsidRPr="0055149C">
        <w:rPr>
          <w:lang w:eastAsia="nb-NO"/>
        </w:rPr>
        <w:t>ett bort i fra bruttoinvesteringsvariablene er korrelasjonen svakest mellom bruttodrift</w:t>
      </w:r>
      <w:r>
        <w:rPr>
          <w:lang w:eastAsia="nb-NO"/>
        </w:rPr>
        <w:t>s</w:t>
      </w:r>
      <w:r w:rsidRPr="0055149C">
        <w:rPr>
          <w:lang w:eastAsia="nb-NO"/>
        </w:rPr>
        <w:t xml:space="preserve">utgifter per innbygger og kapitalslitet estimert ved PIM med disaggregerte kapitalparametere. </w:t>
      </w:r>
      <w:r w:rsidRPr="001879F5">
        <w:rPr>
          <w:lang w:eastAsia="nb-NO"/>
        </w:rPr>
        <w:t>Den er sterkest mellom</w:t>
      </w:r>
      <w:r w:rsidRPr="001879F5">
        <w:t xml:space="preserve"> </w:t>
      </w:r>
      <w:r w:rsidRPr="001879F5">
        <w:rPr>
          <w:lang w:eastAsia="nb-NO"/>
        </w:rPr>
        <w:t>bruttodri</w:t>
      </w:r>
      <w:r>
        <w:rPr>
          <w:lang w:eastAsia="nb-NO"/>
        </w:rPr>
        <w:t>fts</w:t>
      </w:r>
      <w:r w:rsidRPr="001879F5">
        <w:rPr>
          <w:lang w:eastAsia="nb-NO"/>
        </w:rPr>
        <w:t>utgifter per innbygger og kapitalslitet estimert ved PIM med aggregerte kapitalparametere. Kapitalkostnadsmålene er ellers sterkere korrelert med bruttodrift</w:t>
      </w:r>
      <w:r>
        <w:rPr>
          <w:lang w:eastAsia="nb-NO"/>
        </w:rPr>
        <w:t>s</w:t>
      </w:r>
      <w:r w:rsidRPr="001879F5">
        <w:rPr>
          <w:lang w:eastAsia="nb-NO"/>
        </w:rPr>
        <w:t>utgifter, korrigerte bruttodrift</w:t>
      </w:r>
      <w:r>
        <w:rPr>
          <w:lang w:eastAsia="nb-NO"/>
        </w:rPr>
        <w:t>s</w:t>
      </w:r>
      <w:r w:rsidRPr="001879F5">
        <w:rPr>
          <w:lang w:eastAsia="nb-NO"/>
        </w:rPr>
        <w:t>utgifter og produktinnsatsutgifter</w:t>
      </w:r>
      <w:r>
        <w:rPr>
          <w:lang w:eastAsia="nb-NO"/>
        </w:rPr>
        <w:t>,</w:t>
      </w:r>
      <w:r w:rsidRPr="001879F5">
        <w:rPr>
          <w:lang w:eastAsia="nb-NO"/>
        </w:rPr>
        <w:t xml:space="preserve"> og fordringstap enn med bruttodriftsinntekter, nettodrift</w:t>
      </w:r>
      <w:r>
        <w:rPr>
          <w:lang w:eastAsia="nb-NO"/>
        </w:rPr>
        <w:t>s</w:t>
      </w:r>
      <w:r w:rsidRPr="001879F5">
        <w:rPr>
          <w:lang w:eastAsia="nb-NO"/>
        </w:rPr>
        <w:t>utgifter og lønnsutgifter.</w:t>
      </w:r>
    </w:p>
    <w:p w14:paraId="5E72FFA3" w14:textId="485CF6BC" w:rsidR="00332FD2" w:rsidRPr="0055149C" w:rsidRDefault="00947B5A" w:rsidP="00357909">
      <w:pPr>
        <w:rPr>
          <w:lang w:eastAsia="nb-NO"/>
        </w:rPr>
        <w:sectPr w:rsidR="00332FD2" w:rsidRPr="0055149C" w:rsidSect="00357909">
          <w:pgSz w:w="11906" w:h="16838" w:code="9"/>
          <w:pgMar w:top="1418" w:right="1418" w:bottom="1418" w:left="1985" w:header="567" w:footer="284" w:gutter="0"/>
          <w:cols w:space="708"/>
          <w:docGrid w:linePitch="360"/>
        </w:sectPr>
      </w:pPr>
      <w:r w:rsidRPr="001879F5">
        <w:rPr>
          <w:lang w:eastAsia="nb-NO"/>
        </w:rPr>
        <w:t xml:space="preserve">I </w:t>
      </w:r>
      <w:r w:rsidRPr="001879F5">
        <w:rPr>
          <w:lang w:eastAsia="nb-NO"/>
        </w:rPr>
        <w:fldChar w:fldCharType="begin"/>
      </w:r>
      <w:r w:rsidRPr="001879F5">
        <w:rPr>
          <w:lang w:eastAsia="nb-NO"/>
        </w:rPr>
        <w:instrText xml:space="preserve"> REF _Ref168399761 </w:instrText>
      </w:r>
      <w:r w:rsidR="001879F5">
        <w:rPr>
          <w:lang w:eastAsia="nb-NO"/>
        </w:rPr>
        <w:instrText xml:space="preserve"> \* MERGEFORMAT </w:instrText>
      </w:r>
      <w:r w:rsidRPr="001879F5">
        <w:rPr>
          <w:lang w:eastAsia="nb-NO"/>
        </w:rPr>
        <w:fldChar w:fldCharType="separate"/>
      </w:r>
      <w:r w:rsidR="009B1DA8" w:rsidRPr="0055149C">
        <w:t xml:space="preserve">Figur </w:t>
      </w:r>
      <w:r w:rsidR="009B1DA8">
        <w:rPr>
          <w:noProof/>
        </w:rPr>
        <w:t>4</w:t>
      </w:r>
      <w:r w:rsidR="009B1DA8">
        <w:t>.</w:t>
      </w:r>
      <w:r w:rsidR="009B1DA8">
        <w:rPr>
          <w:noProof/>
        </w:rPr>
        <w:t>20</w:t>
      </w:r>
      <w:r w:rsidRPr="001879F5">
        <w:rPr>
          <w:lang w:eastAsia="nb-NO"/>
        </w:rPr>
        <w:fldChar w:fldCharType="end"/>
      </w:r>
      <w:r w:rsidRPr="001879F5">
        <w:rPr>
          <w:lang w:eastAsia="nb-NO"/>
        </w:rPr>
        <w:t xml:space="preserve"> og </w:t>
      </w:r>
      <w:r w:rsidRPr="001879F5">
        <w:rPr>
          <w:lang w:eastAsia="nb-NO"/>
        </w:rPr>
        <w:fldChar w:fldCharType="begin"/>
      </w:r>
      <w:r w:rsidRPr="001879F5">
        <w:rPr>
          <w:lang w:eastAsia="nb-NO"/>
        </w:rPr>
        <w:instrText xml:space="preserve"> REF _Ref168399764 </w:instrText>
      </w:r>
      <w:r w:rsidR="001879F5">
        <w:rPr>
          <w:lang w:eastAsia="nb-NO"/>
        </w:rPr>
        <w:instrText xml:space="preserve"> \* MERGEFORMAT </w:instrText>
      </w:r>
      <w:r w:rsidRPr="001879F5">
        <w:rPr>
          <w:lang w:eastAsia="nb-NO"/>
        </w:rPr>
        <w:fldChar w:fldCharType="separate"/>
      </w:r>
      <w:r w:rsidR="009B1DA8" w:rsidRPr="0055149C">
        <w:t xml:space="preserve">Figur </w:t>
      </w:r>
      <w:r w:rsidR="009B1DA8">
        <w:rPr>
          <w:noProof/>
        </w:rPr>
        <w:t>4</w:t>
      </w:r>
      <w:r w:rsidR="009B1DA8">
        <w:t>.</w:t>
      </w:r>
      <w:r w:rsidR="009B1DA8">
        <w:rPr>
          <w:noProof/>
        </w:rPr>
        <w:t>21</w:t>
      </w:r>
      <w:r w:rsidRPr="001879F5">
        <w:rPr>
          <w:lang w:eastAsia="nb-NO"/>
        </w:rPr>
        <w:fldChar w:fldCharType="end"/>
      </w:r>
      <w:r w:rsidRPr="001879F5">
        <w:rPr>
          <w:lang w:eastAsia="nb-NO"/>
        </w:rPr>
        <w:t xml:space="preserve"> viser vi gjennom plott sammenhengen mellom bruttodriftsutgifter</w:t>
      </w:r>
      <w:r w:rsidRPr="0055149C">
        <w:rPr>
          <w:lang w:eastAsia="nb-NO"/>
        </w:rPr>
        <w:t xml:space="preserve"> per innbygger og kapitalkostnadsmålene per innbygger</w:t>
      </w:r>
      <w:r w:rsidR="00332FD2" w:rsidRPr="0055149C">
        <w:rPr>
          <w:lang w:eastAsia="nb-NO"/>
        </w:rPr>
        <w:t xml:space="preserve"> med indikasjon av henholdsvis sentralitet og landsdeler. Til dels med unntak av </w:t>
      </w:r>
      <w:r w:rsidR="00915288" w:rsidRPr="0055149C">
        <w:rPr>
          <w:lang w:eastAsia="nb-NO"/>
        </w:rPr>
        <w:t>bruttodriftsinvesteringer per innbygger bekrefter figurene relativt sterke sammenhenger mellom variablene, skjønt det også er en del avvik. Begge målene øker med hvor rurale områder det er snakk om. Dette reflekteres også ved at kostnadene per innbygger er vesentlig høyere i Nord-Norge enn i Oslo og Viken.</w:t>
      </w:r>
    </w:p>
    <w:p w14:paraId="7CC603C0" w14:textId="5E8034D2" w:rsidR="00357909" w:rsidRDefault="00357909" w:rsidP="00357909">
      <w:pPr>
        <w:pStyle w:val="Bildetekst"/>
      </w:pPr>
      <w:bookmarkStart w:id="124" w:name="_Ref168394663"/>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5</w:t>
        </w:r>
      </w:fldSimple>
      <w:bookmarkEnd w:id="124"/>
      <w:r w:rsidRPr="0055149C">
        <w:tab/>
        <w:t>Korrelasjon mellom realkapitalkostnad</w:t>
      </w:r>
      <w:r w:rsidR="005566A3" w:rsidRPr="0055149C">
        <w:t>sestimater</w:t>
      </w:r>
      <w:r w:rsidRPr="0055149C">
        <w:t xml:space="preserve"> per innbygger </w:t>
      </w:r>
      <w:r w:rsidR="00D816A4" w:rsidRPr="0055149C">
        <w:t>og d</w:t>
      </w:r>
      <w:r w:rsidR="00C70037" w:rsidRPr="0055149C">
        <w:t>riftsregnskapsposter</w:t>
      </w:r>
      <w:r w:rsidR="005114D5" w:rsidRPr="0055149C">
        <w:t xml:space="preserve"> per innbygger </w:t>
      </w:r>
      <w:r w:rsidRPr="0055149C">
        <w:t>i primærkommune</w:t>
      </w:r>
      <w:r w:rsidR="001574EB" w:rsidRPr="0055149C">
        <w:t>ne</w:t>
      </w:r>
      <w:r w:rsidRPr="0055149C">
        <w:t xml:space="preserve"> i 2022</w:t>
      </w:r>
    </w:p>
    <w:tbl>
      <w:tblPr>
        <w:tblW w:w="13440" w:type="dxa"/>
        <w:tblCellMar>
          <w:left w:w="70" w:type="dxa"/>
          <w:right w:w="70" w:type="dxa"/>
        </w:tblCellMar>
        <w:tblLook w:val="04A0" w:firstRow="1" w:lastRow="0" w:firstColumn="1" w:lastColumn="0" w:noHBand="0" w:noVBand="1"/>
      </w:tblPr>
      <w:tblGrid>
        <w:gridCol w:w="3360"/>
        <w:gridCol w:w="1700"/>
        <w:gridCol w:w="1694"/>
        <w:gridCol w:w="1850"/>
        <w:gridCol w:w="1680"/>
        <w:gridCol w:w="1680"/>
        <w:gridCol w:w="1680"/>
      </w:tblGrid>
      <w:tr w:rsidR="00C25E2A" w:rsidRPr="00C25E2A" w14:paraId="59F51130" w14:textId="77777777" w:rsidTr="00C25E2A">
        <w:trPr>
          <w:trHeight w:val="552"/>
        </w:trPr>
        <w:tc>
          <w:tcPr>
            <w:tcW w:w="3360" w:type="dxa"/>
            <w:tcBorders>
              <w:top w:val="single" w:sz="4" w:space="0" w:color="auto"/>
              <w:left w:val="single" w:sz="4" w:space="0" w:color="auto"/>
              <w:bottom w:val="nil"/>
              <w:right w:val="nil"/>
            </w:tcBorders>
            <w:shd w:val="clear" w:color="000000" w:fill="3672B0"/>
            <w:noWrap/>
            <w:vAlign w:val="center"/>
            <w:hideMark/>
          </w:tcPr>
          <w:p w14:paraId="12C65740" w14:textId="77777777" w:rsidR="00C25E2A" w:rsidRPr="00C25E2A" w:rsidRDefault="00C25E2A" w:rsidP="00C25E2A">
            <w:pPr>
              <w:spacing w:before="0" w:line="240" w:lineRule="auto"/>
              <w:jc w:val="left"/>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Variabler</w:t>
            </w:r>
          </w:p>
        </w:tc>
        <w:tc>
          <w:tcPr>
            <w:tcW w:w="1680" w:type="dxa"/>
            <w:tcBorders>
              <w:top w:val="single" w:sz="4" w:space="0" w:color="auto"/>
              <w:left w:val="nil"/>
              <w:bottom w:val="nil"/>
              <w:right w:val="nil"/>
            </w:tcBorders>
            <w:shd w:val="clear" w:color="000000" w:fill="3672B0"/>
            <w:vAlign w:val="center"/>
            <w:hideMark/>
          </w:tcPr>
          <w:p w14:paraId="5E0DF828"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Bruttodriftsutgifter</w:t>
            </w:r>
          </w:p>
        </w:tc>
        <w:tc>
          <w:tcPr>
            <w:tcW w:w="1680" w:type="dxa"/>
            <w:tcBorders>
              <w:top w:val="single" w:sz="4" w:space="0" w:color="auto"/>
              <w:left w:val="nil"/>
              <w:bottom w:val="nil"/>
              <w:right w:val="nil"/>
            </w:tcBorders>
            <w:shd w:val="clear" w:color="000000" w:fill="3672B0"/>
            <w:vAlign w:val="center"/>
            <w:hideMark/>
          </w:tcPr>
          <w:p w14:paraId="58F6026D"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Korrigerte bruttodriftsutgifter</w:t>
            </w:r>
          </w:p>
        </w:tc>
        <w:tc>
          <w:tcPr>
            <w:tcW w:w="1680" w:type="dxa"/>
            <w:tcBorders>
              <w:top w:val="single" w:sz="4" w:space="0" w:color="auto"/>
              <w:left w:val="nil"/>
              <w:bottom w:val="nil"/>
              <w:right w:val="nil"/>
            </w:tcBorders>
            <w:shd w:val="clear" w:color="000000" w:fill="3672B0"/>
            <w:vAlign w:val="center"/>
            <w:hideMark/>
          </w:tcPr>
          <w:p w14:paraId="70C7FF03" w14:textId="464EB15C"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Brutto</w:t>
            </w:r>
            <w:r w:rsidR="003969CB">
              <w:rPr>
                <w:rFonts w:ascii="Aptos Narrow" w:eastAsia="Times New Roman" w:hAnsi="Aptos Narrow" w:cs="Times New Roman"/>
                <w:b/>
                <w:bCs/>
                <w:color w:val="FFFFFF"/>
                <w:sz w:val="20"/>
                <w:szCs w:val="20"/>
                <w:lang w:eastAsia="nb-NO"/>
              </w:rPr>
              <w:t>drifts</w:t>
            </w:r>
            <w:r w:rsidRPr="00C25E2A">
              <w:rPr>
                <w:rFonts w:ascii="Aptos Narrow" w:eastAsia="Times New Roman" w:hAnsi="Aptos Narrow" w:cs="Times New Roman"/>
                <w:b/>
                <w:bCs/>
                <w:color w:val="FFFFFF"/>
                <w:sz w:val="20"/>
                <w:szCs w:val="20"/>
                <w:lang w:eastAsia="nb-NO"/>
              </w:rPr>
              <w:t>inntekter</w:t>
            </w:r>
          </w:p>
        </w:tc>
        <w:tc>
          <w:tcPr>
            <w:tcW w:w="1680" w:type="dxa"/>
            <w:tcBorders>
              <w:top w:val="single" w:sz="4" w:space="0" w:color="auto"/>
              <w:left w:val="nil"/>
              <w:bottom w:val="nil"/>
              <w:right w:val="nil"/>
            </w:tcBorders>
            <w:shd w:val="clear" w:color="000000" w:fill="3672B0"/>
            <w:vAlign w:val="center"/>
            <w:hideMark/>
          </w:tcPr>
          <w:p w14:paraId="438F1A1D"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Nettodriftsutgifter</w:t>
            </w:r>
          </w:p>
        </w:tc>
        <w:tc>
          <w:tcPr>
            <w:tcW w:w="1680" w:type="dxa"/>
            <w:tcBorders>
              <w:top w:val="single" w:sz="4" w:space="0" w:color="auto"/>
              <w:left w:val="nil"/>
              <w:bottom w:val="nil"/>
              <w:right w:val="nil"/>
            </w:tcBorders>
            <w:shd w:val="clear" w:color="000000" w:fill="3672B0"/>
            <w:vAlign w:val="center"/>
            <w:hideMark/>
          </w:tcPr>
          <w:p w14:paraId="63E9A678"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Lønnsutgifter</w:t>
            </w:r>
          </w:p>
        </w:tc>
        <w:tc>
          <w:tcPr>
            <w:tcW w:w="1680" w:type="dxa"/>
            <w:tcBorders>
              <w:top w:val="single" w:sz="4" w:space="0" w:color="auto"/>
              <w:left w:val="nil"/>
              <w:bottom w:val="nil"/>
              <w:right w:val="nil"/>
            </w:tcBorders>
            <w:shd w:val="clear" w:color="000000" w:fill="3672B0"/>
            <w:vAlign w:val="center"/>
            <w:hideMark/>
          </w:tcPr>
          <w:p w14:paraId="15A444EE"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Produktinnsats og nettofordringstap</w:t>
            </w:r>
          </w:p>
        </w:tc>
      </w:tr>
      <w:tr w:rsidR="00C25E2A" w:rsidRPr="00C25E2A" w14:paraId="2468E297" w14:textId="77777777" w:rsidTr="00C25E2A">
        <w:trPr>
          <w:trHeight w:val="276"/>
        </w:trPr>
        <w:tc>
          <w:tcPr>
            <w:tcW w:w="3360" w:type="dxa"/>
            <w:tcBorders>
              <w:top w:val="single" w:sz="4" w:space="0" w:color="auto"/>
              <w:left w:val="single" w:sz="4" w:space="0" w:color="auto"/>
              <w:bottom w:val="nil"/>
              <w:right w:val="single" w:sz="4" w:space="0" w:color="auto"/>
            </w:tcBorders>
            <w:shd w:val="clear" w:color="000000" w:fill="A9C6E4"/>
            <w:vAlign w:val="center"/>
            <w:hideMark/>
          </w:tcPr>
          <w:p w14:paraId="29A13727"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 Bruttoinvesteringsutgifter</w:t>
            </w:r>
          </w:p>
        </w:tc>
        <w:tc>
          <w:tcPr>
            <w:tcW w:w="1680" w:type="dxa"/>
            <w:tcBorders>
              <w:top w:val="single" w:sz="4" w:space="0" w:color="auto"/>
              <w:left w:val="single" w:sz="4" w:space="0" w:color="auto"/>
              <w:bottom w:val="nil"/>
              <w:right w:val="nil"/>
            </w:tcBorders>
            <w:shd w:val="clear" w:color="000000" w:fill="D7EBDD"/>
            <w:noWrap/>
            <w:vAlign w:val="center"/>
            <w:hideMark/>
          </w:tcPr>
          <w:p w14:paraId="28CDAF6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0.305</w:t>
            </w:r>
          </w:p>
        </w:tc>
        <w:tc>
          <w:tcPr>
            <w:tcW w:w="1680" w:type="dxa"/>
            <w:tcBorders>
              <w:top w:val="single" w:sz="4" w:space="0" w:color="auto"/>
              <w:left w:val="nil"/>
              <w:bottom w:val="nil"/>
              <w:right w:val="nil"/>
            </w:tcBorders>
            <w:shd w:val="clear" w:color="000000" w:fill="D7EBDD"/>
            <w:noWrap/>
            <w:vAlign w:val="center"/>
            <w:hideMark/>
          </w:tcPr>
          <w:p w14:paraId="75CEF34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0.318</w:t>
            </w:r>
          </w:p>
        </w:tc>
        <w:tc>
          <w:tcPr>
            <w:tcW w:w="1680" w:type="dxa"/>
            <w:tcBorders>
              <w:top w:val="single" w:sz="4" w:space="0" w:color="auto"/>
              <w:left w:val="nil"/>
              <w:bottom w:val="nil"/>
              <w:right w:val="nil"/>
            </w:tcBorders>
            <w:shd w:val="clear" w:color="000000" w:fill="D7EBDD"/>
            <w:noWrap/>
            <w:vAlign w:val="center"/>
            <w:hideMark/>
          </w:tcPr>
          <w:p w14:paraId="1F5719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0.263</w:t>
            </w:r>
          </w:p>
        </w:tc>
        <w:tc>
          <w:tcPr>
            <w:tcW w:w="1680" w:type="dxa"/>
            <w:tcBorders>
              <w:top w:val="single" w:sz="4" w:space="0" w:color="auto"/>
              <w:left w:val="nil"/>
              <w:bottom w:val="nil"/>
              <w:right w:val="nil"/>
            </w:tcBorders>
            <w:shd w:val="clear" w:color="000000" w:fill="D7EBDD"/>
            <w:noWrap/>
            <w:vAlign w:val="center"/>
            <w:hideMark/>
          </w:tcPr>
          <w:p w14:paraId="6B8B333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0.270</w:t>
            </w:r>
          </w:p>
        </w:tc>
        <w:tc>
          <w:tcPr>
            <w:tcW w:w="1680" w:type="dxa"/>
            <w:tcBorders>
              <w:top w:val="single" w:sz="4" w:space="0" w:color="auto"/>
              <w:left w:val="nil"/>
              <w:bottom w:val="nil"/>
              <w:right w:val="nil"/>
            </w:tcBorders>
            <w:shd w:val="clear" w:color="000000" w:fill="D7EBDD"/>
            <w:noWrap/>
            <w:vAlign w:val="center"/>
            <w:hideMark/>
          </w:tcPr>
          <w:p w14:paraId="5638270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0.288</w:t>
            </w:r>
          </w:p>
        </w:tc>
        <w:tc>
          <w:tcPr>
            <w:tcW w:w="1680" w:type="dxa"/>
            <w:tcBorders>
              <w:top w:val="single" w:sz="4" w:space="0" w:color="auto"/>
              <w:left w:val="nil"/>
              <w:bottom w:val="nil"/>
              <w:right w:val="single" w:sz="4" w:space="0" w:color="auto"/>
            </w:tcBorders>
            <w:shd w:val="clear" w:color="000000" w:fill="D7EBDD"/>
            <w:noWrap/>
            <w:vAlign w:val="center"/>
            <w:hideMark/>
          </w:tcPr>
          <w:p w14:paraId="433D5EC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0.302</w:t>
            </w:r>
          </w:p>
        </w:tc>
      </w:tr>
      <w:tr w:rsidR="00C25E2A" w:rsidRPr="00C25E2A" w14:paraId="0994D427" w14:textId="77777777" w:rsidTr="00C25E2A">
        <w:trPr>
          <w:trHeight w:val="270"/>
        </w:trPr>
        <w:tc>
          <w:tcPr>
            <w:tcW w:w="3360" w:type="dxa"/>
            <w:tcBorders>
              <w:top w:val="nil"/>
              <w:left w:val="single" w:sz="4" w:space="0" w:color="auto"/>
              <w:bottom w:val="nil"/>
              <w:right w:val="single" w:sz="4" w:space="0" w:color="auto"/>
            </w:tcBorders>
            <w:shd w:val="clear" w:color="000000" w:fill="A9C6E4"/>
            <w:vAlign w:val="center"/>
            <w:hideMark/>
          </w:tcPr>
          <w:p w14:paraId="66C9717A"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(2) Bruttoinvesteringsstrøm</w:t>
            </w:r>
          </w:p>
        </w:tc>
        <w:tc>
          <w:tcPr>
            <w:tcW w:w="1680" w:type="dxa"/>
            <w:tcBorders>
              <w:top w:val="nil"/>
              <w:left w:val="single" w:sz="4" w:space="0" w:color="auto"/>
              <w:bottom w:val="nil"/>
              <w:right w:val="nil"/>
            </w:tcBorders>
            <w:shd w:val="clear" w:color="000000" w:fill="D7EBDD"/>
            <w:noWrap/>
            <w:vAlign w:val="center"/>
            <w:hideMark/>
          </w:tcPr>
          <w:p w14:paraId="59133F1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0.301</w:t>
            </w:r>
          </w:p>
        </w:tc>
        <w:tc>
          <w:tcPr>
            <w:tcW w:w="1680" w:type="dxa"/>
            <w:tcBorders>
              <w:top w:val="nil"/>
              <w:left w:val="nil"/>
              <w:bottom w:val="nil"/>
              <w:right w:val="nil"/>
            </w:tcBorders>
            <w:shd w:val="clear" w:color="000000" w:fill="D7EBDD"/>
            <w:noWrap/>
            <w:vAlign w:val="center"/>
            <w:hideMark/>
          </w:tcPr>
          <w:p w14:paraId="52694E0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0.313</w:t>
            </w:r>
          </w:p>
        </w:tc>
        <w:tc>
          <w:tcPr>
            <w:tcW w:w="1680" w:type="dxa"/>
            <w:tcBorders>
              <w:top w:val="nil"/>
              <w:left w:val="nil"/>
              <w:bottom w:val="nil"/>
              <w:right w:val="nil"/>
            </w:tcBorders>
            <w:shd w:val="clear" w:color="000000" w:fill="D7EBDD"/>
            <w:noWrap/>
            <w:vAlign w:val="center"/>
            <w:hideMark/>
          </w:tcPr>
          <w:p w14:paraId="2CE2F3C7"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0.257</w:t>
            </w:r>
          </w:p>
        </w:tc>
        <w:tc>
          <w:tcPr>
            <w:tcW w:w="1680" w:type="dxa"/>
            <w:tcBorders>
              <w:top w:val="nil"/>
              <w:left w:val="nil"/>
              <w:bottom w:val="nil"/>
              <w:right w:val="nil"/>
            </w:tcBorders>
            <w:shd w:val="clear" w:color="000000" w:fill="D7EBDD"/>
            <w:noWrap/>
            <w:vAlign w:val="center"/>
            <w:hideMark/>
          </w:tcPr>
          <w:p w14:paraId="19AEEA9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0.270</w:t>
            </w:r>
          </w:p>
        </w:tc>
        <w:tc>
          <w:tcPr>
            <w:tcW w:w="1680" w:type="dxa"/>
            <w:tcBorders>
              <w:top w:val="nil"/>
              <w:left w:val="nil"/>
              <w:bottom w:val="nil"/>
              <w:right w:val="nil"/>
            </w:tcBorders>
            <w:shd w:val="clear" w:color="000000" w:fill="D7EBDD"/>
            <w:noWrap/>
            <w:vAlign w:val="center"/>
            <w:hideMark/>
          </w:tcPr>
          <w:p w14:paraId="666A7FC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0.283</w:t>
            </w:r>
          </w:p>
        </w:tc>
        <w:tc>
          <w:tcPr>
            <w:tcW w:w="1680" w:type="dxa"/>
            <w:tcBorders>
              <w:top w:val="nil"/>
              <w:left w:val="nil"/>
              <w:bottom w:val="nil"/>
              <w:right w:val="single" w:sz="4" w:space="0" w:color="auto"/>
            </w:tcBorders>
            <w:shd w:val="clear" w:color="000000" w:fill="D7EBDD"/>
            <w:noWrap/>
            <w:vAlign w:val="center"/>
            <w:hideMark/>
          </w:tcPr>
          <w:p w14:paraId="1EB4650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0.299</w:t>
            </w:r>
          </w:p>
        </w:tc>
      </w:tr>
      <w:tr w:rsidR="00C25E2A" w:rsidRPr="00C25E2A" w14:paraId="08350752"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2D9B9364"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(3) Kapitalslit, DM</w:t>
            </w:r>
          </w:p>
        </w:tc>
        <w:tc>
          <w:tcPr>
            <w:tcW w:w="1680" w:type="dxa"/>
            <w:tcBorders>
              <w:top w:val="nil"/>
              <w:left w:val="single" w:sz="4" w:space="0" w:color="auto"/>
              <w:bottom w:val="nil"/>
              <w:right w:val="nil"/>
            </w:tcBorders>
            <w:shd w:val="clear" w:color="000000" w:fill="87C399"/>
            <w:noWrap/>
            <w:vAlign w:val="center"/>
            <w:hideMark/>
          </w:tcPr>
          <w:p w14:paraId="4472382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0.806</w:t>
            </w:r>
          </w:p>
        </w:tc>
        <w:tc>
          <w:tcPr>
            <w:tcW w:w="1680" w:type="dxa"/>
            <w:tcBorders>
              <w:top w:val="nil"/>
              <w:left w:val="nil"/>
              <w:bottom w:val="nil"/>
              <w:right w:val="nil"/>
            </w:tcBorders>
            <w:shd w:val="clear" w:color="000000" w:fill="87C399"/>
            <w:noWrap/>
            <w:vAlign w:val="center"/>
            <w:hideMark/>
          </w:tcPr>
          <w:p w14:paraId="6CE0D4F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0.818</w:t>
            </w:r>
          </w:p>
        </w:tc>
        <w:tc>
          <w:tcPr>
            <w:tcW w:w="1680" w:type="dxa"/>
            <w:tcBorders>
              <w:top w:val="nil"/>
              <w:left w:val="nil"/>
              <w:bottom w:val="nil"/>
              <w:right w:val="nil"/>
            </w:tcBorders>
            <w:shd w:val="clear" w:color="000000" w:fill="87C399"/>
            <w:noWrap/>
            <w:vAlign w:val="center"/>
            <w:hideMark/>
          </w:tcPr>
          <w:p w14:paraId="08569BF7"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0.772</w:t>
            </w:r>
          </w:p>
        </w:tc>
        <w:tc>
          <w:tcPr>
            <w:tcW w:w="1680" w:type="dxa"/>
            <w:tcBorders>
              <w:top w:val="nil"/>
              <w:left w:val="nil"/>
              <w:bottom w:val="nil"/>
              <w:right w:val="nil"/>
            </w:tcBorders>
            <w:shd w:val="clear" w:color="000000" w:fill="AFD7BB"/>
            <w:noWrap/>
            <w:vAlign w:val="center"/>
            <w:hideMark/>
          </w:tcPr>
          <w:p w14:paraId="7DAA080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0.632</w:t>
            </w:r>
          </w:p>
        </w:tc>
        <w:tc>
          <w:tcPr>
            <w:tcW w:w="1680" w:type="dxa"/>
            <w:tcBorders>
              <w:top w:val="nil"/>
              <w:left w:val="nil"/>
              <w:bottom w:val="nil"/>
              <w:right w:val="nil"/>
            </w:tcBorders>
            <w:shd w:val="clear" w:color="000000" w:fill="AFD7BB"/>
            <w:noWrap/>
            <w:vAlign w:val="center"/>
            <w:hideMark/>
          </w:tcPr>
          <w:p w14:paraId="7F01EDD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0.750</w:t>
            </w:r>
          </w:p>
        </w:tc>
        <w:tc>
          <w:tcPr>
            <w:tcW w:w="1680" w:type="dxa"/>
            <w:tcBorders>
              <w:top w:val="nil"/>
              <w:left w:val="nil"/>
              <w:bottom w:val="nil"/>
              <w:right w:val="single" w:sz="4" w:space="0" w:color="auto"/>
            </w:tcBorders>
            <w:shd w:val="clear" w:color="000000" w:fill="87C399"/>
            <w:noWrap/>
            <w:vAlign w:val="center"/>
            <w:hideMark/>
          </w:tcPr>
          <w:p w14:paraId="080D7B0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0.809</w:t>
            </w:r>
          </w:p>
        </w:tc>
      </w:tr>
      <w:tr w:rsidR="00C25E2A" w:rsidRPr="00C25E2A" w14:paraId="79DE7084"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75669779"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(4) Kapitalslit, PIM-dd art</w:t>
            </w:r>
          </w:p>
        </w:tc>
        <w:tc>
          <w:tcPr>
            <w:tcW w:w="1680" w:type="dxa"/>
            <w:tcBorders>
              <w:top w:val="nil"/>
              <w:left w:val="single" w:sz="4" w:space="0" w:color="auto"/>
              <w:bottom w:val="nil"/>
              <w:right w:val="nil"/>
            </w:tcBorders>
            <w:shd w:val="clear" w:color="000000" w:fill="87C399"/>
            <w:noWrap/>
            <w:vAlign w:val="center"/>
            <w:hideMark/>
          </w:tcPr>
          <w:p w14:paraId="7BCDF01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0.767</w:t>
            </w:r>
          </w:p>
        </w:tc>
        <w:tc>
          <w:tcPr>
            <w:tcW w:w="1680" w:type="dxa"/>
            <w:tcBorders>
              <w:top w:val="nil"/>
              <w:left w:val="nil"/>
              <w:bottom w:val="nil"/>
              <w:right w:val="nil"/>
            </w:tcBorders>
            <w:shd w:val="clear" w:color="000000" w:fill="87C399"/>
            <w:noWrap/>
            <w:vAlign w:val="center"/>
            <w:hideMark/>
          </w:tcPr>
          <w:p w14:paraId="2681B62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0.768</w:t>
            </w:r>
          </w:p>
        </w:tc>
        <w:tc>
          <w:tcPr>
            <w:tcW w:w="1680" w:type="dxa"/>
            <w:tcBorders>
              <w:top w:val="nil"/>
              <w:left w:val="nil"/>
              <w:bottom w:val="nil"/>
              <w:right w:val="nil"/>
            </w:tcBorders>
            <w:shd w:val="clear" w:color="000000" w:fill="AFD7BB"/>
            <w:noWrap/>
            <w:vAlign w:val="center"/>
            <w:hideMark/>
          </w:tcPr>
          <w:p w14:paraId="59357E0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0.709</w:t>
            </w:r>
          </w:p>
        </w:tc>
        <w:tc>
          <w:tcPr>
            <w:tcW w:w="1680" w:type="dxa"/>
            <w:tcBorders>
              <w:top w:val="nil"/>
              <w:left w:val="nil"/>
              <w:bottom w:val="nil"/>
              <w:right w:val="nil"/>
            </w:tcBorders>
            <w:shd w:val="clear" w:color="000000" w:fill="AFD7BB"/>
            <w:noWrap/>
            <w:vAlign w:val="center"/>
            <w:hideMark/>
          </w:tcPr>
          <w:p w14:paraId="7430FBE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0.629</w:t>
            </w:r>
          </w:p>
        </w:tc>
        <w:tc>
          <w:tcPr>
            <w:tcW w:w="1680" w:type="dxa"/>
            <w:tcBorders>
              <w:top w:val="nil"/>
              <w:left w:val="nil"/>
              <w:bottom w:val="nil"/>
              <w:right w:val="nil"/>
            </w:tcBorders>
            <w:shd w:val="clear" w:color="000000" w:fill="AFD7BB"/>
            <w:noWrap/>
            <w:vAlign w:val="center"/>
            <w:hideMark/>
          </w:tcPr>
          <w:p w14:paraId="163BD41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0.717</w:t>
            </w:r>
          </w:p>
        </w:tc>
        <w:tc>
          <w:tcPr>
            <w:tcW w:w="1680" w:type="dxa"/>
            <w:tcBorders>
              <w:top w:val="nil"/>
              <w:left w:val="nil"/>
              <w:bottom w:val="nil"/>
              <w:right w:val="single" w:sz="4" w:space="0" w:color="auto"/>
            </w:tcBorders>
            <w:shd w:val="clear" w:color="000000" w:fill="87C399"/>
            <w:noWrap/>
            <w:vAlign w:val="center"/>
            <w:hideMark/>
          </w:tcPr>
          <w:p w14:paraId="10431DE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0.767</w:t>
            </w:r>
          </w:p>
        </w:tc>
      </w:tr>
      <w:tr w:rsidR="00C25E2A" w:rsidRPr="00C25E2A" w14:paraId="45E8B5C4"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58F7D19"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(5) Kapitalslit, PIM-dd funk.</w:t>
            </w:r>
          </w:p>
        </w:tc>
        <w:tc>
          <w:tcPr>
            <w:tcW w:w="1680" w:type="dxa"/>
            <w:tcBorders>
              <w:top w:val="nil"/>
              <w:left w:val="single" w:sz="4" w:space="0" w:color="auto"/>
              <w:bottom w:val="nil"/>
              <w:right w:val="nil"/>
            </w:tcBorders>
            <w:shd w:val="clear" w:color="000000" w:fill="87C399"/>
            <w:noWrap/>
            <w:vAlign w:val="center"/>
            <w:hideMark/>
          </w:tcPr>
          <w:p w14:paraId="4CBF1FB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0.791</w:t>
            </w:r>
          </w:p>
        </w:tc>
        <w:tc>
          <w:tcPr>
            <w:tcW w:w="1680" w:type="dxa"/>
            <w:tcBorders>
              <w:top w:val="nil"/>
              <w:left w:val="nil"/>
              <w:bottom w:val="nil"/>
              <w:right w:val="nil"/>
            </w:tcBorders>
            <w:shd w:val="clear" w:color="000000" w:fill="87C399"/>
            <w:noWrap/>
            <w:vAlign w:val="center"/>
            <w:hideMark/>
          </w:tcPr>
          <w:p w14:paraId="5B3198EF"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0.799</w:t>
            </w:r>
          </w:p>
        </w:tc>
        <w:tc>
          <w:tcPr>
            <w:tcW w:w="1680" w:type="dxa"/>
            <w:tcBorders>
              <w:top w:val="nil"/>
              <w:left w:val="nil"/>
              <w:bottom w:val="nil"/>
              <w:right w:val="nil"/>
            </w:tcBorders>
            <w:shd w:val="clear" w:color="000000" w:fill="AFD7BB"/>
            <w:noWrap/>
            <w:vAlign w:val="center"/>
            <w:hideMark/>
          </w:tcPr>
          <w:p w14:paraId="18C4EBA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0.729</w:t>
            </w:r>
          </w:p>
        </w:tc>
        <w:tc>
          <w:tcPr>
            <w:tcW w:w="1680" w:type="dxa"/>
            <w:tcBorders>
              <w:top w:val="nil"/>
              <w:left w:val="nil"/>
              <w:bottom w:val="nil"/>
              <w:right w:val="nil"/>
            </w:tcBorders>
            <w:shd w:val="clear" w:color="000000" w:fill="AFD7BB"/>
            <w:noWrap/>
            <w:vAlign w:val="center"/>
            <w:hideMark/>
          </w:tcPr>
          <w:p w14:paraId="559155E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0.651</w:t>
            </w:r>
          </w:p>
        </w:tc>
        <w:tc>
          <w:tcPr>
            <w:tcW w:w="1680" w:type="dxa"/>
            <w:tcBorders>
              <w:top w:val="nil"/>
              <w:left w:val="nil"/>
              <w:bottom w:val="nil"/>
              <w:right w:val="nil"/>
            </w:tcBorders>
            <w:shd w:val="clear" w:color="000000" w:fill="AFD7BB"/>
            <w:noWrap/>
            <w:vAlign w:val="center"/>
            <w:hideMark/>
          </w:tcPr>
          <w:p w14:paraId="4399A93B"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0.744</w:t>
            </w:r>
          </w:p>
        </w:tc>
        <w:tc>
          <w:tcPr>
            <w:tcW w:w="1680" w:type="dxa"/>
            <w:tcBorders>
              <w:top w:val="nil"/>
              <w:left w:val="nil"/>
              <w:bottom w:val="nil"/>
              <w:right w:val="single" w:sz="4" w:space="0" w:color="auto"/>
            </w:tcBorders>
            <w:shd w:val="clear" w:color="000000" w:fill="87C399"/>
            <w:noWrap/>
            <w:vAlign w:val="center"/>
            <w:hideMark/>
          </w:tcPr>
          <w:p w14:paraId="78FE114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0.787</w:t>
            </w:r>
          </w:p>
        </w:tc>
      </w:tr>
      <w:tr w:rsidR="00C25E2A" w:rsidRPr="00C25E2A" w14:paraId="4E14C54B"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B92013D"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(6) Kapitalslit, PIM-ad funk.</w:t>
            </w:r>
          </w:p>
        </w:tc>
        <w:tc>
          <w:tcPr>
            <w:tcW w:w="1680" w:type="dxa"/>
            <w:tcBorders>
              <w:top w:val="nil"/>
              <w:left w:val="single" w:sz="4" w:space="0" w:color="auto"/>
              <w:bottom w:val="nil"/>
              <w:right w:val="nil"/>
            </w:tcBorders>
            <w:shd w:val="clear" w:color="000000" w:fill="87C399"/>
            <w:noWrap/>
            <w:vAlign w:val="center"/>
            <w:hideMark/>
          </w:tcPr>
          <w:p w14:paraId="7B463D4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0.805</w:t>
            </w:r>
          </w:p>
        </w:tc>
        <w:tc>
          <w:tcPr>
            <w:tcW w:w="1680" w:type="dxa"/>
            <w:tcBorders>
              <w:top w:val="nil"/>
              <w:left w:val="nil"/>
              <w:bottom w:val="nil"/>
              <w:right w:val="nil"/>
            </w:tcBorders>
            <w:shd w:val="clear" w:color="000000" w:fill="87C399"/>
            <w:noWrap/>
            <w:vAlign w:val="center"/>
            <w:hideMark/>
          </w:tcPr>
          <w:p w14:paraId="50A8B40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0.814</w:t>
            </w:r>
          </w:p>
        </w:tc>
        <w:tc>
          <w:tcPr>
            <w:tcW w:w="1680" w:type="dxa"/>
            <w:tcBorders>
              <w:top w:val="nil"/>
              <w:left w:val="nil"/>
              <w:bottom w:val="nil"/>
              <w:right w:val="nil"/>
            </w:tcBorders>
            <w:shd w:val="clear" w:color="000000" w:fill="AFD7BB"/>
            <w:noWrap/>
            <w:vAlign w:val="center"/>
            <w:hideMark/>
          </w:tcPr>
          <w:p w14:paraId="730EC95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0.744</w:t>
            </w:r>
          </w:p>
        </w:tc>
        <w:tc>
          <w:tcPr>
            <w:tcW w:w="1680" w:type="dxa"/>
            <w:tcBorders>
              <w:top w:val="nil"/>
              <w:left w:val="nil"/>
              <w:bottom w:val="nil"/>
              <w:right w:val="nil"/>
            </w:tcBorders>
            <w:shd w:val="clear" w:color="000000" w:fill="AFD7BB"/>
            <w:noWrap/>
            <w:vAlign w:val="center"/>
            <w:hideMark/>
          </w:tcPr>
          <w:p w14:paraId="194F81F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0.660</w:t>
            </w:r>
          </w:p>
        </w:tc>
        <w:tc>
          <w:tcPr>
            <w:tcW w:w="1680" w:type="dxa"/>
            <w:tcBorders>
              <w:top w:val="nil"/>
              <w:left w:val="nil"/>
              <w:bottom w:val="nil"/>
              <w:right w:val="nil"/>
            </w:tcBorders>
            <w:shd w:val="clear" w:color="000000" w:fill="87C399"/>
            <w:noWrap/>
            <w:vAlign w:val="center"/>
            <w:hideMark/>
          </w:tcPr>
          <w:p w14:paraId="1A3A061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0.763</w:t>
            </w:r>
          </w:p>
        </w:tc>
        <w:tc>
          <w:tcPr>
            <w:tcW w:w="1680" w:type="dxa"/>
            <w:tcBorders>
              <w:top w:val="nil"/>
              <w:left w:val="nil"/>
              <w:bottom w:val="nil"/>
              <w:right w:val="single" w:sz="4" w:space="0" w:color="auto"/>
            </w:tcBorders>
            <w:shd w:val="clear" w:color="000000" w:fill="87C399"/>
            <w:noWrap/>
            <w:vAlign w:val="center"/>
            <w:hideMark/>
          </w:tcPr>
          <w:p w14:paraId="3F08C25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0.794</w:t>
            </w:r>
          </w:p>
        </w:tc>
      </w:tr>
      <w:tr w:rsidR="00C25E2A" w:rsidRPr="00C25E2A" w14:paraId="6C942D1C"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DE1BCD8"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(7) Kapitalslit, PIM-da funk.</w:t>
            </w:r>
          </w:p>
        </w:tc>
        <w:tc>
          <w:tcPr>
            <w:tcW w:w="1680" w:type="dxa"/>
            <w:tcBorders>
              <w:top w:val="nil"/>
              <w:left w:val="single" w:sz="4" w:space="0" w:color="auto"/>
              <w:bottom w:val="nil"/>
              <w:right w:val="nil"/>
            </w:tcBorders>
            <w:shd w:val="clear" w:color="000000" w:fill="87C399"/>
            <w:noWrap/>
            <w:vAlign w:val="center"/>
            <w:hideMark/>
          </w:tcPr>
          <w:p w14:paraId="281661D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0.815</w:t>
            </w:r>
          </w:p>
        </w:tc>
        <w:tc>
          <w:tcPr>
            <w:tcW w:w="1680" w:type="dxa"/>
            <w:tcBorders>
              <w:top w:val="nil"/>
              <w:left w:val="nil"/>
              <w:bottom w:val="nil"/>
              <w:right w:val="nil"/>
            </w:tcBorders>
            <w:shd w:val="clear" w:color="000000" w:fill="87C399"/>
            <w:noWrap/>
            <w:vAlign w:val="center"/>
            <w:hideMark/>
          </w:tcPr>
          <w:p w14:paraId="7DB457DC"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0.822</w:t>
            </w:r>
          </w:p>
        </w:tc>
        <w:tc>
          <w:tcPr>
            <w:tcW w:w="1680" w:type="dxa"/>
            <w:tcBorders>
              <w:top w:val="nil"/>
              <w:left w:val="nil"/>
              <w:bottom w:val="nil"/>
              <w:right w:val="nil"/>
            </w:tcBorders>
            <w:shd w:val="clear" w:color="000000" w:fill="AFD7BB"/>
            <w:noWrap/>
            <w:vAlign w:val="center"/>
            <w:hideMark/>
          </w:tcPr>
          <w:p w14:paraId="0A9B7C3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nil"/>
              <w:right w:val="nil"/>
            </w:tcBorders>
            <w:shd w:val="clear" w:color="000000" w:fill="AFD7BB"/>
            <w:noWrap/>
            <w:vAlign w:val="center"/>
            <w:hideMark/>
          </w:tcPr>
          <w:p w14:paraId="09F86B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0.680</w:t>
            </w:r>
          </w:p>
        </w:tc>
        <w:tc>
          <w:tcPr>
            <w:tcW w:w="1680" w:type="dxa"/>
            <w:tcBorders>
              <w:top w:val="nil"/>
              <w:left w:val="nil"/>
              <w:bottom w:val="nil"/>
              <w:right w:val="nil"/>
            </w:tcBorders>
            <w:shd w:val="clear" w:color="000000" w:fill="87C399"/>
            <w:noWrap/>
            <w:vAlign w:val="center"/>
            <w:hideMark/>
          </w:tcPr>
          <w:p w14:paraId="1A51FE5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0.769</w:t>
            </w:r>
          </w:p>
        </w:tc>
        <w:tc>
          <w:tcPr>
            <w:tcW w:w="1680" w:type="dxa"/>
            <w:tcBorders>
              <w:top w:val="nil"/>
              <w:left w:val="nil"/>
              <w:bottom w:val="nil"/>
              <w:right w:val="single" w:sz="4" w:space="0" w:color="auto"/>
            </w:tcBorders>
            <w:shd w:val="clear" w:color="000000" w:fill="87C399"/>
            <w:noWrap/>
            <w:vAlign w:val="center"/>
            <w:hideMark/>
          </w:tcPr>
          <w:p w14:paraId="5696A71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0.808</w:t>
            </w:r>
          </w:p>
        </w:tc>
      </w:tr>
      <w:tr w:rsidR="00C25E2A" w:rsidRPr="00C25E2A" w14:paraId="139F0A37"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B9387A2"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(8) Kapitalslit, PIM-aa funk.</w:t>
            </w:r>
          </w:p>
        </w:tc>
        <w:tc>
          <w:tcPr>
            <w:tcW w:w="1680" w:type="dxa"/>
            <w:tcBorders>
              <w:top w:val="nil"/>
              <w:left w:val="single" w:sz="4" w:space="0" w:color="auto"/>
              <w:bottom w:val="nil"/>
              <w:right w:val="nil"/>
            </w:tcBorders>
            <w:shd w:val="clear" w:color="000000" w:fill="87C399"/>
            <w:noWrap/>
            <w:vAlign w:val="center"/>
            <w:hideMark/>
          </w:tcPr>
          <w:p w14:paraId="35C6FA17"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0.828</w:t>
            </w:r>
          </w:p>
        </w:tc>
        <w:tc>
          <w:tcPr>
            <w:tcW w:w="1680" w:type="dxa"/>
            <w:tcBorders>
              <w:top w:val="nil"/>
              <w:left w:val="nil"/>
              <w:bottom w:val="nil"/>
              <w:right w:val="nil"/>
            </w:tcBorders>
            <w:shd w:val="clear" w:color="000000" w:fill="87C399"/>
            <w:noWrap/>
            <w:vAlign w:val="center"/>
            <w:hideMark/>
          </w:tcPr>
          <w:p w14:paraId="2D750C9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0.835</w:t>
            </w:r>
          </w:p>
        </w:tc>
        <w:tc>
          <w:tcPr>
            <w:tcW w:w="1680" w:type="dxa"/>
            <w:tcBorders>
              <w:top w:val="nil"/>
              <w:left w:val="nil"/>
              <w:bottom w:val="nil"/>
              <w:right w:val="nil"/>
            </w:tcBorders>
            <w:shd w:val="clear" w:color="000000" w:fill="87C399"/>
            <w:noWrap/>
            <w:vAlign w:val="center"/>
            <w:hideMark/>
          </w:tcPr>
          <w:p w14:paraId="7E70B43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0.755</w:t>
            </w:r>
          </w:p>
        </w:tc>
        <w:tc>
          <w:tcPr>
            <w:tcW w:w="1680" w:type="dxa"/>
            <w:tcBorders>
              <w:top w:val="nil"/>
              <w:left w:val="nil"/>
              <w:bottom w:val="nil"/>
              <w:right w:val="nil"/>
            </w:tcBorders>
            <w:shd w:val="clear" w:color="000000" w:fill="AFD7BB"/>
            <w:noWrap/>
            <w:vAlign w:val="center"/>
            <w:hideMark/>
          </w:tcPr>
          <w:p w14:paraId="44BEF7D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0.689</w:t>
            </w:r>
          </w:p>
        </w:tc>
        <w:tc>
          <w:tcPr>
            <w:tcW w:w="1680" w:type="dxa"/>
            <w:tcBorders>
              <w:top w:val="nil"/>
              <w:left w:val="nil"/>
              <w:bottom w:val="nil"/>
              <w:right w:val="nil"/>
            </w:tcBorders>
            <w:shd w:val="clear" w:color="000000" w:fill="87C399"/>
            <w:noWrap/>
            <w:vAlign w:val="center"/>
            <w:hideMark/>
          </w:tcPr>
          <w:p w14:paraId="6D36431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0.788</w:t>
            </w:r>
          </w:p>
        </w:tc>
        <w:tc>
          <w:tcPr>
            <w:tcW w:w="1680" w:type="dxa"/>
            <w:tcBorders>
              <w:top w:val="nil"/>
              <w:left w:val="nil"/>
              <w:bottom w:val="nil"/>
              <w:right w:val="single" w:sz="4" w:space="0" w:color="auto"/>
            </w:tcBorders>
            <w:shd w:val="clear" w:color="000000" w:fill="87C399"/>
            <w:noWrap/>
            <w:vAlign w:val="center"/>
            <w:hideMark/>
          </w:tcPr>
          <w:p w14:paraId="55B81F8B"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0.813</w:t>
            </w:r>
          </w:p>
        </w:tc>
      </w:tr>
      <w:tr w:rsidR="00C25E2A" w:rsidRPr="00C25E2A" w14:paraId="4A012064"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575796FA"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(9) Kapitalslit og rentek., PIM-ddl art</w:t>
            </w:r>
          </w:p>
        </w:tc>
        <w:tc>
          <w:tcPr>
            <w:tcW w:w="1680" w:type="dxa"/>
            <w:tcBorders>
              <w:top w:val="nil"/>
              <w:left w:val="single" w:sz="4" w:space="0" w:color="auto"/>
              <w:bottom w:val="nil"/>
              <w:right w:val="nil"/>
            </w:tcBorders>
            <w:shd w:val="clear" w:color="000000" w:fill="87C399"/>
            <w:noWrap/>
            <w:vAlign w:val="center"/>
            <w:hideMark/>
          </w:tcPr>
          <w:p w14:paraId="5647DB1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0.815</w:t>
            </w:r>
          </w:p>
        </w:tc>
        <w:tc>
          <w:tcPr>
            <w:tcW w:w="1680" w:type="dxa"/>
            <w:tcBorders>
              <w:top w:val="nil"/>
              <w:left w:val="nil"/>
              <w:bottom w:val="nil"/>
              <w:right w:val="nil"/>
            </w:tcBorders>
            <w:shd w:val="clear" w:color="000000" w:fill="87C399"/>
            <w:noWrap/>
            <w:vAlign w:val="center"/>
            <w:hideMark/>
          </w:tcPr>
          <w:p w14:paraId="1DAD259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0.820</w:t>
            </w:r>
          </w:p>
        </w:tc>
        <w:tc>
          <w:tcPr>
            <w:tcW w:w="1680" w:type="dxa"/>
            <w:tcBorders>
              <w:top w:val="nil"/>
              <w:left w:val="nil"/>
              <w:bottom w:val="nil"/>
              <w:right w:val="nil"/>
            </w:tcBorders>
            <w:shd w:val="clear" w:color="000000" w:fill="AFD7BB"/>
            <w:noWrap/>
            <w:vAlign w:val="center"/>
            <w:hideMark/>
          </w:tcPr>
          <w:p w14:paraId="16883E6B"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nil"/>
              <w:right w:val="nil"/>
            </w:tcBorders>
            <w:shd w:val="clear" w:color="000000" w:fill="AFD7BB"/>
            <w:noWrap/>
            <w:vAlign w:val="center"/>
            <w:hideMark/>
          </w:tcPr>
          <w:p w14:paraId="03CF4E9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0.679</w:t>
            </w:r>
          </w:p>
        </w:tc>
        <w:tc>
          <w:tcPr>
            <w:tcW w:w="1680" w:type="dxa"/>
            <w:tcBorders>
              <w:top w:val="nil"/>
              <w:left w:val="nil"/>
              <w:bottom w:val="nil"/>
              <w:right w:val="nil"/>
            </w:tcBorders>
            <w:shd w:val="clear" w:color="000000" w:fill="87C399"/>
            <w:noWrap/>
            <w:vAlign w:val="center"/>
            <w:hideMark/>
          </w:tcPr>
          <w:p w14:paraId="4305ACE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0.765</w:t>
            </w:r>
          </w:p>
        </w:tc>
        <w:tc>
          <w:tcPr>
            <w:tcW w:w="1680" w:type="dxa"/>
            <w:tcBorders>
              <w:top w:val="nil"/>
              <w:left w:val="nil"/>
              <w:bottom w:val="nil"/>
              <w:right w:val="single" w:sz="4" w:space="0" w:color="auto"/>
            </w:tcBorders>
            <w:shd w:val="clear" w:color="000000" w:fill="87C399"/>
            <w:noWrap/>
            <w:vAlign w:val="center"/>
            <w:hideMark/>
          </w:tcPr>
          <w:p w14:paraId="4BC7C5E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0.812</w:t>
            </w:r>
          </w:p>
        </w:tc>
      </w:tr>
      <w:tr w:rsidR="00C25E2A" w:rsidRPr="00C25E2A" w14:paraId="332BFBEE" w14:textId="77777777" w:rsidTr="00C25E2A">
        <w:trPr>
          <w:trHeight w:val="279"/>
        </w:trPr>
        <w:tc>
          <w:tcPr>
            <w:tcW w:w="3360" w:type="dxa"/>
            <w:tcBorders>
              <w:top w:val="nil"/>
              <w:left w:val="single" w:sz="4" w:space="0" w:color="auto"/>
              <w:bottom w:val="nil"/>
              <w:right w:val="single" w:sz="4" w:space="0" w:color="auto"/>
            </w:tcBorders>
            <w:shd w:val="clear" w:color="000000" w:fill="A9C6E4"/>
            <w:vAlign w:val="center"/>
            <w:hideMark/>
          </w:tcPr>
          <w:p w14:paraId="28446982"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(10) Kapitalslit og rentek., PIM-ddf funk.</w:t>
            </w:r>
          </w:p>
        </w:tc>
        <w:tc>
          <w:tcPr>
            <w:tcW w:w="1680" w:type="dxa"/>
            <w:tcBorders>
              <w:top w:val="nil"/>
              <w:left w:val="single" w:sz="4" w:space="0" w:color="auto"/>
              <w:bottom w:val="nil"/>
              <w:right w:val="nil"/>
            </w:tcBorders>
            <w:shd w:val="clear" w:color="000000" w:fill="87C399"/>
            <w:noWrap/>
            <w:vAlign w:val="center"/>
            <w:hideMark/>
          </w:tcPr>
          <w:p w14:paraId="6390572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0.811</w:t>
            </w:r>
          </w:p>
        </w:tc>
        <w:tc>
          <w:tcPr>
            <w:tcW w:w="1680" w:type="dxa"/>
            <w:tcBorders>
              <w:top w:val="nil"/>
              <w:left w:val="nil"/>
              <w:bottom w:val="nil"/>
              <w:right w:val="nil"/>
            </w:tcBorders>
            <w:shd w:val="clear" w:color="000000" w:fill="87C399"/>
            <w:noWrap/>
            <w:vAlign w:val="center"/>
            <w:hideMark/>
          </w:tcPr>
          <w:p w14:paraId="336C2C1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0.817</w:t>
            </w:r>
          </w:p>
        </w:tc>
        <w:tc>
          <w:tcPr>
            <w:tcW w:w="1680" w:type="dxa"/>
            <w:tcBorders>
              <w:top w:val="nil"/>
              <w:left w:val="nil"/>
              <w:bottom w:val="nil"/>
              <w:right w:val="nil"/>
            </w:tcBorders>
            <w:shd w:val="clear" w:color="000000" w:fill="AFD7BB"/>
            <w:noWrap/>
            <w:vAlign w:val="center"/>
            <w:hideMark/>
          </w:tcPr>
          <w:p w14:paraId="57E5302C"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0.739</w:t>
            </w:r>
          </w:p>
        </w:tc>
        <w:tc>
          <w:tcPr>
            <w:tcW w:w="1680" w:type="dxa"/>
            <w:tcBorders>
              <w:top w:val="nil"/>
              <w:left w:val="nil"/>
              <w:bottom w:val="nil"/>
              <w:right w:val="nil"/>
            </w:tcBorders>
            <w:shd w:val="clear" w:color="000000" w:fill="AFD7BB"/>
            <w:noWrap/>
            <w:vAlign w:val="center"/>
            <w:hideMark/>
          </w:tcPr>
          <w:p w14:paraId="0E75E77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0.676</w:t>
            </w:r>
          </w:p>
        </w:tc>
        <w:tc>
          <w:tcPr>
            <w:tcW w:w="1680" w:type="dxa"/>
            <w:tcBorders>
              <w:top w:val="nil"/>
              <w:left w:val="nil"/>
              <w:bottom w:val="nil"/>
              <w:right w:val="nil"/>
            </w:tcBorders>
            <w:shd w:val="clear" w:color="000000" w:fill="87C399"/>
            <w:noWrap/>
            <w:vAlign w:val="center"/>
            <w:hideMark/>
          </w:tcPr>
          <w:p w14:paraId="5C3CC3A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0.764</w:t>
            </w:r>
          </w:p>
        </w:tc>
        <w:tc>
          <w:tcPr>
            <w:tcW w:w="1680" w:type="dxa"/>
            <w:tcBorders>
              <w:top w:val="nil"/>
              <w:left w:val="nil"/>
              <w:bottom w:val="nil"/>
              <w:right w:val="single" w:sz="4" w:space="0" w:color="auto"/>
            </w:tcBorders>
            <w:shd w:val="clear" w:color="000000" w:fill="87C399"/>
            <w:noWrap/>
            <w:vAlign w:val="center"/>
            <w:hideMark/>
          </w:tcPr>
          <w:p w14:paraId="2229A85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0.805</w:t>
            </w:r>
          </w:p>
        </w:tc>
      </w:tr>
      <w:tr w:rsidR="00C25E2A" w:rsidRPr="00C25E2A" w14:paraId="43C982A4" w14:textId="77777777" w:rsidTr="00C25E2A">
        <w:trPr>
          <w:trHeight w:val="270"/>
        </w:trPr>
        <w:tc>
          <w:tcPr>
            <w:tcW w:w="3360" w:type="dxa"/>
            <w:tcBorders>
              <w:top w:val="nil"/>
              <w:left w:val="single" w:sz="4" w:space="0" w:color="auto"/>
              <w:bottom w:val="nil"/>
              <w:right w:val="single" w:sz="4" w:space="0" w:color="auto"/>
            </w:tcBorders>
            <w:shd w:val="clear" w:color="000000" w:fill="A9C6E4"/>
            <w:vAlign w:val="center"/>
            <w:hideMark/>
          </w:tcPr>
          <w:p w14:paraId="396CA9A3"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(11) Kapitalslit og rentek., PIM-ddl funk.</w:t>
            </w:r>
          </w:p>
        </w:tc>
        <w:tc>
          <w:tcPr>
            <w:tcW w:w="1680" w:type="dxa"/>
            <w:tcBorders>
              <w:top w:val="nil"/>
              <w:left w:val="single" w:sz="4" w:space="0" w:color="auto"/>
              <w:bottom w:val="nil"/>
              <w:right w:val="nil"/>
            </w:tcBorders>
            <w:shd w:val="clear" w:color="000000" w:fill="87C399"/>
            <w:noWrap/>
            <w:vAlign w:val="center"/>
            <w:hideMark/>
          </w:tcPr>
          <w:p w14:paraId="18B4935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0.810</w:t>
            </w:r>
          </w:p>
        </w:tc>
        <w:tc>
          <w:tcPr>
            <w:tcW w:w="1680" w:type="dxa"/>
            <w:tcBorders>
              <w:top w:val="nil"/>
              <w:left w:val="nil"/>
              <w:bottom w:val="nil"/>
              <w:right w:val="nil"/>
            </w:tcBorders>
            <w:shd w:val="clear" w:color="000000" w:fill="87C399"/>
            <w:noWrap/>
            <w:vAlign w:val="center"/>
            <w:hideMark/>
          </w:tcPr>
          <w:p w14:paraId="6284D16F"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0.817</w:t>
            </w:r>
          </w:p>
        </w:tc>
        <w:tc>
          <w:tcPr>
            <w:tcW w:w="1680" w:type="dxa"/>
            <w:tcBorders>
              <w:top w:val="nil"/>
              <w:left w:val="nil"/>
              <w:bottom w:val="nil"/>
              <w:right w:val="nil"/>
            </w:tcBorders>
            <w:shd w:val="clear" w:color="000000" w:fill="AFD7BB"/>
            <w:noWrap/>
            <w:vAlign w:val="center"/>
            <w:hideMark/>
          </w:tcPr>
          <w:p w14:paraId="1C6379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0.739</w:t>
            </w:r>
          </w:p>
        </w:tc>
        <w:tc>
          <w:tcPr>
            <w:tcW w:w="1680" w:type="dxa"/>
            <w:tcBorders>
              <w:top w:val="nil"/>
              <w:left w:val="nil"/>
              <w:bottom w:val="nil"/>
              <w:right w:val="nil"/>
            </w:tcBorders>
            <w:shd w:val="clear" w:color="000000" w:fill="AFD7BB"/>
            <w:noWrap/>
            <w:vAlign w:val="center"/>
            <w:hideMark/>
          </w:tcPr>
          <w:p w14:paraId="2F4A24F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0.675</w:t>
            </w:r>
          </w:p>
        </w:tc>
        <w:tc>
          <w:tcPr>
            <w:tcW w:w="1680" w:type="dxa"/>
            <w:tcBorders>
              <w:top w:val="nil"/>
              <w:left w:val="nil"/>
              <w:bottom w:val="nil"/>
              <w:right w:val="nil"/>
            </w:tcBorders>
            <w:shd w:val="clear" w:color="000000" w:fill="87C399"/>
            <w:noWrap/>
            <w:vAlign w:val="center"/>
            <w:hideMark/>
          </w:tcPr>
          <w:p w14:paraId="4A78C85C"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0.763</w:t>
            </w:r>
          </w:p>
        </w:tc>
        <w:tc>
          <w:tcPr>
            <w:tcW w:w="1680" w:type="dxa"/>
            <w:tcBorders>
              <w:top w:val="nil"/>
              <w:left w:val="nil"/>
              <w:bottom w:val="nil"/>
              <w:right w:val="single" w:sz="4" w:space="0" w:color="auto"/>
            </w:tcBorders>
            <w:shd w:val="clear" w:color="000000" w:fill="87C399"/>
            <w:noWrap/>
            <w:vAlign w:val="center"/>
            <w:hideMark/>
          </w:tcPr>
          <w:p w14:paraId="16AB46D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0.804</w:t>
            </w:r>
          </w:p>
        </w:tc>
      </w:tr>
      <w:tr w:rsidR="00C25E2A" w:rsidRPr="00C25E2A" w14:paraId="49EABC57" w14:textId="77777777" w:rsidTr="00C25E2A">
        <w:trPr>
          <w:trHeight w:val="270"/>
        </w:trPr>
        <w:tc>
          <w:tcPr>
            <w:tcW w:w="3360" w:type="dxa"/>
            <w:tcBorders>
              <w:top w:val="nil"/>
              <w:left w:val="single" w:sz="4" w:space="0" w:color="auto"/>
              <w:bottom w:val="single" w:sz="4" w:space="0" w:color="auto"/>
              <w:right w:val="single" w:sz="4" w:space="0" w:color="auto"/>
            </w:tcBorders>
            <w:shd w:val="clear" w:color="000000" w:fill="A9C6E4"/>
            <w:vAlign w:val="center"/>
            <w:hideMark/>
          </w:tcPr>
          <w:p w14:paraId="24A5B3EF"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(12) Kapitaltjenester, PIM-ddl funk.</w:t>
            </w:r>
          </w:p>
        </w:tc>
        <w:tc>
          <w:tcPr>
            <w:tcW w:w="1680" w:type="dxa"/>
            <w:tcBorders>
              <w:top w:val="nil"/>
              <w:left w:val="single" w:sz="4" w:space="0" w:color="auto"/>
              <w:bottom w:val="single" w:sz="4" w:space="0" w:color="auto"/>
              <w:right w:val="nil"/>
            </w:tcBorders>
            <w:shd w:val="clear" w:color="000000" w:fill="87C399"/>
            <w:noWrap/>
            <w:vAlign w:val="center"/>
            <w:hideMark/>
          </w:tcPr>
          <w:p w14:paraId="03F48F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0.811</w:t>
            </w:r>
          </w:p>
        </w:tc>
        <w:tc>
          <w:tcPr>
            <w:tcW w:w="1680" w:type="dxa"/>
            <w:tcBorders>
              <w:top w:val="nil"/>
              <w:left w:val="nil"/>
              <w:bottom w:val="single" w:sz="4" w:space="0" w:color="auto"/>
              <w:right w:val="nil"/>
            </w:tcBorders>
            <w:shd w:val="clear" w:color="000000" w:fill="87C399"/>
            <w:noWrap/>
            <w:vAlign w:val="center"/>
            <w:hideMark/>
          </w:tcPr>
          <w:p w14:paraId="584312A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0.819</w:t>
            </w:r>
          </w:p>
        </w:tc>
        <w:tc>
          <w:tcPr>
            <w:tcW w:w="1680" w:type="dxa"/>
            <w:tcBorders>
              <w:top w:val="nil"/>
              <w:left w:val="nil"/>
              <w:bottom w:val="single" w:sz="4" w:space="0" w:color="auto"/>
              <w:right w:val="nil"/>
            </w:tcBorders>
            <w:shd w:val="clear" w:color="000000" w:fill="AFD7BB"/>
            <w:noWrap/>
            <w:vAlign w:val="center"/>
            <w:hideMark/>
          </w:tcPr>
          <w:p w14:paraId="202E6A8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0.747</w:t>
            </w:r>
          </w:p>
        </w:tc>
        <w:tc>
          <w:tcPr>
            <w:tcW w:w="1680" w:type="dxa"/>
            <w:tcBorders>
              <w:top w:val="nil"/>
              <w:left w:val="nil"/>
              <w:bottom w:val="single" w:sz="4" w:space="0" w:color="auto"/>
              <w:right w:val="nil"/>
            </w:tcBorders>
            <w:shd w:val="clear" w:color="000000" w:fill="AFD7BB"/>
            <w:noWrap/>
            <w:vAlign w:val="center"/>
            <w:hideMark/>
          </w:tcPr>
          <w:p w14:paraId="2FBA88A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0.668</w:t>
            </w:r>
          </w:p>
        </w:tc>
        <w:tc>
          <w:tcPr>
            <w:tcW w:w="1680" w:type="dxa"/>
            <w:tcBorders>
              <w:top w:val="nil"/>
              <w:left w:val="nil"/>
              <w:bottom w:val="single" w:sz="4" w:space="0" w:color="auto"/>
              <w:right w:val="nil"/>
            </w:tcBorders>
            <w:shd w:val="clear" w:color="000000" w:fill="87C399"/>
            <w:noWrap/>
            <w:vAlign w:val="center"/>
            <w:hideMark/>
          </w:tcPr>
          <w:p w14:paraId="221A2C7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0.771</w:t>
            </w:r>
          </w:p>
        </w:tc>
        <w:tc>
          <w:tcPr>
            <w:tcW w:w="1680" w:type="dxa"/>
            <w:tcBorders>
              <w:top w:val="nil"/>
              <w:left w:val="nil"/>
              <w:bottom w:val="single" w:sz="4" w:space="0" w:color="auto"/>
              <w:right w:val="single" w:sz="4" w:space="0" w:color="auto"/>
            </w:tcBorders>
            <w:shd w:val="clear" w:color="000000" w:fill="87C399"/>
            <w:noWrap/>
            <w:vAlign w:val="center"/>
            <w:hideMark/>
          </w:tcPr>
          <w:p w14:paraId="6127AB7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0.799</w:t>
            </w:r>
          </w:p>
        </w:tc>
      </w:tr>
    </w:tbl>
    <w:p w14:paraId="2FFB853A" w14:textId="520EE53E" w:rsidR="00357909" w:rsidRPr="0055149C" w:rsidRDefault="00BE04DE" w:rsidP="00357909">
      <w:pPr>
        <w:pStyle w:val="Billedtekst-forklaring"/>
        <w:ind w:left="0" w:firstLine="0"/>
        <w:rPr>
          <w:shd w:val="clear" w:color="auto" w:fill="468C5C" w:themeFill="accent6"/>
          <w:lang w:eastAsia="nb-NO"/>
        </w:rPr>
      </w:pPr>
      <w:r>
        <w:t>I f</w:t>
      </w:r>
      <w:r w:rsidR="000E08F8" w:rsidRPr="0055149C">
        <w:t xml:space="preserve">orkortelsene dd, ad, da og aa angir </w:t>
      </w:r>
      <w:r w:rsidR="00F729EA" w:rsidRPr="0055149C">
        <w:t>første og andre bokstav om henholdsvis kapitaldeflatorene og depresieringsratene er aggregerte (a) eller disaggregerte (d).</w:t>
      </w:r>
      <w:r w:rsidR="00A612E2" w:rsidRPr="0055149C">
        <w:t xml:space="preserve"> </w:t>
      </w:r>
      <w:r w:rsidR="00F729EA" w:rsidRPr="0055149C">
        <w:t xml:space="preserve">f og l som følger angir om eventuelle avkastningskrav er fast eller løpende. </w:t>
      </w:r>
      <w:r w:rsidR="00357909" w:rsidRPr="0055149C">
        <w:t xml:space="preserve">Angivelse av fargekoder for korrelasjonskoeffisientene: </w:t>
      </w:r>
      <w:r w:rsidR="00BA11D4" w:rsidRPr="0055149C">
        <w:rPr>
          <w:shd w:val="clear" w:color="auto" w:fill="A60E24" w:themeFill="accent5"/>
          <w:lang w:eastAsia="nb-NO"/>
        </w:rPr>
        <w:t>(-1,00)-(-0,90)</w:t>
      </w:r>
      <w:r w:rsidR="00BA11D4" w:rsidRPr="0055149C">
        <w:rPr>
          <w:lang w:eastAsia="nb-NO"/>
        </w:rPr>
        <w:t xml:space="preserve">, </w:t>
      </w:r>
      <w:r w:rsidR="00BA11D4" w:rsidRPr="0055149C">
        <w:rPr>
          <w:shd w:val="clear" w:color="auto" w:fill="EF485F" w:themeFill="accent5" w:themeFillTint="99"/>
          <w:lang w:eastAsia="nb-NO"/>
        </w:rPr>
        <w:t>(-0,90)-(-0,75)</w:t>
      </w:r>
      <w:r w:rsidR="00BA11D4" w:rsidRPr="0055149C">
        <w:rPr>
          <w:lang w:eastAsia="nb-NO"/>
        </w:rPr>
        <w:t xml:space="preserve">, </w:t>
      </w:r>
      <w:r w:rsidR="00BA11D4" w:rsidRPr="0055149C">
        <w:rPr>
          <w:shd w:val="clear" w:color="auto" w:fill="F48594" w:themeFill="accent5" w:themeFillTint="66"/>
          <w:lang w:eastAsia="nb-NO"/>
        </w:rPr>
        <w:t>(-0,75)-(-0,50)</w:t>
      </w:r>
      <w:r w:rsidR="00BA11D4" w:rsidRPr="0055149C">
        <w:rPr>
          <w:lang w:eastAsia="nb-NO"/>
        </w:rPr>
        <w:t xml:space="preserve">, </w:t>
      </w:r>
      <w:r w:rsidR="00BA11D4" w:rsidRPr="0055149C">
        <w:rPr>
          <w:shd w:val="clear" w:color="auto" w:fill="FAC2C9" w:themeFill="accent5" w:themeFillTint="33"/>
          <w:lang w:eastAsia="nb-NO"/>
        </w:rPr>
        <w:t>(-0,50)-(-0,25)</w:t>
      </w:r>
      <w:r w:rsidR="00BA11D4" w:rsidRPr="0055149C">
        <w:rPr>
          <w:lang w:eastAsia="nb-NO"/>
        </w:rPr>
        <w:t xml:space="preserve">, </w:t>
      </w:r>
      <w:r w:rsidR="00BA11D4" w:rsidRPr="0055149C">
        <w:rPr>
          <w:shd w:val="clear" w:color="auto" w:fill="FABF8F" w:themeFill="accent4" w:themeFillTint="99"/>
          <w:lang w:eastAsia="nb-NO"/>
        </w:rPr>
        <w:t>(-0,25)-(-0,10</w:t>
      </w:r>
      <w:r w:rsidR="00BA11D4" w:rsidRPr="0055149C">
        <w:rPr>
          <w:shd w:val="clear" w:color="auto" w:fill="FBD4B4"/>
          <w:lang w:eastAsia="nb-NO"/>
        </w:rPr>
        <w:t>)</w:t>
      </w:r>
      <w:r w:rsidR="00BA11D4" w:rsidRPr="0055149C">
        <w:rPr>
          <w:lang w:eastAsia="nb-NO"/>
        </w:rPr>
        <w:t xml:space="preserve">, </w:t>
      </w:r>
      <w:r w:rsidR="00BA11D4" w:rsidRPr="0055149C">
        <w:rPr>
          <w:shd w:val="clear" w:color="auto" w:fill="FDE9D9" w:themeFill="accent4" w:themeFillTint="33"/>
          <w:lang w:eastAsia="nb-NO"/>
        </w:rPr>
        <w:t>(-0,10)-(-0,00)</w:t>
      </w:r>
      <w:r w:rsidR="00BA11D4" w:rsidRPr="0055149C">
        <w:rPr>
          <w:lang w:eastAsia="nb-NO"/>
        </w:rPr>
        <w:t>,</w:t>
      </w:r>
      <w:r w:rsidR="00BA11D4" w:rsidRPr="0055149C">
        <w:t xml:space="preserve"> </w:t>
      </w:r>
      <w:r w:rsidR="00BA11D4" w:rsidRPr="0055149C">
        <w:rPr>
          <w:shd w:val="clear" w:color="auto" w:fill="CCCC00"/>
          <w:lang w:eastAsia="nb-NO"/>
        </w:rPr>
        <w:t>0.00-0,10</w:t>
      </w:r>
      <w:r w:rsidR="00BA11D4" w:rsidRPr="0055149C">
        <w:rPr>
          <w:lang w:eastAsia="nb-NO"/>
        </w:rPr>
        <w:t xml:space="preserve">, </w:t>
      </w:r>
      <w:r w:rsidR="00BA11D4" w:rsidRPr="0055149C">
        <w:rPr>
          <w:shd w:val="clear" w:color="auto" w:fill="FFFF99"/>
          <w:lang w:eastAsia="nb-NO"/>
        </w:rPr>
        <w:t>0,10-0,25</w:t>
      </w:r>
      <w:r w:rsidR="00BA11D4" w:rsidRPr="0055149C">
        <w:rPr>
          <w:lang w:eastAsia="nb-NO"/>
        </w:rPr>
        <w:t xml:space="preserve">, </w:t>
      </w:r>
      <w:r w:rsidR="00BA11D4" w:rsidRPr="0055149C">
        <w:rPr>
          <w:shd w:val="clear" w:color="auto" w:fill="D7EBDD" w:themeFill="accent6" w:themeFillTint="33"/>
          <w:lang w:eastAsia="nb-NO"/>
        </w:rPr>
        <w:t>0.25-0,50</w:t>
      </w:r>
      <w:r w:rsidR="00BA11D4" w:rsidRPr="0055149C">
        <w:rPr>
          <w:lang w:eastAsia="nb-NO"/>
        </w:rPr>
        <w:t xml:space="preserve">, </w:t>
      </w:r>
      <w:r w:rsidR="00BA11D4" w:rsidRPr="0055149C">
        <w:rPr>
          <w:shd w:val="clear" w:color="auto" w:fill="AFD7BB" w:themeFill="accent6" w:themeFillTint="66"/>
          <w:lang w:eastAsia="nb-NO"/>
        </w:rPr>
        <w:t>0,50-0,75</w:t>
      </w:r>
      <w:r w:rsidR="00BA11D4" w:rsidRPr="0055149C">
        <w:rPr>
          <w:lang w:eastAsia="nb-NO"/>
        </w:rPr>
        <w:t xml:space="preserve">, </w:t>
      </w:r>
      <w:r w:rsidR="00BA11D4" w:rsidRPr="0055149C">
        <w:rPr>
          <w:shd w:val="clear" w:color="auto" w:fill="87C399" w:themeFill="accent6" w:themeFillTint="99"/>
          <w:lang w:eastAsia="nb-NO"/>
        </w:rPr>
        <w:t>0,75-0,90</w:t>
      </w:r>
      <w:r w:rsidR="00BA11D4" w:rsidRPr="0055149C">
        <w:rPr>
          <w:lang w:eastAsia="nb-NO"/>
        </w:rPr>
        <w:t xml:space="preserve"> og </w:t>
      </w:r>
      <w:r w:rsidR="00BA11D4" w:rsidRPr="0055149C">
        <w:rPr>
          <w:shd w:val="clear" w:color="auto" w:fill="468C5C" w:themeFill="accent6"/>
          <w:lang w:eastAsia="nb-NO"/>
        </w:rPr>
        <w:t>0,90-1,00</w:t>
      </w:r>
    </w:p>
    <w:p w14:paraId="6FDAC197" w14:textId="0FDC9D37" w:rsidR="00D816A4" w:rsidRPr="0055149C" w:rsidRDefault="00357909" w:rsidP="005566A3">
      <w:pPr>
        <w:pStyle w:val="Source"/>
        <w:rPr>
          <w:lang w:eastAsia="nb-NO"/>
        </w:rPr>
      </w:pPr>
      <w:r w:rsidRPr="0055149C">
        <w:rPr>
          <w:lang w:eastAsia="nb-NO"/>
        </w:rPr>
        <w:t>Kilde: Vista Analyse</w:t>
      </w:r>
    </w:p>
    <w:p w14:paraId="5F32BCBD" w14:textId="77777777" w:rsidR="008B5049" w:rsidRPr="0055149C" w:rsidRDefault="008B5049" w:rsidP="008B5049">
      <w:pPr>
        <w:rPr>
          <w:lang w:eastAsia="nb-NO"/>
        </w:rPr>
        <w:sectPr w:rsidR="008B5049" w:rsidRPr="0055149C" w:rsidSect="00357909">
          <w:pgSz w:w="16838" w:h="11906" w:orient="landscape" w:code="9"/>
          <w:pgMar w:top="1985" w:right="1418" w:bottom="1418" w:left="1418" w:header="567" w:footer="284" w:gutter="0"/>
          <w:cols w:space="708"/>
          <w:docGrid w:linePitch="360"/>
        </w:sectPr>
      </w:pPr>
    </w:p>
    <w:p w14:paraId="2E034E49" w14:textId="34D4936E" w:rsidR="00DA148C" w:rsidRPr="0055149C" w:rsidRDefault="00DA148C" w:rsidP="00DA148C">
      <w:pPr>
        <w:pStyle w:val="Bildetekst"/>
        <w:jc w:val="both"/>
      </w:pPr>
      <w:bookmarkStart w:id="125" w:name="_Ref168399761"/>
      <w:r w:rsidRPr="0055149C">
        <w:lastRenderedPageBreak/>
        <w:t xml:space="preserve">Figur </w:t>
      </w:r>
      <w:fldSimple w:instr=" STYLEREF 1 \s ">
        <w:r w:rsidR="009B1DA8">
          <w:rPr>
            <w:noProof/>
          </w:rPr>
          <w:t>4</w:t>
        </w:r>
      </w:fldSimple>
      <w:r w:rsidR="004B03E3">
        <w:t>.</w:t>
      </w:r>
      <w:fldSimple w:instr=" SEQ Figur \* ARABIC \s 1 ">
        <w:r w:rsidR="009B1DA8">
          <w:rPr>
            <w:noProof/>
          </w:rPr>
          <w:t>20</w:t>
        </w:r>
      </w:fldSimple>
      <w:bookmarkEnd w:id="125"/>
      <w:r w:rsidRPr="0055149C">
        <w:tab/>
        <w:t>Bruttodriftsutgifter per innbygger i primærkommunene plottet mot estimater for kapitalkostnader</w:t>
      </w:r>
      <w:r w:rsidR="00187F6C">
        <w:t>-</w:t>
      </w:r>
      <w:r w:rsidRPr="0055149C">
        <w:t xml:space="preserve"> og </w:t>
      </w:r>
      <w:r w:rsidR="00187F6C">
        <w:t>-</w:t>
      </w:r>
      <w:r w:rsidRPr="0055149C">
        <w:t>utgifter per innbygger over sentralitetsnivåer</w:t>
      </w:r>
    </w:p>
    <w:p w14:paraId="0C02F223" w14:textId="15544C6C" w:rsidR="0004121A" w:rsidRPr="0055149C" w:rsidRDefault="009923DD" w:rsidP="00F45E31">
      <w:pPr>
        <w:jc w:val="center"/>
      </w:pPr>
      <w:r>
        <w:rPr>
          <w:noProof/>
          <w:lang w:val="en-US" w:eastAsia="en-US"/>
        </w:rPr>
        <w:drawing>
          <wp:inline distT="0" distB="0" distL="0" distR="0" wp14:anchorId="5E0484DA" wp14:editId="6E69932F">
            <wp:extent cx="1764000" cy="1764000"/>
            <wp:effectExtent l="0" t="0" r="8255" b="8255"/>
            <wp:docPr id="433125048" name="Diagram 1">
              <a:extLst xmlns:a="http://schemas.openxmlformats.org/drawingml/2006/main">
                <a:ext uri="{FF2B5EF4-FFF2-40B4-BE49-F238E27FC236}">
                  <a16:creationId xmlns:a16="http://schemas.microsoft.com/office/drawing/2014/main" id="{48D3D7E0-F9BD-213B-DBF4-2F8B8E13E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noProof/>
          <w:lang w:val="en-US" w:eastAsia="en-US"/>
        </w:rPr>
        <w:drawing>
          <wp:inline distT="0" distB="0" distL="0" distR="0" wp14:anchorId="634052CE" wp14:editId="35B595DC">
            <wp:extent cx="1764000" cy="1764000"/>
            <wp:effectExtent l="0" t="0" r="8255" b="8255"/>
            <wp:docPr id="138023701" name="Diagram 2">
              <a:extLst xmlns:a="http://schemas.openxmlformats.org/drawingml/2006/main">
                <a:ext uri="{FF2B5EF4-FFF2-40B4-BE49-F238E27FC236}">
                  <a16:creationId xmlns:a16="http://schemas.microsoft.com/office/drawing/2014/main" id="{93B052EE-DEDD-4A9A-B70C-10F43FD36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lang w:val="en-US" w:eastAsia="en-US"/>
        </w:rPr>
        <w:drawing>
          <wp:inline distT="0" distB="0" distL="0" distR="0" wp14:anchorId="1242D76A" wp14:editId="294EC3B8">
            <wp:extent cx="1764000" cy="1764000"/>
            <wp:effectExtent l="0" t="0" r="8255" b="8255"/>
            <wp:docPr id="144668157" name="Diagram 3">
              <a:extLst xmlns:a="http://schemas.openxmlformats.org/drawingml/2006/main">
                <a:ext uri="{FF2B5EF4-FFF2-40B4-BE49-F238E27FC236}">
                  <a16:creationId xmlns:a16="http://schemas.microsoft.com/office/drawing/2014/main" id="{4AF64260-BB5B-4FE2-87CB-5355071C6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noProof/>
          <w:lang w:val="en-US" w:eastAsia="en-US"/>
        </w:rPr>
        <w:drawing>
          <wp:inline distT="0" distB="0" distL="0" distR="0" wp14:anchorId="4DB724E3" wp14:editId="060EF767">
            <wp:extent cx="1764000" cy="1764000"/>
            <wp:effectExtent l="0" t="0" r="8255" b="8255"/>
            <wp:docPr id="1636945344" name="Diagram 4">
              <a:extLst xmlns:a="http://schemas.openxmlformats.org/drawingml/2006/main">
                <a:ext uri="{FF2B5EF4-FFF2-40B4-BE49-F238E27FC236}">
                  <a16:creationId xmlns:a16="http://schemas.microsoft.com/office/drawing/2014/main" id="{24DF435C-3A73-40C7-BA6B-7B35E104D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lang w:val="en-US" w:eastAsia="en-US"/>
        </w:rPr>
        <w:drawing>
          <wp:inline distT="0" distB="0" distL="0" distR="0" wp14:anchorId="0735E338" wp14:editId="395A82AF">
            <wp:extent cx="1764000" cy="1764000"/>
            <wp:effectExtent l="0" t="0" r="8255" b="8255"/>
            <wp:docPr id="1561307421" name="Diagram 5">
              <a:extLst xmlns:a="http://schemas.openxmlformats.org/drawingml/2006/main">
                <a:ext uri="{FF2B5EF4-FFF2-40B4-BE49-F238E27FC236}">
                  <a16:creationId xmlns:a16="http://schemas.microsoft.com/office/drawing/2014/main" id="{7CB96ED8-A2A4-4FA8-A85F-E798208F4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noProof/>
          <w:lang w:val="en-US" w:eastAsia="en-US"/>
        </w:rPr>
        <w:drawing>
          <wp:inline distT="0" distB="0" distL="0" distR="0" wp14:anchorId="605434E9" wp14:editId="197EB779">
            <wp:extent cx="1764000" cy="1764000"/>
            <wp:effectExtent l="0" t="0" r="8255" b="8255"/>
            <wp:docPr id="1679252939" name="Diagram 6">
              <a:extLst xmlns:a="http://schemas.openxmlformats.org/drawingml/2006/main">
                <a:ext uri="{FF2B5EF4-FFF2-40B4-BE49-F238E27FC236}">
                  <a16:creationId xmlns:a16="http://schemas.microsoft.com/office/drawing/2014/main" id="{F949FC63-33EC-49BF-82CC-3B04F1BF7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noProof/>
          <w:lang w:val="en-US" w:eastAsia="en-US"/>
        </w:rPr>
        <w:drawing>
          <wp:inline distT="0" distB="0" distL="0" distR="0" wp14:anchorId="2D5154DB" wp14:editId="24311C5E">
            <wp:extent cx="1764000" cy="1764000"/>
            <wp:effectExtent l="0" t="0" r="8255" b="8255"/>
            <wp:docPr id="2117598139" name="Diagram 7">
              <a:extLst xmlns:a="http://schemas.openxmlformats.org/drawingml/2006/main">
                <a:ext uri="{FF2B5EF4-FFF2-40B4-BE49-F238E27FC236}">
                  <a16:creationId xmlns:a16="http://schemas.microsoft.com/office/drawing/2014/main" id="{35039A51-7B94-44F6-902C-0F11D64B5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lang w:val="en-US" w:eastAsia="en-US"/>
        </w:rPr>
        <w:drawing>
          <wp:inline distT="0" distB="0" distL="0" distR="0" wp14:anchorId="0B1A0E94" wp14:editId="01AE01BC">
            <wp:extent cx="1764000" cy="1764000"/>
            <wp:effectExtent l="0" t="0" r="8255" b="8255"/>
            <wp:docPr id="384567952" name="Diagram 8">
              <a:extLst xmlns:a="http://schemas.openxmlformats.org/drawingml/2006/main">
                <a:ext uri="{FF2B5EF4-FFF2-40B4-BE49-F238E27FC236}">
                  <a16:creationId xmlns:a16="http://schemas.microsoft.com/office/drawing/2014/main" id="{CC3D5681-7E3A-4CE3-A35C-A2219F8C8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lang w:val="en-US" w:eastAsia="en-US"/>
        </w:rPr>
        <w:drawing>
          <wp:inline distT="0" distB="0" distL="0" distR="0" wp14:anchorId="0B854518" wp14:editId="12B85B40">
            <wp:extent cx="1764000" cy="1764000"/>
            <wp:effectExtent l="0" t="0" r="8255" b="8255"/>
            <wp:docPr id="135275776" name="Diagram 9">
              <a:extLst xmlns:a="http://schemas.openxmlformats.org/drawingml/2006/main">
                <a:ext uri="{FF2B5EF4-FFF2-40B4-BE49-F238E27FC236}">
                  <a16:creationId xmlns:a16="http://schemas.microsoft.com/office/drawing/2014/main" id="{7F531F37-CCBE-45CB-88A0-7196E2403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lang w:val="en-US" w:eastAsia="en-US"/>
        </w:rPr>
        <w:drawing>
          <wp:inline distT="0" distB="0" distL="0" distR="0" wp14:anchorId="45917331" wp14:editId="77FCFE4B">
            <wp:extent cx="1764000" cy="1764000"/>
            <wp:effectExtent l="0" t="0" r="8255" b="8255"/>
            <wp:docPr id="113163403" name="Diagram 10">
              <a:extLst xmlns:a="http://schemas.openxmlformats.org/drawingml/2006/main">
                <a:ext uri="{FF2B5EF4-FFF2-40B4-BE49-F238E27FC236}">
                  <a16:creationId xmlns:a16="http://schemas.microsoft.com/office/drawing/2014/main" id="{2B6818BC-4903-4A20-8A60-7DAF4DE05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lang w:val="en-US" w:eastAsia="en-US"/>
        </w:rPr>
        <w:drawing>
          <wp:inline distT="0" distB="0" distL="0" distR="0" wp14:anchorId="3FB48386" wp14:editId="0B268453">
            <wp:extent cx="1764000" cy="1764000"/>
            <wp:effectExtent l="0" t="0" r="8255" b="8255"/>
            <wp:docPr id="171498779" name="Diagram 11">
              <a:extLst xmlns:a="http://schemas.openxmlformats.org/drawingml/2006/main">
                <a:ext uri="{FF2B5EF4-FFF2-40B4-BE49-F238E27FC236}">
                  <a16:creationId xmlns:a16="http://schemas.microsoft.com/office/drawing/2014/main" id="{B9B02325-528C-4C49-83CC-4EA5CDE43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noProof/>
          <w:lang w:val="en-US" w:eastAsia="en-US"/>
        </w:rPr>
        <w:drawing>
          <wp:inline distT="0" distB="0" distL="0" distR="0" wp14:anchorId="5FAF130E" wp14:editId="5A7AF50C">
            <wp:extent cx="1764000" cy="1764000"/>
            <wp:effectExtent l="0" t="0" r="8255" b="8255"/>
            <wp:docPr id="2025197581" name="Diagram 12">
              <a:extLst xmlns:a="http://schemas.openxmlformats.org/drawingml/2006/main">
                <a:ext uri="{FF2B5EF4-FFF2-40B4-BE49-F238E27FC236}">
                  <a16:creationId xmlns:a16="http://schemas.microsoft.com/office/drawing/2014/main" id="{F0CEDF12-7AF9-4C3B-8E1F-5D65C8FC5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335C748" w14:textId="2A217133" w:rsidR="003243D8" w:rsidRPr="0055149C" w:rsidRDefault="00BE04DE" w:rsidP="003243D8">
      <w:pPr>
        <w:pStyle w:val="Billedtekst-forklaring"/>
        <w:ind w:left="0" w:firstLine="0"/>
        <w:rPr>
          <w:shd w:val="clear" w:color="auto" w:fill="468C5C" w:themeFill="accent6"/>
          <w:lang w:eastAsia="nb-NO"/>
        </w:rPr>
      </w:pPr>
      <w:r>
        <w:t>I f</w:t>
      </w:r>
      <w:r w:rsidR="0081584F" w:rsidRPr="0055149C">
        <w:t xml:space="preserve">orkortelsene dd, ad, da og aa angir første og andre bokstav om henholdsvis kapitaldeflatorene og depresieringsratene er aggregerte (a) eller disaggregerte (d). f og l som følger angir om eventuelle avkastningskrav er fast eller løpende. </w:t>
      </w:r>
      <w:r w:rsidR="003243D8" w:rsidRPr="0055149C">
        <w:t xml:space="preserve">Angivelse av fargekoder for sentralitetsnivåer: </w:t>
      </w:r>
      <w:r w:rsidR="003243D8" w:rsidRPr="0055149C">
        <w:rPr>
          <w:shd w:val="clear" w:color="auto" w:fill="A60E24" w:themeFill="accent5"/>
          <w:lang w:eastAsia="nb-NO"/>
        </w:rPr>
        <w:t>svært perifer</w:t>
      </w:r>
      <w:r w:rsidR="003243D8" w:rsidRPr="0055149C">
        <w:rPr>
          <w:lang w:eastAsia="nb-NO"/>
        </w:rPr>
        <w:t xml:space="preserve">, </w:t>
      </w:r>
      <w:r w:rsidR="003243D8" w:rsidRPr="0055149C">
        <w:rPr>
          <w:shd w:val="clear" w:color="auto" w:fill="F48594" w:themeFill="accent5" w:themeFillTint="66"/>
          <w:lang w:eastAsia="nb-NO"/>
        </w:rPr>
        <w:t>moderat perifer</w:t>
      </w:r>
      <w:r w:rsidR="003243D8" w:rsidRPr="0055149C">
        <w:rPr>
          <w:lang w:eastAsia="nb-NO"/>
        </w:rPr>
        <w:t xml:space="preserve">, </w:t>
      </w:r>
      <w:r w:rsidR="003243D8" w:rsidRPr="0055149C">
        <w:rPr>
          <w:shd w:val="clear" w:color="auto" w:fill="FABF8F" w:themeFill="accent4" w:themeFillTint="99"/>
          <w:lang w:eastAsia="nb-NO"/>
        </w:rPr>
        <w:t>litt perifer</w:t>
      </w:r>
      <w:r w:rsidR="003243D8" w:rsidRPr="0055149C">
        <w:rPr>
          <w:lang w:eastAsia="nb-NO"/>
        </w:rPr>
        <w:t xml:space="preserve">, </w:t>
      </w:r>
      <w:r w:rsidR="003243D8" w:rsidRPr="0055149C">
        <w:rPr>
          <w:shd w:val="clear" w:color="auto" w:fill="CCCC00"/>
          <w:lang w:eastAsia="nb-NO"/>
        </w:rPr>
        <w:t>litt sentral</w:t>
      </w:r>
      <w:r w:rsidR="003243D8" w:rsidRPr="0055149C">
        <w:rPr>
          <w:lang w:eastAsia="nb-NO"/>
        </w:rPr>
        <w:t xml:space="preserve">, </w:t>
      </w:r>
      <w:r w:rsidR="003243D8" w:rsidRPr="0055149C">
        <w:rPr>
          <w:shd w:val="clear" w:color="auto" w:fill="AFD7BB" w:themeFill="accent6" w:themeFillTint="66"/>
          <w:lang w:eastAsia="nb-NO"/>
        </w:rPr>
        <w:t>moderat sentral</w:t>
      </w:r>
      <w:r w:rsidR="003243D8" w:rsidRPr="0055149C">
        <w:rPr>
          <w:lang w:eastAsia="nb-NO"/>
        </w:rPr>
        <w:t xml:space="preserve">, og </w:t>
      </w:r>
      <w:r w:rsidR="003243D8" w:rsidRPr="0055149C">
        <w:rPr>
          <w:shd w:val="clear" w:color="auto" w:fill="468C5C" w:themeFill="accent6"/>
          <w:lang w:eastAsia="nb-NO"/>
        </w:rPr>
        <w:t>svært sentral</w:t>
      </w:r>
    </w:p>
    <w:p w14:paraId="312AF212" w14:textId="77777777" w:rsidR="003243D8" w:rsidRPr="0055149C" w:rsidRDefault="003243D8" w:rsidP="003243D8">
      <w:pPr>
        <w:pStyle w:val="Source"/>
        <w:rPr>
          <w:lang w:eastAsia="nb-NO"/>
        </w:rPr>
      </w:pPr>
      <w:r w:rsidRPr="0055149C">
        <w:rPr>
          <w:lang w:eastAsia="nb-NO"/>
        </w:rPr>
        <w:t>Kilde: Vista Analyse</w:t>
      </w:r>
    </w:p>
    <w:p w14:paraId="7AD85256" w14:textId="5C91B5B0" w:rsidR="00DA148C" w:rsidRPr="0055149C" w:rsidRDefault="00DA148C" w:rsidP="00DA148C">
      <w:pPr>
        <w:pStyle w:val="Bildetekst"/>
        <w:jc w:val="both"/>
      </w:pPr>
      <w:bookmarkStart w:id="126" w:name="_Ref168399764"/>
      <w:r w:rsidRPr="0055149C">
        <w:lastRenderedPageBreak/>
        <w:t xml:space="preserve">Figur </w:t>
      </w:r>
      <w:fldSimple w:instr=" STYLEREF 1 \s ">
        <w:r w:rsidR="009B1DA8">
          <w:rPr>
            <w:noProof/>
          </w:rPr>
          <w:t>4</w:t>
        </w:r>
      </w:fldSimple>
      <w:r w:rsidR="004B03E3">
        <w:t>.</w:t>
      </w:r>
      <w:fldSimple w:instr=" SEQ Figur \* ARABIC \s 1 ">
        <w:r w:rsidR="009B1DA8">
          <w:rPr>
            <w:noProof/>
          </w:rPr>
          <w:t>21</w:t>
        </w:r>
      </w:fldSimple>
      <w:bookmarkEnd w:id="126"/>
      <w:r w:rsidRPr="0055149C">
        <w:t xml:space="preserve"> </w:t>
      </w:r>
      <w:r w:rsidRPr="0055149C">
        <w:tab/>
        <w:t>Bruttodriftsutgifter per innbygger i primærkommunene plottet mot estimater for kapitalkostnader</w:t>
      </w:r>
      <w:r w:rsidR="00187F6C">
        <w:t>-</w:t>
      </w:r>
      <w:r w:rsidRPr="0055149C">
        <w:t xml:space="preserve"> og </w:t>
      </w:r>
      <w:r w:rsidR="00187F6C">
        <w:t>-</w:t>
      </w:r>
      <w:r w:rsidRPr="0055149C">
        <w:t>utgifter per innbygger over NUTS2-landsdeler</w:t>
      </w:r>
    </w:p>
    <w:p w14:paraId="5F99A8F0" w14:textId="3C719FDE" w:rsidR="0004121A" w:rsidRPr="0055149C" w:rsidRDefault="008C2965" w:rsidP="00F45E31">
      <w:pPr>
        <w:jc w:val="center"/>
      </w:pPr>
      <w:r>
        <w:rPr>
          <w:noProof/>
          <w:lang w:val="en-US" w:eastAsia="en-US"/>
        </w:rPr>
        <w:drawing>
          <wp:inline distT="0" distB="0" distL="0" distR="0" wp14:anchorId="6E0EE96D" wp14:editId="4D1DFC5F">
            <wp:extent cx="1764000" cy="1764000"/>
            <wp:effectExtent l="0" t="0" r="8255" b="8255"/>
            <wp:docPr id="869404205" name="Diagram 1">
              <a:extLst xmlns:a="http://schemas.openxmlformats.org/drawingml/2006/main">
                <a:ext uri="{FF2B5EF4-FFF2-40B4-BE49-F238E27FC236}">
                  <a16:creationId xmlns:a16="http://schemas.microsoft.com/office/drawing/2014/main" id="{D51CA7B5-4092-4799-9835-74DC2123B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noProof/>
          <w:lang w:val="en-US" w:eastAsia="en-US"/>
        </w:rPr>
        <w:drawing>
          <wp:inline distT="0" distB="0" distL="0" distR="0" wp14:anchorId="1267B96F" wp14:editId="30418089">
            <wp:extent cx="1764000" cy="1764000"/>
            <wp:effectExtent l="0" t="0" r="8255" b="8255"/>
            <wp:docPr id="1924708682" name="Diagram 2">
              <a:extLst xmlns:a="http://schemas.openxmlformats.org/drawingml/2006/main">
                <a:ext uri="{FF2B5EF4-FFF2-40B4-BE49-F238E27FC236}">
                  <a16:creationId xmlns:a16="http://schemas.microsoft.com/office/drawing/2014/main" id="{72ADE6F8-B265-40BA-804E-51E84DAC3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lang w:val="en-US" w:eastAsia="en-US"/>
        </w:rPr>
        <w:drawing>
          <wp:inline distT="0" distB="0" distL="0" distR="0" wp14:anchorId="5BECDDDC" wp14:editId="290835D0">
            <wp:extent cx="1764000" cy="1764000"/>
            <wp:effectExtent l="0" t="0" r="8255" b="8255"/>
            <wp:docPr id="735599140" name="Diagram 3">
              <a:extLst xmlns:a="http://schemas.openxmlformats.org/drawingml/2006/main">
                <a:ext uri="{FF2B5EF4-FFF2-40B4-BE49-F238E27FC236}">
                  <a16:creationId xmlns:a16="http://schemas.microsoft.com/office/drawing/2014/main" id="{8BE5E96C-5F50-4BD6-BC0F-9069E90F9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noProof/>
          <w:lang w:val="en-US" w:eastAsia="en-US"/>
        </w:rPr>
        <w:drawing>
          <wp:inline distT="0" distB="0" distL="0" distR="0" wp14:anchorId="3B052DD3" wp14:editId="50BBD982">
            <wp:extent cx="1764000" cy="1764000"/>
            <wp:effectExtent l="0" t="0" r="8255" b="8255"/>
            <wp:docPr id="152657765" name="Diagram 4">
              <a:extLst xmlns:a="http://schemas.openxmlformats.org/drawingml/2006/main">
                <a:ext uri="{FF2B5EF4-FFF2-40B4-BE49-F238E27FC236}">
                  <a16:creationId xmlns:a16="http://schemas.microsoft.com/office/drawing/2014/main" id="{369BC158-09CD-4CFD-ABD3-3210B7AD1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noProof/>
          <w:lang w:val="en-US" w:eastAsia="en-US"/>
        </w:rPr>
        <w:drawing>
          <wp:inline distT="0" distB="0" distL="0" distR="0" wp14:anchorId="5194329B" wp14:editId="3D66511B">
            <wp:extent cx="1764000" cy="1764000"/>
            <wp:effectExtent l="0" t="0" r="8255" b="8255"/>
            <wp:docPr id="2073536677" name="Diagram 5">
              <a:extLst xmlns:a="http://schemas.openxmlformats.org/drawingml/2006/main">
                <a:ext uri="{FF2B5EF4-FFF2-40B4-BE49-F238E27FC236}">
                  <a16:creationId xmlns:a16="http://schemas.microsoft.com/office/drawing/2014/main" id="{8A495B94-E702-4584-A97A-8E4AD9B34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noProof/>
          <w:lang w:val="en-US" w:eastAsia="en-US"/>
        </w:rPr>
        <w:drawing>
          <wp:inline distT="0" distB="0" distL="0" distR="0" wp14:anchorId="194248C3" wp14:editId="1EEE0D0D">
            <wp:extent cx="1764000" cy="1764000"/>
            <wp:effectExtent l="0" t="0" r="8255" b="8255"/>
            <wp:docPr id="940888488" name="Diagram 6">
              <a:extLst xmlns:a="http://schemas.openxmlformats.org/drawingml/2006/main">
                <a:ext uri="{FF2B5EF4-FFF2-40B4-BE49-F238E27FC236}">
                  <a16:creationId xmlns:a16="http://schemas.microsoft.com/office/drawing/2014/main" id="{C01482CE-32D3-4E04-BCAA-0923D5714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noProof/>
          <w:lang w:val="en-US" w:eastAsia="en-US"/>
        </w:rPr>
        <w:drawing>
          <wp:inline distT="0" distB="0" distL="0" distR="0" wp14:anchorId="2D7765A5" wp14:editId="58832E13">
            <wp:extent cx="1763402" cy="1764000"/>
            <wp:effectExtent l="0" t="0" r="8255" b="8255"/>
            <wp:docPr id="1213796168" name="Diagram 7">
              <a:extLst xmlns:a="http://schemas.openxmlformats.org/drawingml/2006/main">
                <a:ext uri="{FF2B5EF4-FFF2-40B4-BE49-F238E27FC236}">
                  <a16:creationId xmlns:a16="http://schemas.microsoft.com/office/drawing/2014/main" id="{553B899E-C0CC-43D5-8D17-B8E7E8068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noProof/>
          <w:lang w:val="en-US" w:eastAsia="en-US"/>
        </w:rPr>
        <w:drawing>
          <wp:inline distT="0" distB="0" distL="0" distR="0" wp14:anchorId="3B8B8584" wp14:editId="728DE108">
            <wp:extent cx="1764000" cy="1764000"/>
            <wp:effectExtent l="0" t="0" r="8255" b="8255"/>
            <wp:docPr id="2066028602" name="Diagram 8">
              <a:extLst xmlns:a="http://schemas.openxmlformats.org/drawingml/2006/main">
                <a:ext uri="{FF2B5EF4-FFF2-40B4-BE49-F238E27FC236}">
                  <a16:creationId xmlns:a16="http://schemas.microsoft.com/office/drawing/2014/main" id="{F11C9A43-07C7-4F54-8E8C-E71EECDDA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noProof/>
          <w:lang w:val="en-US" w:eastAsia="en-US"/>
        </w:rPr>
        <w:drawing>
          <wp:inline distT="0" distB="0" distL="0" distR="0" wp14:anchorId="47FEE611" wp14:editId="18CD0540">
            <wp:extent cx="1763402" cy="1764000"/>
            <wp:effectExtent l="0" t="0" r="8255" b="8255"/>
            <wp:docPr id="1526705722" name="Diagram 9">
              <a:extLst xmlns:a="http://schemas.openxmlformats.org/drawingml/2006/main">
                <a:ext uri="{FF2B5EF4-FFF2-40B4-BE49-F238E27FC236}">
                  <a16:creationId xmlns:a16="http://schemas.microsoft.com/office/drawing/2014/main" id="{96E7B8C4-91B8-42B7-BBB9-4E7DB5E6A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noProof/>
          <w:lang w:val="en-US" w:eastAsia="en-US"/>
        </w:rPr>
        <w:drawing>
          <wp:inline distT="0" distB="0" distL="0" distR="0" wp14:anchorId="0C4F3162" wp14:editId="55263ADE">
            <wp:extent cx="1763403" cy="1764000"/>
            <wp:effectExtent l="0" t="0" r="8255" b="8255"/>
            <wp:docPr id="1757709344" name="Diagram 10">
              <a:extLst xmlns:a="http://schemas.openxmlformats.org/drawingml/2006/main">
                <a:ext uri="{FF2B5EF4-FFF2-40B4-BE49-F238E27FC236}">
                  <a16:creationId xmlns:a16="http://schemas.microsoft.com/office/drawing/2014/main" id="{2E334AAC-4839-4A3B-9AE3-0E57C613E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noProof/>
          <w:lang w:val="en-US" w:eastAsia="en-US"/>
        </w:rPr>
        <w:drawing>
          <wp:inline distT="0" distB="0" distL="0" distR="0" wp14:anchorId="36AD2E51" wp14:editId="2CD6A0D5">
            <wp:extent cx="1764000" cy="1764000"/>
            <wp:effectExtent l="0" t="0" r="8255" b="8255"/>
            <wp:docPr id="862523260" name="Diagram 11">
              <a:extLst xmlns:a="http://schemas.openxmlformats.org/drawingml/2006/main">
                <a:ext uri="{FF2B5EF4-FFF2-40B4-BE49-F238E27FC236}">
                  <a16:creationId xmlns:a16="http://schemas.microsoft.com/office/drawing/2014/main" id="{14D803A3-744E-4125-BD88-7776503DA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noProof/>
          <w:lang w:val="en-US" w:eastAsia="en-US"/>
        </w:rPr>
        <w:drawing>
          <wp:inline distT="0" distB="0" distL="0" distR="0" wp14:anchorId="40E4E930" wp14:editId="28D2C02A">
            <wp:extent cx="1764000" cy="1764000"/>
            <wp:effectExtent l="0" t="0" r="8255" b="8255"/>
            <wp:docPr id="1368757691" name="Diagram 12">
              <a:extLst xmlns:a="http://schemas.openxmlformats.org/drawingml/2006/main">
                <a:ext uri="{FF2B5EF4-FFF2-40B4-BE49-F238E27FC236}">
                  <a16:creationId xmlns:a16="http://schemas.microsoft.com/office/drawing/2014/main" id="{07A11CF7-577C-4F15-BB76-C59FF030B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E20F6E5" w14:textId="4A3060ED" w:rsidR="003243D8" w:rsidRPr="0055149C" w:rsidRDefault="00BE04DE" w:rsidP="003243D8">
      <w:pPr>
        <w:pStyle w:val="Billedtekst-forklaring"/>
        <w:ind w:left="0" w:firstLine="0"/>
        <w:rPr>
          <w:shd w:val="clear" w:color="auto" w:fill="468C5C" w:themeFill="accent6"/>
          <w:lang w:eastAsia="nb-NO"/>
        </w:rPr>
      </w:pPr>
      <w:r>
        <w:t>I f</w:t>
      </w:r>
      <w:r w:rsidR="0081584F" w:rsidRPr="0055149C">
        <w:t>orkortelsene dd, ad, da og aa angir første og andre bokstav om henholdsvis kapitaldeflatorene og depresieringsratene er aggregerte (a) eller disaggregerte (d). f og l som følger angir om eventuelle avkastningskrav er fast eller løpende</w:t>
      </w:r>
      <w:r w:rsidR="00F729EA" w:rsidRPr="0055149C">
        <w:t xml:space="preserve">. </w:t>
      </w:r>
      <w:r w:rsidR="003243D8" w:rsidRPr="0055149C">
        <w:t xml:space="preserve">Angivelse av fargekoder for NUTS2-landsdeler: </w:t>
      </w:r>
      <w:r w:rsidR="003243D8" w:rsidRPr="0055149C">
        <w:rPr>
          <w:shd w:val="clear" w:color="auto" w:fill="A60E24" w:themeFill="accent5"/>
          <w:lang w:eastAsia="nb-NO"/>
        </w:rPr>
        <w:t>Nord-Norge</w:t>
      </w:r>
      <w:r w:rsidR="003243D8" w:rsidRPr="0055149C">
        <w:rPr>
          <w:lang w:eastAsia="nb-NO"/>
        </w:rPr>
        <w:t xml:space="preserve">, </w:t>
      </w:r>
      <w:r w:rsidR="003243D8" w:rsidRPr="0055149C">
        <w:rPr>
          <w:shd w:val="clear" w:color="auto" w:fill="F48594" w:themeFill="accent5" w:themeFillTint="66"/>
          <w:lang w:eastAsia="nb-NO"/>
        </w:rPr>
        <w:t>Midt-Norge</w:t>
      </w:r>
      <w:r w:rsidR="003243D8" w:rsidRPr="0055149C">
        <w:rPr>
          <w:lang w:eastAsia="nb-NO"/>
        </w:rPr>
        <w:t xml:space="preserve">, </w:t>
      </w:r>
      <w:r w:rsidR="003243D8" w:rsidRPr="0055149C">
        <w:rPr>
          <w:shd w:val="clear" w:color="auto" w:fill="FABF8F" w:themeFill="accent4" w:themeFillTint="99"/>
          <w:lang w:eastAsia="nb-NO"/>
        </w:rPr>
        <w:t>Vestlandet</w:t>
      </w:r>
      <w:r w:rsidR="003243D8" w:rsidRPr="0055149C">
        <w:rPr>
          <w:lang w:eastAsia="nb-NO"/>
        </w:rPr>
        <w:t xml:space="preserve">, </w:t>
      </w:r>
      <w:r w:rsidR="003243D8" w:rsidRPr="0055149C">
        <w:rPr>
          <w:shd w:val="clear" w:color="auto" w:fill="CCCC00"/>
          <w:lang w:eastAsia="nb-NO"/>
        </w:rPr>
        <w:t>Sørlandet og Sørøst-Norge</w:t>
      </w:r>
      <w:r w:rsidR="003243D8" w:rsidRPr="0055149C">
        <w:rPr>
          <w:lang w:eastAsia="nb-NO"/>
        </w:rPr>
        <w:t xml:space="preserve">, </w:t>
      </w:r>
      <w:r w:rsidR="003243D8" w:rsidRPr="0055149C">
        <w:rPr>
          <w:shd w:val="clear" w:color="auto" w:fill="AFD7BB" w:themeFill="accent6" w:themeFillTint="66"/>
          <w:lang w:eastAsia="nb-NO"/>
        </w:rPr>
        <w:t>Innlandet</w:t>
      </w:r>
      <w:r w:rsidR="003243D8" w:rsidRPr="0055149C">
        <w:rPr>
          <w:lang w:eastAsia="nb-NO"/>
        </w:rPr>
        <w:t xml:space="preserve"> og </w:t>
      </w:r>
      <w:r w:rsidR="003243D8" w:rsidRPr="0055149C">
        <w:rPr>
          <w:shd w:val="clear" w:color="auto" w:fill="468C5C" w:themeFill="accent6"/>
          <w:lang w:eastAsia="nb-NO"/>
        </w:rPr>
        <w:t>Oslo og Viken</w:t>
      </w:r>
    </w:p>
    <w:p w14:paraId="61AC8402" w14:textId="15BE098A" w:rsidR="003243D8" w:rsidRPr="0055149C" w:rsidRDefault="003243D8" w:rsidP="003243D8">
      <w:pPr>
        <w:pStyle w:val="Source"/>
        <w:rPr>
          <w:lang w:eastAsia="nb-NO"/>
        </w:rPr>
      </w:pPr>
      <w:r w:rsidRPr="0055149C">
        <w:rPr>
          <w:lang w:eastAsia="nb-NO"/>
        </w:rPr>
        <w:t>Kilde: Vista Analyse</w:t>
      </w:r>
    </w:p>
    <w:p w14:paraId="1C3F531A" w14:textId="4DC079B1" w:rsidR="008975C3" w:rsidRPr="0055149C" w:rsidRDefault="009B73DF" w:rsidP="00317899">
      <w:pPr>
        <w:rPr>
          <w:lang w:eastAsia="nb-NO"/>
        </w:rPr>
      </w:pPr>
      <w:r>
        <w:rPr>
          <w:lang w:eastAsia="nb-NO"/>
        </w:rPr>
        <w:lastRenderedPageBreak/>
        <w:t>U</w:t>
      </w:r>
      <w:r w:rsidR="00860882">
        <w:rPr>
          <w:lang w:eastAsia="nb-NO"/>
        </w:rPr>
        <w:t>tgiftsutjevningen i d</w:t>
      </w:r>
      <w:r w:rsidR="008975C3" w:rsidRPr="0055149C">
        <w:rPr>
          <w:lang w:eastAsia="nb-NO"/>
        </w:rPr>
        <w:t xml:space="preserve">et kommunale inntektssystemet kompenserer for bruttodriftsutgifter per innbygger på </w:t>
      </w:r>
      <w:r>
        <w:rPr>
          <w:lang w:eastAsia="nb-NO"/>
        </w:rPr>
        <w:t>tjeneste</w:t>
      </w:r>
      <w:r w:rsidR="008975C3" w:rsidRPr="0055149C">
        <w:rPr>
          <w:lang w:eastAsia="nb-NO"/>
        </w:rPr>
        <w:t xml:space="preserve">funksjonsnivå. Dersom kapitalkostnadene per innbygger </w:t>
      </w:r>
      <w:r w:rsidR="001145DF">
        <w:rPr>
          <w:lang w:eastAsia="nb-NO"/>
        </w:rPr>
        <w:t>va</w:t>
      </w:r>
      <w:r w:rsidR="008975C3" w:rsidRPr="0055149C">
        <w:rPr>
          <w:lang w:eastAsia="nb-NO"/>
        </w:rPr>
        <w:t xml:space="preserve">r </w:t>
      </w:r>
      <w:r w:rsidR="001145DF">
        <w:rPr>
          <w:lang w:eastAsia="nb-NO"/>
        </w:rPr>
        <w:t>sterkt</w:t>
      </w:r>
      <w:r w:rsidR="008975C3" w:rsidRPr="0055149C">
        <w:rPr>
          <w:lang w:eastAsia="nb-NO"/>
        </w:rPr>
        <w:t xml:space="preserve"> korrelerte med bruttodriftsutgiftene per innbygger, kunne det tenkes at bruttodriftsutgifter per innbygger kunne fungert som en proxy for kapitalkostnadene, i tillegg til å representere seg selv. Nivået på kompensasjonen vil mekanisk påvirkes av hvor mange av kostnadene som tas med, men dette kan ses på som en skalering i kompensasjonen. Derfor er det et selvstendig poeng å ta for seg korrelasjonen mellom bruttodriftsutgifter og kapitalkostnader over funksjoner, normalisert per innbygger.</w:t>
      </w:r>
    </w:p>
    <w:p w14:paraId="36D000D9" w14:textId="0BCCB5BA" w:rsidR="008975C3" w:rsidRPr="0055149C" w:rsidRDefault="008975C3" w:rsidP="00317899">
      <w:pPr>
        <w:rPr>
          <w:lang w:eastAsia="nb-NO"/>
        </w:rPr>
      </w:pPr>
      <w:r w:rsidRPr="0055149C">
        <w:rPr>
          <w:lang w:eastAsia="nb-NO"/>
        </w:rPr>
        <w:t>Når det gjelder kapitalkostnadsmål, konsentrerer vi oss om kapitalslitet mål</w:t>
      </w:r>
      <w:r w:rsidR="00C33CD5">
        <w:rPr>
          <w:lang w:eastAsia="nb-NO"/>
        </w:rPr>
        <w:t>t</w:t>
      </w:r>
      <w:r w:rsidRPr="0055149C">
        <w:rPr>
          <w:lang w:eastAsia="nb-NO"/>
        </w:rPr>
        <w:t xml:space="preserve"> ved DM og kapitalslitet mål</w:t>
      </w:r>
      <w:r w:rsidR="001A148E">
        <w:rPr>
          <w:lang w:eastAsia="nb-NO"/>
        </w:rPr>
        <w:t>t</w:t>
      </w:r>
      <w:r w:rsidRPr="0055149C">
        <w:rPr>
          <w:lang w:eastAsia="nb-NO"/>
        </w:rPr>
        <w:t xml:space="preserve"> ved PIM med disaggregerte kapitalparametere. I tillegg inkluderer vi de løpende rentekostnadene – altså kalkylerente med en risikopremie – og summen av dette målet og det sistnevnte kapitalslitmålet. Vi minner ellers om at ikke alle våre estimerte kapitalmål er oppløselige over funksjoner, men over kapitalarter isteden.</w:t>
      </w:r>
    </w:p>
    <w:p w14:paraId="2E86AB8B" w14:textId="25FEEF7E" w:rsidR="005E52AE" w:rsidRDefault="00317899" w:rsidP="00317899">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_Ref169011325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22</w:t>
      </w:r>
      <w:r w:rsidRPr="0055149C">
        <w:rPr>
          <w:lang w:eastAsia="nb-NO"/>
        </w:rPr>
        <w:fldChar w:fldCharType="end"/>
      </w:r>
      <w:r w:rsidRPr="0055149C">
        <w:rPr>
          <w:lang w:eastAsia="nb-NO"/>
        </w:rPr>
        <w:t xml:space="preserve"> </w:t>
      </w:r>
      <w:r w:rsidR="004B6071" w:rsidRPr="0055149C">
        <w:rPr>
          <w:lang w:eastAsia="nb-NO"/>
        </w:rPr>
        <w:t>har vi belyst korrelasjonen mellom bruttodriftsutgiftene og kapitalkostnadsmålene</w:t>
      </w:r>
      <w:r w:rsidR="003969CB">
        <w:rPr>
          <w:lang w:eastAsia="nb-NO"/>
        </w:rPr>
        <w:t>, normalisert per innbygger</w:t>
      </w:r>
      <w:r w:rsidR="004B6071" w:rsidRPr="0055149C">
        <w:rPr>
          <w:lang w:eastAsia="nb-NO"/>
        </w:rPr>
        <w:t xml:space="preserve">. Generelt viser figuren ikke veldig høye korrelasjoner for funksjonene som inngår i inntektssystemet. Dette peker i retning </w:t>
      </w:r>
      <w:r w:rsidR="00FA32F8">
        <w:rPr>
          <w:lang w:eastAsia="nb-NO"/>
        </w:rPr>
        <w:t xml:space="preserve">av </w:t>
      </w:r>
      <w:r w:rsidR="004B6071" w:rsidRPr="0055149C">
        <w:rPr>
          <w:lang w:eastAsia="nb-NO"/>
        </w:rPr>
        <w:t>at det ikke vil være tilstrekkelig å bruke bruttodriftsutgiftene som en proxy for kapitalkostnadene.</w:t>
      </w:r>
      <w:r w:rsidR="005E52AE">
        <w:rPr>
          <w:lang w:eastAsia="nb-NO"/>
        </w:rPr>
        <w:t xml:space="preserve"> Innenfor en gitt tjenestefunksjon varierer korrelasjonskoeffisientene med driftsutgifter relativt lite mellom kapitalkostnadsmålene</w:t>
      </w:r>
      <w:r w:rsidR="00C03689">
        <w:rPr>
          <w:lang w:eastAsia="nb-NO"/>
        </w:rPr>
        <w:t xml:space="preserve"> med noen unntak knyttet til kapitalslitet avledet med DM.</w:t>
      </w:r>
    </w:p>
    <w:p w14:paraId="4A92B687" w14:textId="55E35807" w:rsidR="00C45FE6" w:rsidRPr="0055149C" w:rsidRDefault="004B6071" w:rsidP="00317899">
      <w:pPr>
        <w:rPr>
          <w:lang w:eastAsia="nb-NO"/>
        </w:rPr>
      </w:pPr>
      <w:r w:rsidRPr="0055149C">
        <w:rPr>
          <w:lang w:eastAsia="nb-NO"/>
        </w:rPr>
        <w:t xml:space="preserve">Det er </w:t>
      </w:r>
      <w:r w:rsidR="009B73DF">
        <w:rPr>
          <w:lang w:eastAsia="nb-NO"/>
        </w:rPr>
        <w:t>tjeneste</w:t>
      </w:r>
      <w:r w:rsidR="008975C3" w:rsidRPr="0055149C">
        <w:rPr>
          <w:lang w:eastAsia="nb-NO"/>
        </w:rPr>
        <w:t>funksjone</w:t>
      </w:r>
      <w:r w:rsidRPr="0055149C">
        <w:rPr>
          <w:lang w:eastAsia="nb-NO"/>
        </w:rPr>
        <w:t xml:space="preserve">r utenfor </w:t>
      </w:r>
      <w:r w:rsidR="009B73DF">
        <w:rPr>
          <w:lang w:eastAsia="nb-NO"/>
        </w:rPr>
        <w:t xml:space="preserve">utgiftsutjevningen </w:t>
      </w:r>
      <w:r w:rsidRPr="0055149C">
        <w:rPr>
          <w:lang w:eastAsia="nb-NO"/>
        </w:rPr>
        <w:t>som viser høyest korrelasjon mellom</w:t>
      </w:r>
      <w:r w:rsidR="008975C3" w:rsidRPr="0055149C">
        <w:rPr>
          <w:lang w:eastAsia="nb-NO"/>
        </w:rPr>
        <w:t xml:space="preserve"> </w:t>
      </w:r>
      <w:r w:rsidR="00FA32F8">
        <w:rPr>
          <w:lang w:eastAsia="nb-NO"/>
        </w:rPr>
        <w:t xml:space="preserve">de </w:t>
      </w:r>
      <w:r w:rsidR="008975C3" w:rsidRPr="0055149C">
        <w:rPr>
          <w:lang w:eastAsia="nb-NO"/>
        </w:rPr>
        <w:t>normaliserte bruttodriftsutgiftene og kapitalkostnadsmålene, herunder samferdsel, kultursektoren</w:t>
      </w:r>
      <w:r w:rsidR="00637FB4">
        <w:rPr>
          <w:lang w:eastAsia="nb-NO"/>
        </w:rPr>
        <w:t>,</w:t>
      </w:r>
      <w:r w:rsidR="008975C3" w:rsidRPr="0055149C">
        <w:rPr>
          <w:lang w:eastAsia="nb-NO"/>
        </w:rPr>
        <w:t xml:space="preserve"> VAR-</w:t>
      </w:r>
      <w:r w:rsidR="008975C3" w:rsidRPr="00637FB4">
        <w:rPr>
          <w:lang w:eastAsia="nb-NO"/>
        </w:rPr>
        <w:t>tjenester</w:t>
      </w:r>
      <w:r w:rsidR="00637FB4" w:rsidRPr="00637FB4">
        <w:rPr>
          <w:lang w:eastAsia="nb-NO"/>
        </w:rPr>
        <w:t xml:space="preserve"> og brann- og ulykkesvern</w:t>
      </w:r>
      <w:r w:rsidR="008975C3" w:rsidRPr="00637FB4">
        <w:rPr>
          <w:lang w:eastAsia="nb-NO"/>
        </w:rPr>
        <w:t>.</w:t>
      </w:r>
      <w:r w:rsidRPr="00637FB4">
        <w:rPr>
          <w:lang w:eastAsia="nb-NO"/>
        </w:rPr>
        <w:t xml:space="preserve"> </w:t>
      </w:r>
      <w:r w:rsidR="00C45FE6" w:rsidRPr="00637FB4">
        <w:rPr>
          <w:lang w:eastAsia="nb-NO"/>
        </w:rPr>
        <w:t xml:space="preserve">For administrasjon, </w:t>
      </w:r>
      <w:r w:rsidR="00803BE4">
        <w:rPr>
          <w:lang w:eastAsia="nb-NO"/>
        </w:rPr>
        <w:t xml:space="preserve">politisk </w:t>
      </w:r>
      <w:r w:rsidR="00C45FE6" w:rsidRPr="00637FB4">
        <w:rPr>
          <w:lang w:eastAsia="nb-NO"/>
        </w:rPr>
        <w:t xml:space="preserve">styring og fellesutgifter ligger korrelasjonskoeffisientene </w:t>
      </w:r>
      <w:r w:rsidR="00637FB4" w:rsidRPr="00637FB4">
        <w:rPr>
          <w:lang w:eastAsia="nb-NO"/>
        </w:rPr>
        <w:t>i underkant av</w:t>
      </w:r>
      <w:r w:rsidR="00C45FE6" w:rsidRPr="00637FB4">
        <w:rPr>
          <w:lang w:eastAsia="nb-NO"/>
        </w:rPr>
        <w:t xml:space="preserve"> 50 prosent for </w:t>
      </w:r>
      <w:r w:rsidR="00637FB4" w:rsidRPr="00637FB4">
        <w:rPr>
          <w:lang w:eastAsia="nb-NO"/>
        </w:rPr>
        <w:t>samtlige kapitalkostnadsmål</w:t>
      </w:r>
      <w:r w:rsidR="00C45FE6" w:rsidRPr="00637FB4">
        <w:rPr>
          <w:lang w:eastAsia="nb-NO"/>
        </w:rPr>
        <w:t>, hvilket er høyest blant funksjonene i det kommunale inntektssystemet. For</w:t>
      </w:r>
      <w:r w:rsidR="00637FB4" w:rsidRPr="00637FB4">
        <w:rPr>
          <w:lang w:eastAsia="nb-NO"/>
        </w:rPr>
        <w:t xml:space="preserve"> helse og omsorg og</w:t>
      </w:r>
      <w:r w:rsidR="00C45FE6" w:rsidRPr="00637FB4">
        <w:rPr>
          <w:lang w:eastAsia="nb-NO"/>
        </w:rPr>
        <w:t xml:space="preserve"> barnehage</w:t>
      </w:r>
      <w:r w:rsidR="00637FB4" w:rsidRPr="00637FB4">
        <w:rPr>
          <w:lang w:eastAsia="nb-NO"/>
        </w:rPr>
        <w:t>r</w:t>
      </w:r>
      <w:r w:rsidR="00C45FE6" w:rsidRPr="00637FB4">
        <w:rPr>
          <w:lang w:eastAsia="nb-NO"/>
        </w:rPr>
        <w:t xml:space="preserve"> </w:t>
      </w:r>
      <w:r w:rsidRPr="00637FB4">
        <w:rPr>
          <w:lang w:eastAsia="nb-NO"/>
        </w:rPr>
        <w:t xml:space="preserve">ligger korrelasjonskoeffisientene i overkant av 40 prosent. </w:t>
      </w:r>
      <w:r w:rsidR="00C45FE6" w:rsidRPr="00637FB4">
        <w:rPr>
          <w:lang w:eastAsia="nb-NO"/>
        </w:rPr>
        <w:t>For barnevernet og grunnskolen ligger korrelasjonskoeffisientene mellom bruttodriftsutgifter og kapitalkostnadsmålene – etter normalisering – kun i overkant av 30 prosent, riktignok nær</w:t>
      </w:r>
      <w:r w:rsidR="00637FB4" w:rsidRPr="00637FB4">
        <w:rPr>
          <w:lang w:eastAsia="nb-NO"/>
        </w:rPr>
        <w:t>mere</w:t>
      </w:r>
      <w:r w:rsidR="00C45FE6" w:rsidRPr="00637FB4">
        <w:rPr>
          <w:lang w:eastAsia="nb-NO"/>
        </w:rPr>
        <w:t xml:space="preserve"> 40 prosent i tilfellet kapitalslitet målt ved DM for barnevernet.</w:t>
      </w:r>
      <w:r w:rsidRPr="0055149C">
        <w:rPr>
          <w:lang w:eastAsia="nb-NO"/>
        </w:rPr>
        <w:t xml:space="preserve"> For sosialsektoren ligger korrelasjonskoeffisientene kun </w:t>
      </w:r>
      <w:r w:rsidR="00637FB4">
        <w:rPr>
          <w:lang w:eastAsia="nb-NO"/>
        </w:rPr>
        <w:t>i intervallet</w:t>
      </w:r>
      <w:r w:rsidRPr="0055149C">
        <w:rPr>
          <w:lang w:eastAsia="nb-NO"/>
        </w:rPr>
        <w:t xml:space="preserve"> 10 </w:t>
      </w:r>
      <w:r w:rsidR="00637FB4">
        <w:rPr>
          <w:lang w:eastAsia="nb-NO"/>
        </w:rPr>
        <w:t xml:space="preserve">til 15 </w:t>
      </w:r>
      <w:r w:rsidRPr="0055149C">
        <w:rPr>
          <w:lang w:eastAsia="nb-NO"/>
        </w:rPr>
        <w:t xml:space="preserve">prosent. Lavest korrelasjon blant de kommunale sektorene finner vi i kirken, der muligens substitusjon mellom leie og eie av eiendom kan bidra til å forklare lav </w:t>
      </w:r>
      <w:r w:rsidR="00154ED6">
        <w:rPr>
          <w:lang w:eastAsia="nb-NO"/>
        </w:rPr>
        <w:t>korrelasjon</w:t>
      </w:r>
      <w:r w:rsidRPr="0055149C">
        <w:rPr>
          <w:lang w:eastAsia="nb-NO"/>
        </w:rPr>
        <w:t>.</w:t>
      </w:r>
    </w:p>
    <w:p w14:paraId="624C4C6F" w14:textId="7D670D02" w:rsidR="00A42921" w:rsidRPr="0055149C" w:rsidRDefault="00A42921" w:rsidP="00A42921">
      <w:pPr>
        <w:pStyle w:val="Bildetekst"/>
        <w:jc w:val="both"/>
      </w:pPr>
      <w:bookmarkStart w:id="127" w:name="_Ref169011325"/>
      <w:r w:rsidRPr="0055149C">
        <w:lastRenderedPageBreak/>
        <w:t xml:space="preserve">Figur </w:t>
      </w:r>
      <w:fldSimple w:instr=" STYLEREF 1 \s ">
        <w:r w:rsidR="009B1DA8">
          <w:rPr>
            <w:noProof/>
          </w:rPr>
          <w:t>4</w:t>
        </w:r>
      </w:fldSimple>
      <w:r w:rsidR="004B03E3">
        <w:t>.</w:t>
      </w:r>
      <w:fldSimple w:instr=" SEQ Figur \* ARABIC \s 1 ">
        <w:r w:rsidR="009B1DA8">
          <w:rPr>
            <w:noProof/>
          </w:rPr>
          <w:t>22</w:t>
        </w:r>
      </w:fldSimple>
      <w:bookmarkEnd w:id="127"/>
      <w:r w:rsidRPr="0055149C">
        <w:tab/>
        <w:t>Korrelasjon mellom bruttodriftsutgifter og utvalgte kapitalkostnadsmål over funksjoner i primærkommunene</w:t>
      </w:r>
      <w:r w:rsidR="00317899" w:rsidRPr="0055149C">
        <w:t>, normalisert per innbygger</w:t>
      </w:r>
    </w:p>
    <w:p w14:paraId="126A9766" w14:textId="5B6772EB" w:rsidR="00E91517" w:rsidRPr="0055149C" w:rsidRDefault="00E91517" w:rsidP="00F45E31">
      <w:pPr>
        <w:jc w:val="center"/>
        <w:rPr>
          <w:lang w:eastAsia="nb-NO"/>
        </w:rPr>
      </w:pPr>
      <w:r>
        <w:rPr>
          <w:noProof/>
          <w:lang w:val="en-US" w:eastAsia="en-US"/>
        </w:rPr>
        <w:drawing>
          <wp:inline distT="0" distB="0" distL="0" distR="0" wp14:anchorId="2AB089AC" wp14:editId="10B3E9C0">
            <wp:extent cx="5364000" cy="4320000"/>
            <wp:effectExtent l="0" t="0" r="8255" b="4445"/>
            <wp:docPr id="84086409" name="Diagram 1">
              <a:extLst xmlns:a="http://schemas.openxmlformats.org/drawingml/2006/main">
                <a:ext uri="{FF2B5EF4-FFF2-40B4-BE49-F238E27FC236}">
                  <a16:creationId xmlns:a16="http://schemas.microsoft.com/office/drawing/2014/main" id="{C3AFC077-1816-5D09-7F98-2614B92D5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CEF8104" w14:textId="1641A914" w:rsidR="00A42921" w:rsidRPr="0055149C" w:rsidRDefault="00A42921" w:rsidP="00A42921">
      <w:pPr>
        <w:pStyle w:val="Billedtekst-forklaring"/>
        <w:ind w:left="0" w:firstLine="0"/>
        <w:rPr>
          <w:shd w:val="clear" w:color="auto" w:fill="468C5C" w:themeFill="accent6"/>
          <w:lang w:eastAsia="nb-NO"/>
        </w:rPr>
      </w:pPr>
      <w:r w:rsidRPr="0055149C">
        <w:t>Forkortelsen dd indikerer disaggregerte kapitaldeflatorer og depresieringsrater.</w:t>
      </w:r>
    </w:p>
    <w:p w14:paraId="1DAABB14" w14:textId="10239AE4" w:rsidR="00975E0D" w:rsidRPr="0055149C" w:rsidRDefault="00A42921" w:rsidP="00975E0D">
      <w:pPr>
        <w:pStyle w:val="Source"/>
        <w:rPr>
          <w:lang w:eastAsia="nb-NO"/>
        </w:rPr>
      </w:pPr>
      <w:r w:rsidRPr="0055149C">
        <w:rPr>
          <w:lang w:eastAsia="nb-NO"/>
        </w:rPr>
        <w:t>Kilde: Vista Analyse</w:t>
      </w:r>
    </w:p>
    <w:p w14:paraId="63344282" w14:textId="11344794" w:rsidR="00F661C2" w:rsidRPr="0055149C" w:rsidRDefault="00F661C2" w:rsidP="007B5D49">
      <w:pPr>
        <w:pStyle w:val="Overskrift4"/>
        <w:numPr>
          <w:ilvl w:val="0"/>
          <w:numId w:val="0"/>
        </w:numPr>
      </w:pPr>
      <w:r w:rsidRPr="0055149C">
        <w:t>Fylkeskommunene</w:t>
      </w:r>
    </w:p>
    <w:p w14:paraId="798780EF" w14:textId="59DD88F2" w:rsidR="000B6244" w:rsidRPr="0055149C" w:rsidRDefault="000B6244" w:rsidP="00F661C2">
      <w:pPr>
        <w:rPr>
          <w:lang w:eastAsia="nb-NO"/>
        </w:rPr>
      </w:pPr>
      <w:r w:rsidRPr="0055149C">
        <w:rPr>
          <w:lang w:eastAsia="nb-NO"/>
        </w:rPr>
        <w:t xml:space="preserve">For fylkeskommunene er det ikke en tilsvarende sammenheng mellom bruttoutgifter per innbygger og befolkningsstørrelse som det er for primærkommunene. Dette framgår av </w:t>
      </w:r>
      <w:r w:rsidRPr="0055149C">
        <w:rPr>
          <w:lang w:eastAsia="nb-NO"/>
        </w:rPr>
        <w:fldChar w:fldCharType="begin"/>
      </w:r>
      <w:r w:rsidRPr="0055149C">
        <w:rPr>
          <w:lang w:eastAsia="nb-NO"/>
        </w:rPr>
        <w:instrText xml:space="preserve"> REF _Ref168402137 </w:instrText>
      </w:r>
      <w:r w:rsidRPr="0055149C">
        <w:rPr>
          <w:lang w:eastAsia="nb-NO"/>
        </w:rPr>
        <w:fldChar w:fldCharType="separate"/>
      </w:r>
      <w:r w:rsidR="009B1DA8" w:rsidRPr="0055149C">
        <w:t xml:space="preserve">Figur </w:t>
      </w:r>
      <w:r w:rsidR="009B1DA8">
        <w:rPr>
          <w:noProof/>
        </w:rPr>
        <w:t>4</w:t>
      </w:r>
      <w:r w:rsidR="009B1DA8">
        <w:t>.</w:t>
      </w:r>
      <w:r w:rsidR="009B1DA8">
        <w:rPr>
          <w:noProof/>
        </w:rPr>
        <w:t>23</w:t>
      </w:r>
      <w:r w:rsidRPr="0055149C">
        <w:rPr>
          <w:lang w:eastAsia="nb-NO"/>
        </w:rPr>
        <w:fldChar w:fldCharType="end"/>
      </w:r>
      <w:r w:rsidRPr="0055149C">
        <w:rPr>
          <w:lang w:eastAsia="nb-NO"/>
        </w:rPr>
        <w:t xml:space="preserve"> under. </w:t>
      </w:r>
      <w:r w:rsidR="00E21A89">
        <w:rPr>
          <w:lang w:eastAsia="nb-NO"/>
        </w:rPr>
        <w:t>K</w:t>
      </w:r>
      <w:r w:rsidRPr="0055149C">
        <w:rPr>
          <w:lang w:eastAsia="nb-NO"/>
        </w:rPr>
        <w:t>ostnadsnivå</w:t>
      </w:r>
      <w:r w:rsidR="00E21A89">
        <w:rPr>
          <w:lang w:eastAsia="nb-NO"/>
        </w:rPr>
        <w:t>et ligger</w:t>
      </w:r>
      <w:r w:rsidRPr="0055149C">
        <w:rPr>
          <w:lang w:eastAsia="nb-NO"/>
        </w:rPr>
        <w:t xml:space="preserve"> like fullt lavere på Østlandet og Sørlandet enn i resten av landet.</w:t>
      </w:r>
    </w:p>
    <w:p w14:paraId="4EF9C69E" w14:textId="4FB8D507" w:rsidR="005565C1" w:rsidRPr="0055149C" w:rsidRDefault="005565C1" w:rsidP="005565C1">
      <w:pPr>
        <w:pStyle w:val="Bildetekst"/>
        <w:jc w:val="both"/>
      </w:pPr>
      <w:bookmarkStart w:id="128" w:name="_Ref168402137"/>
      <w:r w:rsidRPr="0055149C">
        <w:lastRenderedPageBreak/>
        <w:t xml:space="preserve">Figur </w:t>
      </w:r>
      <w:fldSimple w:instr=" STYLEREF 1 \s ">
        <w:r w:rsidR="009B1DA8">
          <w:rPr>
            <w:noProof/>
          </w:rPr>
          <w:t>4</w:t>
        </w:r>
      </w:fldSimple>
      <w:r w:rsidR="004B03E3">
        <w:t>.</w:t>
      </w:r>
      <w:fldSimple w:instr=" SEQ Figur \* ARABIC \s 1 ">
        <w:r w:rsidR="009B1DA8">
          <w:rPr>
            <w:noProof/>
          </w:rPr>
          <w:t>23</w:t>
        </w:r>
      </w:fldSimple>
      <w:bookmarkEnd w:id="128"/>
      <w:r w:rsidRPr="0055149C">
        <w:tab/>
        <w:t>Plott for sammenhengen mellom bruttodriftsutgifter per innbygger og befolkningsstørrelsen over fylkeskommunene målt ved logaritmisk skal</w:t>
      </w:r>
      <w:r w:rsidR="00F729EA" w:rsidRPr="0055149C">
        <w:t>a</w:t>
      </w:r>
      <w:r w:rsidRPr="0055149C">
        <w:t xml:space="preserve"> over</w:t>
      </w:r>
      <w:r w:rsidR="00F729EA" w:rsidRPr="0055149C">
        <w:t xml:space="preserve"> NUTS2-landsdeler</w:t>
      </w:r>
    </w:p>
    <w:p w14:paraId="4255B038" w14:textId="4F03CA4A" w:rsidR="00F661C2" w:rsidRPr="0055149C" w:rsidRDefault="00E21A89" w:rsidP="00F45E31">
      <w:pPr>
        <w:jc w:val="center"/>
        <w:rPr>
          <w:lang w:eastAsia="nb-NO"/>
        </w:rPr>
      </w:pPr>
      <w:r>
        <w:rPr>
          <w:noProof/>
          <w:lang w:val="en-US" w:eastAsia="en-US"/>
        </w:rPr>
        <w:drawing>
          <wp:inline distT="0" distB="0" distL="0" distR="0" wp14:anchorId="5F745378" wp14:editId="312BE3C5">
            <wp:extent cx="5364000" cy="2880000"/>
            <wp:effectExtent l="0" t="0" r="8255" b="0"/>
            <wp:docPr id="1161039414" name="Diagram 1">
              <a:extLst xmlns:a="http://schemas.openxmlformats.org/drawingml/2006/main">
                <a:ext uri="{FF2B5EF4-FFF2-40B4-BE49-F238E27FC236}">
                  <a16:creationId xmlns:a16="http://schemas.microsoft.com/office/drawing/2014/main" id="{79F26429-DF0D-40DF-85CF-D97997A98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188E555" w14:textId="26E83389" w:rsidR="0081584F" w:rsidRPr="0055149C" w:rsidRDefault="00BE04DE" w:rsidP="0081584F">
      <w:pPr>
        <w:pStyle w:val="Billedtekst-forklaring"/>
        <w:ind w:left="0" w:firstLine="0"/>
        <w:rPr>
          <w:shd w:val="clear" w:color="auto" w:fill="468C5C" w:themeFill="accent6"/>
          <w:lang w:eastAsia="nb-NO"/>
        </w:rPr>
      </w:pPr>
      <w:r>
        <w:t>I f</w:t>
      </w:r>
      <w:r w:rsidR="0081584F" w:rsidRPr="0055149C">
        <w:t xml:space="preserve">orkortelsene dd, ad, da og aa angir første og andre bokstav om henholdsvis kapitaldeflatorene og depresieringsratene er aggregerte (a) eller disaggregerte (d). f og l som følger angir om eventuelle avkastningskrav er fast eller løpende. Angivelse av fargekoder for NUTS2-landsdeler: </w:t>
      </w:r>
      <w:r w:rsidR="0081584F" w:rsidRPr="0055149C">
        <w:rPr>
          <w:shd w:val="clear" w:color="auto" w:fill="A60E24" w:themeFill="accent5"/>
          <w:lang w:eastAsia="nb-NO"/>
        </w:rPr>
        <w:t>Nord-Norge</w:t>
      </w:r>
      <w:r w:rsidR="0081584F" w:rsidRPr="0055149C">
        <w:rPr>
          <w:lang w:eastAsia="nb-NO"/>
        </w:rPr>
        <w:t xml:space="preserve">, </w:t>
      </w:r>
      <w:r w:rsidR="0081584F" w:rsidRPr="0055149C">
        <w:rPr>
          <w:shd w:val="clear" w:color="auto" w:fill="F48594" w:themeFill="accent5" w:themeFillTint="66"/>
          <w:lang w:eastAsia="nb-NO"/>
        </w:rPr>
        <w:t>Midt-Norge</w:t>
      </w:r>
      <w:r w:rsidR="0081584F" w:rsidRPr="0055149C">
        <w:rPr>
          <w:lang w:eastAsia="nb-NO"/>
        </w:rPr>
        <w:t xml:space="preserve">, </w:t>
      </w:r>
      <w:r w:rsidR="0081584F" w:rsidRPr="0055149C">
        <w:rPr>
          <w:shd w:val="clear" w:color="auto" w:fill="FABF8F" w:themeFill="accent4" w:themeFillTint="99"/>
          <w:lang w:eastAsia="nb-NO"/>
        </w:rPr>
        <w:t>Vestlandet</w:t>
      </w:r>
      <w:r w:rsidR="0081584F" w:rsidRPr="0055149C">
        <w:rPr>
          <w:lang w:eastAsia="nb-NO"/>
        </w:rPr>
        <w:t xml:space="preserve">, </w:t>
      </w:r>
      <w:r w:rsidR="0081584F" w:rsidRPr="0055149C">
        <w:rPr>
          <w:shd w:val="clear" w:color="auto" w:fill="CCCC00"/>
          <w:lang w:eastAsia="nb-NO"/>
        </w:rPr>
        <w:t>Sørlandet og Sørøst-Norge</w:t>
      </w:r>
      <w:r w:rsidR="0081584F" w:rsidRPr="0055149C">
        <w:rPr>
          <w:lang w:eastAsia="nb-NO"/>
        </w:rPr>
        <w:t xml:space="preserve">, </w:t>
      </w:r>
      <w:r w:rsidR="0081584F" w:rsidRPr="0055149C">
        <w:rPr>
          <w:shd w:val="clear" w:color="auto" w:fill="AFD7BB" w:themeFill="accent6" w:themeFillTint="66"/>
          <w:lang w:eastAsia="nb-NO"/>
        </w:rPr>
        <w:t>Innlandet</w:t>
      </w:r>
      <w:r w:rsidR="0081584F" w:rsidRPr="0055149C">
        <w:rPr>
          <w:lang w:eastAsia="nb-NO"/>
        </w:rPr>
        <w:t xml:space="preserve"> og </w:t>
      </w:r>
      <w:r w:rsidR="0081584F" w:rsidRPr="0055149C">
        <w:rPr>
          <w:shd w:val="clear" w:color="auto" w:fill="468C5C" w:themeFill="accent6"/>
          <w:lang w:eastAsia="nb-NO"/>
        </w:rPr>
        <w:t>Oslo og Viken</w:t>
      </w:r>
    </w:p>
    <w:p w14:paraId="73E29114" w14:textId="77777777" w:rsidR="00F729EA" w:rsidRPr="0055149C" w:rsidRDefault="00F729EA" w:rsidP="00F729EA">
      <w:pPr>
        <w:pStyle w:val="Source"/>
        <w:rPr>
          <w:lang w:eastAsia="nb-NO"/>
        </w:rPr>
      </w:pPr>
      <w:r w:rsidRPr="0055149C">
        <w:rPr>
          <w:lang w:eastAsia="nb-NO"/>
        </w:rPr>
        <w:t>Kilde: Vista Analyses bearbeidinger av data fra Statistisk sentralbyrå</w:t>
      </w:r>
    </w:p>
    <w:p w14:paraId="13077CA3" w14:textId="48D000DB" w:rsidR="00426428" w:rsidRDefault="00B542B7" w:rsidP="00F661C2">
      <w:pPr>
        <w:rPr>
          <w:lang w:eastAsia="nb-NO"/>
        </w:rPr>
      </w:pPr>
      <w:r w:rsidRPr="003969CB">
        <w:rPr>
          <w:lang w:eastAsia="nb-NO"/>
        </w:rPr>
        <w:t>I hovedsak er korrelasjonen mellom kapitalkostnadsmålene</w:t>
      </w:r>
      <w:r w:rsidR="003969CB">
        <w:rPr>
          <w:lang w:eastAsia="nb-NO"/>
        </w:rPr>
        <w:t xml:space="preserve"> </w:t>
      </w:r>
      <w:r w:rsidRPr="003969CB">
        <w:rPr>
          <w:lang w:eastAsia="nb-NO"/>
        </w:rPr>
        <w:t>og driftsregnskapspostene</w:t>
      </w:r>
      <w:r w:rsidR="003969CB">
        <w:rPr>
          <w:lang w:eastAsia="nb-NO"/>
        </w:rPr>
        <w:t>, normalisert</w:t>
      </w:r>
      <w:r w:rsidRPr="003969CB">
        <w:rPr>
          <w:lang w:eastAsia="nb-NO"/>
        </w:rPr>
        <w:t xml:space="preserve"> </w:t>
      </w:r>
      <w:r w:rsidR="003969CB">
        <w:rPr>
          <w:lang w:eastAsia="nb-NO"/>
        </w:rPr>
        <w:t>per innbygger, av samme sterke størrelsesorden for fylkeskommunene som for primærkommunene med noen variasjoner. Dette framgår av</w:t>
      </w:r>
      <w:r w:rsidR="003969CB" w:rsidRPr="003969CB">
        <w:rPr>
          <w:lang w:eastAsia="nb-NO"/>
        </w:rPr>
        <w:t xml:space="preserve"> </w:t>
      </w:r>
      <w:r w:rsidR="003969CB" w:rsidRPr="003969CB">
        <w:rPr>
          <w:lang w:eastAsia="nb-NO"/>
        </w:rPr>
        <w:fldChar w:fldCharType="begin"/>
      </w:r>
      <w:r w:rsidR="003969CB" w:rsidRPr="003969CB">
        <w:rPr>
          <w:lang w:eastAsia="nb-NO"/>
        </w:rPr>
        <w:instrText xml:space="preserve"> REF _Ref169004881 \h  \* MERGEFORMAT </w:instrText>
      </w:r>
      <w:r w:rsidR="003969CB" w:rsidRPr="003969CB">
        <w:rPr>
          <w:lang w:eastAsia="nb-NO"/>
        </w:rPr>
      </w:r>
      <w:r w:rsidR="003969CB" w:rsidRPr="003969CB">
        <w:rPr>
          <w:lang w:eastAsia="nb-NO"/>
        </w:rPr>
        <w:fldChar w:fldCharType="separate"/>
      </w:r>
      <w:r w:rsidR="009B1DA8" w:rsidRPr="0055149C">
        <w:t xml:space="preserve">Tabell </w:t>
      </w:r>
      <w:r w:rsidR="009B1DA8">
        <w:rPr>
          <w:noProof/>
        </w:rPr>
        <w:t>4</w:t>
      </w:r>
      <w:r w:rsidR="009B1DA8" w:rsidRPr="0055149C">
        <w:t>.</w:t>
      </w:r>
      <w:r w:rsidR="009B1DA8">
        <w:rPr>
          <w:noProof/>
        </w:rPr>
        <w:t>6</w:t>
      </w:r>
      <w:r w:rsidR="003969CB" w:rsidRPr="003969CB">
        <w:rPr>
          <w:lang w:eastAsia="nb-NO"/>
        </w:rPr>
        <w:fldChar w:fldCharType="end"/>
      </w:r>
      <w:r w:rsidR="003969CB">
        <w:rPr>
          <w:lang w:eastAsia="nb-NO"/>
        </w:rPr>
        <w:t>. Korrelasjonskoeffisientene som involverer bruttoinvesteringsvariablene</w:t>
      </w:r>
      <w:r w:rsidR="00187F6C">
        <w:rPr>
          <w:lang w:eastAsia="nb-NO"/>
        </w:rPr>
        <w:t>,</w:t>
      </w:r>
      <w:r w:rsidR="003969CB">
        <w:rPr>
          <w:lang w:eastAsia="nb-NO"/>
        </w:rPr>
        <w:t xml:space="preserve"> er imidlertid vesentlig høyere for fylkeskommunene og skiller seg i </w:t>
      </w:r>
      <w:r w:rsidR="008A45F0">
        <w:rPr>
          <w:lang w:eastAsia="nb-NO"/>
        </w:rPr>
        <w:t>mindre</w:t>
      </w:r>
      <w:r w:rsidR="003969CB">
        <w:rPr>
          <w:lang w:eastAsia="nb-NO"/>
        </w:rPr>
        <w:t xml:space="preserve"> grad fra de andre kapitalkostnadsmålene. Utover dette er kapitalkostnadenes korrelasjonskoeffisienter langt lavere for bruttodriftsinntektene, men også til dels for l</w:t>
      </w:r>
      <w:r w:rsidR="003969CB" w:rsidRPr="003969CB">
        <w:rPr>
          <w:lang w:eastAsia="nb-NO"/>
        </w:rPr>
        <w:t>ønnsutgifter</w:t>
      </w:r>
      <w:r w:rsidR="003969CB">
        <w:rPr>
          <w:lang w:eastAsia="nb-NO"/>
        </w:rPr>
        <w:t xml:space="preserve"> og k</w:t>
      </w:r>
      <w:r w:rsidR="003969CB" w:rsidRPr="003969CB">
        <w:rPr>
          <w:lang w:eastAsia="nb-NO"/>
        </w:rPr>
        <w:t>orrigerte bruttodriftsutgifter</w:t>
      </w:r>
      <w:r w:rsidR="003969CB">
        <w:rPr>
          <w:lang w:eastAsia="nb-NO"/>
        </w:rPr>
        <w:t>.</w:t>
      </w:r>
    </w:p>
    <w:p w14:paraId="5901DFA9" w14:textId="4EE6F3D5" w:rsidR="00426428" w:rsidRDefault="0034166A" w:rsidP="00F661C2">
      <w:pPr>
        <w:rPr>
          <w:lang w:eastAsia="nb-NO"/>
        </w:rPr>
      </w:pPr>
      <w:r w:rsidRPr="0034166A">
        <w:rPr>
          <w:lang w:eastAsia="nb-NO"/>
        </w:rPr>
        <w:t xml:space="preserve">Igjen vil vi framheve Oslo som et spesielt tilfelle. For det første fungerer hovedstaden i praksis både som en primærkommune og en fylkeskommune. For det andre har vi selv vært nødt til å beregne splitten mellom primærkommunal og fylkeskommunal aktivitet </w:t>
      </w:r>
      <w:r w:rsidR="00426428" w:rsidRPr="00426428">
        <w:rPr>
          <w:lang w:eastAsia="nb-NO"/>
        </w:rPr>
        <w:t xml:space="preserve">(jamfør seksjon </w:t>
      </w:r>
      <w:r w:rsidR="00426428" w:rsidRPr="00426428">
        <w:rPr>
          <w:lang w:eastAsia="nb-NO"/>
        </w:rPr>
        <w:fldChar w:fldCharType="begin"/>
      </w:r>
      <w:r w:rsidR="00426428" w:rsidRPr="00426428">
        <w:rPr>
          <w:lang w:eastAsia="nb-NO"/>
        </w:rPr>
        <w:instrText xml:space="preserve"> REF _Ref166249059 \r \h </w:instrText>
      </w:r>
      <w:r w:rsidR="00426428">
        <w:rPr>
          <w:lang w:eastAsia="nb-NO"/>
        </w:rPr>
        <w:instrText xml:space="preserve"> \* MERGEFORMAT </w:instrText>
      </w:r>
      <w:r w:rsidR="00426428" w:rsidRPr="00426428">
        <w:rPr>
          <w:lang w:eastAsia="nb-NO"/>
        </w:rPr>
      </w:r>
      <w:r w:rsidR="00426428" w:rsidRPr="00426428">
        <w:rPr>
          <w:lang w:eastAsia="nb-NO"/>
        </w:rPr>
        <w:fldChar w:fldCharType="separate"/>
      </w:r>
      <w:r w:rsidR="009B1DA8">
        <w:rPr>
          <w:lang w:eastAsia="nb-NO"/>
        </w:rPr>
        <w:t>3.1.1</w:t>
      </w:r>
      <w:r w:rsidR="00426428" w:rsidRPr="00426428">
        <w:rPr>
          <w:lang w:eastAsia="nb-NO"/>
        </w:rPr>
        <w:fldChar w:fldCharType="end"/>
      </w:r>
      <w:r w:rsidR="00426428" w:rsidRPr="00426428">
        <w:rPr>
          <w:lang w:eastAsia="nb-NO"/>
        </w:rPr>
        <w:t>) med tilhørende fare for målefeil. I</w:t>
      </w:r>
      <w:r w:rsidR="00841A79" w:rsidRPr="00426428">
        <w:rPr>
          <w:lang w:eastAsia="nb-NO"/>
        </w:rPr>
        <w:t xml:space="preserve"> </w:t>
      </w:r>
      <w:r w:rsidR="00AA4635" w:rsidRPr="00426428">
        <w:rPr>
          <w:lang w:eastAsia="nb-NO"/>
        </w:rPr>
        <w:fldChar w:fldCharType="begin"/>
      </w:r>
      <w:r w:rsidR="00AA4635" w:rsidRPr="00426428">
        <w:rPr>
          <w:lang w:eastAsia="nb-NO"/>
        </w:rPr>
        <w:instrText xml:space="preserve"> REF _Ref169004902 \h </w:instrText>
      </w:r>
      <w:r w:rsidR="009923DD" w:rsidRPr="00426428">
        <w:rPr>
          <w:lang w:eastAsia="nb-NO"/>
        </w:rPr>
        <w:instrText xml:space="preserve"> \* MERGEFORMAT </w:instrText>
      </w:r>
      <w:r w:rsidR="00AA4635" w:rsidRPr="00426428">
        <w:rPr>
          <w:lang w:eastAsia="nb-NO"/>
        </w:rPr>
      </w:r>
      <w:r w:rsidR="00AA4635" w:rsidRPr="00426428">
        <w:rPr>
          <w:lang w:eastAsia="nb-NO"/>
        </w:rPr>
        <w:fldChar w:fldCharType="separate"/>
      </w:r>
      <w:r w:rsidR="009B1DA8" w:rsidRPr="0055149C">
        <w:t xml:space="preserve">Tabell </w:t>
      </w:r>
      <w:r w:rsidR="009B1DA8">
        <w:rPr>
          <w:noProof/>
        </w:rPr>
        <w:t>4</w:t>
      </w:r>
      <w:r w:rsidR="009B1DA8" w:rsidRPr="0055149C">
        <w:t>.</w:t>
      </w:r>
      <w:r w:rsidR="009B1DA8">
        <w:rPr>
          <w:noProof/>
        </w:rPr>
        <w:t>7</w:t>
      </w:r>
      <w:r w:rsidR="00AA4635" w:rsidRPr="00426428">
        <w:rPr>
          <w:lang w:eastAsia="nb-NO"/>
        </w:rPr>
        <w:fldChar w:fldCharType="end"/>
      </w:r>
      <w:r w:rsidR="00841A79" w:rsidRPr="00426428">
        <w:rPr>
          <w:lang w:eastAsia="nb-NO"/>
        </w:rPr>
        <w:t xml:space="preserve"> </w:t>
      </w:r>
      <w:r w:rsidR="00426428" w:rsidRPr="00426428">
        <w:rPr>
          <w:lang w:eastAsia="nb-NO"/>
        </w:rPr>
        <w:t>gjengir</w:t>
      </w:r>
      <w:r w:rsidR="00841A79" w:rsidRPr="00426428">
        <w:rPr>
          <w:lang w:eastAsia="nb-NO"/>
        </w:rPr>
        <w:t xml:space="preserve"> vi derfor korrelasjonene mellom </w:t>
      </w:r>
      <w:r w:rsidR="00426428" w:rsidRPr="00426428">
        <w:rPr>
          <w:lang w:eastAsia="nb-NO"/>
        </w:rPr>
        <w:t xml:space="preserve">de normaliserte </w:t>
      </w:r>
      <w:r w:rsidR="00841A79" w:rsidRPr="00426428">
        <w:rPr>
          <w:lang w:eastAsia="nb-NO"/>
        </w:rPr>
        <w:t>kapitalkostnadsmålene og driftsregnskapspostene i fylkeskommunene utenom Oslo.</w:t>
      </w:r>
      <w:r w:rsidR="00426428">
        <w:rPr>
          <w:lang w:eastAsia="nb-NO"/>
        </w:rPr>
        <w:t xml:space="preserve"> Kapitalkostnadenes korrelasjoner med driftsregnskapspostene </w:t>
      </w:r>
      <w:r w:rsidR="00FA32F8">
        <w:rPr>
          <w:lang w:eastAsia="nb-NO"/>
        </w:rPr>
        <w:t xml:space="preserve">er </w:t>
      </w:r>
      <w:r w:rsidR="00426428">
        <w:rPr>
          <w:lang w:eastAsia="nb-NO"/>
        </w:rPr>
        <w:t>litt svakere når Oslo tas ut. Unntakene er korrelasjonskoeffisientene med bruttodriftsinntekter, som blir langt sterkere</w:t>
      </w:r>
      <w:r w:rsidR="008A45F0" w:rsidRPr="008A45F0">
        <w:rPr>
          <w:lang w:eastAsia="nb-NO"/>
        </w:rPr>
        <w:t xml:space="preserve"> </w:t>
      </w:r>
      <w:r w:rsidR="008A45F0">
        <w:rPr>
          <w:lang w:eastAsia="nb-NO"/>
        </w:rPr>
        <w:t>uten Oslo</w:t>
      </w:r>
      <w:r w:rsidR="00426428">
        <w:rPr>
          <w:lang w:eastAsia="nb-NO"/>
        </w:rPr>
        <w:t>, og korrelasjonskoeffisientene med lønnsutgifter, som blir langt svakere.</w:t>
      </w:r>
    </w:p>
    <w:p w14:paraId="7A4AFA6A" w14:textId="0F163526" w:rsidR="00A42921" w:rsidRPr="0055149C" w:rsidRDefault="00426428" w:rsidP="00F661C2">
      <w:pPr>
        <w:rPr>
          <w:lang w:eastAsia="nb-NO"/>
        </w:rPr>
        <w:sectPr w:rsidR="00A42921" w:rsidRPr="0055149C" w:rsidSect="00F661C2">
          <w:headerReference w:type="default" r:id="rId109"/>
          <w:footerReference w:type="default" r:id="rId110"/>
          <w:pgSz w:w="11906" w:h="16838" w:code="9"/>
          <w:pgMar w:top="1418" w:right="1418" w:bottom="1418" w:left="1985" w:header="567" w:footer="284" w:gutter="0"/>
          <w:cols w:space="708"/>
          <w:docGrid w:linePitch="360"/>
        </w:sectPr>
      </w:pPr>
      <w:r>
        <w:rPr>
          <w:lang w:eastAsia="nb-NO"/>
        </w:rPr>
        <w:t>I</w:t>
      </w:r>
      <w:r w:rsidRPr="0055149C">
        <w:rPr>
          <w:lang w:eastAsia="nb-NO"/>
        </w:rPr>
        <w:t xml:space="preserve"> </w:t>
      </w:r>
      <w:r w:rsidRPr="0055149C">
        <w:rPr>
          <w:lang w:eastAsia="nb-NO"/>
        </w:rPr>
        <w:fldChar w:fldCharType="begin"/>
      </w:r>
      <w:r w:rsidRPr="0055149C">
        <w:rPr>
          <w:lang w:eastAsia="nb-NO"/>
        </w:rPr>
        <w:instrText xml:space="preserve"> REF _Ref168404348 </w:instrText>
      </w:r>
      <w:r w:rsidRPr="0055149C">
        <w:rPr>
          <w:lang w:eastAsia="nb-NO"/>
        </w:rPr>
        <w:fldChar w:fldCharType="separate"/>
      </w:r>
      <w:r w:rsidR="009B1DA8" w:rsidRPr="0055149C">
        <w:t xml:space="preserve">Figur </w:t>
      </w:r>
      <w:r w:rsidR="009B1DA8">
        <w:rPr>
          <w:noProof/>
        </w:rPr>
        <w:t>4</w:t>
      </w:r>
      <w:r w:rsidR="009B1DA8">
        <w:t>.</w:t>
      </w:r>
      <w:r w:rsidR="009B1DA8">
        <w:rPr>
          <w:noProof/>
        </w:rPr>
        <w:t>24</w:t>
      </w:r>
      <w:r w:rsidRPr="0055149C">
        <w:rPr>
          <w:lang w:eastAsia="nb-NO"/>
        </w:rPr>
        <w:fldChar w:fldCharType="end"/>
      </w:r>
      <w:r w:rsidR="00323487">
        <w:rPr>
          <w:lang w:eastAsia="nb-NO"/>
        </w:rPr>
        <w:t xml:space="preserve"> har vi </w:t>
      </w:r>
      <w:r w:rsidR="00EA65A4">
        <w:rPr>
          <w:lang w:eastAsia="nb-NO"/>
        </w:rPr>
        <w:t xml:space="preserve">illustrert korrelasjonen mellom bruttodriftsutgiftene og kapitalkostnadsmålene, normalisert per innbygger. Figuren viser gjennomgående høy korrelasjon, der Oslo og deretter de andre fylkene på </w:t>
      </w:r>
      <w:r w:rsidR="00EA65A4" w:rsidRPr="0055149C">
        <w:rPr>
          <w:lang w:eastAsia="nb-NO"/>
        </w:rPr>
        <w:t>Østlandet og Sørlandet</w:t>
      </w:r>
      <w:r w:rsidR="00EA65A4">
        <w:rPr>
          <w:lang w:eastAsia="nb-NO"/>
        </w:rPr>
        <w:t xml:space="preserve"> skiller seg fra resten av landet ved ha både relativt lave </w:t>
      </w:r>
      <w:r w:rsidR="00FC472B">
        <w:rPr>
          <w:lang w:eastAsia="nb-NO"/>
        </w:rPr>
        <w:t>kapitalkostnader og relativt lave bruttodrift</w:t>
      </w:r>
      <w:r w:rsidR="00CC6193">
        <w:rPr>
          <w:lang w:eastAsia="nb-NO"/>
        </w:rPr>
        <w:t>s</w:t>
      </w:r>
      <w:r w:rsidR="00FC472B">
        <w:rPr>
          <w:lang w:eastAsia="nb-NO"/>
        </w:rPr>
        <w:t>utgifter. Det er naturlig å se mønstrene i sammenheng med fylkenes geografi og kostnadene knyttet til særlig fylkeskommunal samferdsel</w:t>
      </w:r>
      <w:r w:rsidR="00A42921" w:rsidRPr="0055149C">
        <w:rPr>
          <w:lang w:eastAsia="nb-NO"/>
        </w:rPr>
        <w:t>.</w:t>
      </w:r>
    </w:p>
    <w:p w14:paraId="223618C6" w14:textId="5CD70104" w:rsidR="005566A3" w:rsidRPr="0055149C" w:rsidRDefault="00F661C2" w:rsidP="005566A3">
      <w:pPr>
        <w:pStyle w:val="Bildetekst"/>
      </w:pPr>
      <w:bookmarkStart w:id="129" w:name="_Ref169004881"/>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6</w:t>
        </w:r>
      </w:fldSimple>
      <w:bookmarkEnd w:id="129"/>
      <w:r w:rsidR="005566A3" w:rsidRPr="0055149C">
        <w:tab/>
        <w:t>Korrelasjon mellom realkapitalkostnadsestimater per innbygger og d</w:t>
      </w:r>
      <w:r w:rsidR="00C70037" w:rsidRPr="0055149C">
        <w:t>riftsregnskapsposter</w:t>
      </w:r>
      <w:r w:rsidR="005566A3" w:rsidRPr="0055149C">
        <w:t xml:space="preserve"> per innbygger i </w:t>
      </w:r>
      <w:r w:rsidR="00D27595" w:rsidRPr="0055149C">
        <w:t>fylkes</w:t>
      </w:r>
      <w:r w:rsidR="005566A3" w:rsidRPr="0055149C">
        <w:t>kommune</w:t>
      </w:r>
      <w:r w:rsidR="001574EB" w:rsidRPr="0055149C">
        <w:t>ne</w:t>
      </w:r>
      <w:r w:rsidR="005566A3" w:rsidRPr="0055149C">
        <w:t xml:space="preserve"> i 2022</w:t>
      </w:r>
    </w:p>
    <w:tbl>
      <w:tblPr>
        <w:tblW w:w="13440" w:type="dxa"/>
        <w:tblCellMar>
          <w:left w:w="70" w:type="dxa"/>
          <w:right w:w="70" w:type="dxa"/>
        </w:tblCellMar>
        <w:tblLook w:val="04A0" w:firstRow="1" w:lastRow="0" w:firstColumn="1" w:lastColumn="0" w:noHBand="0" w:noVBand="1"/>
      </w:tblPr>
      <w:tblGrid>
        <w:gridCol w:w="3360"/>
        <w:gridCol w:w="1700"/>
        <w:gridCol w:w="1694"/>
        <w:gridCol w:w="1850"/>
        <w:gridCol w:w="1680"/>
        <w:gridCol w:w="1680"/>
        <w:gridCol w:w="1680"/>
      </w:tblGrid>
      <w:tr w:rsidR="003969CB" w:rsidRPr="003969CB" w14:paraId="7F266297" w14:textId="77777777" w:rsidTr="003969CB">
        <w:trPr>
          <w:trHeight w:val="552"/>
        </w:trPr>
        <w:tc>
          <w:tcPr>
            <w:tcW w:w="3360" w:type="dxa"/>
            <w:tcBorders>
              <w:top w:val="single" w:sz="4" w:space="0" w:color="auto"/>
              <w:left w:val="single" w:sz="4" w:space="0" w:color="auto"/>
              <w:bottom w:val="nil"/>
              <w:right w:val="nil"/>
            </w:tcBorders>
            <w:shd w:val="clear" w:color="000000" w:fill="3672B0"/>
            <w:noWrap/>
            <w:vAlign w:val="center"/>
            <w:hideMark/>
          </w:tcPr>
          <w:p w14:paraId="5946BC6C" w14:textId="77777777" w:rsidR="003969CB" w:rsidRPr="003969CB" w:rsidRDefault="003969CB" w:rsidP="003969CB">
            <w:pPr>
              <w:spacing w:before="0" w:line="240" w:lineRule="auto"/>
              <w:jc w:val="left"/>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Variabler</w:t>
            </w:r>
          </w:p>
        </w:tc>
        <w:tc>
          <w:tcPr>
            <w:tcW w:w="1680" w:type="dxa"/>
            <w:tcBorders>
              <w:top w:val="single" w:sz="4" w:space="0" w:color="auto"/>
              <w:left w:val="nil"/>
              <w:bottom w:val="nil"/>
              <w:right w:val="nil"/>
            </w:tcBorders>
            <w:shd w:val="clear" w:color="000000" w:fill="3672B0"/>
            <w:vAlign w:val="center"/>
            <w:hideMark/>
          </w:tcPr>
          <w:p w14:paraId="09B7626A"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Bruttodriftsutgifter</w:t>
            </w:r>
          </w:p>
        </w:tc>
        <w:tc>
          <w:tcPr>
            <w:tcW w:w="1680" w:type="dxa"/>
            <w:tcBorders>
              <w:top w:val="single" w:sz="4" w:space="0" w:color="auto"/>
              <w:left w:val="nil"/>
              <w:bottom w:val="nil"/>
              <w:right w:val="nil"/>
            </w:tcBorders>
            <w:shd w:val="clear" w:color="000000" w:fill="3672B0"/>
            <w:vAlign w:val="center"/>
            <w:hideMark/>
          </w:tcPr>
          <w:p w14:paraId="5B47348E"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Korrigerte bruttodriftsutgifter</w:t>
            </w:r>
          </w:p>
        </w:tc>
        <w:tc>
          <w:tcPr>
            <w:tcW w:w="1680" w:type="dxa"/>
            <w:tcBorders>
              <w:top w:val="single" w:sz="4" w:space="0" w:color="auto"/>
              <w:left w:val="nil"/>
              <w:bottom w:val="nil"/>
              <w:right w:val="nil"/>
            </w:tcBorders>
            <w:shd w:val="clear" w:color="000000" w:fill="3672B0"/>
            <w:vAlign w:val="center"/>
            <w:hideMark/>
          </w:tcPr>
          <w:p w14:paraId="55B80054" w14:textId="4B7ED4E3"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w:t>
            </w:r>
            <w:r>
              <w:rPr>
                <w:rFonts w:ascii="Aptos Narrow" w:eastAsia="Times New Roman" w:hAnsi="Aptos Narrow" w:cs="Times New Roman"/>
                <w:b/>
                <w:bCs/>
                <w:color w:val="FFFFFF"/>
                <w:sz w:val="20"/>
                <w:szCs w:val="20"/>
                <w:lang w:eastAsia="nb-NO"/>
              </w:rPr>
              <w:t>drifts</w:t>
            </w:r>
            <w:r w:rsidRPr="003969CB">
              <w:rPr>
                <w:rFonts w:ascii="Aptos Narrow" w:eastAsia="Times New Roman" w:hAnsi="Aptos Narrow" w:cs="Times New Roman"/>
                <w:b/>
                <w:bCs/>
                <w:color w:val="FFFFFF"/>
                <w:sz w:val="20"/>
                <w:szCs w:val="20"/>
                <w:lang w:eastAsia="nb-NO"/>
              </w:rPr>
              <w:t>inntekter</w:t>
            </w:r>
          </w:p>
        </w:tc>
        <w:tc>
          <w:tcPr>
            <w:tcW w:w="1680" w:type="dxa"/>
            <w:tcBorders>
              <w:top w:val="single" w:sz="4" w:space="0" w:color="auto"/>
              <w:left w:val="nil"/>
              <w:bottom w:val="nil"/>
              <w:right w:val="nil"/>
            </w:tcBorders>
            <w:shd w:val="clear" w:color="000000" w:fill="3672B0"/>
            <w:vAlign w:val="center"/>
            <w:hideMark/>
          </w:tcPr>
          <w:p w14:paraId="0EF18111"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Nettodriftsutgifter</w:t>
            </w:r>
          </w:p>
        </w:tc>
        <w:tc>
          <w:tcPr>
            <w:tcW w:w="1680" w:type="dxa"/>
            <w:tcBorders>
              <w:top w:val="single" w:sz="4" w:space="0" w:color="auto"/>
              <w:left w:val="nil"/>
              <w:bottom w:val="nil"/>
              <w:right w:val="nil"/>
            </w:tcBorders>
            <w:shd w:val="clear" w:color="000000" w:fill="3672B0"/>
            <w:vAlign w:val="center"/>
            <w:hideMark/>
          </w:tcPr>
          <w:p w14:paraId="61F127E4"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Lønnsutgifter</w:t>
            </w:r>
          </w:p>
        </w:tc>
        <w:tc>
          <w:tcPr>
            <w:tcW w:w="1680" w:type="dxa"/>
            <w:tcBorders>
              <w:top w:val="single" w:sz="4" w:space="0" w:color="auto"/>
              <w:left w:val="nil"/>
              <w:bottom w:val="nil"/>
              <w:right w:val="nil"/>
            </w:tcBorders>
            <w:shd w:val="clear" w:color="000000" w:fill="3672B0"/>
            <w:vAlign w:val="center"/>
            <w:hideMark/>
          </w:tcPr>
          <w:p w14:paraId="7B9430F0"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Produktinnsats og nettofordringstap</w:t>
            </w:r>
          </w:p>
        </w:tc>
      </w:tr>
      <w:tr w:rsidR="003969CB" w:rsidRPr="003969CB" w14:paraId="5183673D" w14:textId="77777777" w:rsidTr="003969CB">
        <w:trPr>
          <w:trHeight w:val="276"/>
        </w:trPr>
        <w:tc>
          <w:tcPr>
            <w:tcW w:w="3360" w:type="dxa"/>
            <w:tcBorders>
              <w:top w:val="single" w:sz="4" w:space="0" w:color="auto"/>
              <w:left w:val="single" w:sz="4" w:space="0" w:color="auto"/>
              <w:bottom w:val="nil"/>
              <w:right w:val="single" w:sz="4" w:space="0" w:color="auto"/>
            </w:tcBorders>
            <w:shd w:val="clear" w:color="000000" w:fill="A9C6E4"/>
            <w:vAlign w:val="center"/>
            <w:hideMark/>
          </w:tcPr>
          <w:p w14:paraId="7EA14159"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 Bruttoinvesteringsutgifter</w:t>
            </w:r>
          </w:p>
        </w:tc>
        <w:tc>
          <w:tcPr>
            <w:tcW w:w="1680" w:type="dxa"/>
            <w:tcBorders>
              <w:top w:val="single" w:sz="4" w:space="0" w:color="auto"/>
              <w:left w:val="single" w:sz="4" w:space="0" w:color="auto"/>
              <w:bottom w:val="nil"/>
              <w:right w:val="nil"/>
            </w:tcBorders>
            <w:shd w:val="clear" w:color="000000" w:fill="87C399"/>
            <w:noWrap/>
            <w:vAlign w:val="center"/>
            <w:hideMark/>
          </w:tcPr>
          <w:p w14:paraId="0B54F55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0.752</w:t>
            </w:r>
          </w:p>
        </w:tc>
        <w:tc>
          <w:tcPr>
            <w:tcW w:w="1680" w:type="dxa"/>
            <w:tcBorders>
              <w:top w:val="single" w:sz="4" w:space="0" w:color="auto"/>
              <w:left w:val="nil"/>
              <w:bottom w:val="nil"/>
              <w:right w:val="nil"/>
            </w:tcBorders>
            <w:shd w:val="clear" w:color="000000" w:fill="AFD7BB"/>
            <w:noWrap/>
            <w:vAlign w:val="center"/>
            <w:hideMark/>
          </w:tcPr>
          <w:p w14:paraId="55549D6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0.602</w:t>
            </w:r>
          </w:p>
        </w:tc>
        <w:tc>
          <w:tcPr>
            <w:tcW w:w="1680" w:type="dxa"/>
            <w:tcBorders>
              <w:top w:val="single" w:sz="4" w:space="0" w:color="auto"/>
              <w:left w:val="nil"/>
              <w:bottom w:val="nil"/>
              <w:right w:val="nil"/>
            </w:tcBorders>
            <w:shd w:val="clear" w:color="000000" w:fill="CCCC00"/>
            <w:noWrap/>
            <w:vAlign w:val="center"/>
            <w:hideMark/>
          </w:tcPr>
          <w:p w14:paraId="2A27B5B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1680" w:type="dxa"/>
            <w:tcBorders>
              <w:top w:val="single" w:sz="4" w:space="0" w:color="auto"/>
              <w:left w:val="nil"/>
              <w:bottom w:val="nil"/>
              <w:right w:val="nil"/>
            </w:tcBorders>
            <w:shd w:val="clear" w:color="000000" w:fill="AFD7BB"/>
            <w:noWrap/>
            <w:vAlign w:val="center"/>
            <w:hideMark/>
          </w:tcPr>
          <w:p w14:paraId="5071F40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0.730</w:t>
            </w:r>
          </w:p>
        </w:tc>
        <w:tc>
          <w:tcPr>
            <w:tcW w:w="1680" w:type="dxa"/>
            <w:tcBorders>
              <w:top w:val="single" w:sz="4" w:space="0" w:color="auto"/>
              <w:left w:val="nil"/>
              <w:bottom w:val="nil"/>
              <w:right w:val="nil"/>
            </w:tcBorders>
            <w:shd w:val="clear" w:color="000000" w:fill="D7EBDD"/>
            <w:noWrap/>
            <w:vAlign w:val="center"/>
            <w:hideMark/>
          </w:tcPr>
          <w:p w14:paraId="3EABC19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0.414</w:t>
            </w:r>
          </w:p>
        </w:tc>
        <w:tc>
          <w:tcPr>
            <w:tcW w:w="1680" w:type="dxa"/>
            <w:tcBorders>
              <w:top w:val="single" w:sz="4" w:space="0" w:color="auto"/>
              <w:left w:val="nil"/>
              <w:bottom w:val="nil"/>
              <w:right w:val="single" w:sz="4" w:space="0" w:color="auto"/>
            </w:tcBorders>
            <w:shd w:val="clear" w:color="000000" w:fill="87C399"/>
            <w:noWrap/>
            <w:vAlign w:val="center"/>
            <w:hideMark/>
          </w:tcPr>
          <w:p w14:paraId="5E2F23F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0.795</w:t>
            </w:r>
          </w:p>
        </w:tc>
      </w:tr>
      <w:tr w:rsidR="003969CB" w:rsidRPr="003969CB" w14:paraId="66A3BA72"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391C64F4"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(2) Bruttoinvesteringsstrøm</w:t>
            </w:r>
          </w:p>
        </w:tc>
        <w:tc>
          <w:tcPr>
            <w:tcW w:w="1680" w:type="dxa"/>
            <w:tcBorders>
              <w:top w:val="nil"/>
              <w:left w:val="single" w:sz="4" w:space="0" w:color="auto"/>
              <w:bottom w:val="nil"/>
              <w:right w:val="nil"/>
            </w:tcBorders>
            <w:shd w:val="clear" w:color="000000" w:fill="87C399"/>
            <w:noWrap/>
            <w:vAlign w:val="center"/>
            <w:hideMark/>
          </w:tcPr>
          <w:p w14:paraId="1159BDA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0.793</w:t>
            </w:r>
          </w:p>
        </w:tc>
        <w:tc>
          <w:tcPr>
            <w:tcW w:w="1680" w:type="dxa"/>
            <w:tcBorders>
              <w:top w:val="nil"/>
              <w:left w:val="nil"/>
              <w:bottom w:val="nil"/>
              <w:right w:val="nil"/>
            </w:tcBorders>
            <w:shd w:val="clear" w:color="000000" w:fill="AFD7BB"/>
            <w:noWrap/>
            <w:vAlign w:val="center"/>
            <w:hideMark/>
          </w:tcPr>
          <w:p w14:paraId="3ACDA7C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0.660</w:t>
            </w:r>
          </w:p>
        </w:tc>
        <w:tc>
          <w:tcPr>
            <w:tcW w:w="1680" w:type="dxa"/>
            <w:tcBorders>
              <w:top w:val="nil"/>
              <w:left w:val="nil"/>
              <w:bottom w:val="nil"/>
              <w:right w:val="nil"/>
            </w:tcBorders>
            <w:shd w:val="clear" w:color="000000" w:fill="CCCC00"/>
            <w:noWrap/>
            <w:vAlign w:val="center"/>
            <w:hideMark/>
          </w:tcPr>
          <w:p w14:paraId="7EAA5DA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0.070</w:t>
            </w:r>
          </w:p>
        </w:tc>
        <w:tc>
          <w:tcPr>
            <w:tcW w:w="1680" w:type="dxa"/>
            <w:tcBorders>
              <w:top w:val="nil"/>
              <w:left w:val="nil"/>
              <w:bottom w:val="nil"/>
              <w:right w:val="nil"/>
            </w:tcBorders>
            <w:shd w:val="clear" w:color="000000" w:fill="87C399"/>
            <w:noWrap/>
            <w:vAlign w:val="center"/>
            <w:hideMark/>
          </w:tcPr>
          <w:p w14:paraId="68D799C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0.783</w:t>
            </w:r>
          </w:p>
        </w:tc>
        <w:tc>
          <w:tcPr>
            <w:tcW w:w="1680" w:type="dxa"/>
            <w:tcBorders>
              <w:top w:val="nil"/>
              <w:left w:val="nil"/>
              <w:bottom w:val="nil"/>
              <w:right w:val="nil"/>
            </w:tcBorders>
            <w:shd w:val="clear" w:color="000000" w:fill="D7EBDD"/>
            <w:noWrap/>
            <w:vAlign w:val="center"/>
            <w:hideMark/>
          </w:tcPr>
          <w:p w14:paraId="32330D2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0.490</w:t>
            </w:r>
          </w:p>
        </w:tc>
        <w:tc>
          <w:tcPr>
            <w:tcW w:w="1680" w:type="dxa"/>
            <w:tcBorders>
              <w:top w:val="nil"/>
              <w:left w:val="nil"/>
              <w:bottom w:val="nil"/>
              <w:right w:val="single" w:sz="4" w:space="0" w:color="auto"/>
            </w:tcBorders>
            <w:shd w:val="clear" w:color="000000" w:fill="87C399"/>
            <w:noWrap/>
            <w:vAlign w:val="center"/>
            <w:hideMark/>
          </w:tcPr>
          <w:p w14:paraId="6B8BA0C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0.822</w:t>
            </w:r>
          </w:p>
        </w:tc>
      </w:tr>
      <w:tr w:rsidR="003969CB" w:rsidRPr="003969CB" w14:paraId="08CF1456"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3234A49F"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(3) Kapitalslit, DM</w:t>
            </w:r>
          </w:p>
        </w:tc>
        <w:tc>
          <w:tcPr>
            <w:tcW w:w="1680" w:type="dxa"/>
            <w:tcBorders>
              <w:top w:val="nil"/>
              <w:left w:val="single" w:sz="4" w:space="0" w:color="auto"/>
              <w:bottom w:val="nil"/>
              <w:right w:val="nil"/>
            </w:tcBorders>
            <w:shd w:val="clear" w:color="000000" w:fill="87C399"/>
            <w:noWrap/>
            <w:vAlign w:val="center"/>
            <w:hideMark/>
          </w:tcPr>
          <w:p w14:paraId="289C2F3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0.836</w:t>
            </w:r>
          </w:p>
        </w:tc>
        <w:tc>
          <w:tcPr>
            <w:tcW w:w="1680" w:type="dxa"/>
            <w:tcBorders>
              <w:top w:val="nil"/>
              <w:left w:val="nil"/>
              <w:bottom w:val="nil"/>
              <w:right w:val="nil"/>
            </w:tcBorders>
            <w:shd w:val="clear" w:color="000000" w:fill="AFD7BB"/>
            <w:noWrap/>
            <w:vAlign w:val="center"/>
            <w:hideMark/>
          </w:tcPr>
          <w:p w14:paraId="0ACD424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0.749</w:t>
            </w:r>
          </w:p>
        </w:tc>
        <w:tc>
          <w:tcPr>
            <w:tcW w:w="1680" w:type="dxa"/>
            <w:tcBorders>
              <w:top w:val="nil"/>
              <w:left w:val="nil"/>
              <w:bottom w:val="nil"/>
              <w:right w:val="nil"/>
            </w:tcBorders>
            <w:shd w:val="clear" w:color="000000" w:fill="CCCC00"/>
            <w:noWrap/>
            <w:vAlign w:val="center"/>
            <w:hideMark/>
          </w:tcPr>
          <w:p w14:paraId="7F75699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1680" w:type="dxa"/>
            <w:tcBorders>
              <w:top w:val="nil"/>
              <w:left w:val="nil"/>
              <w:bottom w:val="nil"/>
              <w:right w:val="nil"/>
            </w:tcBorders>
            <w:shd w:val="clear" w:color="000000" w:fill="87C399"/>
            <w:noWrap/>
            <w:vAlign w:val="center"/>
            <w:hideMark/>
          </w:tcPr>
          <w:p w14:paraId="566011E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0.834</w:t>
            </w:r>
          </w:p>
        </w:tc>
        <w:tc>
          <w:tcPr>
            <w:tcW w:w="1680" w:type="dxa"/>
            <w:tcBorders>
              <w:top w:val="nil"/>
              <w:left w:val="nil"/>
              <w:bottom w:val="nil"/>
              <w:right w:val="nil"/>
            </w:tcBorders>
            <w:shd w:val="clear" w:color="000000" w:fill="AFD7BB"/>
            <w:noWrap/>
            <w:vAlign w:val="center"/>
            <w:hideMark/>
          </w:tcPr>
          <w:p w14:paraId="3E9CB61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0.565</w:t>
            </w:r>
          </w:p>
        </w:tc>
        <w:tc>
          <w:tcPr>
            <w:tcW w:w="1680" w:type="dxa"/>
            <w:tcBorders>
              <w:top w:val="nil"/>
              <w:left w:val="nil"/>
              <w:bottom w:val="nil"/>
              <w:right w:val="single" w:sz="4" w:space="0" w:color="auto"/>
            </w:tcBorders>
            <w:shd w:val="clear" w:color="000000" w:fill="87C399"/>
            <w:noWrap/>
            <w:vAlign w:val="center"/>
            <w:hideMark/>
          </w:tcPr>
          <w:p w14:paraId="1D02A05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0.853</w:t>
            </w:r>
          </w:p>
        </w:tc>
      </w:tr>
      <w:tr w:rsidR="003969CB" w:rsidRPr="003969CB" w14:paraId="7204098C"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B4BE716"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(4) Kapitalslit, PIM-dd art</w:t>
            </w:r>
          </w:p>
        </w:tc>
        <w:tc>
          <w:tcPr>
            <w:tcW w:w="1680" w:type="dxa"/>
            <w:tcBorders>
              <w:top w:val="nil"/>
              <w:left w:val="single" w:sz="4" w:space="0" w:color="auto"/>
              <w:bottom w:val="nil"/>
              <w:right w:val="nil"/>
            </w:tcBorders>
            <w:shd w:val="clear" w:color="000000" w:fill="87C399"/>
            <w:noWrap/>
            <w:vAlign w:val="center"/>
            <w:hideMark/>
          </w:tcPr>
          <w:p w14:paraId="79ECE12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0.855</w:t>
            </w:r>
          </w:p>
        </w:tc>
        <w:tc>
          <w:tcPr>
            <w:tcW w:w="1680" w:type="dxa"/>
            <w:tcBorders>
              <w:top w:val="nil"/>
              <w:left w:val="nil"/>
              <w:bottom w:val="nil"/>
              <w:right w:val="nil"/>
            </w:tcBorders>
            <w:shd w:val="clear" w:color="000000" w:fill="87C399"/>
            <w:noWrap/>
            <w:vAlign w:val="center"/>
            <w:hideMark/>
          </w:tcPr>
          <w:p w14:paraId="0F875F4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0.796</w:t>
            </w:r>
          </w:p>
        </w:tc>
        <w:tc>
          <w:tcPr>
            <w:tcW w:w="1680" w:type="dxa"/>
            <w:tcBorders>
              <w:top w:val="nil"/>
              <w:left w:val="nil"/>
              <w:bottom w:val="nil"/>
              <w:right w:val="nil"/>
            </w:tcBorders>
            <w:shd w:val="clear" w:color="000000" w:fill="CCCC00"/>
            <w:noWrap/>
            <w:vAlign w:val="center"/>
            <w:hideMark/>
          </w:tcPr>
          <w:p w14:paraId="575FF2C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0.032</w:t>
            </w:r>
          </w:p>
        </w:tc>
        <w:tc>
          <w:tcPr>
            <w:tcW w:w="1680" w:type="dxa"/>
            <w:tcBorders>
              <w:top w:val="nil"/>
              <w:left w:val="nil"/>
              <w:bottom w:val="nil"/>
              <w:right w:val="nil"/>
            </w:tcBorders>
            <w:shd w:val="clear" w:color="000000" w:fill="87C399"/>
            <w:noWrap/>
            <w:vAlign w:val="center"/>
            <w:hideMark/>
          </w:tcPr>
          <w:p w14:paraId="16F2768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0.864</w:t>
            </w:r>
          </w:p>
        </w:tc>
        <w:tc>
          <w:tcPr>
            <w:tcW w:w="1680" w:type="dxa"/>
            <w:tcBorders>
              <w:top w:val="nil"/>
              <w:left w:val="nil"/>
              <w:bottom w:val="nil"/>
              <w:right w:val="nil"/>
            </w:tcBorders>
            <w:shd w:val="clear" w:color="000000" w:fill="AFD7BB"/>
            <w:noWrap/>
            <w:vAlign w:val="center"/>
            <w:hideMark/>
          </w:tcPr>
          <w:p w14:paraId="6EBA84B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0.652</w:t>
            </w:r>
          </w:p>
        </w:tc>
        <w:tc>
          <w:tcPr>
            <w:tcW w:w="1680" w:type="dxa"/>
            <w:tcBorders>
              <w:top w:val="nil"/>
              <w:left w:val="nil"/>
              <w:bottom w:val="nil"/>
              <w:right w:val="single" w:sz="4" w:space="0" w:color="auto"/>
            </w:tcBorders>
            <w:shd w:val="clear" w:color="000000" w:fill="87C399"/>
            <w:noWrap/>
            <w:vAlign w:val="center"/>
            <w:hideMark/>
          </w:tcPr>
          <w:p w14:paraId="04815E1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0.850</w:t>
            </w:r>
          </w:p>
        </w:tc>
      </w:tr>
      <w:tr w:rsidR="003969CB" w:rsidRPr="003969CB" w14:paraId="7F2085CA"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1FEF349A"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(5) Kapitalslit, PIM-dd funk.</w:t>
            </w:r>
          </w:p>
        </w:tc>
        <w:tc>
          <w:tcPr>
            <w:tcW w:w="1680" w:type="dxa"/>
            <w:tcBorders>
              <w:top w:val="nil"/>
              <w:left w:val="single" w:sz="4" w:space="0" w:color="auto"/>
              <w:bottom w:val="nil"/>
              <w:right w:val="nil"/>
            </w:tcBorders>
            <w:shd w:val="clear" w:color="000000" w:fill="87C399"/>
            <w:noWrap/>
            <w:vAlign w:val="center"/>
            <w:hideMark/>
          </w:tcPr>
          <w:p w14:paraId="36C1AB6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0.779</w:t>
            </w:r>
          </w:p>
        </w:tc>
        <w:tc>
          <w:tcPr>
            <w:tcW w:w="1680" w:type="dxa"/>
            <w:tcBorders>
              <w:top w:val="nil"/>
              <w:left w:val="nil"/>
              <w:bottom w:val="nil"/>
              <w:right w:val="nil"/>
            </w:tcBorders>
            <w:shd w:val="clear" w:color="000000" w:fill="AFD7BB"/>
            <w:noWrap/>
            <w:vAlign w:val="center"/>
            <w:hideMark/>
          </w:tcPr>
          <w:p w14:paraId="3EDA1FE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0.629</w:t>
            </w:r>
          </w:p>
        </w:tc>
        <w:tc>
          <w:tcPr>
            <w:tcW w:w="1680" w:type="dxa"/>
            <w:tcBorders>
              <w:top w:val="nil"/>
              <w:left w:val="nil"/>
              <w:bottom w:val="nil"/>
              <w:right w:val="nil"/>
            </w:tcBorders>
            <w:shd w:val="clear" w:color="000000" w:fill="FFFF99"/>
            <w:noWrap/>
            <w:vAlign w:val="center"/>
            <w:hideMark/>
          </w:tcPr>
          <w:p w14:paraId="5106E0A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0.166</w:t>
            </w:r>
          </w:p>
        </w:tc>
        <w:tc>
          <w:tcPr>
            <w:tcW w:w="1680" w:type="dxa"/>
            <w:tcBorders>
              <w:top w:val="nil"/>
              <w:left w:val="nil"/>
              <w:bottom w:val="nil"/>
              <w:right w:val="nil"/>
            </w:tcBorders>
            <w:shd w:val="clear" w:color="000000" w:fill="AFD7BB"/>
            <w:noWrap/>
            <w:vAlign w:val="center"/>
            <w:hideMark/>
          </w:tcPr>
          <w:p w14:paraId="0FE5F4B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0.725</w:t>
            </w:r>
          </w:p>
        </w:tc>
        <w:tc>
          <w:tcPr>
            <w:tcW w:w="1680" w:type="dxa"/>
            <w:tcBorders>
              <w:top w:val="nil"/>
              <w:left w:val="nil"/>
              <w:bottom w:val="nil"/>
              <w:right w:val="nil"/>
            </w:tcBorders>
            <w:shd w:val="clear" w:color="000000" w:fill="D7EBDD"/>
            <w:noWrap/>
            <w:vAlign w:val="center"/>
            <w:hideMark/>
          </w:tcPr>
          <w:p w14:paraId="03E9B5E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0.420</w:t>
            </w:r>
          </w:p>
        </w:tc>
        <w:tc>
          <w:tcPr>
            <w:tcW w:w="1680" w:type="dxa"/>
            <w:tcBorders>
              <w:top w:val="nil"/>
              <w:left w:val="nil"/>
              <w:bottom w:val="nil"/>
              <w:right w:val="single" w:sz="4" w:space="0" w:color="auto"/>
            </w:tcBorders>
            <w:shd w:val="clear" w:color="000000" w:fill="87C399"/>
            <w:noWrap/>
            <w:vAlign w:val="center"/>
            <w:hideMark/>
          </w:tcPr>
          <w:p w14:paraId="37F2F7F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0.825</w:t>
            </w:r>
          </w:p>
        </w:tc>
      </w:tr>
      <w:tr w:rsidR="003969CB" w:rsidRPr="003969CB" w14:paraId="1C8A8AE9"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1DB99145"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(6) Kapitalslit, PIM-ad funk.</w:t>
            </w:r>
          </w:p>
        </w:tc>
        <w:tc>
          <w:tcPr>
            <w:tcW w:w="1680" w:type="dxa"/>
            <w:tcBorders>
              <w:top w:val="nil"/>
              <w:left w:val="single" w:sz="4" w:space="0" w:color="auto"/>
              <w:bottom w:val="nil"/>
              <w:right w:val="nil"/>
            </w:tcBorders>
            <w:shd w:val="clear" w:color="000000" w:fill="87C399"/>
            <w:noWrap/>
            <w:vAlign w:val="center"/>
            <w:hideMark/>
          </w:tcPr>
          <w:p w14:paraId="7306B35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0.775</w:t>
            </w:r>
          </w:p>
        </w:tc>
        <w:tc>
          <w:tcPr>
            <w:tcW w:w="1680" w:type="dxa"/>
            <w:tcBorders>
              <w:top w:val="nil"/>
              <w:left w:val="nil"/>
              <w:bottom w:val="nil"/>
              <w:right w:val="nil"/>
            </w:tcBorders>
            <w:shd w:val="clear" w:color="000000" w:fill="AFD7BB"/>
            <w:noWrap/>
            <w:vAlign w:val="center"/>
            <w:hideMark/>
          </w:tcPr>
          <w:p w14:paraId="631B286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0.626</w:t>
            </w:r>
          </w:p>
        </w:tc>
        <w:tc>
          <w:tcPr>
            <w:tcW w:w="1680" w:type="dxa"/>
            <w:tcBorders>
              <w:top w:val="nil"/>
              <w:left w:val="nil"/>
              <w:bottom w:val="nil"/>
              <w:right w:val="nil"/>
            </w:tcBorders>
            <w:shd w:val="clear" w:color="000000" w:fill="FFFF99"/>
            <w:noWrap/>
            <w:vAlign w:val="center"/>
            <w:hideMark/>
          </w:tcPr>
          <w:p w14:paraId="23EA1E4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0.165</w:t>
            </w:r>
          </w:p>
        </w:tc>
        <w:tc>
          <w:tcPr>
            <w:tcW w:w="1680" w:type="dxa"/>
            <w:tcBorders>
              <w:top w:val="nil"/>
              <w:left w:val="nil"/>
              <w:bottom w:val="nil"/>
              <w:right w:val="nil"/>
            </w:tcBorders>
            <w:shd w:val="clear" w:color="000000" w:fill="AFD7BB"/>
            <w:noWrap/>
            <w:vAlign w:val="center"/>
            <w:hideMark/>
          </w:tcPr>
          <w:p w14:paraId="67989DB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0.722</w:t>
            </w:r>
          </w:p>
        </w:tc>
        <w:tc>
          <w:tcPr>
            <w:tcW w:w="1680" w:type="dxa"/>
            <w:tcBorders>
              <w:top w:val="nil"/>
              <w:left w:val="nil"/>
              <w:bottom w:val="nil"/>
              <w:right w:val="nil"/>
            </w:tcBorders>
            <w:shd w:val="clear" w:color="000000" w:fill="D7EBDD"/>
            <w:noWrap/>
            <w:vAlign w:val="center"/>
            <w:hideMark/>
          </w:tcPr>
          <w:p w14:paraId="64E6CB4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0.420</w:t>
            </w:r>
          </w:p>
        </w:tc>
        <w:tc>
          <w:tcPr>
            <w:tcW w:w="1680" w:type="dxa"/>
            <w:tcBorders>
              <w:top w:val="nil"/>
              <w:left w:val="nil"/>
              <w:bottom w:val="nil"/>
              <w:right w:val="single" w:sz="4" w:space="0" w:color="auto"/>
            </w:tcBorders>
            <w:shd w:val="clear" w:color="000000" w:fill="87C399"/>
            <w:noWrap/>
            <w:vAlign w:val="center"/>
            <w:hideMark/>
          </w:tcPr>
          <w:p w14:paraId="0511F25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0.821</w:t>
            </w:r>
          </w:p>
        </w:tc>
      </w:tr>
      <w:tr w:rsidR="003969CB" w:rsidRPr="003969CB" w14:paraId="37130CA6"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9FFD2EE"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(7) Kapitalslit, PIM-da funk.</w:t>
            </w:r>
          </w:p>
        </w:tc>
        <w:tc>
          <w:tcPr>
            <w:tcW w:w="1680" w:type="dxa"/>
            <w:tcBorders>
              <w:top w:val="nil"/>
              <w:left w:val="single" w:sz="4" w:space="0" w:color="auto"/>
              <w:bottom w:val="nil"/>
              <w:right w:val="nil"/>
            </w:tcBorders>
            <w:shd w:val="clear" w:color="000000" w:fill="87C399"/>
            <w:noWrap/>
            <w:vAlign w:val="center"/>
            <w:hideMark/>
          </w:tcPr>
          <w:p w14:paraId="364BB67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0.804</w:t>
            </w:r>
          </w:p>
        </w:tc>
        <w:tc>
          <w:tcPr>
            <w:tcW w:w="1680" w:type="dxa"/>
            <w:tcBorders>
              <w:top w:val="nil"/>
              <w:left w:val="nil"/>
              <w:bottom w:val="nil"/>
              <w:right w:val="nil"/>
            </w:tcBorders>
            <w:shd w:val="clear" w:color="000000" w:fill="AFD7BB"/>
            <w:noWrap/>
            <w:vAlign w:val="center"/>
            <w:hideMark/>
          </w:tcPr>
          <w:p w14:paraId="11A41AC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0.698</w:t>
            </w:r>
          </w:p>
        </w:tc>
        <w:tc>
          <w:tcPr>
            <w:tcW w:w="1680" w:type="dxa"/>
            <w:tcBorders>
              <w:top w:val="nil"/>
              <w:left w:val="nil"/>
              <w:bottom w:val="nil"/>
              <w:right w:val="nil"/>
            </w:tcBorders>
            <w:shd w:val="clear" w:color="000000" w:fill="FFFF99"/>
            <w:noWrap/>
            <w:vAlign w:val="center"/>
            <w:hideMark/>
          </w:tcPr>
          <w:p w14:paraId="5FA3D71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0.109</w:t>
            </w:r>
          </w:p>
        </w:tc>
        <w:tc>
          <w:tcPr>
            <w:tcW w:w="1680" w:type="dxa"/>
            <w:tcBorders>
              <w:top w:val="nil"/>
              <w:left w:val="nil"/>
              <w:bottom w:val="nil"/>
              <w:right w:val="nil"/>
            </w:tcBorders>
            <w:shd w:val="clear" w:color="000000" w:fill="87C399"/>
            <w:noWrap/>
            <w:vAlign w:val="center"/>
            <w:hideMark/>
          </w:tcPr>
          <w:p w14:paraId="2B7FCAA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0.777</w:t>
            </w:r>
          </w:p>
        </w:tc>
        <w:tc>
          <w:tcPr>
            <w:tcW w:w="1680" w:type="dxa"/>
            <w:tcBorders>
              <w:top w:val="nil"/>
              <w:left w:val="nil"/>
              <w:bottom w:val="nil"/>
              <w:right w:val="nil"/>
            </w:tcBorders>
            <w:shd w:val="clear" w:color="000000" w:fill="AFD7BB"/>
            <w:noWrap/>
            <w:vAlign w:val="center"/>
            <w:hideMark/>
          </w:tcPr>
          <w:p w14:paraId="608D2F3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0.519</w:t>
            </w:r>
          </w:p>
        </w:tc>
        <w:tc>
          <w:tcPr>
            <w:tcW w:w="1680" w:type="dxa"/>
            <w:tcBorders>
              <w:top w:val="nil"/>
              <w:left w:val="nil"/>
              <w:bottom w:val="nil"/>
              <w:right w:val="single" w:sz="4" w:space="0" w:color="auto"/>
            </w:tcBorders>
            <w:shd w:val="clear" w:color="000000" w:fill="87C399"/>
            <w:noWrap/>
            <w:vAlign w:val="center"/>
            <w:hideMark/>
          </w:tcPr>
          <w:p w14:paraId="2359620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0.827</w:t>
            </w:r>
          </w:p>
        </w:tc>
      </w:tr>
      <w:tr w:rsidR="003969CB" w:rsidRPr="003969CB" w14:paraId="0B122457"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70D90F2C"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(8) Kapitalslit, PIM-aa funk.</w:t>
            </w:r>
          </w:p>
        </w:tc>
        <w:tc>
          <w:tcPr>
            <w:tcW w:w="1680" w:type="dxa"/>
            <w:tcBorders>
              <w:top w:val="nil"/>
              <w:left w:val="single" w:sz="4" w:space="0" w:color="auto"/>
              <w:bottom w:val="nil"/>
              <w:right w:val="nil"/>
            </w:tcBorders>
            <w:shd w:val="clear" w:color="000000" w:fill="87C399"/>
            <w:noWrap/>
            <w:vAlign w:val="center"/>
            <w:hideMark/>
          </w:tcPr>
          <w:p w14:paraId="5228072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0.792</w:t>
            </w:r>
          </w:p>
        </w:tc>
        <w:tc>
          <w:tcPr>
            <w:tcW w:w="1680" w:type="dxa"/>
            <w:tcBorders>
              <w:top w:val="nil"/>
              <w:left w:val="nil"/>
              <w:bottom w:val="nil"/>
              <w:right w:val="nil"/>
            </w:tcBorders>
            <w:shd w:val="clear" w:color="000000" w:fill="AFD7BB"/>
            <w:noWrap/>
            <w:vAlign w:val="center"/>
            <w:hideMark/>
          </w:tcPr>
          <w:p w14:paraId="64A6C92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0.687</w:t>
            </w:r>
          </w:p>
        </w:tc>
        <w:tc>
          <w:tcPr>
            <w:tcW w:w="1680" w:type="dxa"/>
            <w:tcBorders>
              <w:top w:val="nil"/>
              <w:left w:val="nil"/>
              <w:bottom w:val="nil"/>
              <w:right w:val="nil"/>
            </w:tcBorders>
            <w:shd w:val="clear" w:color="000000" w:fill="FFFF99"/>
            <w:noWrap/>
            <w:vAlign w:val="center"/>
            <w:hideMark/>
          </w:tcPr>
          <w:p w14:paraId="6D804F5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0.106</w:t>
            </w:r>
          </w:p>
        </w:tc>
        <w:tc>
          <w:tcPr>
            <w:tcW w:w="1680" w:type="dxa"/>
            <w:tcBorders>
              <w:top w:val="nil"/>
              <w:left w:val="nil"/>
              <w:bottom w:val="nil"/>
              <w:right w:val="nil"/>
            </w:tcBorders>
            <w:shd w:val="clear" w:color="000000" w:fill="87C399"/>
            <w:noWrap/>
            <w:vAlign w:val="center"/>
            <w:hideMark/>
          </w:tcPr>
          <w:p w14:paraId="6E70727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0.766</w:t>
            </w:r>
          </w:p>
        </w:tc>
        <w:tc>
          <w:tcPr>
            <w:tcW w:w="1680" w:type="dxa"/>
            <w:tcBorders>
              <w:top w:val="nil"/>
              <w:left w:val="nil"/>
              <w:bottom w:val="nil"/>
              <w:right w:val="nil"/>
            </w:tcBorders>
            <w:shd w:val="clear" w:color="000000" w:fill="AFD7BB"/>
            <w:noWrap/>
            <w:vAlign w:val="center"/>
            <w:hideMark/>
          </w:tcPr>
          <w:p w14:paraId="6AE4A33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0.511</w:t>
            </w:r>
          </w:p>
        </w:tc>
        <w:tc>
          <w:tcPr>
            <w:tcW w:w="1680" w:type="dxa"/>
            <w:tcBorders>
              <w:top w:val="nil"/>
              <w:left w:val="nil"/>
              <w:bottom w:val="nil"/>
              <w:right w:val="single" w:sz="4" w:space="0" w:color="auto"/>
            </w:tcBorders>
            <w:shd w:val="clear" w:color="000000" w:fill="87C399"/>
            <w:noWrap/>
            <w:vAlign w:val="center"/>
            <w:hideMark/>
          </w:tcPr>
          <w:p w14:paraId="60572AC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0.815</w:t>
            </w:r>
          </w:p>
        </w:tc>
      </w:tr>
      <w:tr w:rsidR="003969CB" w:rsidRPr="003969CB" w14:paraId="160FCB06"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5208C89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(9) Kapitalslit og rentek., PIM-ddl art</w:t>
            </w:r>
          </w:p>
        </w:tc>
        <w:tc>
          <w:tcPr>
            <w:tcW w:w="1680" w:type="dxa"/>
            <w:tcBorders>
              <w:top w:val="nil"/>
              <w:left w:val="single" w:sz="4" w:space="0" w:color="auto"/>
              <w:bottom w:val="nil"/>
              <w:right w:val="nil"/>
            </w:tcBorders>
            <w:shd w:val="clear" w:color="000000" w:fill="87C399"/>
            <w:noWrap/>
            <w:vAlign w:val="center"/>
            <w:hideMark/>
          </w:tcPr>
          <w:p w14:paraId="360512E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0.870</w:t>
            </w:r>
          </w:p>
        </w:tc>
        <w:tc>
          <w:tcPr>
            <w:tcW w:w="1680" w:type="dxa"/>
            <w:tcBorders>
              <w:top w:val="nil"/>
              <w:left w:val="nil"/>
              <w:bottom w:val="nil"/>
              <w:right w:val="nil"/>
            </w:tcBorders>
            <w:shd w:val="clear" w:color="000000" w:fill="87C399"/>
            <w:noWrap/>
            <w:vAlign w:val="center"/>
            <w:hideMark/>
          </w:tcPr>
          <w:p w14:paraId="7BB379B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0.807</w:t>
            </w:r>
          </w:p>
        </w:tc>
        <w:tc>
          <w:tcPr>
            <w:tcW w:w="1680" w:type="dxa"/>
            <w:tcBorders>
              <w:top w:val="nil"/>
              <w:left w:val="nil"/>
              <w:bottom w:val="nil"/>
              <w:right w:val="nil"/>
            </w:tcBorders>
            <w:shd w:val="clear" w:color="000000" w:fill="CCCC00"/>
            <w:noWrap/>
            <w:vAlign w:val="center"/>
            <w:hideMark/>
          </w:tcPr>
          <w:p w14:paraId="2F51521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0.061</w:t>
            </w:r>
          </w:p>
        </w:tc>
        <w:tc>
          <w:tcPr>
            <w:tcW w:w="1680" w:type="dxa"/>
            <w:tcBorders>
              <w:top w:val="nil"/>
              <w:left w:val="nil"/>
              <w:bottom w:val="nil"/>
              <w:right w:val="nil"/>
            </w:tcBorders>
            <w:shd w:val="clear" w:color="000000" w:fill="87C399"/>
            <w:noWrap/>
            <w:vAlign w:val="center"/>
            <w:hideMark/>
          </w:tcPr>
          <w:p w14:paraId="5DC7633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0.866</w:t>
            </w:r>
          </w:p>
        </w:tc>
        <w:tc>
          <w:tcPr>
            <w:tcW w:w="1680" w:type="dxa"/>
            <w:tcBorders>
              <w:top w:val="nil"/>
              <w:left w:val="nil"/>
              <w:bottom w:val="nil"/>
              <w:right w:val="nil"/>
            </w:tcBorders>
            <w:shd w:val="clear" w:color="000000" w:fill="AFD7BB"/>
            <w:noWrap/>
            <w:vAlign w:val="center"/>
            <w:hideMark/>
          </w:tcPr>
          <w:p w14:paraId="453648E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0.654</w:t>
            </w:r>
          </w:p>
        </w:tc>
        <w:tc>
          <w:tcPr>
            <w:tcW w:w="1680" w:type="dxa"/>
            <w:tcBorders>
              <w:top w:val="nil"/>
              <w:left w:val="nil"/>
              <w:bottom w:val="nil"/>
              <w:right w:val="single" w:sz="4" w:space="0" w:color="auto"/>
            </w:tcBorders>
            <w:shd w:val="clear" w:color="000000" w:fill="87C399"/>
            <w:noWrap/>
            <w:vAlign w:val="center"/>
            <w:hideMark/>
          </w:tcPr>
          <w:p w14:paraId="4E971BB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0.868</w:t>
            </w:r>
          </w:p>
        </w:tc>
      </w:tr>
      <w:tr w:rsidR="003969CB" w:rsidRPr="003969CB" w14:paraId="39877AC2" w14:textId="77777777" w:rsidTr="003969CB">
        <w:trPr>
          <w:trHeight w:val="279"/>
        </w:trPr>
        <w:tc>
          <w:tcPr>
            <w:tcW w:w="3360" w:type="dxa"/>
            <w:tcBorders>
              <w:top w:val="nil"/>
              <w:left w:val="single" w:sz="4" w:space="0" w:color="auto"/>
              <w:bottom w:val="nil"/>
              <w:right w:val="single" w:sz="4" w:space="0" w:color="auto"/>
            </w:tcBorders>
            <w:shd w:val="clear" w:color="000000" w:fill="A9C6E4"/>
            <w:vAlign w:val="center"/>
            <w:hideMark/>
          </w:tcPr>
          <w:p w14:paraId="76EC62D8"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(10) Kapitalslit og rentek., PIM-ddf funk.</w:t>
            </w:r>
          </w:p>
        </w:tc>
        <w:tc>
          <w:tcPr>
            <w:tcW w:w="1680" w:type="dxa"/>
            <w:tcBorders>
              <w:top w:val="nil"/>
              <w:left w:val="single" w:sz="4" w:space="0" w:color="auto"/>
              <w:bottom w:val="nil"/>
              <w:right w:val="nil"/>
            </w:tcBorders>
            <w:shd w:val="clear" w:color="000000" w:fill="87C399"/>
            <w:noWrap/>
            <w:vAlign w:val="center"/>
            <w:hideMark/>
          </w:tcPr>
          <w:p w14:paraId="6598E51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0.775</w:t>
            </w:r>
          </w:p>
        </w:tc>
        <w:tc>
          <w:tcPr>
            <w:tcW w:w="1680" w:type="dxa"/>
            <w:tcBorders>
              <w:top w:val="nil"/>
              <w:left w:val="nil"/>
              <w:bottom w:val="nil"/>
              <w:right w:val="nil"/>
            </w:tcBorders>
            <w:shd w:val="clear" w:color="000000" w:fill="AFD7BB"/>
            <w:noWrap/>
            <w:vAlign w:val="center"/>
            <w:hideMark/>
          </w:tcPr>
          <w:p w14:paraId="359A721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0.657</w:t>
            </w:r>
          </w:p>
        </w:tc>
        <w:tc>
          <w:tcPr>
            <w:tcW w:w="1680" w:type="dxa"/>
            <w:tcBorders>
              <w:top w:val="nil"/>
              <w:left w:val="nil"/>
              <w:bottom w:val="nil"/>
              <w:right w:val="nil"/>
            </w:tcBorders>
            <w:shd w:val="clear" w:color="000000" w:fill="CCCC00"/>
            <w:noWrap/>
            <w:vAlign w:val="center"/>
            <w:hideMark/>
          </w:tcPr>
          <w:p w14:paraId="0116923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1680" w:type="dxa"/>
            <w:tcBorders>
              <w:top w:val="nil"/>
              <w:left w:val="nil"/>
              <w:bottom w:val="nil"/>
              <w:right w:val="nil"/>
            </w:tcBorders>
            <w:shd w:val="clear" w:color="000000" w:fill="87C399"/>
            <w:noWrap/>
            <w:vAlign w:val="center"/>
            <w:hideMark/>
          </w:tcPr>
          <w:p w14:paraId="59F385D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0.753</w:t>
            </w:r>
          </w:p>
        </w:tc>
        <w:tc>
          <w:tcPr>
            <w:tcW w:w="1680" w:type="dxa"/>
            <w:tcBorders>
              <w:top w:val="nil"/>
              <w:left w:val="nil"/>
              <w:bottom w:val="nil"/>
              <w:right w:val="nil"/>
            </w:tcBorders>
            <w:shd w:val="clear" w:color="000000" w:fill="D7EBDD"/>
            <w:noWrap/>
            <w:vAlign w:val="center"/>
            <w:hideMark/>
          </w:tcPr>
          <w:p w14:paraId="6E61943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0.469</w:t>
            </w:r>
          </w:p>
        </w:tc>
        <w:tc>
          <w:tcPr>
            <w:tcW w:w="1680" w:type="dxa"/>
            <w:tcBorders>
              <w:top w:val="nil"/>
              <w:left w:val="nil"/>
              <w:bottom w:val="nil"/>
              <w:right w:val="single" w:sz="4" w:space="0" w:color="auto"/>
            </w:tcBorders>
            <w:shd w:val="clear" w:color="000000" w:fill="87C399"/>
            <w:noWrap/>
            <w:vAlign w:val="center"/>
            <w:hideMark/>
          </w:tcPr>
          <w:p w14:paraId="307FFFD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0.806</w:t>
            </w:r>
          </w:p>
        </w:tc>
      </w:tr>
      <w:tr w:rsidR="003969CB" w:rsidRPr="003969CB" w14:paraId="151F5EAC" w14:textId="77777777" w:rsidTr="003969CB">
        <w:trPr>
          <w:trHeight w:val="279"/>
        </w:trPr>
        <w:tc>
          <w:tcPr>
            <w:tcW w:w="3360" w:type="dxa"/>
            <w:tcBorders>
              <w:top w:val="nil"/>
              <w:left w:val="single" w:sz="4" w:space="0" w:color="auto"/>
              <w:bottom w:val="nil"/>
              <w:right w:val="single" w:sz="4" w:space="0" w:color="auto"/>
            </w:tcBorders>
            <w:shd w:val="clear" w:color="000000" w:fill="A9C6E4"/>
            <w:vAlign w:val="center"/>
            <w:hideMark/>
          </w:tcPr>
          <w:p w14:paraId="1D7D242B"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(11) Kapitalslit og rentek., PIM-ddl funk.</w:t>
            </w:r>
          </w:p>
        </w:tc>
        <w:tc>
          <w:tcPr>
            <w:tcW w:w="1680" w:type="dxa"/>
            <w:tcBorders>
              <w:top w:val="nil"/>
              <w:left w:val="single" w:sz="4" w:space="0" w:color="auto"/>
              <w:bottom w:val="nil"/>
              <w:right w:val="nil"/>
            </w:tcBorders>
            <w:shd w:val="clear" w:color="000000" w:fill="87C399"/>
            <w:noWrap/>
            <w:vAlign w:val="center"/>
            <w:hideMark/>
          </w:tcPr>
          <w:p w14:paraId="64E1483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0.776</w:t>
            </w:r>
          </w:p>
        </w:tc>
        <w:tc>
          <w:tcPr>
            <w:tcW w:w="1680" w:type="dxa"/>
            <w:tcBorders>
              <w:top w:val="nil"/>
              <w:left w:val="nil"/>
              <w:bottom w:val="nil"/>
              <w:right w:val="nil"/>
            </w:tcBorders>
            <w:shd w:val="clear" w:color="000000" w:fill="AFD7BB"/>
            <w:noWrap/>
            <w:vAlign w:val="center"/>
            <w:hideMark/>
          </w:tcPr>
          <w:p w14:paraId="319CEBA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0.655</w:t>
            </w:r>
          </w:p>
        </w:tc>
        <w:tc>
          <w:tcPr>
            <w:tcW w:w="1680" w:type="dxa"/>
            <w:tcBorders>
              <w:top w:val="nil"/>
              <w:left w:val="nil"/>
              <w:bottom w:val="nil"/>
              <w:right w:val="nil"/>
            </w:tcBorders>
            <w:shd w:val="clear" w:color="000000" w:fill="FFFF99"/>
            <w:noWrap/>
            <w:vAlign w:val="center"/>
            <w:hideMark/>
          </w:tcPr>
          <w:p w14:paraId="6C08646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0.102</w:t>
            </w:r>
          </w:p>
        </w:tc>
        <w:tc>
          <w:tcPr>
            <w:tcW w:w="1680" w:type="dxa"/>
            <w:tcBorders>
              <w:top w:val="nil"/>
              <w:left w:val="nil"/>
              <w:bottom w:val="nil"/>
              <w:right w:val="nil"/>
            </w:tcBorders>
            <w:shd w:val="clear" w:color="000000" w:fill="87C399"/>
            <w:noWrap/>
            <w:vAlign w:val="center"/>
            <w:hideMark/>
          </w:tcPr>
          <w:p w14:paraId="19012A0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0.751</w:t>
            </w:r>
          </w:p>
        </w:tc>
        <w:tc>
          <w:tcPr>
            <w:tcW w:w="1680" w:type="dxa"/>
            <w:tcBorders>
              <w:top w:val="nil"/>
              <w:left w:val="nil"/>
              <w:bottom w:val="nil"/>
              <w:right w:val="nil"/>
            </w:tcBorders>
            <w:shd w:val="clear" w:color="000000" w:fill="D7EBDD"/>
            <w:noWrap/>
            <w:vAlign w:val="center"/>
            <w:hideMark/>
          </w:tcPr>
          <w:p w14:paraId="5CB6EBC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0.464</w:t>
            </w:r>
          </w:p>
        </w:tc>
        <w:tc>
          <w:tcPr>
            <w:tcW w:w="1680" w:type="dxa"/>
            <w:tcBorders>
              <w:top w:val="nil"/>
              <w:left w:val="nil"/>
              <w:bottom w:val="nil"/>
              <w:right w:val="single" w:sz="4" w:space="0" w:color="auto"/>
            </w:tcBorders>
            <w:shd w:val="clear" w:color="000000" w:fill="87C399"/>
            <w:noWrap/>
            <w:vAlign w:val="center"/>
            <w:hideMark/>
          </w:tcPr>
          <w:p w14:paraId="7080B7F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0.809</w:t>
            </w:r>
          </w:p>
        </w:tc>
      </w:tr>
      <w:tr w:rsidR="003969CB" w:rsidRPr="003969CB" w14:paraId="7A094DF8" w14:textId="77777777" w:rsidTr="003969CB">
        <w:trPr>
          <w:trHeight w:val="276"/>
        </w:trPr>
        <w:tc>
          <w:tcPr>
            <w:tcW w:w="3360" w:type="dxa"/>
            <w:tcBorders>
              <w:top w:val="nil"/>
              <w:left w:val="single" w:sz="4" w:space="0" w:color="auto"/>
              <w:bottom w:val="single" w:sz="4" w:space="0" w:color="auto"/>
              <w:right w:val="single" w:sz="4" w:space="0" w:color="auto"/>
            </w:tcBorders>
            <w:shd w:val="clear" w:color="000000" w:fill="A9C6E4"/>
            <w:vAlign w:val="center"/>
            <w:hideMark/>
          </w:tcPr>
          <w:p w14:paraId="6F7FA667"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(12) Kapitaltjenester, PIM-ddl funk.</w:t>
            </w:r>
          </w:p>
        </w:tc>
        <w:tc>
          <w:tcPr>
            <w:tcW w:w="1680" w:type="dxa"/>
            <w:tcBorders>
              <w:top w:val="nil"/>
              <w:left w:val="single" w:sz="4" w:space="0" w:color="auto"/>
              <w:bottom w:val="single" w:sz="4" w:space="0" w:color="auto"/>
              <w:right w:val="nil"/>
            </w:tcBorders>
            <w:shd w:val="clear" w:color="000000" w:fill="87C399"/>
            <w:noWrap/>
            <w:vAlign w:val="center"/>
            <w:hideMark/>
          </w:tcPr>
          <w:p w14:paraId="0F1FA6E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0.775</w:t>
            </w:r>
          </w:p>
        </w:tc>
        <w:tc>
          <w:tcPr>
            <w:tcW w:w="1680" w:type="dxa"/>
            <w:tcBorders>
              <w:top w:val="nil"/>
              <w:left w:val="nil"/>
              <w:bottom w:val="single" w:sz="4" w:space="0" w:color="auto"/>
              <w:right w:val="nil"/>
            </w:tcBorders>
            <w:shd w:val="clear" w:color="000000" w:fill="AFD7BB"/>
            <w:noWrap/>
            <w:vAlign w:val="center"/>
            <w:hideMark/>
          </w:tcPr>
          <w:p w14:paraId="4C53559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0.642</w:t>
            </w:r>
          </w:p>
        </w:tc>
        <w:tc>
          <w:tcPr>
            <w:tcW w:w="1680" w:type="dxa"/>
            <w:tcBorders>
              <w:top w:val="nil"/>
              <w:left w:val="nil"/>
              <w:bottom w:val="single" w:sz="4" w:space="0" w:color="auto"/>
              <w:right w:val="nil"/>
            </w:tcBorders>
            <w:shd w:val="clear" w:color="000000" w:fill="FFFF99"/>
            <w:noWrap/>
            <w:vAlign w:val="center"/>
            <w:hideMark/>
          </w:tcPr>
          <w:p w14:paraId="34087CD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0.124</w:t>
            </w:r>
          </w:p>
        </w:tc>
        <w:tc>
          <w:tcPr>
            <w:tcW w:w="1680" w:type="dxa"/>
            <w:tcBorders>
              <w:top w:val="nil"/>
              <w:left w:val="nil"/>
              <w:bottom w:val="single" w:sz="4" w:space="0" w:color="auto"/>
              <w:right w:val="nil"/>
            </w:tcBorders>
            <w:shd w:val="clear" w:color="000000" w:fill="AFD7BB"/>
            <w:noWrap/>
            <w:vAlign w:val="center"/>
            <w:hideMark/>
          </w:tcPr>
          <w:p w14:paraId="44AA3A4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0.740</w:t>
            </w:r>
          </w:p>
        </w:tc>
        <w:tc>
          <w:tcPr>
            <w:tcW w:w="1680" w:type="dxa"/>
            <w:tcBorders>
              <w:top w:val="nil"/>
              <w:left w:val="nil"/>
              <w:bottom w:val="single" w:sz="4" w:space="0" w:color="auto"/>
              <w:right w:val="nil"/>
            </w:tcBorders>
            <w:shd w:val="clear" w:color="000000" w:fill="D7EBDD"/>
            <w:noWrap/>
            <w:vAlign w:val="center"/>
            <w:hideMark/>
          </w:tcPr>
          <w:p w14:paraId="518A2DB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0.441</w:t>
            </w:r>
          </w:p>
        </w:tc>
        <w:tc>
          <w:tcPr>
            <w:tcW w:w="1680" w:type="dxa"/>
            <w:tcBorders>
              <w:top w:val="nil"/>
              <w:left w:val="nil"/>
              <w:bottom w:val="single" w:sz="4" w:space="0" w:color="auto"/>
              <w:right w:val="single" w:sz="4" w:space="0" w:color="auto"/>
            </w:tcBorders>
            <w:shd w:val="clear" w:color="000000" w:fill="87C399"/>
            <w:noWrap/>
            <w:vAlign w:val="center"/>
            <w:hideMark/>
          </w:tcPr>
          <w:p w14:paraId="3D08148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0.814</w:t>
            </w:r>
          </w:p>
        </w:tc>
      </w:tr>
    </w:tbl>
    <w:p w14:paraId="727776D5" w14:textId="1E7BF9B1" w:rsidR="00F661C2" w:rsidRPr="0055149C" w:rsidRDefault="00BE04DE" w:rsidP="00F661C2">
      <w:pPr>
        <w:pStyle w:val="Billedtekst-forklaring"/>
        <w:ind w:left="0" w:firstLine="0"/>
        <w:rPr>
          <w:shd w:val="clear" w:color="auto" w:fill="468C5C" w:themeFill="accent6"/>
          <w:lang w:eastAsia="nb-NO"/>
        </w:rPr>
      </w:pPr>
      <w:r>
        <w:t>I f</w:t>
      </w:r>
      <w:r w:rsidR="000E08F8" w:rsidRPr="0055149C">
        <w:t xml:space="preserve">orkortelsene dd, ad, da og aa angir </w:t>
      </w:r>
      <w:r w:rsidR="00DB796C" w:rsidRPr="0055149C">
        <w:t>første og andre bokstav om henholdsvis kapitaldeflatorene og depresieringsratene er aggregerte (a) eller disaggregerte (d).</w:t>
      </w:r>
      <w:r w:rsidR="00A612E2" w:rsidRPr="0055149C">
        <w:t xml:space="preserve"> </w:t>
      </w:r>
      <w:r w:rsidR="00DB796C" w:rsidRPr="0055149C">
        <w:t xml:space="preserve">f og l som følger angir om eventuelle avkastningskrav er fast eller løpende. </w:t>
      </w:r>
      <w:r w:rsidR="00F661C2" w:rsidRPr="0055149C">
        <w:t xml:space="preserve">Angivelse av fargekoder for korrelasjonskoeffisientene: </w:t>
      </w:r>
      <w:r w:rsidR="00F661C2" w:rsidRPr="0055149C">
        <w:rPr>
          <w:shd w:val="clear" w:color="auto" w:fill="A60E24" w:themeFill="accent5"/>
          <w:lang w:eastAsia="nb-NO"/>
        </w:rPr>
        <w:t>(-1,00)-(-0,90)</w:t>
      </w:r>
      <w:r w:rsidR="00F661C2" w:rsidRPr="0055149C">
        <w:rPr>
          <w:lang w:eastAsia="nb-NO"/>
        </w:rPr>
        <w:t xml:space="preserve">, </w:t>
      </w:r>
      <w:r w:rsidR="00F661C2" w:rsidRPr="0055149C">
        <w:rPr>
          <w:shd w:val="clear" w:color="auto" w:fill="EF485F" w:themeFill="accent5" w:themeFillTint="99"/>
          <w:lang w:eastAsia="nb-NO"/>
        </w:rPr>
        <w:t>(-0,90)-(-0,75)</w:t>
      </w:r>
      <w:r w:rsidR="00F661C2" w:rsidRPr="0055149C">
        <w:rPr>
          <w:lang w:eastAsia="nb-NO"/>
        </w:rPr>
        <w:t xml:space="preserve">, </w:t>
      </w:r>
      <w:r w:rsidR="00F661C2" w:rsidRPr="0055149C">
        <w:rPr>
          <w:shd w:val="clear" w:color="auto" w:fill="F48594" w:themeFill="accent5" w:themeFillTint="66"/>
          <w:lang w:eastAsia="nb-NO"/>
        </w:rPr>
        <w:t>(-0,75)-(-0,50)</w:t>
      </w:r>
      <w:r w:rsidR="00F661C2" w:rsidRPr="0055149C">
        <w:rPr>
          <w:lang w:eastAsia="nb-NO"/>
        </w:rPr>
        <w:t xml:space="preserve">, </w:t>
      </w:r>
      <w:r w:rsidR="00F661C2" w:rsidRPr="0055149C">
        <w:rPr>
          <w:shd w:val="clear" w:color="auto" w:fill="FAC2C9" w:themeFill="accent5" w:themeFillTint="33"/>
          <w:lang w:eastAsia="nb-NO"/>
        </w:rPr>
        <w:t>(-0,50)-(-0,25)</w:t>
      </w:r>
      <w:r w:rsidR="00F661C2" w:rsidRPr="0055149C">
        <w:rPr>
          <w:lang w:eastAsia="nb-NO"/>
        </w:rPr>
        <w:t xml:space="preserve">, </w:t>
      </w:r>
      <w:r w:rsidR="00F661C2" w:rsidRPr="0055149C">
        <w:rPr>
          <w:shd w:val="clear" w:color="auto" w:fill="FABF8F" w:themeFill="accent4" w:themeFillTint="99"/>
          <w:lang w:eastAsia="nb-NO"/>
        </w:rPr>
        <w:t>(-0,25)-(-0,10</w:t>
      </w:r>
      <w:r w:rsidR="00F661C2" w:rsidRPr="0055149C">
        <w:rPr>
          <w:shd w:val="clear" w:color="auto" w:fill="FBD4B4"/>
          <w:lang w:eastAsia="nb-NO"/>
        </w:rPr>
        <w:t>)</w:t>
      </w:r>
      <w:r w:rsidR="00F661C2" w:rsidRPr="0055149C">
        <w:rPr>
          <w:lang w:eastAsia="nb-NO"/>
        </w:rPr>
        <w:t xml:space="preserve">, </w:t>
      </w:r>
      <w:r w:rsidR="00F661C2" w:rsidRPr="0055149C">
        <w:rPr>
          <w:shd w:val="clear" w:color="auto" w:fill="FDE9D9" w:themeFill="accent4" w:themeFillTint="33"/>
          <w:lang w:eastAsia="nb-NO"/>
        </w:rPr>
        <w:t>(-0,10)-(-0,00)</w:t>
      </w:r>
      <w:r w:rsidR="00F661C2" w:rsidRPr="0055149C">
        <w:rPr>
          <w:lang w:eastAsia="nb-NO"/>
        </w:rPr>
        <w:t>,</w:t>
      </w:r>
      <w:r w:rsidR="00F661C2" w:rsidRPr="0055149C">
        <w:t xml:space="preserve"> </w:t>
      </w:r>
      <w:r w:rsidR="00F661C2" w:rsidRPr="0055149C">
        <w:rPr>
          <w:shd w:val="clear" w:color="auto" w:fill="CCCC00"/>
          <w:lang w:eastAsia="nb-NO"/>
        </w:rPr>
        <w:t>0.00-0,10</w:t>
      </w:r>
      <w:r w:rsidR="00F661C2" w:rsidRPr="0055149C">
        <w:rPr>
          <w:lang w:eastAsia="nb-NO"/>
        </w:rPr>
        <w:t xml:space="preserve">, </w:t>
      </w:r>
      <w:r w:rsidR="00F661C2" w:rsidRPr="0055149C">
        <w:rPr>
          <w:shd w:val="clear" w:color="auto" w:fill="FFFF99"/>
          <w:lang w:eastAsia="nb-NO"/>
        </w:rPr>
        <w:t>0,10-0,25</w:t>
      </w:r>
      <w:r w:rsidR="00F661C2" w:rsidRPr="0055149C">
        <w:rPr>
          <w:lang w:eastAsia="nb-NO"/>
        </w:rPr>
        <w:t xml:space="preserve">, </w:t>
      </w:r>
      <w:r w:rsidR="00F661C2" w:rsidRPr="0055149C">
        <w:rPr>
          <w:shd w:val="clear" w:color="auto" w:fill="D7EBDD" w:themeFill="accent6" w:themeFillTint="33"/>
          <w:lang w:eastAsia="nb-NO"/>
        </w:rPr>
        <w:t>0.25-0,50</w:t>
      </w:r>
      <w:r w:rsidR="00F661C2" w:rsidRPr="0055149C">
        <w:rPr>
          <w:lang w:eastAsia="nb-NO"/>
        </w:rPr>
        <w:t xml:space="preserve">, </w:t>
      </w:r>
      <w:r w:rsidR="00F661C2" w:rsidRPr="0055149C">
        <w:rPr>
          <w:shd w:val="clear" w:color="auto" w:fill="AFD7BB" w:themeFill="accent6" w:themeFillTint="66"/>
          <w:lang w:eastAsia="nb-NO"/>
        </w:rPr>
        <w:t>0,50-0,75</w:t>
      </w:r>
      <w:r w:rsidR="00F661C2" w:rsidRPr="0055149C">
        <w:rPr>
          <w:lang w:eastAsia="nb-NO"/>
        </w:rPr>
        <w:t xml:space="preserve">, </w:t>
      </w:r>
      <w:r w:rsidR="00F661C2" w:rsidRPr="0055149C">
        <w:rPr>
          <w:shd w:val="clear" w:color="auto" w:fill="87C399" w:themeFill="accent6" w:themeFillTint="99"/>
          <w:lang w:eastAsia="nb-NO"/>
        </w:rPr>
        <w:t>0,75-0,90</w:t>
      </w:r>
      <w:r w:rsidR="00F661C2" w:rsidRPr="0055149C">
        <w:rPr>
          <w:lang w:eastAsia="nb-NO"/>
        </w:rPr>
        <w:t xml:space="preserve"> og </w:t>
      </w:r>
      <w:r w:rsidR="00F661C2" w:rsidRPr="0055149C">
        <w:rPr>
          <w:shd w:val="clear" w:color="auto" w:fill="468C5C" w:themeFill="accent6"/>
          <w:lang w:eastAsia="nb-NO"/>
        </w:rPr>
        <w:t>0,90-1,00</w:t>
      </w:r>
    </w:p>
    <w:p w14:paraId="2EB71A55" w14:textId="168041CD" w:rsidR="003F2D8B" w:rsidRPr="0055149C" w:rsidRDefault="00F661C2" w:rsidP="00B542B7">
      <w:pPr>
        <w:pStyle w:val="Source"/>
        <w:rPr>
          <w:lang w:eastAsia="nb-NO"/>
        </w:rPr>
      </w:pPr>
      <w:r w:rsidRPr="0055149C">
        <w:rPr>
          <w:lang w:eastAsia="nb-NO"/>
        </w:rPr>
        <w:t>Kilde: Vista Analyse</w:t>
      </w:r>
      <w:r w:rsidR="003F2D8B" w:rsidRPr="0055149C">
        <w:br w:type="page"/>
      </w:r>
    </w:p>
    <w:p w14:paraId="57D3EA4F" w14:textId="64B1E189" w:rsidR="003F2D8B" w:rsidRDefault="003F2D8B" w:rsidP="003F2D8B">
      <w:pPr>
        <w:pStyle w:val="Bildetekst"/>
      </w:pPr>
      <w:bookmarkStart w:id="130" w:name="_Ref169004902"/>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7</w:t>
        </w:r>
      </w:fldSimple>
      <w:bookmarkEnd w:id="130"/>
      <w:r w:rsidRPr="0055149C">
        <w:tab/>
        <w:t>Korrelasjon mellom realkapitalkostnadsestimater per innbygger og d</w:t>
      </w:r>
      <w:r w:rsidR="00C70037" w:rsidRPr="0055149C">
        <w:t>riftsregnskapsposter</w:t>
      </w:r>
      <w:r w:rsidRPr="0055149C">
        <w:t xml:space="preserve"> per innbygger i fylkeskommunene i 2022 utenom Oslo</w:t>
      </w:r>
    </w:p>
    <w:tbl>
      <w:tblPr>
        <w:tblW w:w="13440" w:type="dxa"/>
        <w:tblCellMar>
          <w:left w:w="70" w:type="dxa"/>
          <w:right w:w="70" w:type="dxa"/>
        </w:tblCellMar>
        <w:tblLook w:val="04A0" w:firstRow="1" w:lastRow="0" w:firstColumn="1" w:lastColumn="0" w:noHBand="0" w:noVBand="1"/>
      </w:tblPr>
      <w:tblGrid>
        <w:gridCol w:w="3360"/>
        <w:gridCol w:w="1700"/>
        <w:gridCol w:w="1694"/>
        <w:gridCol w:w="1850"/>
        <w:gridCol w:w="1680"/>
        <w:gridCol w:w="1680"/>
        <w:gridCol w:w="1680"/>
      </w:tblGrid>
      <w:tr w:rsidR="003969CB" w:rsidRPr="003969CB" w14:paraId="2B61E7F9" w14:textId="77777777" w:rsidTr="003969CB">
        <w:trPr>
          <w:trHeight w:val="552"/>
        </w:trPr>
        <w:tc>
          <w:tcPr>
            <w:tcW w:w="3360" w:type="dxa"/>
            <w:tcBorders>
              <w:top w:val="single" w:sz="4" w:space="0" w:color="auto"/>
              <w:left w:val="single" w:sz="4" w:space="0" w:color="auto"/>
              <w:bottom w:val="nil"/>
              <w:right w:val="nil"/>
            </w:tcBorders>
            <w:shd w:val="clear" w:color="000000" w:fill="3672B0"/>
            <w:noWrap/>
            <w:vAlign w:val="center"/>
            <w:hideMark/>
          </w:tcPr>
          <w:p w14:paraId="74282726" w14:textId="77777777" w:rsidR="003969CB" w:rsidRPr="003969CB" w:rsidRDefault="003969CB" w:rsidP="003969CB">
            <w:pPr>
              <w:spacing w:before="0" w:line="240" w:lineRule="auto"/>
              <w:jc w:val="left"/>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Variabler</w:t>
            </w:r>
          </w:p>
        </w:tc>
        <w:tc>
          <w:tcPr>
            <w:tcW w:w="1680" w:type="dxa"/>
            <w:tcBorders>
              <w:top w:val="single" w:sz="4" w:space="0" w:color="auto"/>
              <w:left w:val="nil"/>
              <w:bottom w:val="nil"/>
              <w:right w:val="nil"/>
            </w:tcBorders>
            <w:shd w:val="clear" w:color="000000" w:fill="3672B0"/>
            <w:vAlign w:val="center"/>
            <w:hideMark/>
          </w:tcPr>
          <w:p w14:paraId="4372D298"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Bruttodriftsutgifter</w:t>
            </w:r>
          </w:p>
        </w:tc>
        <w:tc>
          <w:tcPr>
            <w:tcW w:w="1680" w:type="dxa"/>
            <w:tcBorders>
              <w:top w:val="single" w:sz="4" w:space="0" w:color="auto"/>
              <w:left w:val="nil"/>
              <w:bottom w:val="nil"/>
              <w:right w:val="nil"/>
            </w:tcBorders>
            <w:shd w:val="clear" w:color="000000" w:fill="3672B0"/>
            <w:vAlign w:val="center"/>
            <w:hideMark/>
          </w:tcPr>
          <w:p w14:paraId="2705D960"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Korrigerte bruttodriftsutgifter</w:t>
            </w:r>
          </w:p>
        </w:tc>
        <w:tc>
          <w:tcPr>
            <w:tcW w:w="1680" w:type="dxa"/>
            <w:tcBorders>
              <w:top w:val="single" w:sz="4" w:space="0" w:color="auto"/>
              <w:left w:val="nil"/>
              <w:bottom w:val="nil"/>
              <w:right w:val="nil"/>
            </w:tcBorders>
            <w:shd w:val="clear" w:color="000000" w:fill="3672B0"/>
            <w:vAlign w:val="center"/>
            <w:hideMark/>
          </w:tcPr>
          <w:p w14:paraId="26710EA5" w14:textId="65794281"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w:t>
            </w:r>
            <w:r>
              <w:rPr>
                <w:rFonts w:ascii="Aptos Narrow" w:eastAsia="Times New Roman" w:hAnsi="Aptos Narrow" w:cs="Times New Roman"/>
                <w:b/>
                <w:bCs/>
                <w:color w:val="FFFFFF"/>
                <w:sz w:val="20"/>
                <w:szCs w:val="20"/>
                <w:lang w:eastAsia="nb-NO"/>
              </w:rPr>
              <w:t>drifts</w:t>
            </w:r>
            <w:r w:rsidRPr="003969CB">
              <w:rPr>
                <w:rFonts w:ascii="Aptos Narrow" w:eastAsia="Times New Roman" w:hAnsi="Aptos Narrow" w:cs="Times New Roman"/>
                <w:b/>
                <w:bCs/>
                <w:color w:val="FFFFFF"/>
                <w:sz w:val="20"/>
                <w:szCs w:val="20"/>
                <w:lang w:eastAsia="nb-NO"/>
              </w:rPr>
              <w:t>inntekter</w:t>
            </w:r>
          </w:p>
        </w:tc>
        <w:tc>
          <w:tcPr>
            <w:tcW w:w="1680" w:type="dxa"/>
            <w:tcBorders>
              <w:top w:val="single" w:sz="4" w:space="0" w:color="auto"/>
              <w:left w:val="nil"/>
              <w:bottom w:val="nil"/>
              <w:right w:val="nil"/>
            </w:tcBorders>
            <w:shd w:val="clear" w:color="000000" w:fill="3672B0"/>
            <w:vAlign w:val="center"/>
            <w:hideMark/>
          </w:tcPr>
          <w:p w14:paraId="5A4B9074"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Nettodriftsutgifter</w:t>
            </w:r>
          </w:p>
        </w:tc>
        <w:tc>
          <w:tcPr>
            <w:tcW w:w="1680" w:type="dxa"/>
            <w:tcBorders>
              <w:top w:val="single" w:sz="4" w:space="0" w:color="auto"/>
              <w:left w:val="nil"/>
              <w:bottom w:val="nil"/>
              <w:right w:val="nil"/>
            </w:tcBorders>
            <w:shd w:val="clear" w:color="000000" w:fill="3672B0"/>
            <w:vAlign w:val="center"/>
            <w:hideMark/>
          </w:tcPr>
          <w:p w14:paraId="1FF19B0B"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Lønnsutgifter</w:t>
            </w:r>
          </w:p>
        </w:tc>
        <w:tc>
          <w:tcPr>
            <w:tcW w:w="1680" w:type="dxa"/>
            <w:tcBorders>
              <w:top w:val="single" w:sz="4" w:space="0" w:color="auto"/>
              <w:left w:val="nil"/>
              <w:bottom w:val="nil"/>
              <w:right w:val="nil"/>
            </w:tcBorders>
            <w:shd w:val="clear" w:color="000000" w:fill="3672B0"/>
            <w:vAlign w:val="center"/>
            <w:hideMark/>
          </w:tcPr>
          <w:p w14:paraId="12D5B3DD"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Produktinnsats og nettofordringstap</w:t>
            </w:r>
          </w:p>
        </w:tc>
      </w:tr>
      <w:tr w:rsidR="003969CB" w:rsidRPr="003969CB" w14:paraId="7E3441E9" w14:textId="77777777" w:rsidTr="003969CB">
        <w:trPr>
          <w:trHeight w:val="276"/>
        </w:trPr>
        <w:tc>
          <w:tcPr>
            <w:tcW w:w="3360" w:type="dxa"/>
            <w:tcBorders>
              <w:top w:val="single" w:sz="4" w:space="0" w:color="auto"/>
              <w:left w:val="single" w:sz="4" w:space="0" w:color="auto"/>
              <w:bottom w:val="nil"/>
              <w:right w:val="single" w:sz="4" w:space="0" w:color="auto"/>
            </w:tcBorders>
            <w:shd w:val="clear" w:color="000000" w:fill="A9C6E4"/>
            <w:vAlign w:val="center"/>
            <w:hideMark/>
          </w:tcPr>
          <w:p w14:paraId="660D0842"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 Bruttoinvesteringsutgifter</w:t>
            </w:r>
          </w:p>
        </w:tc>
        <w:tc>
          <w:tcPr>
            <w:tcW w:w="1680" w:type="dxa"/>
            <w:tcBorders>
              <w:top w:val="single" w:sz="4" w:space="0" w:color="auto"/>
              <w:left w:val="single" w:sz="4" w:space="0" w:color="auto"/>
              <w:bottom w:val="nil"/>
              <w:right w:val="nil"/>
            </w:tcBorders>
            <w:shd w:val="clear" w:color="000000" w:fill="AFD7BB"/>
            <w:noWrap/>
            <w:vAlign w:val="center"/>
            <w:hideMark/>
          </w:tcPr>
          <w:p w14:paraId="1D02ACC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0.668</w:t>
            </w:r>
          </w:p>
        </w:tc>
        <w:tc>
          <w:tcPr>
            <w:tcW w:w="1680" w:type="dxa"/>
            <w:tcBorders>
              <w:top w:val="single" w:sz="4" w:space="0" w:color="auto"/>
              <w:left w:val="nil"/>
              <w:bottom w:val="nil"/>
              <w:right w:val="nil"/>
            </w:tcBorders>
            <w:shd w:val="clear" w:color="000000" w:fill="D7EBDD"/>
            <w:noWrap/>
            <w:vAlign w:val="center"/>
            <w:hideMark/>
          </w:tcPr>
          <w:p w14:paraId="0AAB689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0.382</w:t>
            </w:r>
          </w:p>
        </w:tc>
        <w:tc>
          <w:tcPr>
            <w:tcW w:w="1680" w:type="dxa"/>
            <w:tcBorders>
              <w:top w:val="single" w:sz="4" w:space="0" w:color="auto"/>
              <w:left w:val="nil"/>
              <w:bottom w:val="nil"/>
              <w:right w:val="nil"/>
            </w:tcBorders>
            <w:shd w:val="clear" w:color="000000" w:fill="AFD7BB"/>
            <w:noWrap/>
            <w:vAlign w:val="center"/>
            <w:hideMark/>
          </w:tcPr>
          <w:p w14:paraId="6CD782C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0.704</w:t>
            </w:r>
          </w:p>
        </w:tc>
        <w:tc>
          <w:tcPr>
            <w:tcW w:w="1680" w:type="dxa"/>
            <w:tcBorders>
              <w:top w:val="single" w:sz="4" w:space="0" w:color="auto"/>
              <w:left w:val="nil"/>
              <w:bottom w:val="nil"/>
              <w:right w:val="nil"/>
            </w:tcBorders>
            <w:shd w:val="clear" w:color="000000" w:fill="AFD7BB"/>
            <w:noWrap/>
            <w:vAlign w:val="center"/>
            <w:hideMark/>
          </w:tcPr>
          <w:p w14:paraId="22C1E38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0.599</w:t>
            </w:r>
          </w:p>
        </w:tc>
        <w:tc>
          <w:tcPr>
            <w:tcW w:w="1680" w:type="dxa"/>
            <w:tcBorders>
              <w:top w:val="single" w:sz="4" w:space="0" w:color="auto"/>
              <w:left w:val="nil"/>
              <w:bottom w:val="nil"/>
              <w:right w:val="nil"/>
            </w:tcBorders>
            <w:shd w:val="clear" w:color="000000" w:fill="CCCC00"/>
            <w:noWrap/>
            <w:vAlign w:val="center"/>
            <w:hideMark/>
          </w:tcPr>
          <w:p w14:paraId="034302B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0.036</w:t>
            </w:r>
          </w:p>
        </w:tc>
        <w:tc>
          <w:tcPr>
            <w:tcW w:w="1680" w:type="dxa"/>
            <w:tcBorders>
              <w:top w:val="single" w:sz="4" w:space="0" w:color="auto"/>
              <w:left w:val="nil"/>
              <w:bottom w:val="nil"/>
              <w:right w:val="single" w:sz="4" w:space="0" w:color="auto"/>
            </w:tcBorders>
            <w:shd w:val="clear" w:color="000000" w:fill="87C399"/>
            <w:noWrap/>
            <w:vAlign w:val="center"/>
            <w:hideMark/>
          </w:tcPr>
          <w:p w14:paraId="3CCC21A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0.759</w:t>
            </w:r>
          </w:p>
        </w:tc>
      </w:tr>
      <w:tr w:rsidR="003969CB" w:rsidRPr="003969CB" w14:paraId="58310C05"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35D17F9B"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(2) Bruttoinvesteringsstrøm</w:t>
            </w:r>
          </w:p>
        </w:tc>
        <w:tc>
          <w:tcPr>
            <w:tcW w:w="1680" w:type="dxa"/>
            <w:tcBorders>
              <w:top w:val="nil"/>
              <w:left w:val="single" w:sz="4" w:space="0" w:color="auto"/>
              <w:bottom w:val="nil"/>
              <w:right w:val="nil"/>
            </w:tcBorders>
            <w:shd w:val="clear" w:color="000000" w:fill="AFD7BB"/>
            <w:noWrap/>
            <w:vAlign w:val="center"/>
            <w:hideMark/>
          </w:tcPr>
          <w:p w14:paraId="41192FC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0.720</w:t>
            </w:r>
          </w:p>
        </w:tc>
        <w:tc>
          <w:tcPr>
            <w:tcW w:w="1680" w:type="dxa"/>
            <w:tcBorders>
              <w:top w:val="nil"/>
              <w:left w:val="nil"/>
              <w:bottom w:val="nil"/>
              <w:right w:val="nil"/>
            </w:tcBorders>
            <w:shd w:val="clear" w:color="000000" w:fill="D7EBDD"/>
            <w:noWrap/>
            <w:vAlign w:val="center"/>
            <w:hideMark/>
          </w:tcPr>
          <w:p w14:paraId="7E4BCB2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0.457</w:t>
            </w:r>
          </w:p>
        </w:tc>
        <w:tc>
          <w:tcPr>
            <w:tcW w:w="1680" w:type="dxa"/>
            <w:tcBorders>
              <w:top w:val="nil"/>
              <w:left w:val="nil"/>
              <w:bottom w:val="nil"/>
              <w:right w:val="nil"/>
            </w:tcBorders>
            <w:shd w:val="clear" w:color="000000" w:fill="AFD7BB"/>
            <w:noWrap/>
            <w:vAlign w:val="center"/>
            <w:hideMark/>
          </w:tcPr>
          <w:p w14:paraId="3CBD5E6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0.704</w:t>
            </w:r>
          </w:p>
        </w:tc>
        <w:tc>
          <w:tcPr>
            <w:tcW w:w="1680" w:type="dxa"/>
            <w:tcBorders>
              <w:top w:val="nil"/>
              <w:left w:val="nil"/>
              <w:bottom w:val="nil"/>
              <w:right w:val="nil"/>
            </w:tcBorders>
            <w:shd w:val="clear" w:color="000000" w:fill="AFD7BB"/>
            <w:noWrap/>
            <w:vAlign w:val="center"/>
            <w:hideMark/>
          </w:tcPr>
          <w:p w14:paraId="47DC4B8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0.677</w:t>
            </w:r>
          </w:p>
        </w:tc>
        <w:tc>
          <w:tcPr>
            <w:tcW w:w="1680" w:type="dxa"/>
            <w:tcBorders>
              <w:top w:val="nil"/>
              <w:left w:val="nil"/>
              <w:bottom w:val="nil"/>
              <w:right w:val="nil"/>
            </w:tcBorders>
            <w:shd w:val="clear" w:color="000000" w:fill="FFFF99"/>
            <w:noWrap/>
            <w:vAlign w:val="center"/>
            <w:hideMark/>
          </w:tcPr>
          <w:p w14:paraId="694B0C6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0.141</w:t>
            </w:r>
          </w:p>
        </w:tc>
        <w:tc>
          <w:tcPr>
            <w:tcW w:w="1680" w:type="dxa"/>
            <w:tcBorders>
              <w:top w:val="nil"/>
              <w:left w:val="nil"/>
              <w:bottom w:val="nil"/>
              <w:right w:val="single" w:sz="4" w:space="0" w:color="auto"/>
            </w:tcBorders>
            <w:shd w:val="clear" w:color="000000" w:fill="87C399"/>
            <w:noWrap/>
            <w:vAlign w:val="center"/>
            <w:hideMark/>
          </w:tcPr>
          <w:p w14:paraId="7F28B83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0.797</w:t>
            </w:r>
          </w:p>
        </w:tc>
      </w:tr>
      <w:tr w:rsidR="003969CB" w:rsidRPr="003969CB" w14:paraId="2DC11479"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CA7126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(3) Kapitalslit, DM</w:t>
            </w:r>
          </w:p>
        </w:tc>
        <w:tc>
          <w:tcPr>
            <w:tcW w:w="1680" w:type="dxa"/>
            <w:tcBorders>
              <w:top w:val="nil"/>
              <w:left w:val="single" w:sz="4" w:space="0" w:color="auto"/>
              <w:bottom w:val="nil"/>
              <w:right w:val="nil"/>
            </w:tcBorders>
            <w:shd w:val="clear" w:color="000000" w:fill="87C399"/>
            <w:noWrap/>
            <w:vAlign w:val="center"/>
            <w:hideMark/>
          </w:tcPr>
          <w:p w14:paraId="607ACE0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0.779</w:t>
            </w:r>
          </w:p>
        </w:tc>
        <w:tc>
          <w:tcPr>
            <w:tcW w:w="1680" w:type="dxa"/>
            <w:tcBorders>
              <w:top w:val="nil"/>
              <w:left w:val="nil"/>
              <w:bottom w:val="nil"/>
              <w:right w:val="nil"/>
            </w:tcBorders>
            <w:shd w:val="clear" w:color="000000" w:fill="AFD7BB"/>
            <w:noWrap/>
            <w:vAlign w:val="center"/>
            <w:hideMark/>
          </w:tcPr>
          <w:p w14:paraId="623F4BF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0.582</w:t>
            </w:r>
          </w:p>
        </w:tc>
        <w:tc>
          <w:tcPr>
            <w:tcW w:w="1680" w:type="dxa"/>
            <w:tcBorders>
              <w:top w:val="nil"/>
              <w:left w:val="nil"/>
              <w:bottom w:val="nil"/>
              <w:right w:val="nil"/>
            </w:tcBorders>
            <w:shd w:val="clear" w:color="000000" w:fill="AFD7BB"/>
            <w:noWrap/>
            <w:vAlign w:val="center"/>
            <w:hideMark/>
          </w:tcPr>
          <w:p w14:paraId="3151557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0.742</w:t>
            </w:r>
          </w:p>
        </w:tc>
        <w:tc>
          <w:tcPr>
            <w:tcW w:w="1680" w:type="dxa"/>
            <w:tcBorders>
              <w:top w:val="nil"/>
              <w:left w:val="nil"/>
              <w:bottom w:val="nil"/>
              <w:right w:val="nil"/>
            </w:tcBorders>
            <w:shd w:val="clear" w:color="000000" w:fill="AFD7BB"/>
            <w:noWrap/>
            <w:vAlign w:val="center"/>
            <w:hideMark/>
          </w:tcPr>
          <w:p w14:paraId="1849565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nil"/>
              <w:right w:val="nil"/>
            </w:tcBorders>
            <w:shd w:val="clear" w:color="000000" w:fill="FFFF99"/>
            <w:noWrap/>
            <w:vAlign w:val="center"/>
            <w:hideMark/>
          </w:tcPr>
          <w:p w14:paraId="5081BE0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0.233</w:t>
            </w:r>
          </w:p>
        </w:tc>
        <w:tc>
          <w:tcPr>
            <w:tcW w:w="1680" w:type="dxa"/>
            <w:tcBorders>
              <w:top w:val="nil"/>
              <w:left w:val="nil"/>
              <w:bottom w:val="nil"/>
              <w:right w:val="single" w:sz="4" w:space="0" w:color="auto"/>
            </w:tcBorders>
            <w:shd w:val="clear" w:color="000000" w:fill="87C399"/>
            <w:noWrap/>
            <w:vAlign w:val="center"/>
            <w:hideMark/>
          </w:tcPr>
          <w:p w14:paraId="1C636FB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0.845</w:t>
            </w:r>
          </w:p>
        </w:tc>
      </w:tr>
      <w:tr w:rsidR="003969CB" w:rsidRPr="003969CB" w14:paraId="71759BAB"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33B35C1"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(4) Kapitalslit, PIM-dd art</w:t>
            </w:r>
          </w:p>
        </w:tc>
        <w:tc>
          <w:tcPr>
            <w:tcW w:w="1680" w:type="dxa"/>
            <w:tcBorders>
              <w:top w:val="nil"/>
              <w:left w:val="single" w:sz="4" w:space="0" w:color="auto"/>
              <w:bottom w:val="nil"/>
              <w:right w:val="nil"/>
            </w:tcBorders>
            <w:shd w:val="clear" w:color="000000" w:fill="87C399"/>
            <w:noWrap/>
            <w:vAlign w:val="center"/>
            <w:hideMark/>
          </w:tcPr>
          <w:p w14:paraId="718A181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0.817</w:t>
            </w:r>
          </w:p>
        </w:tc>
        <w:tc>
          <w:tcPr>
            <w:tcW w:w="1680" w:type="dxa"/>
            <w:tcBorders>
              <w:top w:val="nil"/>
              <w:left w:val="nil"/>
              <w:bottom w:val="nil"/>
              <w:right w:val="nil"/>
            </w:tcBorders>
            <w:shd w:val="clear" w:color="000000" w:fill="AFD7BB"/>
            <w:noWrap/>
            <w:vAlign w:val="center"/>
            <w:hideMark/>
          </w:tcPr>
          <w:p w14:paraId="59CBD2B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0.616</w:t>
            </w:r>
          </w:p>
        </w:tc>
        <w:tc>
          <w:tcPr>
            <w:tcW w:w="1680" w:type="dxa"/>
            <w:tcBorders>
              <w:top w:val="nil"/>
              <w:left w:val="nil"/>
              <w:bottom w:val="nil"/>
              <w:right w:val="nil"/>
            </w:tcBorders>
            <w:shd w:val="clear" w:color="000000" w:fill="87C399"/>
            <w:noWrap/>
            <w:vAlign w:val="center"/>
            <w:hideMark/>
          </w:tcPr>
          <w:p w14:paraId="7B5EDF7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0.865</w:t>
            </w:r>
          </w:p>
        </w:tc>
        <w:tc>
          <w:tcPr>
            <w:tcW w:w="1680" w:type="dxa"/>
            <w:tcBorders>
              <w:top w:val="nil"/>
              <w:left w:val="nil"/>
              <w:bottom w:val="nil"/>
              <w:right w:val="nil"/>
            </w:tcBorders>
            <w:shd w:val="clear" w:color="000000" w:fill="AFD7BB"/>
            <w:noWrap/>
            <w:vAlign w:val="center"/>
            <w:hideMark/>
          </w:tcPr>
          <w:p w14:paraId="01B09CA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0.732</w:t>
            </w:r>
          </w:p>
        </w:tc>
        <w:tc>
          <w:tcPr>
            <w:tcW w:w="1680" w:type="dxa"/>
            <w:tcBorders>
              <w:top w:val="nil"/>
              <w:left w:val="nil"/>
              <w:bottom w:val="nil"/>
              <w:right w:val="nil"/>
            </w:tcBorders>
            <w:shd w:val="clear" w:color="000000" w:fill="D7EBDD"/>
            <w:noWrap/>
            <w:vAlign w:val="center"/>
            <w:hideMark/>
          </w:tcPr>
          <w:p w14:paraId="6F77397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0.307</w:t>
            </w:r>
          </w:p>
        </w:tc>
        <w:tc>
          <w:tcPr>
            <w:tcW w:w="1680" w:type="dxa"/>
            <w:tcBorders>
              <w:top w:val="nil"/>
              <w:left w:val="nil"/>
              <w:bottom w:val="nil"/>
              <w:right w:val="single" w:sz="4" w:space="0" w:color="auto"/>
            </w:tcBorders>
            <w:shd w:val="clear" w:color="000000" w:fill="87C399"/>
            <w:noWrap/>
            <w:vAlign w:val="center"/>
            <w:hideMark/>
          </w:tcPr>
          <w:p w14:paraId="4BE37E6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0.874</w:t>
            </w:r>
          </w:p>
        </w:tc>
      </w:tr>
      <w:tr w:rsidR="003969CB" w:rsidRPr="003969CB" w14:paraId="31881DEF"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47E1F64B"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(5) Kapitalslit, PIM-dd funk.</w:t>
            </w:r>
          </w:p>
        </w:tc>
        <w:tc>
          <w:tcPr>
            <w:tcW w:w="1680" w:type="dxa"/>
            <w:tcBorders>
              <w:top w:val="nil"/>
              <w:left w:val="single" w:sz="4" w:space="0" w:color="auto"/>
              <w:bottom w:val="nil"/>
              <w:right w:val="nil"/>
            </w:tcBorders>
            <w:shd w:val="clear" w:color="000000" w:fill="AFD7BB"/>
            <w:noWrap/>
            <w:vAlign w:val="center"/>
            <w:hideMark/>
          </w:tcPr>
          <w:p w14:paraId="42B268C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0.710</w:t>
            </w:r>
          </w:p>
        </w:tc>
        <w:tc>
          <w:tcPr>
            <w:tcW w:w="1680" w:type="dxa"/>
            <w:tcBorders>
              <w:top w:val="nil"/>
              <w:left w:val="nil"/>
              <w:bottom w:val="nil"/>
              <w:right w:val="nil"/>
            </w:tcBorders>
            <w:shd w:val="clear" w:color="000000" w:fill="D7EBDD"/>
            <w:noWrap/>
            <w:vAlign w:val="center"/>
            <w:hideMark/>
          </w:tcPr>
          <w:p w14:paraId="516B33D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0.458</w:t>
            </w:r>
          </w:p>
        </w:tc>
        <w:tc>
          <w:tcPr>
            <w:tcW w:w="1680" w:type="dxa"/>
            <w:tcBorders>
              <w:top w:val="nil"/>
              <w:left w:val="nil"/>
              <w:bottom w:val="nil"/>
              <w:right w:val="nil"/>
            </w:tcBorders>
            <w:shd w:val="clear" w:color="000000" w:fill="87C399"/>
            <w:noWrap/>
            <w:vAlign w:val="center"/>
            <w:hideMark/>
          </w:tcPr>
          <w:p w14:paraId="18B1E31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0.754</w:t>
            </w:r>
          </w:p>
        </w:tc>
        <w:tc>
          <w:tcPr>
            <w:tcW w:w="1680" w:type="dxa"/>
            <w:tcBorders>
              <w:top w:val="nil"/>
              <w:left w:val="nil"/>
              <w:bottom w:val="nil"/>
              <w:right w:val="nil"/>
            </w:tcBorders>
            <w:shd w:val="clear" w:color="000000" w:fill="AFD7BB"/>
            <w:noWrap/>
            <w:vAlign w:val="center"/>
            <w:hideMark/>
          </w:tcPr>
          <w:p w14:paraId="7B6153C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0.634</w:t>
            </w:r>
          </w:p>
        </w:tc>
        <w:tc>
          <w:tcPr>
            <w:tcW w:w="1680" w:type="dxa"/>
            <w:tcBorders>
              <w:top w:val="nil"/>
              <w:left w:val="nil"/>
              <w:bottom w:val="nil"/>
              <w:right w:val="nil"/>
            </w:tcBorders>
            <w:shd w:val="clear" w:color="000000" w:fill="CCCC00"/>
            <w:noWrap/>
            <w:vAlign w:val="center"/>
            <w:hideMark/>
          </w:tcPr>
          <w:p w14:paraId="5FD7C72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0.096</w:t>
            </w:r>
          </w:p>
        </w:tc>
        <w:tc>
          <w:tcPr>
            <w:tcW w:w="1680" w:type="dxa"/>
            <w:tcBorders>
              <w:top w:val="nil"/>
              <w:left w:val="nil"/>
              <w:bottom w:val="nil"/>
              <w:right w:val="single" w:sz="4" w:space="0" w:color="auto"/>
            </w:tcBorders>
            <w:shd w:val="clear" w:color="000000" w:fill="87C399"/>
            <w:noWrap/>
            <w:vAlign w:val="center"/>
            <w:hideMark/>
          </w:tcPr>
          <w:p w14:paraId="73FFA5C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0.795</w:t>
            </w:r>
          </w:p>
        </w:tc>
      </w:tr>
      <w:tr w:rsidR="003969CB" w:rsidRPr="003969CB" w14:paraId="6DAB6EEF"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4DF134D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(6) Kapitalslit, PIM-ad funk.</w:t>
            </w:r>
          </w:p>
        </w:tc>
        <w:tc>
          <w:tcPr>
            <w:tcW w:w="1680" w:type="dxa"/>
            <w:tcBorders>
              <w:top w:val="nil"/>
              <w:left w:val="single" w:sz="4" w:space="0" w:color="auto"/>
              <w:bottom w:val="nil"/>
              <w:right w:val="nil"/>
            </w:tcBorders>
            <w:shd w:val="clear" w:color="000000" w:fill="AFD7BB"/>
            <w:noWrap/>
            <w:vAlign w:val="center"/>
            <w:hideMark/>
          </w:tcPr>
          <w:p w14:paraId="3985D05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0.705</w:t>
            </w:r>
          </w:p>
        </w:tc>
        <w:tc>
          <w:tcPr>
            <w:tcW w:w="1680" w:type="dxa"/>
            <w:tcBorders>
              <w:top w:val="nil"/>
              <w:left w:val="nil"/>
              <w:bottom w:val="nil"/>
              <w:right w:val="nil"/>
            </w:tcBorders>
            <w:shd w:val="clear" w:color="000000" w:fill="D7EBDD"/>
            <w:noWrap/>
            <w:vAlign w:val="center"/>
            <w:hideMark/>
          </w:tcPr>
          <w:p w14:paraId="5D973D9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0.454</w:t>
            </w:r>
          </w:p>
        </w:tc>
        <w:tc>
          <w:tcPr>
            <w:tcW w:w="1680" w:type="dxa"/>
            <w:tcBorders>
              <w:top w:val="nil"/>
              <w:left w:val="nil"/>
              <w:bottom w:val="nil"/>
              <w:right w:val="nil"/>
            </w:tcBorders>
            <w:shd w:val="clear" w:color="000000" w:fill="87C399"/>
            <w:noWrap/>
            <w:vAlign w:val="center"/>
            <w:hideMark/>
          </w:tcPr>
          <w:p w14:paraId="0E23112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0.753</w:t>
            </w:r>
          </w:p>
        </w:tc>
        <w:tc>
          <w:tcPr>
            <w:tcW w:w="1680" w:type="dxa"/>
            <w:tcBorders>
              <w:top w:val="nil"/>
              <w:left w:val="nil"/>
              <w:bottom w:val="nil"/>
              <w:right w:val="nil"/>
            </w:tcBorders>
            <w:shd w:val="clear" w:color="000000" w:fill="AFD7BB"/>
            <w:noWrap/>
            <w:vAlign w:val="center"/>
            <w:hideMark/>
          </w:tcPr>
          <w:p w14:paraId="7256586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0.626</w:t>
            </w:r>
          </w:p>
        </w:tc>
        <w:tc>
          <w:tcPr>
            <w:tcW w:w="1680" w:type="dxa"/>
            <w:tcBorders>
              <w:top w:val="nil"/>
              <w:left w:val="nil"/>
              <w:bottom w:val="nil"/>
              <w:right w:val="nil"/>
            </w:tcBorders>
            <w:shd w:val="clear" w:color="000000" w:fill="CCCC00"/>
            <w:noWrap/>
            <w:vAlign w:val="center"/>
            <w:hideMark/>
          </w:tcPr>
          <w:p w14:paraId="7589CFE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1680" w:type="dxa"/>
            <w:tcBorders>
              <w:top w:val="nil"/>
              <w:left w:val="nil"/>
              <w:bottom w:val="nil"/>
              <w:right w:val="single" w:sz="4" w:space="0" w:color="auto"/>
            </w:tcBorders>
            <w:shd w:val="clear" w:color="000000" w:fill="87C399"/>
            <w:noWrap/>
            <w:vAlign w:val="center"/>
            <w:hideMark/>
          </w:tcPr>
          <w:p w14:paraId="42F9367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0.789</w:t>
            </w:r>
          </w:p>
        </w:tc>
      </w:tr>
      <w:tr w:rsidR="003969CB" w:rsidRPr="003969CB" w14:paraId="7585CDC1"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4CBC2C1"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(7) Kapitalslit, PIM-da funk.</w:t>
            </w:r>
          </w:p>
        </w:tc>
        <w:tc>
          <w:tcPr>
            <w:tcW w:w="1680" w:type="dxa"/>
            <w:tcBorders>
              <w:top w:val="nil"/>
              <w:left w:val="single" w:sz="4" w:space="0" w:color="auto"/>
              <w:bottom w:val="nil"/>
              <w:right w:val="nil"/>
            </w:tcBorders>
            <w:shd w:val="clear" w:color="000000" w:fill="AFD7BB"/>
            <w:noWrap/>
            <w:vAlign w:val="center"/>
            <w:hideMark/>
          </w:tcPr>
          <w:p w14:paraId="77FB50B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0.734</w:t>
            </w:r>
          </w:p>
        </w:tc>
        <w:tc>
          <w:tcPr>
            <w:tcW w:w="1680" w:type="dxa"/>
            <w:tcBorders>
              <w:top w:val="nil"/>
              <w:left w:val="nil"/>
              <w:bottom w:val="nil"/>
              <w:right w:val="nil"/>
            </w:tcBorders>
            <w:shd w:val="clear" w:color="000000" w:fill="AFD7BB"/>
            <w:noWrap/>
            <w:vAlign w:val="center"/>
            <w:hideMark/>
          </w:tcPr>
          <w:p w14:paraId="7F55285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0.514</w:t>
            </w:r>
          </w:p>
        </w:tc>
        <w:tc>
          <w:tcPr>
            <w:tcW w:w="1680" w:type="dxa"/>
            <w:tcBorders>
              <w:top w:val="nil"/>
              <w:left w:val="nil"/>
              <w:bottom w:val="nil"/>
              <w:right w:val="nil"/>
            </w:tcBorders>
            <w:shd w:val="clear" w:color="000000" w:fill="87C399"/>
            <w:noWrap/>
            <w:vAlign w:val="center"/>
            <w:hideMark/>
          </w:tcPr>
          <w:p w14:paraId="00F98F1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0.781</w:t>
            </w:r>
          </w:p>
        </w:tc>
        <w:tc>
          <w:tcPr>
            <w:tcW w:w="1680" w:type="dxa"/>
            <w:tcBorders>
              <w:top w:val="nil"/>
              <w:left w:val="nil"/>
              <w:bottom w:val="nil"/>
              <w:right w:val="nil"/>
            </w:tcBorders>
            <w:shd w:val="clear" w:color="000000" w:fill="AFD7BB"/>
            <w:noWrap/>
            <w:vAlign w:val="center"/>
            <w:hideMark/>
          </w:tcPr>
          <w:p w14:paraId="00F4089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0.656</w:t>
            </w:r>
          </w:p>
        </w:tc>
        <w:tc>
          <w:tcPr>
            <w:tcW w:w="1680" w:type="dxa"/>
            <w:tcBorders>
              <w:top w:val="nil"/>
              <w:left w:val="nil"/>
              <w:bottom w:val="nil"/>
              <w:right w:val="nil"/>
            </w:tcBorders>
            <w:shd w:val="clear" w:color="000000" w:fill="FFFF99"/>
            <w:noWrap/>
            <w:vAlign w:val="center"/>
            <w:hideMark/>
          </w:tcPr>
          <w:p w14:paraId="2CFAD73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0.181</w:t>
            </w:r>
          </w:p>
        </w:tc>
        <w:tc>
          <w:tcPr>
            <w:tcW w:w="1680" w:type="dxa"/>
            <w:tcBorders>
              <w:top w:val="nil"/>
              <w:left w:val="nil"/>
              <w:bottom w:val="nil"/>
              <w:right w:val="single" w:sz="4" w:space="0" w:color="auto"/>
            </w:tcBorders>
            <w:shd w:val="clear" w:color="000000" w:fill="87C399"/>
            <w:noWrap/>
            <w:vAlign w:val="center"/>
            <w:hideMark/>
          </w:tcPr>
          <w:p w14:paraId="2E1EFAB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0.805</w:t>
            </w:r>
          </w:p>
        </w:tc>
      </w:tr>
      <w:tr w:rsidR="003969CB" w:rsidRPr="003969CB" w14:paraId="279B019C"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29336A4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(8) Kapitalslit, PIM-aa funk.</w:t>
            </w:r>
          </w:p>
        </w:tc>
        <w:tc>
          <w:tcPr>
            <w:tcW w:w="1680" w:type="dxa"/>
            <w:tcBorders>
              <w:top w:val="nil"/>
              <w:left w:val="single" w:sz="4" w:space="0" w:color="auto"/>
              <w:bottom w:val="nil"/>
              <w:right w:val="nil"/>
            </w:tcBorders>
            <w:shd w:val="clear" w:color="000000" w:fill="AFD7BB"/>
            <w:noWrap/>
            <w:vAlign w:val="center"/>
            <w:hideMark/>
          </w:tcPr>
          <w:p w14:paraId="3481CD8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0.718</w:t>
            </w:r>
          </w:p>
        </w:tc>
        <w:tc>
          <w:tcPr>
            <w:tcW w:w="1680" w:type="dxa"/>
            <w:tcBorders>
              <w:top w:val="nil"/>
              <w:left w:val="nil"/>
              <w:bottom w:val="nil"/>
              <w:right w:val="nil"/>
            </w:tcBorders>
            <w:shd w:val="clear" w:color="000000" w:fill="D7EBDD"/>
            <w:noWrap/>
            <w:vAlign w:val="center"/>
            <w:hideMark/>
          </w:tcPr>
          <w:p w14:paraId="72B6D82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0.499</w:t>
            </w:r>
          </w:p>
        </w:tc>
        <w:tc>
          <w:tcPr>
            <w:tcW w:w="1680" w:type="dxa"/>
            <w:tcBorders>
              <w:top w:val="nil"/>
              <w:left w:val="nil"/>
              <w:bottom w:val="nil"/>
              <w:right w:val="nil"/>
            </w:tcBorders>
            <w:shd w:val="clear" w:color="000000" w:fill="87C399"/>
            <w:noWrap/>
            <w:vAlign w:val="center"/>
            <w:hideMark/>
          </w:tcPr>
          <w:p w14:paraId="6B8E889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0.769</w:t>
            </w:r>
          </w:p>
        </w:tc>
        <w:tc>
          <w:tcPr>
            <w:tcW w:w="1680" w:type="dxa"/>
            <w:tcBorders>
              <w:top w:val="nil"/>
              <w:left w:val="nil"/>
              <w:bottom w:val="nil"/>
              <w:right w:val="nil"/>
            </w:tcBorders>
            <w:shd w:val="clear" w:color="000000" w:fill="AFD7BB"/>
            <w:noWrap/>
            <w:vAlign w:val="center"/>
            <w:hideMark/>
          </w:tcPr>
          <w:p w14:paraId="561BB70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0.638</w:t>
            </w:r>
          </w:p>
        </w:tc>
        <w:tc>
          <w:tcPr>
            <w:tcW w:w="1680" w:type="dxa"/>
            <w:tcBorders>
              <w:top w:val="nil"/>
              <w:left w:val="nil"/>
              <w:bottom w:val="nil"/>
              <w:right w:val="nil"/>
            </w:tcBorders>
            <w:shd w:val="clear" w:color="000000" w:fill="FFFF99"/>
            <w:noWrap/>
            <w:vAlign w:val="center"/>
            <w:hideMark/>
          </w:tcPr>
          <w:p w14:paraId="0049E9E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0.172</w:t>
            </w:r>
          </w:p>
        </w:tc>
        <w:tc>
          <w:tcPr>
            <w:tcW w:w="1680" w:type="dxa"/>
            <w:tcBorders>
              <w:top w:val="nil"/>
              <w:left w:val="nil"/>
              <w:bottom w:val="nil"/>
              <w:right w:val="single" w:sz="4" w:space="0" w:color="auto"/>
            </w:tcBorders>
            <w:shd w:val="clear" w:color="000000" w:fill="87C399"/>
            <w:noWrap/>
            <w:vAlign w:val="center"/>
            <w:hideMark/>
          </w:tcPr>
          <w:p w14:paraId="2E9F12A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0.788</w:t>
            </w:r>
          </w:p>
        </w:tc>
      </w:tr>
      <w:tr w:rsidR="003969CB" w:rsidRPr="003969CB" w14:paraId="7E25C48A"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0999258"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(9) Kapitalslit og rentek., PIM-ddl art</w:t>
            </w:r>
          </w:p>
        </w:tc>
        <w:tc>
          <w:tcPr>
            <w:tcW w:w="1680" w:type="dxa"/>
            <w:tcBorders>
              <w:top w:val="nil"/>
              <w:left w:val="single" w:sz="4" w:space="0" w:color="auto"/>
              <w:bottom w:val="nil"/>
              <w:right w:val="nil"/>
            </w:tcBorders>
            <w:shd w:val="clear" w:color="000000" w:fill="87C399"/>
            <w:noWrap/>
            <w:vAlign w:val="center"/>
            <w:hideMark/>
          </w:tcPr>
          <w:p w14:paraId="1E8FF73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0.833</w:t>
            </w:r>
          </w:p>
        </w:tc>
        <w:tc>
          <w:tcPr>
            <w:tcW w:w="1680" w:type="dxa"/>
            <w:tcBorders>
              <w:top w:val="nil"/>
              <w:left w:val="nil"/>
              <w:bottom w:val="nil"/>
              <w:right w:val="nil"/>
            </w:tcBorders>
            <w:shd w:val="clear" w:color="000000" w:fill="AFD7BB"/>
            <w:noWrap/>
            <w:vAlign w:val="center"/>
            <w:hideMark/>
          </w:tcPr>
          <w:p w14:paraId="140AAF4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0.656</w:t>
            </w:r>
          </w:p>
        </w:tc>
        <w:tc>
          <w:tcPr>
            <w:tcW w:w="1680" w:type="dxa"/>
            <w:tcBorders>
              <w:top w:val="nil"/>
              <w:left w:val="nil"/>
              <w:bottom w:val="nil"/>
              <w:right w:val="nil"/>
            </w:tcBorders>
            <w:shd w:val="clear" w:color="000000" w:fill="87C399"/>
            <w:noWrap/>
            <w:vAlign w:val="center"/>
            <w:hideMark/>
          </w:tcPr>
          <w:p w14:paraId="78F2F6A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0.838</w:t>
            </w:r>
          </w:p>
        </w:tc>
        <w:tc>
          <w:tcPr>
            <w:tcW w:w="1680" w:type="dxa"/>
            <w:tcBorders>
              <w:top w:val="nil"/>
              <w:left w:val="nil"/>
              <w:bottom w:val="nil"/>
              <w:right w:val="nil"/>
            </w:tcBorders>
            <w:shd w:val="clear" w:color="000000" w:fill="87C399"/>
            <w:noWrap/>
            <w:vAlign w:val="center"/>
            <w:hideMark/>
          </w:tcPr>
          <w:p w14:paraId="1BEDE55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0.769</w:t>
            </w:r>
          </w:p>
        </w:tc>
        <w:tc>
          <w:tcPr>
            <w:tcW w:w="1680" w:type="dxa"/>
            <w:tcBorders>
              <w:top w:val="nil"/>
              <w:left w:val="nil"/>
              <w:bottom w:val="nil"/>
              <w:right w:val="nil"/>
            </w:tcBorders>
            <w:shd w:val="clear" w:color="000000" w:fill="D7EBDD"/>
            <w:noWrap/>
            <w:vAlign w:val="center"/>
            <w:hideMark/>
          </w:tcPr>
          <w:p w14:paraId="1083E2F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0.350</w:t>
            </w:r>
          </w:p>
        </w:tc>
        <w:tc>
          <w:tcPr>
            <w:tcW w:w="1680" w:type="dxa"/>
            <w:tcBorders>
              <w:top w:val="nil"/>
              <w:left w:val="nil"/>
              <w:bottom w:val="nil"/>
              <w:right w:val="single" w:sz="4" w:space="0" w:color="auto"/>
            </w:tcBorders>
            <w:shd w:val="clear" w:color="000000" w:fill="87C399"/>
            <w:noWrap/>
            <w:vAlign w:val="center"/>
            <w:hideMark/>
          </w:tcPr>
          <w:p w14:paraId="2EA8007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0.882</w:t>
            </w:r>
          </w:p>
        </w:tc>
      </w:tr>
      <w:tr w:rsidR="003969CB" w:rsidRPr="003969CB" w14:paraId="13894B6A"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9F1EC01"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(10) Kapitalslit og rentek., PIM-ddf funk.</w:t>
            </w:r>
          </w:p>
        </w:tc>
        <w:tc>
          <w:tcPr>
            <w:tcW w:w="1680" w:type="dxa"/>
            <w:tcBorders>
              <w:top w:val="nil"/>
              <w:left w:val="single" w:sz="4" w:space="0" w:color="auto"/>
              <w:bottom w:val="nil"/>
              <w:right w:val="nil"/>
            </w:tcBorders>
            <w:shd w:val="clear" w:color="000000" w:fill="AFD7BB"/>
            <w:noWrap/>
            <w:vAlign w:val="center"/>
            <w:hideMark/>
          </w:tcPr>
          <w:p w14:paraId="20F79E3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0.695</w:t>
            </w:r>
          </w:p>
        </w:tc>
        <w:tc>
          <w:tcPr>
            <w:tcW w:w="1680" w:type="dxa"/>
            <w:tcBorders>
              <w:top w:val="nil"/>
              <w:left w:val="nil"/>
              <w:bottom w:val="nil"/>
              <w:right w:val="nil"/>
            </w:tcBorders>
            <w:shd w:val="clear" w:color="000000" w:fill="D7EBDD"/>
            <w:noWrap/>
            <w:vAlign w:val="center"/>
            <w:hideMark/>
          </w:tcPr>
          <w:p w14:paraId="567E1C4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0.451</w:t>
            </w:r>
          </w:p>
        </w:tc>
        <w:tc>
          <w:tcPr>
            <w:tcW w:w="1680" w:type="dxa"/>
            <w:tcBorders>
              <w:top w:val="nil"/>
              <w:left w:val="nil"/>
              <w:bottom w:val="nil"/>
              <w:right w:val="nil"/>
            </w:tcBorders>
            <w:shd w:val="clear" w:color="000000" w:fill="AFD7BB"/>
            <w:noWrap/>
            <w:vAlign w:val="center"/>
            <w:hideMark/>
          </w:tcPr>
          <w:p w14:paraId="3F10417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0.748</w:t>
            </w:r>
          </w:p>
        </w:tc>
        <w:tc>
          <w:tcPr>
            <w:tcW w:w="1680" w:type="dxa"/>
            <w:tcBorders>
              <w:top w:val="nil"/>
              <w:left w:val="nil"/>
              <w:bottom w:val="nil"/>
              <w:right w:val="nil"/>
            </w:tcBorders>
            <w:shd w:val="clear" w:color="000000" w:fill="AFD7BB"/>
            <w:noWrap/>
            <w:vAlign w:val="center"/>
            <w:hideMark/>
          </w:tcPr>
          <w:p w14:paraId="6DAB378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0.615</w:t>
            </w:r>
          </w:p>
        </w:tc>
        <w:tc>
          <w:tcPr>
            <w:tcW w:w="1680" w:type="dxa"/>
            <w:tcBorders>
              <w:top w:val="nil"/>
              <w:left w:val="nil"/>
              <w:bottom w:val="nil"/>
              <w:right w:val="nil"/>
            </w:tcBorders>
            <w:shd w:val="clear" w:color="000000" w:fill="CCCC00"/>
            <w:noWrap/>
            <w:vAlign w:val="center"/>
            <w:hideMark/>
          </w:tcPr>
          <w:p w14:paraId="5C7D5D8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0.099</w:t>
            </w:r>
          </w:p>
        </w:tc>
        <w:tc>
          <w:tcPr>
            <w:tcW w:w="1680" w:type="dxa"/>
            <w:tcBorders>
              <w:top w:val="nil"/>
              <w:left w:val="nil"/>
              <w:bottom w:val="nil"/>
              <w:right w:val="single" w:sz="4" w:space="0" w:color="auto"/>
            </w:tcBorders>
            <w:shd w:val="clear" w:color="000000" w:fill="87C399"/>
            <w:noWrap/>
            <w:vAlign w:val="center"/>
            <w:hideMark/>
          </w:tcPr>
          <w:p w14:paraId="507AD6A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0.777</w:t>
            </w:r>
          </w:p>
        </w:tc>
      </w:tr>
      <w:tr w:rsidR="003969CB" w:rsidRPr="003969CB" w14:paraId="125E1049"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151EE253"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(11) Kapitalslit og rentek., PIM-ddl funk.</w:t>
            </w:r>
          </w:p>
        </w:tc>
        <w:tc>
          <w:tcPr>
            <w:tcW w:w="1680" w:type="dxa"/>
            <w:tcBorders>
              <w:top w:val="nil"/>
              <w:left w:val="single" w:sz="4" w:space="0" w:color="auto"/>
              <w:bottom w:val="nil"/>
              <w:right w:val="nil"/>
            </w:tcBorders>
            <w:shd w:val="clear" w:color="000000" w:fill="AFD7BB"/>
            <w:noWrap/>
            <w:vAlign w:val="center"/>
            <w:hideMark/>
          </w:tcPr>
          <w:p w14:paraId="5CDD423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0.697</w:t>
            </w:r>
          </w:p>
        </w:tc>
        <w:tc>
          <w:tcPr>
            <w:tcW w:w="1680" w:type="dxa"/>
            <w:tcBorders>
              <w:top w:val="nil"/>
              <w:left w:val="nil"/>
              <w:bottom w:val="nil"/>
              <w:right w:val="nil"/>
            </w:tcBorders>
            <w:shd w:val="clear" w:color="000000" w:fill="D7EBDD"/>
            <w:noWrap/>
            <w:vAlign w:val="center"/>
            <w:hideMark/>
          </w:tcPr>
          <w:p w14:paraId="2F41734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0.452</w:t>
            </w:r>
          </w:p>
        </w:tc>
        <w:tc>
          <w:tcPr>
            <w:tcW w:w="1680" w:type="dxa"/>
            <w:tcBorders>
              <w:top w:val="nil"/>
              <w:left w:val="nil"/>
              <w:bottom w:val="nil"/>
              <w:right w:val="nil"/>
            </w:tcBorders>
            <w:shd w:val="clear" w:color="000000" w:fill="AFD7BB"/>
            <w:noWrap/>
            <w:vAlign w:val="center"/>
            <w:hideMark/>
          </w:tcPr>
          <w:p w14:paraId="7CF0089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0.749</w:t>
            </w:r>
          </w:p>
        </w:tc>
        <w:tc>
          <w:tcPr>
            <w:tcW w:w="1680" w:type="dxa"/>
            <w:tcBorders>
              <w:top w:val="nil"/>
              <w:left w:val="nil"/>
              <w:bottom w:val="nil"/>
              <w:right w:val="nil"/>
            </w:tcBorders>
            <w:shd w:val="clear" w:color="000000" w:fill="AFD7BB"/>
            <w:noWrap/>
            <w:vAlign w:val="center"/>
            <w:hideMark/>
          </w:tcPr>
          <w:p w14:paraId="1F87541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0.617</w:t>
            </w:r>
          </w:p>
        </w:tc>
        <w:tc>
          <w:tcPr>
            <w:tcW w:w="1680" w:type="dxa"/>
            <w:tcBorders>
              <w:top w:val="nil"/>
              <w:left w:val="nil"/>
              <w:bottom w:val="nil"/>
              <w:right w:val="nil"/>
            </w:tcBorders>
            <w:shd w:val="clear" w:color="000000" w:fill="CCCC00"/>
            <w:noWrap/>
            <w:vAlign w:val="center"/>
            <w:hideMark/>
          </w:tcPr>
          <w:p w14:paraId="25B2B7B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0.099</w:t>
            </w:r>
          </w:p>
        </w:tc>
        <w:tc>
          <w:tcPr>
            <w:tcW w:w="1680" w:type="dxa"/>
            <w:tcBorders>
              <w:top w:val="nil"/>
              <w:left w:val="nil"/>
              <w:bottom w:val="nil"/>
              <w:right w:val="single" w:sz="4" w:space="0" w:color="auto"/>
            </w:tcBorders>
            <w:shd w:val="clear" w:color="000000" w:fill="87C399"/>
            <w:noWrap/>
            <w:vAlign w:val="center"/>
            <w:hideMark/>
          </w:tcPr>
          <w:p w14:paraId="543F103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0.779</w:t>
            </w:r>
          </w:p>
        </w:tc>
      </w:tr>
      <w:tr w:rsidR="003969CB" w:rsidRPr="003969CB" w14:paraId="123F144A" w14:textId="77777777" w:rsidTr="003969CB">
        <w:trPr>
          <w:trHeight w:val="276"/>
        </w:trPr>
        <w:tc>
          <w:tcPr>
            <w:tcW w:w="3360" w:type="dxa"/>
            <w:tcBorders>
              <w:top w:val="nil"/>
              <w:left w:val="single" w:sz="4" w:space="0" w:color="auto"/>
              <w:bottom w:val="single" w:sz="4" w:space="0" w:color="auto"/>
              <w:right w:val="single" w:sz="4" w:space="0" w:color="auto"/>
            </w:tcBorders>
            <w:shd w:val="clear" w:color="000000" w:fill="A9C6E4"/>
            <w:vAlign w:val="center"/>
            <w:hideMark/>
          </w:tcPr>
          <w:p w14:paraId="3DA36F20"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(12) Kapitaltjenester, PIM-ddl funk.</w:t>
            </w:r>
          </w:p>
        </w:tc>
        <w:tc>
          <w:tcPr>
            <w:tcW w:w="1680" w:type="dxa"/>
            <w:tcBorders>
              <w:top w:val="nil"/>
              <w:left w:val="single" w:sz="4" w:space="0" w:color="auto"/>
              <w:bottom w:val="single" w:sz="4" w:space="0" w:color="auto"/>
              <w:right w:val="nil"/>
            </w:tcBorders>
            <w:shd w:val="clear" w:color="000000" w:fill="AFD7BB"/>
            <w:noWrap/>
            <w:vAlign w:val="center"/>
            <w:hideMark/>
          </w:tcPr>
          <w:p w14:paraId="41EAF7B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0.698</w:t>
            </w:r>
          </w:p>
        </w:tc>
        <w:tc>
          <w:tcPr>
            <w:tcW w:w="1680" w:type="dxa"/>
            <w:tcBorders>
              <w:top w:val="nil"/>
              <w:left w:val="nil"/>
              <w:bottom w:val="single" w:sz="4" w:space="0" w:color="auto"/>
              <w:right w:val="nil"/>
            </w:tcBorders>
            <w:shd w:val="clear" w:color="000000" w:fill="D7EBDD"/>
            <w:noWrap/>
            <w:vAlign w:val="center"/>
            <w:hideMark/>
          </w:tcPr>
          <w:p w14:paraId="6E2E003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0.450</w:t>
            </w:r>
          </w:p>
        </w:tc>
        <w:tc>
          <w:tcPr>
            <w:tcW w:w="1680" w:type="dxa"/>
            <w:tcBorders>
              <w:top w:val="nil"/>
              <w:left w:val="nil"/>
              <w:bottom w:val="single" w:sz="4" w:space="0" w:color="auto"/>
              <w:right w:val="nil"/>
            </w:tcBorders>
            <w:shd w:val="clear" w:color="000000" w:fill="AFD7BB"/>
            <w:noWrap/>
            <w:vAlign w:val="center"/>
            <w:hideMark/>
          </w:tcPr>
          <w:p w14:paraId="75CA5A6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single" w:sz="4" w:space="0" w:color="auto"/>
              <w:right w:val="nil"/>
            </w:tcBorders>
            <w:shd w:val="clear" w:color="000000" w:fill="AFD7BB"/>
            <w:noWrap/>
            <w:vAlign w:val="center"/>
            <w:hideMark/>
          </w:tcPr>
          <w:p w14:paraId="6EFAEBF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0.623</w:t>
            </w:r>
          </w:p>
        </w:tc>
        <w:tc>
          <w:tcPr>
            <w:tcW w:w="1680" w:type="dxa"/>
            <w:tcBorders>
              <w:top w:val="nil"/>
              <w:left w:val="nil"/>
              <w:bottom w:val="single" w:sz="4" w:space="0" w:color="auto"/>
              <w:right w:val="nil"/>
            </w:tcBorders>
            <w:shd w:val="clear" w:color="000000" w:fill="CCCC00"/>
            <w:noWrap/>
            <w:vAlign w:val="center"/>
            <w:hideMark/>
          </w:tcPr>
          <w:p w14:paraId="2B3B7F1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0.089</w:t>
            </w:r>
          </w:p>
        </w:tc>
        <w:tc>
          <w:tcPr>
            <w:tcW w:w="1680" w:type="dxa"/>
            <w:tcBorders>
              <w:top w:val="nil"/>
              <w:left w:val="nil"/>
              <w:bottom w:val="single" w:sz="4" w:space="0" w:color="auto"/>
              <w:right w:val="single" w:sz="4" w:space="0" w:color="auto"/>
            </w:tcBorders>
            <w:shd w:val="clear" w:color="000000" w:fill="87C399"/>
            <w:noWrap/>
            <w:vAlign w:val="center"/>
            <w:hideMark/>
          </w:tcPr>
          <w:p w14:paraId="24880BF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0.783</w:t>
            </w:r>
          </w:p>
        </w:tc>
      </w:tr>
    </w:tbl>
    <w:p w14:paraId="7BA01E5E" w14:textId="2334D42A" w:rsidR="003F2D8B" w:rsidRPr="0055149C" w:rsidRDefault="00BE04DE" w:rsidP="003F2D8B">
      <w:pPr>
        <w:pStyle w:val="Billedtekst-forklaring"/>
        <w:ind w:left="0" w:firstLine="0"/>
        <w:rPr>
          <w:shd w:val="clear" w:color="auto" w:fill="468C5C" w:themeFill="accent6"/>
          <w:lang w:eastAsia="nb-NO"/>
        </w:rPr>
      </w:pPr>
      <w:r>
        <w:t>I f</w:t>
      </w:r>
      <w:r w:rsidR="000E08F8" w:rsidRPr="0055149C">
        <w:t xml:space="preserve">orkortelsene dd, ad, da og aa angir </w:t>
      </w:r>
      <w:r w:rsidR="003F2D8B" w:rsidRPr="0055149C">
        <w:t>første og andre bokstav om henholdsvis kapitaldeflatorene og depresieringsratene er aggregerte (a) eller disaggregerte (d).</w:t>
      </w:r>
      <w:r w:rsidR="00A612E2" w:rsidRPr="0055149C">
        <w:t xml:space="preserve"> </w:t>
      </w:r>
      <w:r w:rsidR="003F2D8B" w:rsidRPr="0055149C">
        <w:t xml:space="preserve">f og l som følger angir om eventuelle avkastningskrav er fast eller løpende. Angivelse av fargekoder for korrelasjonskoeffisientene: </w:t>
      </w:r>
      <w:r w:rsidR="003F2D8B" w:rsidRPr="0055149C">
        <w:rPr>
          <w:shd w:val="clear" w:color="auto" w:fill="A60E24" w:themeFill="accent5"/>
          <w:lang w:eastAsia="nb-NO"/>
        </w:rPr>
        <w:t>(-1,00)-(-0,90)</w:t>
      </w:r>
      <w:r w:rsidR="003F2D8B" w:rsidRPr="0055149C">
        <w:rPr>
          <w:lang w:eastAsia="nb-NO"/>
        </w:rPr>
        <w:t xml:space="preserve">, </w:t>
      </w:r>
      <w:r w:rsidR="003F2D8B" w:rsidRPr="0055149C">
        <w:rPr>
          <w:shd w:val="clear" w:color="auto" w:fill="EF485F" w:themeFill="accent5" w:themeFillTint="99"/>
          <w:lang w:eastAsia="nb-NO"/>
        </w:rPr>
        <w:t>(-0,90)-(-0,75)</w:t>
      </w:r>
      <w:r w:rsidR="003F2D8B" w:rsidRPr="0055149C">
        <w:rPr>
          <w:lang w:eastAsia="nb-NO"/>
        </w:rPr>
        <w:t xml:space="preserve">, </w:t>
      </w:r>
      <w:r w:rsidR="003F2D8B" w:rsidRPr="0055149C">
        <w:rPr>
          <w:shd w:val="clear" w:color="auto" w:fill="F48594" w:themeFill="accent5" w:themeFillTint="66"/>
          <w:lang w:eastAsia="nb-NO"/>
        </w:rPr>
        <w:t>(-0,75)-(-0,50)</w:t>
      </w:r>
      <w:r w:rsidR="003F2D8B" w:rsidRPr="0055149C">
        <w:rPr>
          <w:lang w:eastAsia="nb-NO"/>
        </w:rPr>
        <w:t xml:space="preserve">, </w:t>
      </w:r>
      <w:r w:rsidR="003F2D8B" w:rsidRPr="0055149C">
        <w:rPr>
          <w:shd w:val="clear" w:color="auto" w:fill="FAC2C9" w:themeFill="accent5" w:themeFillTint="33"/>
          <w:lang w:eastAsia="nb-NO"/>
        </w:rPr>
        <w:t>(-0,50)-(-0,25)</w:t>
      </w:r>
      <w:r w:rsidR="003F2D8B" w:rsidRPr="0055149C">
        <w:rPr>
          <w:lang w:eastAsia="nb-NO"/>
        </w:rPr>
        <w:t xml:space="preserve">, </w:t>
      </w:r>
      <w:r w:rsidR="003F2D8B" w:rsidRPr="0055149C">
        <w:rPr>
          <w:shd w:val="clear" w:color="auto" w:fill="FABF8F" w:themeFill="accent4" w:themeFillTint="99"/>
          <w:lang w:eastAsia="nb-NO"/>
        </w:rPr>
        <w:t>(-0,25)-(-0,10</w:t>
      </w:r>
      <w:r w:rsidR="003F2D8B" w:rsidRPr="0055149C">
        <w:rPr>
          <w:shd w:val="clear" w:color="auto" w:fill="FBD4B4"/>
          <w:lang w:eastAsia="nb-NO"/>
        </w:rPr>
        <w:t>)</w:t>
      </w:r>
      <w:r w:rsidR="003F2D8B" w:rsidRPr="0055149C">
        <w:rPr>
          <w:lang w:eastAsia="nb-NO"/>
        </w:rPr>
        <w:t xml:space="preserve">, </w:t>
      </w:r>
      <w:r w:rsidR="003F2D8B" w:rsidRPr="0055149C">
        <w:rPr>
          <w:shd w:val="clear" w:color="auto" w:fill="FDE9D9" w:themeFill="accent4" w:themeFillTint="33"/>
          <w:lang w:eastAsia="nb-NO"/>
        </w:rPr>
        <w:t>(-0,10)-(-0,00)</w:t>
      </w:r>
      <w:r w:rsidR="003F2D8B" w:rsidRPr="0055149C">
        <w:rPr>
          <w:lang w:eastAsia="nb-NO"/>
        </w:rPr>
        <w:t>,</w:t>
      </w:r>
      <w:r w:rsidR="003F2D8B" w:rsidRPr="0055149C">
        <w:t xml:space="preserve"> </w:t>
      </w:r>
      <w:r w:rsidR="003F2D8B" w:rsidRPr="0055149C">
        <w:rPr>
          <w:shd w:val="clear" w:color="auto" w:fill="CCCC00"/>
          <w:lang w:eastAsia="nb-NO"/>
        </w:rPr>
        <w:t>0.00-0,10</w:t>
      </w:r>
      <w:r w:rsidR="003F2D8B" w:rsidRPr="0055149C">
        <w:rPr>
          <w:lang w:eastAsia="nb-NO"/>
        </w:rPr>
        <w:t xml:space="preserve">, </w:t>
      </w:r>
      <w:r w:rsidR="003F2D8B" w:rsidRPr="0055149C">
        <w:rPr>
          <w:shd w:val="clear" w:color="auto" w:fill="FFFF99"/>
          <w:lang w:eastAsia="nb-NO"/>
        </w:rPr>
        <w:t>0,10-0,25</w:t>
      </w:r>
      <w:r w:rsidR="003F2D8B" w:rsidRPr="0055149C">
        <w:rPr>
          <w:lang w:eastAsia="nb-NO"/>
        </w:rPr>
        <w:t xml:space="preserve">, </w:t>
      </w:r>
      <w:r w:rsidR="003F2D8B" w:rsidRPr="0055149C">
        <w:rPr>
          <w:shd w:val="clear" w:color="auto" w:fill="D7EBDD" w:themeFill="accent6" w:themeFillTint="33"/>
          <w:lang w:eastAsia="nb-NO"/>
        </w:rPr>
        <w:t>0.25-0,50</w:t>
      </w:r>
      <w:r w:rsidR="003F2D8B" w:rsidRPr="0055149C">
        <w:rPr>
          <w:lang w:eastAsia="nb-NO"/>
        </w:rPr>
        <w:t xml:space="preserve">, </w:t>
      </w:r>
      <w:r w:rsidR="003F2D8B" w:rsidRPr="0055149C">
        <w:rPr>
          <w:shd w:val="clear" w:color="auto" w:fill="AFD7BB" w:themeFill="accent6" w:themeFillTint="66"/>
          <w:lang w:eastAsia="nb-NO"/>
        </w:rPr>
        <w:t>0,50-0,75</w:t>
      </w:r>
      <w:r w:rsidR="003F2D8B" w:rsidRPr="0055149C">
        <w:rPr>
          <w:lang w:eastAsia="nb-NO"/>
        </w:rPr>
        <w:t xml:space="preserve">, </w:t>
      </w:r>
      <w:r w:rsidR="003F2D8B" w:rsidRPr="0055149C">
        <w:rPr>
          <w:shd w:val="clear" w:color="auto" w:fill="87C399" w:themeFill="accent6" w:themeFillTint="99"/>
          <w:lang w:eastAsia="nb-NO"/>
        </w:rPr>
        <w:t>0,75-0,90</w:t>
      </w:r>
      <w:r w:rsidR="003F2D8B" w:rsidRPr="0055149C">
        <w:rPr>
          <w:lang w:eastAsia="nb-NO"/>
        </w:rPr>
        <w:t xml:space="preserve"> og </w:t>
      </w:r>
      <w:r w:rsidR="003F2D8B" w:rsidRPr="0055149C">
        <w:rPr>
          <w:shd w:val="clear" w:color="auto" w:fill="468C5C" w:themeFill="accent6"/>
          <w:lang w:eastAsia="nb-NO"/>
        </w:rPr>
        <w:t>0,90-1,00</w:t>
      </w:r>
    </w:p>
    <w:p w14:paraId="7F875654" w14:textId="123D906F" w:rsidR="003F2D8B" w:rsidRPr="0055149C" w:rsidRDefault="003F2D8B" w:rsidP="003F2D8B">
      <w:pPr>
        <w:pStyle w:val="Source"/>
        <w:rPr>
          <w:lang w:eastAsia="nb-NO"/>
        </w:rPr>
      </w:pPr>
      <w:r w:rsidRPr="0055149C">
        <w:rPr>
          <w:lang w:eastAsia="nb-NO"/>
        </w:rPr>
        <w:t>Kilde: Vista Analyse</w:t>
      </w:r>
    </w:p>
    <w:p w14:paraId="03B870B4" w14:textId="77777777" w:rsidR="00F661C2" w:rsidRPr="0055149C" w:rsidRDefault="00F661C2" w:rsidP="00F661C2">
      <w:pPr>
        <w:rPr>
          <w:lang w:eastAsia="nb-NO"/>
        </w:rPr>
        <w:sectPr w:rsidR="00F661C2" w:rsidRPr="0055149C" w:rsidSect="00F661C2">
          <w:pgSz w:w="16838" w:h="11906" w:orient="landscape" w:code="9"/>
          <w:pgMar w:top="1985" w:right="1418" w:bottom="1418" w:left="1418" w:header="567" w:footer="284" w:gutter="0"/>
          <w:cols w:space="708"/>
          <w:docGrid w:linePitch="360"/>
        </w:sectPr>
      </w:pPr>
    </w:p>
    <w:p w14:paraId="456C0269" w14:textId="3DC1569C" w:rsidR="00DA148C" w:rsidRPr="0055149C" w:rsidRDefault="00DA148C" w:rsidP="00DA148C">
      <w:pPr>
        <w:pStyle w:val="Bildetekst"/>
        <w:jc w:val="both"/>
      </w:pPr>
      <w:bookmarkStart w:id="131" w:name="_Ref168404348"/>
      <w:r w:rsidRPr="0055149C">
        <w:lastRenderedPageBreak/>
        <w:t xml:space="preserve">Figur </w:t>
      </w:r>
      <w:fldSimple w:instr=" STYLEREF 1 \s ">
        <w:r w:rsidR="009B1DA8">
          <w:rPr>
            <w:noProof/>
          </w:rPr>
          <w:t>4</w:t>
        </w:r>
      </w:fldSimple>
      <w:r w:rsidR="004B03E3">
        <w:t>.</w:t>
      </w:r>
      <w:fldSimple w:instr=" SEQ Figur \* ARABIC \s 1 ">
        <w:r w:rsidR="009B1DA8">
          <w:rPr>
            <w:noProof/>
          </w:rPr>
          <w:t>24</w:t>
        </w:r>
      </w:fldSimple>
      <w:bookmarkEnd w:id="131"/>
      <w:r w:rsidRPr="0055149C">
        <w:tab/>
        <w:t>Bruttodriftsutgifter per innbygger i primærkommunene plottet mot estimater for kapitalkostnader</w:t>
      </w:r>
      <w:r w:rsidR="008864DE">
        <w:t>-</w:t>
      </w:r>
      <w:r w:rsidRPr="0055149C">
        <w:t xml:space="preserve"> og </w:t>
      </w:r>
      <w:r w:rsidR="008864DE">
        <w:t>-</w:t>
      </w:r>
      <w:r w:rsidRPr="0055149C">
        <w:t>utgifter per innbygger over NUTS2-landsdeler</w:t>
      </w:r>
    </w:p>
    <w:p w14:paraId="7AF80B44" w14:textId="44B24A7D" w:rsidR="0004121A" w:rsidRPr="0055149C" w:rsidRDefault="003969CB" w:rsidP="00F45E31">
      <w:pPr>
        <w:jc w:val="center"/>
      </w:pPr>
      <w:r>
        <w:rPr>
          <w:noProof/>
          <w:lang w:val="en-US" w:eastAsia="en-US"/>
        </w:rPr>
        <w:drawing>
          <wp:inline distT="0" distB="0" distL="0" distR="0" wp14:anchorId="06E0724F" wp14:editId="6B8DEC74">
            <wp:extent cx="1764000" cy="1762526"/>
            <wp:effectExtent l="0" t="0" r="8255" b="0"/>
            <wp:docPr id="446202367" name="Diagram 1">
              <a:extLst xmlns:a="http://schemas.openxmlformats.org/drawingml/2006/main">
                <a:ext uri="{FF2B5EF4-FFF2-40B4-BE49-F238E27FC236}">
                  <a16:creationId xmlns:a16="http://schemas.microsoft.com/office/drawing/2014/main" id="{675CF395-438A-450A-A0B8-F01C209BD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noProof/>
          <w:lang w:val="en-US" w:eastAsia="en-US"/>
        </w:rPr>
        <w:drawing>
          <wp:inline distT="0" distB="0" distL="0" distR="0" wp14:anchorId="3EB52157" wp14:editId="45CCE28B">
            <wp:extent cx="1764000" cy="1764297"/>
            <wp:effectExtent l="0" t="0" r="8255" b="7620"/>
            <wp:docPr id="948303088" name="Diagram 2">
              <a:extLst xmlns:a="http://schemas.openxmlformats.org/drawingml/2006/main">
                <a:ext uri="{FF2B5EF4-FFF2-40B4-BE49-F238E27FC236}">
                  <a16:creationId xmlns:a16="http://schemas.microsoft.com/office/drawing/2014/main" id="{4DF77310-3A41-438E-ABB2-D3FEC539E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Pr>
          <w:noProof/>
          <w:lang w:val="en-US" w:eastAsia="en-US"/>
        </w:rPr>
        <w:drawing>
          <wp:inline distT="0" distB="0" distL="0" distR="0" wp14:anchorId="601BC377" wp14:editId="24268552">
            <wp:extent cx="1764000" cy="1764297"/>
            <wp:effectExtent l="0" t="0" r="8255" b="7620"/>
            <wp:docPr id="1845305288" name="Diagram 3">
              <a:extLst xmlns:a="http://schemas.openxmlformats.org/drawingml/2006/main">
                <a:ext uri="{FF2B5EF4-FFF2-40B4-BE49-F238E27FC236}">
                  <a16:creationId xmlns:a16="http://schemas.microsoft.com/office/drawing/2014/main" id="{37CF4033-9329-4E50-B365-513033259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noProof/>
          <w:lang w:val="en-US" w:eastAsia="en-US"/>
        </w:rPr>
        <w:drawing>
          <wp:inline distT="0" distB="0" distL="0" distR="0" wp14:anchorId="74D57380" wp14:editId="3BBCF81A">
            <wp:extent cx="1764000" cy="1764297"/>
            <wp:effectExtent l="0" t="0" r="8255" b="7620"/>
            <wp:docPr id="1225042012" name="Diagram 4">
              <a:extLst xmlns:a="http://schemas.openxmlformats.org/drawingml/2006/main">
                <a:ext uri="{FF2B5EF4-FFF2-40B4-BE49-F238E27FC236}">
                  <a16:creationId xmlns:a16="http://schemas.microsoft.com/office/drawing/2014/main" id="{3A524DDE-7A43-49C8-96C9-48FCDD567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noProof/>
          <w:lang w:val="en-US" w:eastAsia="en-US"/>
        </w:rPr>
        <w:drawing>
          <wp:inline distT="0" distB="0" distL="0" distR="0" wp14:anchorId="5B86C7FF" wp14:editId="5CB37793">
            <wp:extent cx="1764000" cy="1764297"/>
            <wp:effectExtent l="0" t="0" r="8255" b="7620"/>
            <wp:docPr id="1680950572" name="Diagram 5">
              <a:extLst xmlns:a="http://schemas.openxmlformats.org/drawingml/2006/main">
                <a:ext uri="{FF2B5EF4-FFF2-40B4-BE49-F238E27FC236}">
                  <a16:creationId xmlns:a16="http://schemas.microsoft.com/office/drawing/2014/main" id="{AF4BAFE4-E140-4396-9B67-BAD5804B4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noProof/>
          <w:lang w:val="en-US" w:eastAsia="en-US"/>
        </w:rPr>
        <w:drawing>
          <wp:inline distT="0" distB="0" distL="0" distR="0" wp14:anchorId="6BFF187E" wp14:editId="345B8EAA">
            <wp:extent cx="1764000" cy="1764297"/>
            <wp:effectExtent l="0" t="0" r="8255" b="7620"/>
            <wp:docPr id="17806046" name="Diagram 6">
              <a:extLst xmlns:a="http://schemas.openxmlformats.org/drawingml/2006/main">
                <a:ext uri="{FF2B5EF4-FFF2-40B4-BE49-F238E27FC236}">
                  <a16:creationId xmlns:a16="http://schemas.microsoft.com/office/drawing/2014/main" id="{BCBC155B-C6F3-49DB-8E0C-34A3D0581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noProof/>
          <w:lang w:val="en-US" w:eastAsia="en-US"/>
        </w:rPr>
        <w:drawing>
          <wp:inline distT="0" distB="0" distL="0" distR="0" wp14:anchorId="377CD105" wp14:editId="4A6B8EAC">
            <wp:extent cx="1764000" cy="1764297"/>
            <wp:effectExtent l="0" t="0" r="8255" b="7620"/>
            <wp:docPr id="1813778429" name="Diagram 7">
              <a:extLst xmlns:a="http://schemas.openxmlformats.org/drawingml/2006/main">
                <a:ext uri="{FF2B5EF4-FFF2-40B4-BE49-F238E27FC236}">
                  <a16:creationId xmlns:a16="http://schemas.microsoft.com/office/drawing/2014/main" id="{606109B1-E880-4236-8E0A-46E96DFB2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noProof/>
          <w:lang w:val="en-US" w:eastAsia="en-US"/>
        </w:rPr>
        <w:drawing>
          <wp:inline distT="0" distB="0" distL="0" distR="0" wp14:anchorId="1B4D3EDE" wp14:editId="7D719114">
            <wp:extent cx="1764000" cy="1764297"/>
            <wp:effectExtent l="0" t="0" r="8255" b="7620"/>
            <wp:docPr id="1374380093" name="Diagram 8">
              <a:extLst xmlns:a="http://schemas.openxmlformats.org/drawingml/2006/main">
                <a:ext uri="{FF2B5EF4-FFF2-40B4-BE49-F238E27FC236}">
                  <a16:creationId xmlns:a16="http://schemas.microsoft.com/office/drawing/2014/main" id="{4AC2C0B9-02F7-4A1C-AFE9-6746A1A39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Pr>
          <w:noProof/>
          <w:lang w:val="en-US" w:eastAsia="en-US"/>
        </w:rPr>
        <w:drawing>
          <wp:inline distT="0" distB="0" distL="0" distR="0" wp14:anchorId="08D7A295" wp14:editId="5384DA69">
            <wp:extent cx="1764000" cy="1764297"/>
            <wp:effectExtent l="0" t="0" r="8255" b="7620"/>
            <wp:docPr id="1671544473" name="Diagram 9">
              <a:extLst xmlns:a="http://schemas.openxmlformats.org/drawingml/2006/main">
                <a:ext uri="{FF2B5EF4-FFF2-40B4-BE49-F238E27FC236}">
                  <a16:creationId xmlns:a16="http://schemas.microsoft.com/office/drawing/2014/main" id="{E0D53563-A231-4C8E-8467-2EB7DF56E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noProof/>
          <w:lang w:val="en-US" w:eastAsia="en-US"/>
        </w:rPr>
        <w:drawing>
          <wp:inline distT="0" distB="0" distL="0" distR="0" wp14:anchorId="2ABBD566" wp14:editId="02F66913">
            <wp:extent cx="1764000" cy="1764297"/>
            <wp:effectExtent l="0" t="0" r="8255" b="7620"/>
            <wp:docPr id="162071297" name="Diagram 10">
              <a:extLst xmlns:a="http://schemas.openxmlformats.org/drawingml/2006/main">
                <a:ext uri="{FF2B5EF4-FFF2-40B4-BE49-F238E27FC236}">
                  <a16:creationId xmlns:a16="http://schemas.microsoft.com/office/drawing/2014/main" id="{6F099111-4E8F-422C-B091-AF1F53ED0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noProof/>
          <w:lang w:val="en-US" w:eastAsia="en-US"/>
        </w:rPr>
        <w:drawing>
          <wp:inline distT="0" distB="0" distL="0" distR="0" wp14:anchorId="4229A829" wp14:editId="532517D2">
            <wp:extent cx="1764000" cy="1764297"/>
            <wp:effectExtent l="0" t="0" r="8255" b="7620"/>
            <wp:docPr id="1312230962" name="Diagram 11">
              <a:extLst xmlns:a="http://schemas.openxmlformats.org/drawingml/2006/main">
                <a:ext uri="{FF2B5EF4-FFF2-40B4-BE49-F238E27FC236}">
                  <a16:creationId xmlns:a16="http://schemas.microsoft.com/office/drawing/2014/main" id="{D51DA095-ED25-4FE4-A37F-77F984C12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noProof/>
          <w:lang w:val="en-US" w:eastAsia="en-US"/>
        </w:rPr>
        <w:drawing>
          <wp:inline distT="0" distB="0" distL="0" distR="0" wp14:anchorId="510FA57C" wp14:editId="604C69DA">
            <wp:extent cx="1764000" cy="1764297"/>
            <wp:effectExtent l="0" t="0" r="8255" b="7620"/>
            <wp:docPr id="1366661627" name="Diagram 12">
              <a:extLst xmlns:a="http://schemas.openxmlformats.org/drawingml/2006/main">
                <a:ext uri="{FF2B5EF4-FFF2-40B4-BE49-F238E27FC236}">
                  <a16:creationId xmlns:a16="http://schemas.microsoft.com/office/drawing/2014/main" id="{4E4FB04C-B448-4EE7-8C01-20585962B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C021943" w14:textId="052F974E" w:rsidR="0022498A" w:rsidRPr="0055149C" w:rsidRDefault="009C7047" w:rsidP="0022498A">
      <w:pPr>
        <w:pStyle w:val="Billedtekst-forklaring"/>
        <w:ind w:left="0" w:firstLine="0"/>
        <w:rPr>
          <w:shd w:val="clear" w:color="auto" w:fill="468C5C" w:themeFill="accent6"/>
          <w:lang w:eastAsia="nb-NO"/>
        </w:rPr>
      </w:pPr>
      <w:r>
        <w:t>I f</w:t>
      </w:r>
      <w:r w:rsidR="000E08F8" w:rsidRPr="0055149C">
        <w:t xml:space="preserve">orkortelsene dd, ad, da og aa angir </w:t>
      </w:r>
      <w:r w:rsidR="00F729EA" w:rsidRPr="0055149C">
        <w:t>første og andre bokstav om henholdsvis kapitaldeflatorene og depresieringsratene er aggregerte (a) eller disaggregerte (d).</w:t>
      </w:r>
      <w:r w:rsidR="00A612E2" w:rsidRPr="0055149C">
        <w:t xml:space="preserve"> </w:t>
      </w:r>
      <w:r w:rsidR="00F729EA" w:rsidRPr="0055149C">
        <w:t xml:space="preserve">f og l som følger angir om eventuelle avkastningskrav er fast eller løpende. </w:t>
      </w:r>
      <w:r w:rsidR="0022498A" w:rsidRPr="0055149C">
        <w:t xml:space="preserve">Angivelse av fargekoder for NUTS2-landsdeler: </w:t>
      </w:r>
      <w:r w:rsidR="0022498A" w:rsidRPr="0055149C">
        <w:rPr>
          <w:shd w:val="clear" w:color="auto" w:fill="A60E24" w:themeFill="accent5"/>
          <w:lang w:eastAsia="nb-NO"/>
        </w:rPr>
        <w:t>Nord-Norge</w:t>
      </w:r>
      <w:r w:rsidR="0022498A" w:rsidRPr="0055149C">
        <w:rPr>
          <w:lang w:eastAsia="nb-NO"/>
        </w:rPr>
        <w:t xml:space="preserve">, </w:t>
      </w:r>
      <w:r w:rsidR="0022498A" w:rsidRPr="0055149C">
        <w:rPr>
          <w:shd w:val="clear" w:color="auto" w:fill="F48594" w:themeFill="accent5" w:themeFillTint="66"/>
          <w:lang w:eastAsia="nb-NO"/>
        </w:rPr>
        <w:t>Midt-Norge</w:t>
      </w:r>
      <w:r w:rsidR="0022498A" w:rsidRPr="0055149C">
        <w:rPr>
          <w:lang w:eastAsia="nb-NO"/>
        </w:rPr>
        <w:t xml:space="preserve">, </w:t>
      </w:r>
      <w:r w:rsidR="0022498A" w:rsidRPr="0055149C">
        <w:rPr>
          <w:shd w:val="clear" w:color="auto" w:fill="FABF8F" w:themeFill="accent4" w:themeFillTint="99"/>
          <w:lang w:eastAsia="nb-NO"/>
        </w:rPr>
        <w:t>Vestlandet</w:t>
      </w:r>
      <w:r w:rsidR="0022498A" w:rsidRPr="0055149C">
        <w:rPr>
          <w:lang w:eastAsia="nb-NO"/>
        </w:rPr>
        <w:t xml:space="preserve">, </w:t>
      </w:r>
      <w:r w:rsidR="0022498A" w:rsidRPr="0055149C">
        <w:rPr>
          <w:shd w:val="clear" w:color="auto" w:fill="CCCC00"/>
          <w:lang w:eastAsia="nb-NO"/>
        </w:rPr>
        <w:t>Sørlandet og Sørøst-Norge</w:t>
      </w:r>
      <w:r w:rsidR="0022498A" w:rsidRPr="0055149C">
        <w:rPr>
          <w:lang w:eastAsia="nb-NO"/>
        </w:rPr>
        <w:t xml:space="preserve">, </w:t>
      </w:r>
      <w:r w:rsidR="0022498A" w:rsidRPr="0055149C">
        <w:rPr>
          <w:shd w:val="clear" w:color="auto" w:fill="AFD7BB" w:themeFill="accent6" w:themeFillTint="66"/>
          <w:lang w:eastAsia="nb-NO"/>
        </w:rPr>
        <w:t>Innlandet</w:t>
      </w:r>
      <w:r w:rsidR="0022498A" w:rsidRPr="0055149C">
        <w:rPr>
          <w:lang w:eastAsia="nb-NO"/>
        </w:rPr>
        <w:t xml:space="preserve"> og </w:t>
      </w:r>
      <w:r w:rsidR="0022498A" w:rsidRPr="0055149C">
        <w:rPr>
          <w:shd w:val="clear" w:color="auto" w:fill="468C5C" w:themeFill="accent6"/>
          <w:lang w:eastAsia="nb-NO"/>
        </w:rPr>
        <w:t>Oslo og Viken</w:t>
      </w:r>
    </w:p>
    <w:p w14:paraId="178FF270" w14:textId="77777777" w:rsidR="0022498A" w:rsidRPr="0055149C" w:rsidRDefault="0022498A" w:rsidP="0022498A">
      <w:pPr>
        <w:pStyle w:val="Source"/>
        <w:rPr>
          <w:lang w:eastAsia="nb-NO"/>
        </w:rPr>
      </w:pPr>
      <w:r w:rsidRPr="0055149C">
        <w:rPr>
          <w:lang w:eastAsia="nb-NO"/>
        </w:rPr>
        <w:t>Kilde: Vista Analyse</w:t>
      </w:r>
    </w:p>
    <w:p w14:paraId="0CE26E26" w14:textId="417427B9" w:rsidR="00323566" w:rsidRDefault="00A42921" w:rsidP="00323566">
      <w:pPr>
        <w:rPr>
          <w:lang w:eastAsia="nb-NO"/>
        </w:rPr>
      </w:pPr>
      <w:r w:rsidRPr="0055149C">
        <w:rPr>
          <w:lang w:eastAsia="nb-NO"/>
        </w:rPr>
        <w:lastRenderedPageBreak/>
        <w:t xml:space="preserve">For de tre fylkeskommunale </w:t>
      </w:r>
      <w:r w:rsidR="001D3A16">
        <w:rPr>
          <w:lang w:eastAsia="nb-NO"/>
        </w:rPr>
        <w:t>tjenesteområdene</w:t>
      </w:r>
      <w:r w:rsidRPr="0055149C">
        <w:rPr>
          <w:lang w:eastAsia="nb-NO"/>
        </w:rPr>
        <w:t xml:space="preserve"> som inngår i </w:t>
      </w:r>
      <w:r w:rsidR="0009752A">
        <w:rPr>
          <w:lang w:eastAsia="nb-NO"/>
        </w:rPr>
        <w:t>utgiftsutjevningen</w:t>
      </w:r>
      <w:r w:rsidRPr="0055149C">
        <w:rPr>
          <w:lang w:eastAsia="nb-NO"/>
        </w:rPr>
        <w:t xml:space="preserve"> </w:t>
      </w:r>
      <w:r w:rsidR="006C27A5">
        <w:rPr>
          <w:lang w:eastAsia="nb-NO"/>
        </w:rPr>
        <w:t>– tannhelse</w:t>
      </w:r>
      <w:r w:rsidR="002C3ED3">
        <w:rPr>
          <w:lang w:eastAsia="nb-NO"/>
        </w:rPr>
        <w:t>,</w:t>
      </w:r>
      <w:r w:rsidR="006C27A5">
        <w:rPr>
          <w:lang w:eastAsia="nb-NO"/>
        </w:rPr>
        <w:t xml:space="preserve"> samferdsel og videregående skole</w:t>
      </w:r>
      <w:r w:rsidR="001E605C">
        <w:rPr>
          <w:lang w:eastAsia="nb-NO"/>
        </w:rPr>
        <w:t xml:space="preserve"> –</w:t>
      </w:r>
      <w:r w:rsidR="002C3ED3">
        <w:rPr>
          <w:lang w:eastAsia="nb-NO"/>
        </w:rPr>
        <w:t xml:space="preserve"> </w:t>
      </w:r>
      <w:r w:rsidRPr="0055149C">
        <w:rPr>
          <w:lang w:eastAsia="nb-NO"/>
        </w:rPr>
        <w:t>er det relativt høy korrelasjon mellom kapitalkostnadsmålene og bruttodriftsutgiftene</w:t>
      </w:r>
      <w:r w:rsidR="006C27A5">
        <w:rPr>
          <w:lang w:eastAsia="nb-NO"/>
        </w:rPr>
        <w:t>, i hovedsak i intervallet 0,70 til 0,90</w:t>
      </w:r>
      <w:r w:rsidRPr="0055149C">
        <w:rPr>
          <w:lang w:eastAsia="nb-NO"/>
        </w:rPr>
        <w:t xml:space="preserve">. </w:t>
      </w:r>
      <w:r w:rsidR="006C27A5">
        <w:rPr>
          <w:lang w:eastAsia="nb-NO"/>
        </w:rPr>
        <w:t xml:space="preserve">Unntaket er korrelasjonen knyttet til DM innenfor videregående skole, der korrelasjonskoeffisienten er rett under 0,50. </w:t>
      </w:r>
      <w:r w:rsidRPr="0055149C">
        <w:rPr>
          <w:lang w:eastAsia="nb-NO"/>
        </w:rPr>
        <w:t xml:space="preserve">Dette framgår av </w:t>
      </w:r>
      <w:r w:rsidRPr="0055149C">
        <w:rPr>
          <w:lang w:eastAsia="nb-NO"/>
        </w:rPr>
        <w:fldChar w:fldCharType="begin"/>
      </w:r>
      <w:r w:rsidRPr="0055149C">
        <w:rPr>
          <w:lang w:eastAsia="nb-NO"/>
        </w:rPr>
        <w:instrText xml:space="preserve"> REF _Ref169002450 \h </w:instrText>
      </w:r>
      <w:r w:rsidRPr="0055149C">
        <w:rPr>
          <w:lang w:eastAsia="nb-NO"/>
        </w:rPr>
      </w:r>
      <w:r w:rsidRPr="0055149C">
        <w:rPr>
          <w:lang w:eastAsia="nb-NO"/>
        </w:rPr>
        <w:fldChar w:fldCharType="separate"/>
      </w:r>
      <w:r w:rsidR="009B1DA8" w:rsidRPr="0055149C">
        <w:t xml:space="preserve">Figur </w:t>
      </w:r>
      <w:r w:rsidR="009B1DA8">
        <w:rPr>
          <w:noProof/>
        </w:rPr>
        <w:t>4</w:t>
      </w:r>
      <w:r w:rsidR="009B1DA8">
        <w:t>.</w:t>
      </w:r>
      <w:r w:rsidR="009B1DA8">
        <w:rPr>
          <w:noProof/>
        </w:rPr>
        <w:t>25</w:t>
      </w:r>
      <w:r w:rsidRPr="0055149C">
        <w:rPr>
          <w:lang w:eastAsia="nb-NO"/>
        </w:rPr>
        <w:fldChar w:fldCharType="end"/>
      </w:r>
      <w:r w:rsidR="00006CAA" w:rsidRPr="0055149C">
        <w:rPr>
          <w:lang w:eastAsia="nb-NO"/>
        </w:rPr>
        <w:t>.</w:t>
      </w:r>
      <w:r w:rsidR="006C27A5">
        <w:rPr>
          <w:lang w:eastAsia="nb-NO"/>
        </w:rPr>
        <w:t xml:space="preserve"> </w:t>
      </w:r>
      <w:r w:rsidR="00323566">
        <w:rPr>
          <w:lang w:eastAsia="nb-NO"/>
        </w:rPr>
        <w:t>De høye korrelasjon</w:t>
      </w:r>
      <w:r w:rsidR="002C3ED3">
        <w:rPr>
          <w:lang w:eastAsia="nb-NO"/>
        </w:rPr>
        <w:t>skoeffisient</w:t>
      </w:r>
      <w:r w:rsidR="00323566">
        <w:rPr>
          <w:lang w:eastAsia="nb-NO"/>
        </w:rPr>
        <w:t>ene mellom bruttodriftsutgifter per innbygger og kapitalkostnadene per innbygger for de fylkeskommunale tjenestene i inntektssystemet skulle kunne tilsi at bruttodriftsutgifter per innbygger kunne fungert som en brukbar proxy for kapitalkostnadene per innbygger for dette forvaltningsnivå. Det er like fullt vesentlig variasjon i kapitalkostnadene som ikke forklares av bruttodriftsutgiftene.</w:t>
      </w:r>
    </w:p>
    <w:p w14:paraId="7472AA13" w14:textId="06E40B05" w:rsidR="006C27A5" w:rsidRDefault="006C27A5" w:rsidP="00A42921">
      <w:pPr>
        <w:rPr>
          <w:lang w:eastAsia="nb-NO"/>
        </w:rPr>
      </w:pPr>
      <w:r>
        <w:rPr>
          <w:lang w:eastAsia="nb-NO"/>
        </w:rPr>
        <w:t>For korrelasjonene for kultursektoren, plan, byggesak og miljø</w:t>
      </w:r>
      <w:r w:rsidR="00D86C06">
        <w:rPr>
          <w:lang w:eastAsia="nb-NO"/>
        </w:rPr>
        <w:t xml:space="preserve">, </w:t>
      </w:r>
      <w:r>
        <w:rPr>
          <w:lang w:eastAsia="nb-NO"/>
        </w:rPr>
        <w:t>og næringsforvaltning ligger korrelasjonskoeffisientene hovedsakelig på moderate til sterke nivåer mellom 0,30 og 0,60 med en uteligger på hver side av dette intervallet.</w:t>
      </w:r>
      <w:r w:rsidR="00323566">
        <w:rPr>
          <w:lang w:eastAsia="nb-NO"/>
        </w:rPr>
        <w:t xml:space="preserve"> Funksjonen administrasjon, fellesutgifter, styring og ukjente tjenester har svak negativ korrelasjon for PIM-målene basert på funksjonsnivå og over 0,50 for kapitalslitet målt ved DM. Dette skyldes trolig at flere negative regnskapsposter inn</w:t>
      </w:r>
      <w:r w:rsidR="00E40A4E">
        <w:rPr>
          <w:lang w:eastAsia="nb-NO"/>
        </w:rPr>
        <w:t>går</w:t>
      </w:r>
      <w:r w:rsidR="00323566">
        <w:rPr>
          <w:lang w:eastAsia="nb-NO"/>
        </w:rPr>
        <w:t xml:space="preserve"> i fellesutgiftskategorien, selv om vi har begrenset ikke-negative regnskapsposter i tjenestefunksjonene samlet ned til null. I tillegg kan vår innlemming av ukjente tjenester inn i denne kategorien for å få riktig totaltall for tjeneste ha spilt inn. Oslo driver imidlertid ikke disse resultatene, skjønt fylkeskommunens investeringsnivå er svært lavt også der. </w:t>
      </w:r>
      <w:r>
        <w:rPr>
          <w:lang w:eastAsia="nb-NO"/>
        </w:rPr>
        <w:t xml:space="preserve">Mer generelt tenderer </w:t>
      </w:r>
      <w:r w:rsidR="008A45F0">
        <w:rPr>
          <w:lang w:eastAsia="nb-NO"/>
        </w:rPr>
        <w:t xml:space="preserve">bruttodriftsutgiftenes </w:t>
      </w:r>
      <w:r>
        <w:rPr>
          <w:lang w:eastAsia="nb-NO"/>
        </w:rPr>
        <w:t>korrelasjon med kapitalslitet målt ved DM til å skille seg en del fra de andre kapitalkostnadsmålene. Disse baserer seg alle på PIM på funksjonsnivå og vil i praksis i stor grad være en skalering av hverandre.</w:t>
      </w:r>
    </w:p>
    <w:p w14:paraId="11C7D195" w14:textId="0506D3AC" w:rsidR="004E7DB8" w:rsidRPr="0055149C" w:rsidRDefault="004E7DB8" w:rsidP="004E7DB8">
      <w:pPr>
        <w:pStyle w:val="Bildetekst"/>
        <w:jc w:val="both"/>
      </w:pPr>
      <w:bookmarkStart w:id="132" w:name="_Ref169002450"/>
      <w:r w:rsidRPr="0055149C">
        <w:t xml:space="preserve">Figur </w:t>
      </w:r>
      <w:fldSimple w:instr=" STYLEREF 1 \s ">
        <w:r w:rsidR="009B1DA8">
          <w:rPr>
            <w:noProof/>
          </w:rPr>
          <w:t>4</w:t>
        </w:r>
      </w:fldSimple>
      <w:r w:rsidR="004B03E3">
        <w:t>.</w:t>
      </w:r>
      <w:fldSimple w:instr=" SEQ Figur \* ARABIC \s 1 ">
        <w:r w:rsidR="009B1DA8">
          <w:rPr>
            <w:noProof/>
          </w:rPr>
          <w:t>25</w:t>
        </w:r>
      </w:fldSimple>
      <w:bookmarkEnd w:id="132"/>
      <w:r w:rsidR="000F362C" w:rsidRPr="0055149C">
        <w:tab/>
        <w:t xml:space="preserve">Korrelasjon mellom bruttodriftsutgifter og utvalgte kapitalkostnadsmål over funksjoner i </w:t>
      </w:r>
      <w:r w:rsidR="00C149E9">
        <w:t>fylkes</w:t>
      </w:r>
      <w:r w:rsidR="000F362C" w:rsidRPr="0055149C">
        <w:t>kommunene</w:t>
      </w:r>
      <w:r w:rsidR="00317899" w:rsidRPr="0055149C">
        <w:t>, normalisert per innbygger</w:t>
      </w:r>
    </w:p>
    <w:p w14:paraId="260C065F" w14:textId="39D0E543" w:rsidR="004E7DB8" w:rsidRPr="0055149C" w:rsidRDefault="006C27A5" w:rsidP="00F45E31">
      <w:pPr>
        <w:jc w:val="center"/>
        <w:rPr>
          <w:lang w:eastAsia="nb-NO"/>
        </w:rPr>
      </w:pPr>
      <w:r>
        <w:rPr>
          <w:noProof/>
          <w:lang w:val="en-US" w:eastAsia="en-US"/>
        </w:rPr>
        <w:drawing>
          <wp:inline distT="0" distB="0" distL="0" distR="0" wp14:anchorId="1DF8084B" wp14:editId="4F62EDA0">
            <wp:extent cx="5364000" cy="2880000"/>
            <wp:effectExtent l="0" t="0" r="8255" b="0"/>
            <wp:docPr id="484200578" name="Diagram 1">
              <a:extLst xmlns:a="http://schemas.openxmlformats.org/drawingml/2006/main">
                <a:ext uri="{FF2B5EF4-FFF2-40B4-BE49-F238E27FC236}">
                  <a16:creationId xmlns:a16="http://schemas.microsoft.com/office/drawing/2014/main" id="{D1669C42-C66C-4C95-B41E-763367846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9B58ED9" w14:textId="7CC7BD5A" w:rsidR="009A62E1" w:rsidRPr="0055149C" w:rsidRDefault="009A62E1" w:rsidP="009A62E1">
      <w:pPr>
        <w:pStyle w:val="Billedtekst-forklaring"/>
        <w:ind w:left="0" w:firstLine="0"/>
        <w:rPr>
          <w:shd w:val="clear" w:color="auto" w:fill="468C5C" w:themeFill="accent6"/>
          <w:lang w:eastAsia="nb-NO"/>
        </w:rPr>
      </w:pPr>
      <w:r w:rsidRPr="0055149C">
        <w:t>Forkortelsen dd indikerer disaggregerte kapitaldeflatorer og depresieringsrater.</w:t>
      </w:r>
    </w:p>
    <w:p w14:paraId="33BCFD07" w14:textId="77777777" w:rsidR="00706EF0" w:rsidRPr="0055149C" w:rsidRDefault="00706EF0" w:rsidP="00706EF0">
      <w:pPr>
        <w:pStyle w:val="Source"/>
        <w:rPr>
          <w:lang w:eastAsia="nb-NO"/>
        </w:rPr>
      </w:pPr>
      <w:r w:rsidRPr="0055149C">
        <w:rPr>
          <w:lang w:eastAsia="nb-NO"/>
        </w:rPr>
        <w:t>Kilde: Vista Analyse</w:t>
      </w:r>
    </w:p>
    <w:p w14:paraId="5D9FA5E0" w14:textId="22E757B3" w:rsidR="007C64AF" w:rsidRPr="0055149C" w:rsidRDefault="007C64AF" w:rsidP="007C64AF">
      <w:pPr>
        <w:pStyle w:val="Overskrift3"/>
      </w:pPr>
      <w:bookmarkStart w:id="133" w:name="_Ref178371260"/>
      <w:r w:rsidRPr="0055149C">
        <w:lastRenderedPageBreak/>
        <w:t xml:space="preserve">Kapitalkostnader og kommunenes </w:t>
      </w:r>
      <w:r w:rsidR="00E70ADE" w:rsidRPr="0055149C">
        <w:t>omgivelser</w:t>
      </w:r>
      <w:bookmarkEnd w:id="133"/>
    </w:p>
    <w:p w14:paraId="6C139973" w14:textId="39F6AE6C" w:rsidR="009C4627" w:rsidRPr="0055149C" w:rsidRDefault="009C4627" w:rsidP="007C64AF">
      <w:pPr>
        <w:rPr>
          <w:lang w:eastAsia="nb-NO"/>
        </w:rPr>
      </w:pPr>
      <w:r w:rsidRPr="0055149C">
        <w:rPr>
          <w:lang w:eastAsia="nb-NO"/>
        </w:rPr>
        <w:t>Både kommunenes bruttodriftsutgifter og k</w:t>
      </w:r>
      <w:r w:rsidR="0096748D" w:rsidRPr="0055149C">
        <w:rPr>
          <w:lang w:eastAsia="nb-NO"/>
        </w:rPr>
        <w:t>apitalkostnad</w:t>
      </w:r>
      <w:r w:rsidRPr="0055149C">
        <w:rPr>
          <w:lang w:eastAsia="nb-NO"/>
        </w:rPr>
        <w:t>er henger sammen med ulike strukturelle forhold i kommunenes omgivelser, herunder geografiske og sosioøkonomiske forhold i omgivelsene. I det følgende</w:t>
      </w:r>
      <w:r w:rsidR="00535C9C" w:rsidRPr="0055149C">
        <w:rPr>
          <w:lang w:eastAsia="nb-NO"/>
        </w:rPr>
        <w:t xml:space="preserve"> belyse</w:t>
      </w:r>
      <w:r w:rsidR="00924C3B">
        <w:rPr>
          <w:lang w:eastAsia="nb-NO"/>
        </w:rPr>
        <w:t>r vi</w:t>
      </w:r>
      <w:r w:rsidR="00535C9C" w:rsidRPr="0055149C">
        <w:rPr>
          <w:lang w:eastAsia="nb-NO"/>
        </w:rPr>
        <w:t xml:space="preserve"> hva som kjennetegner kommunene med ulike nivåer på kapitalkostnader</w:t>
      </w:r>
      <w:r w:rsidR="00BE4AFA" w:rsidRPr="0055149C">
        <w:rPr>
          <w:lang w:eastAsia="nb-NO"/>
        </w:rPr>
        <w:t>,</w:t>
      </w:r>
      <w:r w:rsidR="00535C9C" w:rsidRPr="0055149C">
        <w:rPr>
          <w:lang w:eastAsia="nb-NO"/>
        </w:rPr>
        <w:t xml:space="preserve"> og hvordan disse sammenhengene påvirkes av å ta høyde for bruttodriftsutgiftene.</w:t>
      </w:r>
    </w:p>
    <w:p w14:paraId="587661BB" w14:textId="1588B7BA" w:rsidR="007C64AF" w:rsidRPr="0055149C" w:rsidRDefault="007C64AF" w:rsidP="007B5D49">
      <w:pPr>
        <w:pStyle w:val="Overskrift4"/>
        <w:numPr>
          <w:ilvl w:val="0"/>
          <w:numId w:val="0"/>
        </w:numPr>
      </w:pPr>
      <w:r w:rsidRPr="0055149C">
        <w:t>Primærkommunene</w:t>
      </w:r>
    </w:p>
    <w:p w14:paraId="6DD8156A" w14:textId="60D6F6B1" w:rsidR="00C23F5C" w:rsidRPr="0055149C" w:rsidRDefault="00FB14C3" w:rsidP="007C64AF">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_Ref168428931 </w:instrText>
      </w:r>
      <w:r w:rsidRPr="0055149C">
        <w:rPr>
          <w:lang w:eastAsia="nb-NO"/>
        </w:rPr>
        <w:fldChar w:fldCharType="separate"/>
      </w:r>
      <w:r w:rsidR="009B1DA8" w:rsidRPr="0055149C">
        <w:t xml:space="preserve">Tabell </w:t>
      </w:r>
      <w:r w:rsidR="009B1DA8">
        <w:rPr>
          <w:noProof/>
        </w:rPr>
        <w:t>4</w:t>
      </w:r>
      <w:r w:rsidR="009B1DA8" w:rsidRPr="0055149C">
        <w:t>.</w:t>
      </w:r>
      <w:r w:rsidR="009B1DA8">
        <w:rPr>
          <w:noProof/>
        </w:rPr>
        <w:t>8</w:t>
      </w:r>
      <w:r w:rsidRPr="0055149C">
        <w:rPr>
          <w:lang w:eastAsia="nb-NO"/>
        </w:rPr>
        <w:fldChar w:fldCharType="end"/>
      </w:r>
      <w:r w:rsidR="007B5D49" w:rsidRPr="0055149C">
        <w:rPr>
          <w:lang w:eastAsia="nb-NO"/>
        </w:rPr>
        <w:t xml:space="preserve"> har vi</w:t>
      </w:r>
      <w:r w:rsidR="00B4764D" w:rsidRPr="0055149C">
        <w:rPr>
          <w:lang w:eastAsia="nb-NO"/>
        </w:rPr>
        <w:t xml:space="preserve"> belyst sammenhengen mellom k</w:t>
      </w:r>
      <w:r w:rsidRPr="0055149C">
        <w:rPr>
          <w:lang w:eastAsia="nb-NO"/>
        </w:rPr>
        <w:t xml:space="preserve">apitalkostnadene per innbygger </w:t>
      </w:r>
      <w:r w:rsidR="00B4764D" w:rsidRPr="0055149C">
        <w:rPr>
          <w:lang w:eastAsia="nb-NO"/>
        </w:rPr>
        <w:t>og et bredt utvalg av kovari</w:t>
      </w:r>
      <w:r w:rsidR="00EA364C">
        <w:rPr>
          <w:lang w:eastAsia="nb-NO"/>
        </w:rPr>
        <w:t>a</w:t>
      </w:r>
      <w:r w:rsidR="00B4764D" w:rsidRPr="0055149C">
        <w:rPr>
          <w:lang w:eastAsia="nb-NO"/>
        </w:rPr>
        <w:t>ter, som beskriver sentrale demografiske, geografiske, sosiale og økonomiske forhold i omgivelsene. Til venstre i tabellen har vi inkludert korrelasjonen mellom bruttodriftsutgifter per innbygger og de samme kovariatene, som en slags referanse.</w:t>
      </w:r>
    </w:p>
    <w:p w14:paraId="42A84338" w14:textId="2784FAB4" w:rsidR="00D245BD" w:rsidRPr="00A16422" w:rsidRDefault="00C23F5C" w:rsidP="007C64AF">
      <w:pPr>
        <w:rPr>
          <w:lang w:eastAsia="nb-NO"/>
        </w:rPr>
      </w:pPr>
      <w:r w:rsidRPr="00A16422">
        <w:rPr>
          <w:lang w:eastAsia="nb-NO"/>
        </w:rPr>
        <w:t>Tabellen</w:t>
      </w:r>
      <w:r w:rsidR="00B4764D" w:rsidRPr="00A16422">
        <w:rPr>
          <w:lang w:eastAsia="nb-NO"/>
        </w:rPr>
        <w:t xml:space="preserve"> viser at sammenhengen </w:t>
      </w:r>
      <w:r w:rsidR="004E323D" w:rsidRPr="00A16422">
        <w:rPr>
          <w:lang w:eastAsia="nb-NO"/>
        </w:rPr>
        <w:t xml:space="preserve">mellom de normaliserte bruttodriftsutgifter gjennomgående er mer korrelert med kovariatene enn de normaliserte kapitalkostnadsmålene med to knappe </w:t>
      </w:r>
      <w:r w:rsidR="00A16422" w:rsidRPr="00A16422">
        <w:rPr>
          <w:lang w:eastAsia="nb-NO"/>
        </w:rPr>
        <w:t>unntak</w:t>
      </w:r>
      <w:r w:rsidR="004E323D" w:rsidRPr="00A16422">
        <w:rPr>
          <w:lang w:eastAsia="nb-NO"/>
        </w:rPr>
        <w:t xml:space="preserve"> forbundet med sysselsettings</w:t>
      </w:r>
      <w:r w:rsidR="00B4764D" w:rsidRPr="00A16422">
        <w:rPr>
          <w:lang w:eastAsia="nb-NO"/>
        </w:rPr>
        <w:t>andel</w:t>
      </w:r>
      <w:r w:rsidR="004E323D" w:rsidRPr="00A16422">
        <w:rPr>
          <w:lang w:eastAsia="nb-NO"/>
        </w:rPr>
        <w:t>en</w:t>
      </w:r>
      <w:r w:rsidR="00B4764D" w:rsidRPr="00A16422">
        <w:rPr>
          <w:lang w:eastAsia="nb-NO"/>
        </w:rPr>
        <w:t xml:space="preserve"> i</w:t>
      </w:r>
      <w:r w:rsidR="004E323D" w:rsidRPr="00A16422">
        <w:rPr>
          <w:lang w:eastAsia="nb-NO"/>
        </w:rPr>
        <w:t>nnen</w:t>
      </w:r>
      <w:r w:rsidR="00B4764D" w:rsidRPr="00A16422">
        <w:rPr>
          <w:lang w:eastAsia="nb-NO"/>
        </w:rPr>
        <w:t xml:space="preserve"> ikke-markedsrettede tjenester</w:t>
      </w:r>
      <w:r w:rsidR="004E323D" w:rsidRPr="00A16422">
        <w:rPr>
          <w:lang w:eastAsia="nb-NO"/>
        </w:rPr>
        <w:t>.</w:t>
      </w:r>
      <w:r w:rsidRPr="00A16422">
        <w:rPr>
          <w:lang w:eastAsia="nb-NO"/>
        </w:rPr>
        <w:t xml:space="preserve"> </w:t>
      </w:r>
      <w:r w:rsidR="00A16422" w:rsidRPr="00A16422">
        <w:rPr>
          <w:lang w:eastAsia="nb-NO"/>
        </w:rPr>
        <w:t>Videre er k</w:t>
      </w:r>
      <w:r w:rsidRPr="00A16422">
        <w:rPr>
          <w:lang w:eastAsia="nb-NO"/>
        </w:rPr>
        <w:t xml:space="preserve">orrelasjonen </w:t>
      </w:r>
      <w:r w:rsidR="00A16422" w:rsidRPr="00A16422">
        <w:rPr>
          <w:lang w:eastAsia="nb-NO"/>
        </w:rPr>
        <w:t xml:space="preserve">med kovariatene </w:t>
      </w:r>
      <w:r w:rsidRPr="00A16422">
        <w:rPr>
          <w:lang w:eastAsia="nb-NO"/>
        </w:rPr>
        <w:t>gjennomgående svakest for bruttoinvesteringsvariablene, men ellers er det ikke så store forskjeller mellom kapitalkostnadsmålene.</w:t>
      </w:r>
      <w:r w:rsidR="00EA364C">
        <w:rPr>
          <w:lang w:eastAsia="nb-NO"/>
        </w:rPr>
        <w:t xml:space="preserve"> Her bør man huske på </w:t>
      </w:r>
      <w:r w:rsidR="00924C3B">
        <w:rPr>
          <w:lang w:eastAsia="nb-NO"/>
        </w:rPr>
        <w:t xml:space="preserve">at </w:t>
      </w:r>
      <w:r w:rsidR="00EA364C">
        <w:rPr>
          <w:lang w:eastAsia="nb-NO"/>
        </w:rPr>
        <w:t>kommunenes kapitalkostnader i større grad henger sammen med historiske forhold og framtidsutsikter enn bruttodriftsutgiftene, mens vår korrelasjonstabell kun er for 2022.</w:t>
      </w:r>
    </w:p>
    <w:p w14:paraId="59289DF2" w14:textId="6309E603" w:rsidR="008A1082" w:rsidRDefault="00B21614" w:rsidP="007C64AF">
      <w:pPr>
        <w:rPr>
          <w:lang w:eastAsia="nb-NO"/>
        </w:rPr>
      </w:pPr>
      <w:r>
        <w:rPr>
          <w:lang w:eastAsia="nb-NO"/>
        </w:rPr>
        <w:t xml:space="preserve">I vesentlig grad er kommunenes bruttodriftsutgifter og kapitalkostnadene positivt korrelert med kjennetegn typisk for kommuner i grisgrendte strøk og negativt korrelert med kjennetegn typisk for kommuner i sentrale strøk. </w:t>
      </w:r>
      <w:r w:rsidR="00C23F5C" w:rsidRPr="00B21614">
        <w:rPr>
          <w:lang w:eastAsia="nb-NO"/>
        </w:rPr>
        <w:t>Vesentlig positiv samvariasjon knytter seg til gjennomsnittsalder, Herfindahl-indeksen for næringskonsentrasjon</w:t>
      </w:r>
      <w:r w:rsidR="00F678DF">
        <w:rPr>
          <w:lang w:eastAsia="nb-NO"/>
        </w:rPr>
        <w:t xml:space="preserve"> (se </w:t>
      </w:r>
      <w:r w:rsidR="00F678DF" w:rsidRPr="00DD179F">
        <w:rPr>
          <w:lang w:eastAsia="nb-NO"/>
        </w:rPr>
        <w:t>Kommunal- og moderniseringsdepartementet 2020</w:t>
      </w:r>
      <w:r w:rsidR="00F678DF">
        <w:rPr>
          <w:lang w:eastAsia="nb-NO"/>
        </w:rPr>
        <w:t>)</w:t>
      </w:r>
      <w:r w:rsidR="00C23F5C" w:rsidRPr="00B21614">
        <w:rPr>
          <w:lang w:eastAsia="nb-NO"/>
        </w:rPr>
        <w:t>, proxyen for intern reisetid</w:t>
      </w:r>
      <w:r w:rsidR="00F678DF">
        <w:rPr>
          <w:lang w:eastAsia="nb-NO"/>
        </w:rPr>
        <w:t xml:space="preserve"> (se Holmen 2022b)</w:t>
      </w:r>
      <w:r w:rsidR="00C23F5C" w:rsidRPr="00B21614">
        <w:rPr>
          <w:lang w:eastAsia="nb-NO"/>
        </w:rPr>
        <w:t>, sysselsettingsandelen for vareproduksjon og sysselsatte på arbeidsstedet over sysselsatte på bostedet. Vesentlig negativ samvariasjon knytter seg til andelen med høyere utdanning, gjennomsnittlig personinntekt, befolkningsstørrelsen og årlig befolkningsvekst de siste ti årene. For sysselsettingsgraden og sysselsettingsandelen i ikke-markedsrettede tjenester er korrelasjonen ikke entydig, mens korrelasjonen er svært svak</w:t>
      </w:r>
      <w:r w:rsidR="00924C3B">
        <w:rPr>
          <w:lang w:eastAsia="nb-NO"/>
        </w:rPr>
        <w:t>t</w:t>
      </w:r>
      <w:r w:rsidR="00C23F5C" w:rsidRPr="00B21614">
        <w:rPr>
          <w:lang w:eastAsia="nb-NO"/>
        </w:rPr>
        <w:t xml:space="preserve"> negativ for den årlige sysselsettingsveksten de siste ti årene.</w:t>
      </w:r>
    </w:p>
    <w:p w14:paraId="22870A92" w14:textId="56CD904D" w:rsidR="00B21614" w:rsidRDefault="00D245BD" w:rsidP="007C64AF">
      <w:pPr>
        <w:rPr>
          <w:lang w:eastAsia="nb-NO"/>
        </w:rPr>
      </w:pPr>
      <w:r w:rsidRPr="0055149C">
        <w:rPr>
          <w:lang w:eastAsia="nb-NO"/>
        </w:rPr>
        <w:t>Det neste spørsmålet er om hvorvidt samvariasjonsmønstrene består når man kontrollerer for</w:t>
      </w:r>
      <w:r w:rsidR="00F730DC">
        <w:rPr>
          <w:lang w:eastAsia="nb-NO"/>
        </w:rPr>
        <w:t xml:space="preserve"> </w:t>
      </w:r>
      <w:r w:rsidRPr="0055149C">
        <w:rPr>
          <w:lang w:eastAsia="nb-NO"/>
        </w:rPr>
        <w:t>korrelasjonen mellom bruttodriftsutgiftene og hver respektive kovariat.</w:t>
      </w:r>
      <w:r w:rsidR="00006CAA" w:rsidRPr="0055149C">
        <w:rPr>
          <w:lang w:eastAsia="nb-NO"/>
        </w:rPr>
        <w:t xml:space="preserve"> Vi besvarer spørsmålet ved</w:t>
      </w:r>
      <w:r w:rsidRPr="0055149C">
        <w:rPr>
          <w:lang w:eastAsia="nb-NO"/>
        </w:rPr>
        <w:t xml:space="preserve"> regresjonsanalyse ved minste kvadraters metode</w:t>
      </w:r>
      <w:r w:rsidR="00006CAA" w:rsidRPr="0055149C">
        <w:rPr>
          <w:lang w:eastAsia="nb-NO"/>
        </w:rPr>
        <w:t xml:space="preserve">. For å sikre at resultatene blir sammenliknbare med korrelasjonskoeffisientene, normaliserer vi hver variabel til standardnormalfordelingen basert på deres respektive gjennomsnitt og standardfeil. Merk at hvis man deretter foretar en regresjon med </w:t>
      </w:r>
      <w:r w:rsidR="00E62C62" w:rsidRPr="0055149C">
        <w:rPr>
          <w:lang w:eastAsia="nb-NO"/>
        </w:rPr>
        <w:t xml:space="preserve">en gitt kovariat som utfallsvariabel og et gitt </w:t>
      </w:r>
      <w:r w:rsidR="00006CAA" w:rsidRPr="0055149C">
        <w:rPr>
          <w:lang w:eastAsia="nb-NO"/>
        </w:rPr>
        <w:t>kapitalkostnad</w:t>
      </w:r>
      <w:r w:rsidR="00E62C62" w:rsidRPr="0055149C">
        <w:rPr>
          <w:lang w:eastAsia="nb-NO"/>
        </w:rPr>
        <w:t>smål</w:t>
      </w:r>
      <w:r w:rsidR="00006CAA" w:rsidRPr="0055149C">
        <w:rPr>
          <w:lang w:eastAsia="nb-NO"/>
        </w:rPr>
        <w:t xml:space="preserve"> som forklaringsvariabel (eller motsatt), vil regresjonskoeffisienten sammenfalle med korrelasjonskoeffisienten</w:t>
      </w:r>
      <w:r w:rsidR="00B21614">
        <w:rPr>
          <w:lang w:eastAsia="nb-NO"/>
        </w:rPr>
        <w:t>. Vi referer</w:t>
      </w:r>
      <w:r w:rsidR="00393697">
        <w:rPr>
          <w:lang w:eastAsia="nb-NO"/>
        </w:rPr>
        <w:t>er</w:t>
      </w:r>
      <w:r w:rsidR="00B21614">
        <w:rPr>
          <w:lang w:eastAsia="nb-NO"/>
        </w:rPr>
        <w:t xml:space="preserve"> til delkapittel </w:t>
      </w:r>
      <w:r w:rsidR="00B21614">
        <w:rPr>
          <w:lang w:eastAsia="nb-NO"/>
        </w:rPr>
        <w:fldChar w:fldCharType="begin"/>
      </w:r>
      <w:r w:rsidR="00B21614">
        <w:rPr>
          <w:lang w:eastAsia="nb-NO"/>
        </w:rPr>
        <w:instrText xml:space="preserve"> REF _Ref178425510 \r \h </w:instrText>
      </w:r>
      <w:r w:rsidR="00B21614">
        <w:rPr>
          <w:lang w:eastAsia="nb-NO"/>
        </w:rPr>
      </w:r>
      <w:r w:rsidR="00B21614">
        <w:rPr>
          <w:lang w:eastAsia="nb-NO"/>
        </w:rPr>
        <w:fldChar w:fldCharType="separate"/>
      </w:r>
      <w:r w:rsidR="009B1DA8">
        <w:rPr>
          <w:lang w:eastAsia="nb-NO"/>
        </w:rPr>
        <w:t>3.2.2</w:t>
      </w:r>
      <w:r w:rsidR="00B21614">
        <w:rPr>
          <w:lang w:eastAsia="nb-NO"/>
        </w:rPr>
        <w:fldChar w:fldCharType="end"/>
      </w:r>
      <w:r w:rsidR="00B21614">
        <w:rPr>
          <w:lang w:eastAsia="nb-NO"/>
        </w:rPr>
        <w:t xml:space="preserve"> for en nærmere redegjørelse, da særlig </w:t>
      </w:r>
      <w:r w:rsidR="00B21614">
        <w:rPr>
          <w:lang w:eastAsia="nb-NO"/>
        </w:rPr>
        <w:fldChar w:fldCharType="begin"/>
      </w:r>
      <w:r w:rsidR="00B21614">
        <w:rPr>
          <w:lang w:eastAsia="nb-NO"/>
        </w:rPr>
        <w:instrText xml:space="preserve"> REF _Ref177107666 \h </w:instrText>
      </w:r>
      <w:r w:rsidR="00B21614">
        <w:rPr>
          <w:lang w:eastAsia="nb-NO"/>
        </w:rPr>
      </w:r>
      <w:r w:rsidR="00B21614">
        <w:rPr>
          <w:lang w:eastAsia="nb-NO"/>
        </w:rPr>
        <w:fldChar w:fldCharType="separate"/>
      </w:r>
      <w:r w:rsidR="009B1DA8" w:rsidRPr="0055149C">
        <w:t xml:space="preserve">Tekstboks </w:t>
      </w:r>
      <w:r w:rsidR="009B1DA8">
        <w:rPr>
          <w:noProof/>
        </w:rPr>
        <w:t>3</w:t>
      </w:r>
      <w:r w:rsidR="009B1DA8" w:rsidRPr="0055149C">
        <w:t>.</w:t>
      </w:r>
      <w:r w:rsidR="009B1DA8">
        <w:rPr>
          <w:noProof/>
        </w:rPr>
        <w:t>2</w:t>
      </w:r>
      <w:r w:rsidR="00B21614">
        <w:rPr>
          <w:lang w:eastAsia="nb-NO"/>
        </w:rPr>
        <w:fldChar w:fldCharType="end"/>
      </w:r>
      <w:r w:rsidR="00B21614">
        <w:rPr>
          <w:lang w:eastAsia="nb-NO"/>
        </w:rPr>
        <w:t>.</w:t>
      </w:r>
    </w:p>
    <w:p w14:paraId="2AF694B0" w14:textId="6E4F7923" w:rsidR="00E62C62" w:rsidRDefault="00E62C62" w:rsidP="007C64AF">
      <w:pPr>
        <w:rPr>
          <w:lang w:eastAsia="nb-NO"/>
        </w:rPr>
      </w:pPr>
      <w:r w:rsidRPr="0055149C">
        <w:rPr>
          <w:lang w:eastAsia="nb-NO"/>
        </w:rPr>
        <w:t>I den etterfølgende regresjonsanalysen benytter vi oss av to alternative spesifikasjoner. I den først</w:t>
      </w:r>
      <w:r w:rsidR="00924C3B">
        <w:rPr>
          <w:lang w:eastAsia="nb-NO"/>
        </w:rPr>
        <w:t>e</w:t>
      </w:r>
      <w:r w:rsidRPr="0055149C">
        <w:rPr>
          <w:lang w:eastAsia="nb-NO"/>
        </w:rPr>
        <w:t xml:space="preserve"> spesifikasjonen kontrollerer vi for bruttodriftsutgifter i samme regresjon. I denne varianten vil den delen </w:t>
      </w:r>
      <w:r w:rsidR="003B1DD1">
        <w:rPr>
          <w:lang w:eastAsia="nb-NO"/>
        </w:rPr>
        <w:t xml:space="preserve">av </w:t>
      </w:r>
      <w:r w:rsidRPr="0055149C">
        <w:rPr>
          <w:lang w:eastAsia="nb-NO"/>
        </w:rPr>
        <w:t xml:space="preserve">samvariasjonen som kovariaten deler med både </w:t>
      </w:r>
      <w:r w:rsidR="00CD08F1" w:rsidRPr="0055149C">
        <w:rPr>
          <w:lang w:eastAsia="nb-NO"/>
        </w:rPr>
        <w:t>bruttodriftsutgiftene og kap</w:t>
      </w:r>
      <w:r w:rsidR="00A84BFA">
        <w:rPr>
          <w:lang w:eastAsia="nb-NO"/>
        </w:rPr>
        <w:t>it</w:t>
      </w:r>
      <w:r w:rsidR="00CD08F1" w:rsidRPr="0055149C">
        <w:rPr>
          <w:lang w:eastAsia="nb-NO"/>
        </w:rPr>
        <w:t xml:space="preserve">alkostnadsmålet kun tilskrives </w:t>
      </w:r>
      <w:r w:rsidR="00413245">
        <w:rPr>
          <w:lang w:eastAsia="nb-NO"/>
        </w:rPr>
        <w:t>é</w:t>
      </w:r>
      <w:r w:rsidR="00413245" w:rsidRPr="0055149C">
        <w:rPr>
          <w:lang w:eastAsia="nb-NO"/>
        </w:rPr>
        <w:t xml:space="preserve">n </w:t>
      </w:r>
      <w:r w:rsidR="00CD08F1" w:rsidRPr="0055149C">
        <w:rPr>
          <w:lang w:eastAsia="nb-NO"/>
        </w:rPr>
        <w:t>av variablene. På den ene siden vil</w:t>
      </w:r>
      <w:r w:rsidR="00413245">
        <w:rPr>
          <w:lang w:eastAsia="nb-NO"/>
        </w:rPr>
        <w:t>le</w:t>
      </w:r>
      <w:r w:rsidR="00CD08F1" w:rsidRPr="0055149C">
        <w:rPr>
          <w:lang w:eastAsia="nb-NO"/>
        </w:rPr>
        <w:t xml:space="preserve"> spesifikasjonen være sårbar for multikollinearitet. På den andre ville den gitt regresjonskoeffisienter som sammenfaller </w:t>
      </w:r>
      <w:r w:rsidR="00CD08F1" w:rsidRPr="0055149C">
        <w:rPr>
          <w:lang w:eastAsia="nb-NO"/>
        </w:rPr>
        <w:lastRenderedPageBreak/>
        <w:t>med korrelasjonskoeffisientene, dersom ikke bruttodrift</w:t>
      </w:r>
      <w:r w:rsidR="00B55DD4">
        <w:rPr>
          <w:lang w:eastAsia="nb-NO"/>
        </w:rPr>
        <w:t>s</w:t>
      </w:r>
      <w:r w:rsidR="00CD08F1" w:rsidRPr="0055149C">
        <w:rPr>
          <w:lang w:eastAsia="nb-NO"/>
        </w:rPr>
        <w:t>utgiftene og kapitalkostnadsmålene hadde vært korrelert.</w:t>
      </w:r>
    </w:p>
    <w:p w14:paraId="207B78E8" w14:textId="38388941" w:rsidR="004116F8" w:rsidRDefault="00651A5A" w:rsidP="007C64AF">
      <w:pPr>
        <w:rPr>
          <w:lang w:eastAsia="nb-NO"/>
        </w:rPr>
      </w:pPr>
      <w:r>
        <w:rPr>
          <w:lang w:eastAsia="nb-NO"/>
        </w:rPr>
        <w:t>Re</w:t>
      </w:r>
      <w:r w:rsidR="001C0D79">
        <w:rPr>
          <w:lang w:eastAsia="nb-NO"/>
        </w:rPr>
        <w:t xml:space="preserve">sultatet fra regresjonene der bruttodriftsutgifter benyttes som kontroll er gitt i </w:t>
      </w:r>
      <w:r w:rsidR="001C0D79">
        <w:rPr>
          <w:lang w:eastAsia="nb-NO"/>
        </w:rPr>
        <w:fldChar w:fldCharType="begin"/>
      </w:r>
      <w:r w:rsidR="001C0D79">
        <w:rPr>
          <w:lang w:eastAsia="nb-NO"/>
        </w:rPr>
        <w:instrText xml:space="preserve"> REF _Ref178426296 \h </w:instrText>
      </w:r>
      <w:r w:rsidR="001C0D79">
        <w:rPr>
          <w:lang w:eastAsia="nb-NO"/>
        </w:rPr>
      </w:r>
      <w:r w:rsidR="001C0D79">
        <w:rPr>
          <w:lang w:eastAsia="nb-NO"/>
        </w:rPr>
        <w:fldChar w:fldCharType="separate"/>
      </w:r>
      <w:r w:rsidR="009B1DA8" w:rsidRPr="0055149C">
        <w:t xml:space="preserve">Tabell </w:t>
      </w:r>
      <w:r w:rsidR="009B1DA8">
        <w:rPr>
          <w:noProof/>
        </w:rPr>
        <w:t>4</w:t>
      </w:r>
      <w:r w:rsidR="009B1DA8" w:rsidRPr="0055149C">
        <w:t>.</w:t>
      </w:r>
      <w:r w:rsidR="009B1DA8">
        <w:rPr>
          <w:noProof/>
        </w:rPr>
        <w:t>9</w:t>
      </w:r>
      <w:r w:rsidR="001C0D79">
        <w:rPr>
          <w:lang w:eastAsia="nb-NO"/>
        </w:rPr>
        <w:fldChar w:fldCharType="end"/>
      </w:r>
      <w:r w:rsidR="001C0D79">
        <w:rPr>
          <w:lang w:eastAsia="nb-NO"/>
        </w:rPr>
        <w:t>. Den interne reiseavstandsproxyen og befolkningen utmerker seg med regresjonsresultater som er negative og signifikant</w:t>
      </w:r>
      <w:r w:rsidR="0010478F">
        <w:rPr>
          <w:lang w:eastAsia="nb-NO"/>
        </w:rPr>
        <w:t xml:space="preserve"> forskjellig</w:t>
      </w:r>
      <w:r w:rsidR="00C12C78">
        <w:rPr>
          <w:lang w:eastAsia="nb-NO"/>
        </w:rPr>
        <w:t>e</w:t>
      </w:r>
      <w:r w:rsidR="0010478F">
        <w:rPr>
          <w:lang w:eastAsia="nb-NO"/>
        </w:rPr>
        <w:t xml:space="preserve"> fra null</w:t>
      </w:r>
      <w:r w:rsidR="001C0D79">
        <w:rPr>
          <w:lang w:eastAsia="nb-NO"/>
        </w:rPr>
        <w:t xml:space="preserve"> ved henholdsvis en prosents og fem prosents signifikansnivå. </w:t>
      </w:r>
      <w:r w:rsidR="008A45F0">
        <w:rPr>
          <w:lang w:eastAsia="nb-NO"/>
        </w:rPr>
        <w:t>H</w:t>
      </w:r>
      <w:r w:rsidR="001C0D79">
        <w:rPr>
          <w:lang w:eastAsia="nb-NO"/>
        </w:rPr>
        <w:t xml:space="preserve">øyere utdanning </w:t>
      </w:r>
      <w:r w:rsidR="008A45F0">
        <w:rPr>
          <w:lang w:eastAsia="nb-NO"/>
        </w:rPr>
        <w:t>er</w:t>
      </w:r>
      <w:r w:rsidR="001C0D79">
        <w:rPr>
          <w:lang w:eastAsia="nb-NO"/>
        </w:rPr>
        <w:t xml:space="preserve"> positivt og signifikant for de fleste kapitalkostnadsmålene ved fem eller ti prosent signifikansnivå, med unntak av bruttoinvesteringsvariablene og kapitalslitet med disaggregerte kapitalegenskaper over kapitalarter.</w:t>
      </w:r>
    </w:p>
    <w:p w14:paraId="02945E92" w14:textId="758BAD07" w:rsidR="001C0D79" w:rsidRDefault="001C0D79" w:rsidP="007C64AF">
      <w:pPr>
        <w:rPr>
          <w:lang w:eastAsia="nb-NO"/>
        </w:rPr>
      </w:pPr>
      <w:r>
        <w:rPr>
          <w:lang w:eastAsia="nb-NO"/>
        </w:rPr>
        <w:t>Bruttoinvestering</w:t>
      </w:r>
      <w:r w:rsidR="004116F8">
        <w:rPr>
          <w:lang w:eastAsia="nb-NO"/>
        </w:rPr>
        <w:t>svariablene</w:t>
      </w:r>
      <w:r>
        <w:rPr>
          <w:lang w:eastAsia="nb-NO"/>
        </w:rPr>
        <w:t xml:space="preserve"> har derimot positive og signifikante regresjonskoeffisienter i regresjonene med sysselsetting per innbygger, Herfindahl-indeksen for næringskonsentrasjon og sysselsettingsandelen i vareproduksjon som utfallsvariabler</w:t>
      </w:r>
      <w:r w:rsidR="009E4DE3">
        <w:rPr>
          <w:lang w:eastAsia="nb-NO"/>
        </w:rPr>
        <w:t xml:space="preserve">. Videre </w:t>
      </w:r>
      <w:r w:rsidR="009705DC">
        <w:rPr>
          <w:lang w:eastAsia="nb-NO"/>
        </w:rPr>
        <w:t xml:space="preserve">har </w:t>
      </w:r>
      <w:r w:rsidR="004116F8">
        <w:rPr>
          <w:lang w:eastAsia="nb-NO"/>
        </w:rPr>
        <w:t>bruttoinvesteringsvariablene</w:t>
      </w:r>
      <w:r>
        <w:rPr>
          <w:lang w:eastAsia="nb-NO"/>
        </w:rPr>
        <w:t xml:space="preserve"> negativ</w:t>
      </w:r>
      <w:r w:rsidR="00717C1C">
        <w:rPr>
          <w:lang w:eastAsia="nb-NO"/>
        </w:rPr>
        <w:t>e</w:t>
      </w:r>
      <w:r>
        <w:rPr>
          <w:lang w:eastAsia="nb-NO"/>
        </w:rPr>
        <w:t xml:space="preserve"> og signifikante</w:t>
      </w:r>
      <w:r w:rsidRPr="001C0D79">
        <w:rPr>
          <w:lang w:eastAsia="nb-NO"/>
        </w:rPr>
        <w:t xml:space="preserve"> </w:t>
      </w:r>
      <w:r>
        <w:rPr>
          <w:lang w:eastAsia="nb-NO"/>
        </w:rPr>
        <w:t>kapitalegenskaper i regresjonene med sysselsettingsandelen i ikke-markedsrettede tjenester som utfallsvariabler.</w:t>
      </w:r>
      <w:r w:rsidR="00E45D04">
        <w:rPr>
          <w:lang w:eastAsia="nb-NO"/>
        </w:rPr>
        <w:t xml:space="preserve"> </w:t>
      </w:r>
      <w:r>
        <w:rPr>
          <w:lang w:eastAsia="nb-NO"/>
        </w:rPr>
        <w:t xml:space="preserve">Kapitalslitet </w:t>
      </w:r>
      <w:r w:rsidR="00C909A3">
        <w:rPr>
          <w:lang w:eastAsia="nb-NO"/>
        </w:rPr>
        <w:t>beregnet</w:t>
      </w:r>
      <w:r>
        <w:rPr>
          <w:lang w:eastAsia="nb-NO"/>
        </w:rPr>
        <w:t xml:space="preserve"> ved DM og ved PIM med aggregerte kapitalegenskaper </w:t>
      </w:r>
      <w:r w:rsidR="000C0AA2">
        <w:rPr>
          <w:lang w:eastAsia="nb-NO"/>
        </w:rPr>
        <w:t xml:space="preserve">har </w:t>
      </w:r>
      <w:r w:rsidR="00235213">
        <w:rPr>
          <w:lang w:eastAsia="nb-NO"/>
        </w:rPr>
        <w:t xml:space="preserve">svakt </w:t>
      </w:r>
      <w:r w:rsidR="00BD5C7A">
        <w:rPr>
          <w:lang w:eastAsia="nb-NO"/>
        </w:rPr>
        <w:t xml:space="preserve">signifikante </w:t>
      </w:r>
      <w:r w:rsidR="00235213">
        <w:rPr>
          <w:lang w:eastAsia="nb-NO"/>
        </w:rPr>
        <w:t>og negative regresjonskoeffisienter for</w:t>
      </w:r>
      <w:r w:rsidR="00235213" w:rsidRPr="00235213">
        <w:rPr>
          <w:lang w:eastAsia="nb-NO"/>
        </w:rPr>
        <w:t xml:space="preserve"> </w:t>
      </w:r>
      <w:r w:rsidR="00235213">
        <w:rPr>
          <w:lang w:eastAsia="nb-NO"/>
        </w:rPr>
        <w:t>gjennomsnittsalder</w:t>
      </w:r>
      <w:r w:rsidR="00235213" w:rsidRPr="00235213">
        <w:rPr>
          <w:lang w:eastAsia="nb-NO"/>
        </w:rPr>
        <w:t xml:space="preserve"> </w:t>
      </w:r>
      <w:r w:rsidR="00235213">
        <w:rPr>
          <w:lang w:eastAsia="nb-NO"/>
        </w:rPr>
        <w:t>som utfallsvariabel, og signifikante og positive regresjonskoeffisienter for</w:t>
      </w:r>
      <w:r w:rsidR="00235213" w:rsidRPr="00235213">
        <w:rPr>
          <w:lang w:eastAsia="nb-NO"/>
        </w:rPr>
        <w:t xml:space="preserve"> </w:t>
      </w:r>
      <w:r w:rsidR="00235213">
        <w:rPr>
          <w:lang w:eastAsia="nb-NO"/>
        </w:rPr>
        <w:t>gjennomsnittlig personinntekt som utfallsvariabel</w:t>
      </w:r>
      <w:r>
        <w:rPr>
          <w:lang w:eastAsia="nb-NO"/>
        </w:rPr>
        <w:t>.</w:t>
      </w:r>
      <w:r w:rsidR="000A24B1" w:rsidRPr="000A24B1">
        <w:t xml:space="preserve"> Kapitalslitet </w:t>
      </w:r>
      <w:r w:rsidR="00C07BB5">
        <w:t>utledet</w:t>
      </w:r>
      <w:r w:rsidR="00C07BB5" w:rsidRPr="000A24B1">
        <w:t xml:space="preserve"> </w:t>
      </w:r>
      <w:r w:rsidR="000A24B1" w:rsidRPr="000A24B1">
        <w:t xml:space="preserve">ved DM </w:t>
      </w:r>
      <w:r w:rsidR="000A24B1">
        <w:t xml:space="preserve">kommer i tillegg ut som positiv og signifikant i regresjonen med </w:t>
      </w:r>
      <w:r w:rsidR="000A24B1">
        <w:rPr>
          <w:lang w:eastAsia="nb-NO"/>
        </w:rPr>
        <w:t>å</w:t>
      </w:r>
      <w:r w:rsidR="000A24B1" w:rsidRPr="000A24B1">
        <w:rPr>
          <w:lang w:eastAsia="nb-NO"/>
        </w:rPr>
        <w:t>rlig befolkningsvekst de siste ti årene</w:t>
      </w:r>
      <w:r w:rsidR="000A24B1">
        <w:rPr>
          <w:lang w:eastAsia="nb-NO"/>
        </w:rPr>
        <w:t xml:space="preserve"> som utfallsvariabel.</w:t>
      </w:r>
    </w:p>
    <w:p w14:paraId="058DE2E9" w14:textId="45540915" w:rsidR="00C07BB5" w:rsidRDefault="001C0D79" w:rsidP="00C07BB5">
      <w:pPr>
        <w:rPr>
          <w:lang w:eastAsia="nb-NO"/>
        </w:rPr>
      </w:pPr>
      <w:r w:rsidRPr="0055149C">
        <w:rPr>
          <w:lang w:eastAsia="nb-NO"/>
        </w:rPr>
        <w:t>I den andre spesifikasjonen foretar vi regresjonsanalysen i to steg. I det første steget forklarer vi kovariaten med kun bruttodriftsutgiftene. Residualen i dette steget kan tolkes som kovariaten, justert for samvariasjonen med bruttodriftsutgiftene. I det andre steget benytte</w:t>
      </w:r>
      <w:r w:rsidR="00A35F7F">
        <w:rPr>
          <w:lang w:eastAsia="nb-NO"/>
        </w:rPr>
        <w:t>r</w:t>
      </w:r>
      <w:r w:rsidRPr="0055149C">
        <w:rPr>
          <w:lang w:eastAsia="nb-NO"/>
        </w:rPr>
        <w:t xml:space="preserve"> vi residualen fra det første steget som utfallsvariabel og et gitt kapitalkostnadsmål som forklaringsvariabel. </w:t>
      </w:r>
      <w:r w:rsidR="00F5768A">
        <w:rPr>
          <w:lang w:eastAsia="nb-NO"/>
        </w:rPr>
        <w:t>I tilnærmingen utelates i prinsippet samvariasjonen som også bruttodriftsutgiftene deler med kovariatene.</w:t>
      </w:r>
      <w:r w:rsidR="00C12C78">
        <w:rPr>
          <w:lang w:eastAsia="nb-NO"/>
        </w:rPr>
        <w:t xml:space="preserve"> </w:t>
      </w:r>
      <w:r w:rsidR="00B157A1">
        <w:rPr>
          <w:lang w:eastAsia="nb-NO"/>
        </w:rPr>
        <w:t xml:space="preserve">Regresjonsresultatene fra den andre tilnærmingen til å justere for bruttodriftsutgiftene </w:t>
      </w:r>
      <w:r w:rsidR="0008597E">
        <w:rPr>
          <w:lang w:eastAsia="nb-NO"/>
        </w:rPr>
        <w:t xml:space="preserve">er vist i </w:t>
      </w:r>
      <w:r w:rsidR="0008597E">
        <w:rPr>
          <w:lang w:eastAsia="nb-NO"/>
        </w:rPr>
        <w:fldChar w:fldCharType="begin"/>
      </w:r>
      <w:r w:rsidR="0008597E">
        <w:rPr>
          <w:lang w:eastAsia="nb-NO"/>
        </w:rPr>
        <w:instrText xml:space="preserve"> REF _Ref179319048 \h </w:instrText>
      </w:r>
      <w:r w:rsidR="0008597E">
        <w:rPr>
          <w:lang w:eastAsia="nb-NO"/>
        </w:rPr>
      </w:r>
      <w:r w:rsidR="0008597E">
        <w:rPr>
          <w:lang w:eastAsia="nb-NO"/>
        </w:rPr>
        <w:fldChar w:fldCharType="separate"/>
      </w:r>
      <w:r w:rsidR="009B1DA8" w:rsidRPr="0055149C">
        <w:t xml:space="preserve">Tabell </w:t>
      </w:r>
      <w:r w:rsidR="009B1DA8">
        <w:rPr>
          <w:noProof/>
        </w:rPr>
        <w:t>4</w:t>
      </w:r>
      <w:r w:rsidR="009B1DA8" w:rsidRPr="0055149C">
        <w:t>.</w:t>
      </w:r>
      <w:r w:rsidR="009B1DA8">
        <w:rPr>
          <w:noProof/>
        </w:rPr>
        <w:t>10</w:t>
      </w:r>
      <w:r w:rsidR="0008597E">
        <w:rPr>
          <w:lang w:eastAsia="nb-NO"/>
        </w:rPr>
        <w:fldChar w:fldCharType="end"/>
      </w:r>
      <w:r w:rsidR="0008597E">
        <w:rPr>
          <w:lang w:eastAsia="nb-NO"/>
        </w:rPr>
        <w:t xml:space="preserve">. Tilnærmingen </w:t>
      </w:r>
      <w:r w:rsidR="00B157A1">
        <w:rPr>
          <w:lang w:eastAsia="nb-NO"/>
        </w:rPr>
        <w:t xml:space="preserve">har noen likhetstrekk med resultatene fra den første, men </w:t>
      </w:r>
      <w:r w:rsidR="00A2776B">
        <w:rPr>
          <w:lang w:eastAsia="nb-NO"/>
        </w:rPr>
        <w:t>mye er også forskjellig.</w:t>
      </w:r>
      <w:r w:rsidR="008E4152">
        <w:rPr>
          <w:lang w:eastAsia="nb-NO"/>
        </w:rPr>
        <w:t xml:space="preserve"> </w:t>
      </w:r>
      <w:r w:rsidR="00C07BB5">
        <w:rPr>
          <w:lang w:eastAsia="nb-NO"/>
        </w:rPr>
        <w:t>Overgangen fra negative og signifikante regresjonsresultater med befolkning som utfallsvariabler ved den første tilnærmingen til positiv</w:t>
      </w:r>
      <w:r w:rsidR="0045013E">
        <w:rPr>
          <w:lang w:eastAsia="nb-NO"/>
        </w:rPr>
        <w:t>e</w:t>
      </w:r>
      <w:r w:rsidR="00C07BB5">
        <w:rPr>
          <w:lang w:eastAsia="nb-NO"/>
        </w:rPr>
        <w:t xml:space="preserve"> og insignifikant ved den andre tilnærmingen utgjør den mest slående forskjellen i regresjonsresultatene. Utover dette er det flere variasjoner i hva som er signifikant og ikke mellom tilnærmingene.</w:t>
      </w:r>
    </w:p>
    <w:p w14:paraId="5EC25912" w14:textId="5B89DBE2" w:rsidR="00C07BB5" w:rsidRDefault="008E4152" w:rsidP="007C64AF">
      <w:pPr>
        <w:rPr>
          <w:lang w:eastAsia="nb-NO"/>
        </w:rPr>
      </w:pPr>
      <w:r>
        <w:rPr>
          <w:lang w:eastAsia="nb-NO"/>
        </w:rPr>
        <w:t>Både sysselsetting per innbygger</w:t>
      </w:r>
      <w:r w:rsidR="008A45F0">
        <w:rPr>
          <w:lang w:eastAsia="nb-NO"/>
        </w:rPr>
        <w:t>,</w:t>
      </w:r>
      <w:r>
        <w:rPr>
          <w:lang w:eastAsia="nb-NO"/>
        </w:rPr>
        <w:t xml:space="preserve"> gjennomsnittlig personinntekt </w:t>
      </w:r>
      <w:r w:rsidR="008A45F0">
        <w:rPr>
          <w:lang w:eastAsia="nb-NO"/>
        </w:rPr>
        <w:t>og andelen med høyere utdanning</w:t>
      </w:r>
      <w:r>
        <w:rPr>
          <w:lang w:eastAsia="nb-NO"/>
        </w:rPr>
        <w:t xml:space="preserve"> gir positive og signifikante resultater ved </w:t>
      </w:r>
      <w:r w:rsidR="00413245">
        <w:rPr>
          <w:lang w:eastAsia="nb-NO"/>
        </w:rPr>
        <w:t xml:space="preserve">én </w:t>
      </w:r>
      <w:r>
        <w:rPr>
          <w:lang w:eastAsia="nb-NO"/>
        </w:rPr>
        <w:t>prosent signifikansnivå for alle kapitalkostnadsmålene, uten</w:t>
      </w:r>
      <w:r w:rsidR="00B06E41">
        <w:rPr>
          <w:lang w:eastAsia="nb-NO"/>
        </w:rPr>
        <w:t>om</w:t>
      </w:r>
      <w:r>
        <w:rPr>
          <w:lang w:eastAsia="nb-NO"/>
        </w:rPr>
        <w:t xml:space="preserve"> bruttoinvesteringsmålene i tilfelle</w:t>
      </w:r>
      <w:r w:rsidR="008A45F0">
        <w:rPr>
          <w:lang w:eastAsia="nb-NO"/>
        </w:rPr>
        <w:t>ne av de to</w:t>
      </w:r>
      <w:r>
        <w:rPr>
          <w:lang w:eastAsia="nb-NO"/>
        </w:rPr>
        <w:t xml:space="preserve"> sistnevnte</w:t>
      </w:r>
      <w:r w:rsidR="00773E55">
        <w:rPr>
          <w:lang w:eastAsia="nb-NO"/>
        </w:rPr>
        <w:t xml:space="preserve"> </w:t>
      </w:r>
      <w:r>
        <w:rPr>
          <w:lang w:eastAsia="nb-NO"/>
        </w:rPr>
        <w:t>kovariat.</w:t>
      </w:r>
      <w:r w:rsidR="00C07BB5">
        <w:rPr>
          <w:lang w:eastAsia="nb-NO"/>
        </w:rPr>
        <w:t xml:space="preserve"> </w:t>
      </w:r>
      <w:r>
        <w:rPr>
          <w:lang w:eastAsia="nb-NO"/>
        </w:rPr>
        <w:t>Regresjonene med den intern</w:t>
      </w:r>
      <w:r w:rsidR="00773E55">
        <w:rPr>
          <w:lang w:eastAsia="nb-NO"/>
        </w:rPr>
        <w:t>e</w:t>
      </w:r>
      <w:r>
        <w:rPr>
          <w:lang w:eastAsia="nb-NO"/>
        </w:rPr>
        <w:t xml:space="preserve"> reiseavstandsproxyen </w:t>
      </w:r>
      <w:r w:rsidR="00C07BB5">
        <w:rPr>
          <w:lang w:eastAsia="nb-NO"/>
        </w:rPr>
        <w:t xml:space="preserve">og gjennomsnittsalder som utfallsvariabler </w:t>
      </w:r>
      <w:r>
        <w:rPr>
          <w:lang w:eastAsia="nb-NO"/>
        </w:rPr>
        <w:t xml:space="preserve">har negative </w:t>
      </w:r>
      <w:r w:rsidR="00C07BB5">
        <w:rPr>
          <w:lang w:eastAsia="nb-NO"/>
        </w:rPr>
        <w:t xml:space="preserve">og </w:t>
      </w:r>
      <w:r>
        <w:rPr>
          <w:lang w:eastAsia="nb-NO"/>
        </w:rPr>
        <w:t>signifikante</w:t>
      </w:r>
      <w:r w:rsidR="00C07BB5">
        <w:rPr>
          <w:lang w:eastAsia="nb-NO"/>
        </w:rPr>
        <w:t xml:space="preserve"> resultater for alle kapital</w:t>
      </w:r>
      <w:r w:rsidR="00413245">
        <w:rPr>
          <w:lang w:eastAsia="nb-NO"/>
        </w:rPr>
        <w:softHyphen/>
      </w:r>
      <w:r w:rsidR="00C07BB5">
        <w:rPr>
          <w:lang w:eastAsia="nb-NO"/>
        </w:rPr>
        <w:t>målene utenom henholdsvis kapitalslitet utregnet med PIM med disaggregerte kapitalegenskaper over kapitalarter og bruttoinvesteringsvariablene.</w:t>
      </w:r>
      <w:r>
        <w:rPr>
          <w:lang w:eastAsia="nb-NO"/>
        </w:rPr>
        <w:t xml:space="preserve"> </w:t>
      </w:r>
      <w:r w:rsidR="00C07BB5">
        <w:rPr>
          <w:lang w:eastAsia="nb-NO"/>
        </w:rPr>
        <w:t>Igjen er det signifikante resultater i regresjonene m</w:t>
      </w:r>
      <w:r w:rsidR="003155A4">
        <w:rPr>
          <w:lang w:eastAsia="nb-NO"/>
        </w:rPr>
        <w:t>ed</w:t>
      </w:r>
      <w:r w:rsidR="00C07BB5">
        <w:rPr>
          <w:lang w:eastAsia="nb-NO"/>
        </w:rPr>
        <w:t xml:space="preserve"> </w:t>
      </w:r>
      <w:r w:rsidR="003D1419">
        <w:rPr>
          <w:lang w:eastAsia="nb-NO"/>
        </w:rPr>
        <w:t xml:space="preserve">variablene for </w:t>
      </w:r>
      <w:r w:rsidR="00C07BB5">
        <w:rPr>
          <w:lang w:eastAsia="nb-NO"/>
        </w:rPr>
        <w:t>bruttoinvestering</w:t>
      </w:r>
      <w:r w:rsidR="003D1419">
        <w:rPr>
          <w:lang w:eastAsia="nb-NO"/>
        </w:rPr>
        <w:t xml:space="preserve">er </w:t>
      </w:r>
      <w:r w:rsidR="00C07BB5">
        <w:rPr>
          <w:lang w:eastAsia="nb-NO"/>
        </w:rPr>
        <w:t>og næringsstruktu</w:t>
      </w:r>
      <w:r w:rsidR="003D1419">
        <w:rPr>
          <w:lang w:eastAsia="nb-NO"/>
        </w:rPr>
        <w:t>r</w:t>
      </w:r>
      <w:r w:rsidR="00C07BB5">
        <w:rPr>
          <w:lang w:eastAsia="nb-NO"/>
        </w:rPr>
        <w:t>, samt mellom å</w:t>
      </w:r>
      <w:r w:rsidR="00C07BB5" w:rsidRPr="00C07BB5">
        <w:rPr>
          <w:lang w:eastAsia="nb-NO"/>
        </w:rPr>
        <w:t>rlig befolkningsvekst de siste ti årene</w:t>
      </w:r>
      <w:r w:rsidR="00C07BB5">
        <w:rPr>
          <w:lang w:eastAsia="nb-NO"/>
        </w:rPr>
        <w:t xml:space="preserve"> og </w:t>
      </w:r>
      <w:r w:rsidR="00C07BB5">
        <w:t>k</w:t>
      </w:r>
      <w:r w:rsidR="00C07BB5" w:rsidRPr="000A24B1">
        <w:t xml:space="preserve">apitalslitet </w:t>
      </w:r>
      <w:r w:rsidR="003D1419">
        <w:t>målt</w:t>
      </w:r>
      <w:r w:rsidR="00C07BB5" w:rsidRPr="000A24B1">
        <w:t xml:space="preserve"> ved DM</w:t>
      </w:r>
      <w:r w:rsidR="00C07BB5">
        <w:rPr>
          <w:lang w:eastAsia="nb-NO"/>
        </w:rPr>
        <w:t>.</w:t>
      </w:r>
    </w:p>
    <w:p w14:paraId="270E768F" w14:textId="4FC5CFCE" w:rsidR="00400E89" w:rsidRPr="0055149C" w:rsidRDefault="00A2776B" w:rsidP="007C64AF">
      <w:pPr>
        <w:rPr>
          <w:lang w:eastAsia="nb-NO"/>
        </w:rPr>
        <w:sectPr w:rsidR="00400E89" w:rsidRPr="0055149C" w:rsidSect="0006455C">
          <w:headerReference w:type="default" r:id="rId124"/>
          <w:footerReference w:type="default" r:id="rId125"/>
          <w:pgSz w:w="11906" w:h="16838" w:code="9"/>
          <w:pgMar w:top="1418" w:right="1418" w:bottom="1418" w:left="1985" w:header="567" w:footer="284" w:gutter="0"/>
          <w:cols w:space="708"/>
          <w:docGrid w:linePitch="360"/>
        </w:sectPr>
      </w:pPr>
      <w:r>
        <w:rPr>
          <w:lang w:eastAsia="nb-NO"/>
        </w:rPr>
        <w:t>Alt i alt viser korrelasjons- og regresjonsanalysene at kapitalkostnadsmålene henger t</w:t>
      </w:r>
      <w:r w:rsidR="0048786B">
        <w:rPr>
          <w:lang w:eastAsia="nb-NO"/>
        </w:rPr>
        <w:t>e</w:t>
      </w:r>
      <w:r>
        <w:rPr>
          <w:lang w:eastAsia="nb-NO"/>
        </w:rPr>
        <w:t>tt sammen med en rekke kovariater, også utover samvariasjonen variablene deler med bruttodriftsutgifter.</w:t>
      </w:r>
      <w:r w:rsidR="007012F0">
        <w:rPr>
          <w:lang w:eastAsia="nb-NO"/>
        </w:rPr>
        <w:t xml:space="preserve"> </w:t>
      </w:r>
      <w:r w:rsidR="007779CD">
        <w:rPr>
          <w:lang w:eastAsia="nb-NO"/>
        </w:rPr>
        <w:t>Utenom</w:t>
      </w:r>
      <w:r w:rsidR="001D1FB2">
        <w:rPr>
          <w:lang w:eastAsia="nb-NO"/>
        </w:rPr>
        <w:t xml:space="preserve"> </w:t>
      </w:r>
      <w:r w:rsidR="007779CD">
        <w:rPr>
          <w:lang w:eastAsia="nb-NO"/>
        </w:rPr>
        <w:t>befolkningskonsentrasjon</w:t>
      </w:r>
      <w:r w:rsidR="001D1FB2">
        <w:rPr>
          <w:lang w:eastAsia="nb-NO"/>
        </w:rPr>
        <w:t xml:space="preserve"> er kjenn</w:t>
      </w:r>
      <w:r w:rsidR="00A8439A">
        <w:rPr>
          <w:lang w:eastAsia="nb-NO"/>
        </w:rPr>
        <w:t xml:space="preserve">etegnene typisk for sentrale strøk. </w:t>
      </w:r>
      <w:r>
        <w:rPr>
          <w:lang w:eastAsia="nb-NO"/>
        </w:rPr>
        <w:t xml:space="preserve">Ettersom </w:t>
      </w:r>
      <w:r w:rsidR="00360D35">
        <w:rPr>
          <w:lang w:eastAsia="nb-NO"/>
        </w:rPr>
        <w:t>tjenestene som inngår i utgiftsutjevningen</w:t>
      </w:r>
      <w:r>
        <w:rPr>
          <w:lang w:eastAsia="nb-NO"/>
        </w:rPr>
        <w:t xml:space="preserve"> dominerer primærkommunal sektor, tyder dette på at flere kovariater </w:t>
      </w:r>
      <w:r w:rsidR="00D56DDA">
        <w:rPr>
          <w:lang w:eastAsia="nb-NO"/>
        </w:rPr>
        <w:t>vil</w:t>
      </w:r>
      <w:r>
        <w:rPr>
          <w:lang w:eastAsia="nb-NO"/>
        </w:rPr>
        <w:t xml:space="preserve"> være relevan</w:t>
      </w:r>
      <w:r w:rsidR="00BC23BB">
        <w:rPr>
          <w:lang w:eastAsia="nb-NO"/>
        </w:rPr>
        <w:t>t</w:t>
      </w:r>
      <w:r w:rsidR="0048786B">
        <w:rPr>
          <w:lang w:eastAsia="nb-NO"/>
        </w:rPr>
        <w:t>e</w:t>
      </w:r>
      <w:r>
        <w:rPr>
          <w:lang w:eastAsia="nb-NO"/>
        </w:rPr>
        <w:t xml:space="preserve"> om </w:t>
      </w:r>
      <w:r w:rsidR="002405E5">
        <w:rPr>
          <w:lang w:eastAsia="nb-NO"/>
        </w:rPr>
        <w:t>utjevningen</w:t>
      </w:r>
      <w:r>
        <w:rPr>
          <w:lang w:eastAsia="nb-NO"/>
        </w:rPr>
        <w:t xml:space="preserve"> utvides til å ta høyde for kapitalkostnader</w:t>
      </w:r>
      <w:r w:rsidR="00400E89">
        <w:rPr>
          <w:lang w:eastAsia="nb-NO"/>
        </w:rPr>
        <w:t>.</w:t>
      </w:r>
    </w:p>
    <w:p w14:paraId="3B1FC26F" w14:textId="2A333B76" w:rsidR="008A1082" w:rsidRPr="0055149C" w:rsidRDefault="008A1082" w:rsidP="008A1082">
      <w:pPr>
        <w:pStyle w:val="Bildetekst"/>
      </w:pPr>
      <w:bookmarkStart w:id="134" w:name="_Ref168428931"/>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8</w:t>
        </w:r>
      </w:fldSimple>
      <w:bookmarkEnd w:id="134"/>
      <w:r w:rsidRPr="0055149C">
        <w:tab/>
        <w:t xml:space="preserve">Korrelasjon mellom realkapitalkostnadsestimater per innbygger og </w:t>
      </w:r>
      <w:r w:rsidR="001574EB" w:rsidRPr="0055149C">
        <w:t>kontekstuelle variabler</w:t>
      </w:r>
      <w:r w:rsidRPr="0055149C">
        <w:t xml:space="preserve"> i primærkommune</w:t>
      </w:r>
      <w:r w:rsidR="001574EB" w:rsidRPr="0055149C">
        <w:t>ne</w:t>
      </w:r>
      <w:r w:rsidRPr="0055149C">
        <w:t xml:space="preserve"> i 2022</w:t>
      </w:r>
    </w:p>
    <w:tbl>
      <w:tblPr>
        <w:tblW w:w="12980" w:type="dxa"/>
        <w:tblCellMar>
          <w:left w:w="70" w:type="dxa"/>
          <w:right w:w="70" w:type="dxa"/>
        </w:tblCellMar>
        <w:tblLook w:val="04A0" w:firstRow="1" w:lastRow="0" w:firstColumn="1" w:lastColumn="0" w:noHBand="0" w:noVBand="1"/>
      </w:tblPr>
      <w:tblGrid>
        <w:gridCol w:w="3600"/>
        <w:gridCol w:w="740"/>
        <w:gridCol w:w="720"/>
        <w:gridCol w:w="720"/>
        <w:gridCol w:w="720"/>
        <w:gridCol w:w="720"/>
        <w:gridCol w:w="720"/>
        <w:gridCol w:w="720"/>
        <w:gridCol w:w="720"/>
        <w:gridCol w:w="720"/>
        <w:gridCol w:w="720"/>
        <w:gridCol w:w="720"/>
        <w:gridCol w:w="720"/>
        <w:gridCol w:w="720"/>
      </w:tblGrid>
      <w:tr w:rsidR="00651A5A" w:rsidRPr="00726718" w14:paraId="790868C7" w14:textId="77777777" w:rsidTr="00651A5A">
        <w:trPr>
          <w:trHeight w:val="288"/>
        </w:trPr>
        <w:tc>
          <w:tcPr>
            <w:tcW w:w="3600" w:type="dxa"/>
            <w:tcBorders>
              <w:top w:val="single" w:sz="4" w:space="0" w:color="auto"/>
              <w:left w:val="single" w:sz="4" w:space="0" w:color="auto"/>
              <w:bottom w:val="nil"/>
              <w:right w:val="nil"/>
            </w:tcBorders>
            <w:shd w:val="clear" w:color="000000" w:fill="3672B0"/>
            <w:noWrap/>
            <w:vAlign w:val="center"/>
            <w:hideMark/>
          </w:tcPr>
          <w:p w14:paraId="5A8D6ADF" w14:textId="77777777" w:rsidR="00726718" w:rsidRPr="00726718" w:rsidRDefault="00726718" w:rsidP="00726718">
            <w:pPr>
              <w:spacing w:before="0" w:line="240" w:lineRule="auto"/>
              <w:jc w:val="left"/>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Variabler</w:t>
            </w:r>
          </w:p>
        </w:tc>
        <w:tc>
          <w:tcPr>
            <w:tcW w:w="740" w:type="dxa"/>
            <w:tcBorders>
              <w:top w:val="single" w:sz="4" w:space="0" w:color="auto"/>
              <w:left w:val="nil"/>
              <w:bottom w:val="single" w:sz="4" w:space="0" w:color="auto"/>
              <w:right w:val="nil"/>
            </w:tcBorders>
            <w:shd w:val="clear" w:color="000000" w:fill="3672B0"/>
            <w:noWrap/>
            <w:vAlign w:val="center"/>
            <w:hideMark/>
          </w:tcPr>
          <w:p w14:paraId="7E49D310"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Bdrutg.</w:t>
            </w:r>
          </w:p>
        </w:tc>
        <w:tc>
          <w:tcPr>
            <w:tcW w:w="720" w:type="dxa"/>
            <w:tcBorders>
              <w:top w:val="single" w:sz="4" w:space="0" w:color="auto"/>
              <w:left w:val="nil"/>
              <w:bottom w:val="single" w:sz="4" w:space="0" w:color="auto"/>
              <w:right w:val="nil"/>
            </w:tcBorders>
            <w:shd w:val="clear" w:color="000000" w:fill="3672B0"/>
            <w:noWrap/>
            <w:vAlign w:val="center"/>
            <w:hideMark/>
          </w:tcPr>
          <w:p w14:paraId="7132F5C9"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4B0C0C4A"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28405EDB"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4883C795"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028C78AC"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61FE1448"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6B5CF808"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68A42EA2"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7D9DF40F"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2FA8E347"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7D23F022"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66C04448"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(12)</w:t>
            </w:r>
          </w:p>
        </w:tc>
      </w:tr>
      <w:tr w:rsidR="00651A5A" w:rsidRPr="00726718" w14:paraId="14682DA3" w14:textId="77777777" w:rsidTr="00651A5A">
        <w:trPr>
          <w:trHeight w:val="288"/>
        </w:trPr>
        <w:tc>
          <w:tcPr>
            <w:tcW w:w="3600" w:type="dxa"/>
            <w:tcBorders>
              <w:top w:val="single" w:sz="4" w:space="0" w:color="auto"/>
              <w:left w:val="single" w:sz="4" w:space="0" w:color="auto"/>
              <w:bottom w:val="nil"/>
              <w:right w:val="nil"/>
            </w:tcBorders>
            <w:shd w:val="clear" w:color="000000" w:fill="A9C6E4"/>
            <w:vAlign w:val="center"/>
            <w:hideMark/>
          </w:tcPr>
          <w:p w14:paraId="52A88657"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Befolkning</w:t>
            </w:r>
          </w:p>
        </w:tc>
        <w:tc>
          <w:tcPr>
            <w:tcW w:w="740" w:type="dxa"/>
            <w:tcBorders>
              <w:top w:val="single" w:sz="4" w:space="0" w:color="auto"/>
              <w:left w:val="single" w:sz="4" w:space="0" w:color="auto"/>
              <w:bottom w:val="nil"/>
              <w:right w:val="nil"/>
            </w:tcBorders>
            <w:shd w:val="clear" w:color="000000" w:fill="FABF8F"/>
            <w:noWrap/>
            <w:vAlign w:val="center"/>
            <w:hideMark/>
          </w:tcPr>
          <w:p w14:paraId="26368EC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-0.246</w:t>
            </w:r>
          </w:p>
        </w:tc>
        <w:tc>
          <w:tcPr>
            <w:tcW w:w="720" w:type="dxa"/>
            <w:tcBorders>
              <w:top w:val="single" w:sz="4" w:space="0" w:color="auto"/>
              <w:left w:val="nil"/>
              <w:bottom w:val="nil"/>
              <w:right w:val="nil"/>
            </w:tcBorders>
            <w:shd w:val="clear" w:color="000000" w:fill="FBD4B4"/>
            <w:noWrap/>
            <w:vAlign w:val="center"/>
            <w:hideMark/>
          </w:tcPr>
          <w:p w14:paraId="160F18B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-0.058</w:t>
            </w:r>
          </w:p>
        </w:tc>
        <w:tc>
          <w:tcPr>
            <w:tcW w:w="720" w:type="dxa"/>
            <w:tcBorders>
              <w:top w:val="single" w:sz="4" w:space="0" w:color="auto"/>
              <w:left w:val="nil"/>
              <w:bottom w:val="nil"/>
              <w:right w:val="nil"/>
            </w:tcBorders>
            <w:shd w:val="clear" w:color="000000" w:fill="FBD4B4"/>
            <w:noWrap/>
            <w:vAlign w:val="center"/>
            <w:hideMark/>
          </w:tcPr>
          <w:p w14:paraId="5C35055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-0.053</w:t>
            </w:r>
          </w:p>
        </w:tc>
        <w:tc>
          <w:tcPr>
            <w:tcW w:w="720" w:type="dxa"/>
            <w:tcBorders>
              <w:top w:val="single" w:sz="4" w:space="0" w:color="auto"/>
              <w:left w:val="nil"/>
              <w:bottom w:val="nil"/>
              <w:right w:val="nil"/>
            </w:tcBorders>
            <w:shd w:val="clear" w:color="000000" w:fill="FABF8F"/>
            <w:noWrap/>
            <w:vAlign w:val="center"/>
            <w:hideMark/>
          </w:tcPr>
          <w:p w14:paraId="7919DB8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-0.166</w:t>
            </w:r>
          </w:p>
        </w:tc>
        <w:tc>
          <w:tcPr>
            <w:tcW w:w="720" w:type="dxa"/>
            <w:tcBorders>
              <w:top w:val="single" w:sz="4" w:space="0" w:color="auto"/>
              <w:left w:val="nil"/>
              <w:bottom w:val="nil"/>
              <w:right w:val="nil"/>
            </w:tcBorders>
            <w:shd w:val="clear" w:color="000000" w:fill="FABF8F"/>
            <w:noWrap/>
            <w:vAlign w:val="center"/>
            <w:hideMark/>
          </w:tcPr>
          <w:p w14:paraId="7007A17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-0.158</w:t>
            </w:r>
          </w:p>
        </w:tc>
        <w:tc>
          <w:tcPr>
            <w:tcW w:w="720" w:type="dxa"/>
            <w:tcBorders>
              <w:top w:val="single" w:sz="4" w:space="0" w:color="auto"/>
              <w:left w:val="nil"/>
              <w:bottom w:val="nil"/>
              <w:right w:val="nil"/>
            </w:tcBorders>
            <w:shd w:val="clear" w:color="000000" w:fill="FABF8F"/>
            <w:noWrap/>
            <w:vAlign w:val="center"/>
            <w:hideMark/>
          </w:tcPr>
          <w:p w14:paraId="6FCAEAF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-0.158</w:t>
            </w:r>
          </w:p>
        </w:tc>
        <w:tc>
          <w:tcPr>
            <w:tcW w:w="720" w:type="dxa"/>
            <w:tcBorders>
              <w:top w:val="single" w:sz="4" w:space="0" w:color="auto"/>
              <w:left w:val="nil"/>
              <w:bottom w:val="nil"/>
              <w:right w:val="nil"/>
            </w:tcBorders>
            <w:shd w:val="clear" w:color="000000" w:fill="FABF8F"/>
            <w:noWrap/>
            <w:vAlign w:val="center"/>
            <w:hideMark/>
          </w:tcPr>
          <w:p w14:paraId="56A5B6C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-0.170</w:t>
            </w:r>
          </w:p>
        </w:tc>
        <w:tc>
          <w:tcPr>
            <w:tcW w:w="720" w:type="dxa"/>
            <w:tcBorders>
              <w:top w:val="single" w:sz="4" w:space="0" w:color="auto"/>
              <w:left w:val="nil"/>
              <w:bottom w:val="nil"/>
              <w:right w:val="nil"/>
            </w:tcBorders>
            <w:shd w:val="clear" w:color="000000" w:fill="FABF8F"/>
            <w:noWrap/>
            <w:vAlign w:val="center"/>
            <w:hideMark/>
          </w:tcPr>
          <w:p w14:paraId="2E61425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-0.157</w:t>
            </w:r>
          </w:p>
        </w:tc>
        <w:tc>
          <w:tcPr>
            <w:tcW w:w="720" w:type="dxa"/>
            <w:tcBorders>
              <w:top w:val="single" w:sz="4" w:space="0" w:color="auto"/>
              <w:left w:val="nil"/>
              <w:bottom w:val="nil"/>
              <w:right w:val="nil"/>
            </w:tcBorders>
            <w:shd w:val="clear" w:color="000000" w:fill="FABF8F"/>
            <w:noWrap/>
            <w:vAlign w:val="center"/>
            <w:hideMark/>
          </w:tcPr>
          <w:p w14:paraId="643BB65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-0.171</w:t>
            </w:r>
          </w:p>
        </w:tc>
        <w:tc>
          <w:tcPr>
            <w:tcW w:w="720" w:type="dxa"/>
            <w:tcBorders>
              <w:top w:val="single" w:sz="4" w:space="0" w:color="auto"/>
              <w:left w:val="nil"/>
              <w:bottom w:val="nil"/>
              <w:right w:val="nil"/>
            </w:tcBorders>
            <w:shd w:val="clear" w:color="000000" w:fill="FABF8F"/>
            <w:noWrap/>
            <w:vAlign w:val="center"/>
            <w:hideMark/>
          </w:tcPr>
          <w:p w14:paraId="61CFD9B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single" w:sz="4" w:space="0" w:color="auto"/>
              <w:left w:val="nil"/>
              <w:bottom w:val="nil"/>
              <w:right w:val="nil"/>
            </w:tcBorders>
            <w:shd w:val="clear" w:color="000000" w:fill="FABF8F"/>
            <w:noWrap/>
            <w:vAlign w:val="center"/>
            <w:hideMark/>
          </w:tcPr>
          <w:p w14:paraId="7DDF0ED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single" w:sz="4" w:space="0" w:color="auto"/>
              <w:left w:val="nil"/>
              <w:bottom w:val="nil"/>
              <w:right w:val="nil"/>
            </w:tcBorders>
            <w:shd w:val="clear" w:color="000000" w:fill="FABF8F"/>
            <w:noWrap/>
            <w:vAlign w:val="center"/>
            <w:hideMark/>
          </w:tcPr>
          <w:p w14:paraId="714999D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single" w:sz="4" w:space="0" w:color="auto"/>
              <w:left w:val="nil"/>
              <w:bottom w:val="nil"/>
              <w:right w:val="single" w:sz="4" w:space="0" w:color="auto"/>
            </w:tcBorders>
            <w:shd w:val="clear" w:color="000000" w:fill="FABF8F"/>
            <w:noWrap/>
            <w:vAlign w:val="center"/>
            <w:hideMark/>
          </w:tcPr>
          <w:p w14:paraId="2F9F7C1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-0.180</w:t>
            </w:r>
          </w:p>
        </w:tc>
      </w:tr>
      <w:tr w:rsidR="00651A5A" w:rsidRPr="00726718" w14:paraId="0BE9EAAC" w14:textId="77777777" w:rsidTr="00651A5A">
        <w:trPr>
          <w:trHeight w:val="288"/>
        </w:trPr>
        <w:tc>
          <w:tcPr>
            <w:tcW w:w="3600" w:type="dxa"/>
            <w:tcBorders>
              <w:top w:val="nil"/>
              <w:left w:val="single" w:sz="4" w:space="0" w:color="auto"/>
              <w:bottom w:val="nil"/>
              <w:right w:val="nil"/>
            </w:tcBorders>
            <w:shd w:val="clear" w:color="000000" w:fill="A9C6E4"/>
            <w:vAlign w:val="center"/>
            <w:hideMark/>
          </w:tcPr>
          <w:p w14:paraId="7BAB914A"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Intern reiseavstandsproxy</w:t>
            </w:r>
          </w:p>
        </w:tc>
        <w:tc>
          <w:tcPr>
            <w:tcW w:w="740" w:type="dxa"/>
            <w:tcBorders>
              <w:top w:val="nil"/>
              <w:left w:val="single" w:sz="4" w:space="0" w:color="auto"/>
              <w:bottom w:val="nil"/>
              <w:right w:val="nil"/>
            </w:tcBorders>
            <w:shd w:val="clear" w:color="000000" w:fill="D7EBDD"/>
            <w:noWrap/>
            <w:vAlign w:val="center"/>
            <w:hideMark/>
          </w:tcPr>
          <w:p w14:paraId="7FF1C43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0.350</w:t>
            </w:r>
          </w:p>
        </w:tc>
        <w:tc>
          <w:tcPr>
            <w:tcW w:w="720" w:type="dxa"/>
            <w:tcBorders>
              <w:top w:val="nil"/>
              <w:left w:val="nil"/>
              <w:bottom w:val="nil"/>
              <w:right w:val="nil"/>
            </w:tcBorders>
            <w:shd w:val="clear" w:color="000000" w:fill="FBD4B4"/>
            <w:noWrap/>
            <w:vAlign w:val="center"/>
            <w:hideMark/>
          </w:tcPr>
          <w:p w14:paraId="7902117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0.000</w:t>
            </w:r>
          </w:p>
        </w:tc>
        <w:tc>
          <w:tcPr>
            <w:tcW w:w="720" w:type="dxa"/>
            <w:tcBorders>
              <w:top w:val="nil"/>
              <w:left w:val="nil"/>
              <w:bottom w:val="nil"/>
              <w:right w:val="nil"/>
            </w:tcBorders>
            <w:shd w:val="clear" w:color="000000" w:fill="CCCC00"/>
            <w:noWrap/>
            <w:vAlign w:val="center"/>
            <w:hideMark/>
          </w:tcPr>
          <w:p w14:paraId="5F6573D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0.010</w:t>
            </w:r>
          </w:p>
        </w:tc>
        <w:tc>
          <w:tcPr>
            <w:tcW w:w="720" w:type="dxa"/>
            <w:tcBorders>
              <w:top w:val="nil"/>
              <w:left w:val="nil"/>
              <w:bottom w:val="nil"/>
              <w:right w:val="nil"/>
            </w:tcBorders>
            <w:shd w:val="clear" w:color="000000" w:fill="FFFF99"/>
            <w:noWrap/>
            <w:vAlign w:val="center"/>
            <w:hideMark/>
          </w:tcPr>
          <w:p w14:paraId="521B2A4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0.206</w:t>
            </w:r>
          </w:p>
        </w:tc>
        <w:tc>
          <w:tcPr>
            <w:tcW w:w="720" w:type="dxa"/>
            <w:tcBorders>
              <w:top w:val="nil"/>
              <w:left w:val="nil"/>
              <w:bottom w:val="nil"/>
              <w:right w:val="nil"/>
            </w:tcBorders>
            <w:shd w:val="clear" w:color="000000" w:fill="FFFF99"/>
            <w:noWrap/>
            <w:vAlign w:val="center"/>
            <w:hideMark/>
          </w:tcPr>
          <w:p w14:paraId="7731875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0.233</w:t>
            </w:r>
          </w:p>
        </w:tc>
        <w:tc>
          <w:tcPr>
            <w:tcW w:w="720" w:type="dxa"/>
            <w:tcBorders>
              <w:top w:val="nil"/>
              <w:left w:val="nil"/>
              <w:bottom w:val="nil"/>
              <w:right w:val="nil"/>
            </w:tcBorders>
            <w:shd w:val="clear" w:color="000000" w:fill="FFFF99"/>
            <w:noWrap/>
            <w:vAlign w:val="center"/>
            <w:hideMark/>
          </w:tcPr>
          <w:p w14:paraId="4222BCA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0.215</w:t>
            </w:r>
          </w:p>
        </w:tc>
        <w:tc>
          <w:tcPr>
            <w:tcW w:w="720" w:type="dxa"/>
            <w:tcBorders>
              <w:top w:val="nil"/>
              <w:left w:val="nil"/>
              <w:bottom w:val="nil"/>
              <w:right w:val="nil"/>
            </w:tcBorders>
            <w:shd w:val="clear" w:color="000000" w:fill="FFFF99"/>
            <w:noWrap/>
            <w:vAlign w:val="center"/>
            <w:hideMark/>
          </w:tcPr>
          <w:p w14:paraId="49ABF94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0.211</w:t>
            </w:r>
          </w:p>
        </w:tc>
        <w:tc>
          <w:tcPr>
            <w:tcW w:w="720" w:type="dxa"/>
            <w:tcBorders>
              <w:top w:val="nil"/>
              <w:left w:val="nil"/>
              <w:bottom w:val="nil"/>
              <w:right w:val="nil"/>
            </w:tcBorders>
            <w:shd w:val="clear" w:color="000000" w:fill="FFFF99"/>
            <w:noWrap/>
            <w:vAlign w:val="center"/>
            <w:hideMark/>
          </w:tcPr>
          <w:p w14:paraId="6586215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0.227</w:t>
            </w:r>
          </w:p>
        </w:tc>
        <w:tc>
          <w:tcPr>
            <w:tcW w:w="720" w:type="dxa"/>
            <w:tcBorders>
              <w:top w:val="nil"/>
              <w:left w:val="nil"/>
              <w:bottom w:val="nil"/>
              <w:right w:val="nil"/>
            </w:tcBorders>
            <w:shd w:val="clear" w:color="000000" w:fill="FFFF99"/>
            <w:noWrap/>
            <w:vAlign w:val="center"/>
            <w:hideMark/>
          </w:tcPr>
          <w:p w14:paraId="65BA8BB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0.220</w:t>
            </w:r>
          </w:p>
        </w:tc>
        <w:tc>
          <w:tcPr>
            <w:tcW w:w="720" w:type="dxa"/>
            <w:tcBorders>
              <w:top w:val="nil"/>
              <w:left w:val="nil"/>
              <w:bottom w:val="nil"/>
              <w:right w:val="nil"/>
            </w:tcBorders>
            <w:shd w:val="clear" w:color="000000" w:fill="FFFF99"/>
            <w:noWrap/>
            <w:vAlign w:val="center"/>
            <w:hideMark/>
          </w:tcPr>
          <w:p w14:paraId="408F5F7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0.227</w:t>
            </w:r>
          </w:p>
        </w:tc>
        <w:tc>
          <w:tcPr>
            <w:tcW w:w="720" w:type="dxa"/>
            <w:tcBorders>
              <w:top w:val="nil"/>
              <w:left w:val="nil"/>
              <w:bottom w:val="nil"/>
              <w:right w:val="nil"/>
            </w:tcBorders>
            <w:shd w:val="clear" w:color="000000" w:fill="FFFF99"/>
            <w:noWrap/>
            <w:vAlign w:val="center"/>
            <w:hideMark/>
          </w:tcPr>
          <w:p w14:paraId="574D827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0.224</w:t>
            </w:r>
          </w:p>
        </w:tc>
        <w:tc>
          <w:tcPr>
            <w:tcW w:w="720" w:type="dxa"/>
            <w:tcBorders>
              <w:top w:val="nil"/>
              <w:left w:val="nil"/>
              <w:bottom w:val="nil"/>
              <w:right w:val="nil"/>
            </w:tcBorders>
            <w:shd w:val="clear" w:color="000000" w:fill="FFFF99"/>
            <w:noWrap/>
            <w:vAlign w:val="center"/>
            <w:hideMark/>
          </w:tcPr>
          <w:p w14:paraId="5391DD5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0.223</w:t>
            </w:r>
          </w:p>
        </w:tc>
        <w:tc>
          <w:tcPr>
            <w:tcW w:w="720" w:type="dxa"/>
            <w:tcBorders>
              <w:top w:val="nil"/>
              <w:left w:val="nil"/>
              <w:bottom w:val="nil"/>
              <w:right w:val="single" w:sz="4" w:space="0" w:color="auto"/>
            </w:tcBorders>
            <w:shd w:val="clear" w:color="000000" w:fill="FFFF99"/>
            <w:noWrap/>
            <w:vAlign w:val="center"/>
            <w:hideMark/>
          </w:tcPr>
          <w:p w14:paraId="1DE5974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0.210</w:t>
            </w:r>
          </w:p>
        </w:tc>
      </w:tr>
      <w:tr w:rsidR="00651A5A" w:rsidRPr="00726718" w14:paraId="15C2AF34"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7DC7478"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befolkningsvekst de siste ti årene</w:t>
            </w:r>
          </w:p>
        </w:tc>
        <w:tc>
          <w:tcPr>
            <w:tcW w:w="740" w:type="dxa"/>
            <w:tcBorders>
              <w:top w:val="nil"/>
              <w:left w:val="single" w:sz="4" w:space="0" w:color="auto"/>
              <w:bottom w:val="nil"/>
              <w:right w:val="nil"/>
            </w:tcBorders>
            <w:shd w:val="clear" w:color="000000" w:fill="FABF8F"/>
            <w:noWrap/>
            <w:vAlign w:val="center"/>
            <w:hideMark/>
          </w:tcPr>
          <w:p w14:paraId="4F6CEAF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-0.201</w:t>
            </w:r>
          </w:p>
        </w:tc>
        <w:tc>
          <w:tcPr>
            <w:tcW w:w="720" w:type="dxa"/>
            <w:tcBorders>
              <w:top w:val="nil"/>
              <w:left w:val="nil"/>
              <w:bottom w:val="nil"/>
              <w:right w:val="nil"/>
            </w:tcBorders>
            <w:shd w:val="clear" w:color="000000" w:fill="FBD4B4"/>
            <w:noWrap/>
            <w:vAlign w:val="center"/>
            <w:hideMark/>
          </w:tcPr>
          <w:p w14:paraId="207F21F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-0.033</w:t>
            </w:r>
          </w:p>
        </w:tc>
        <w:tc>
          <w:tcPr>
            <w:tcW w:w="720" w:type="dxa"/>
            <w:tcBorders>
              <w:top w:val="nil"/>
              <w:left w:val="nil"/>
              <w:bottom w:val="nil"/>
              <w:right w:val="nil"/>
            </w:tcBorders>
            <w:shd w:val="clear" w:color="000000" w:fill="FBD4B4"/>
            <w:noWrap/>
            <w:vAlign w:val="center"/>
            <w:hideMark/>
          </w:tcPr>
          <w:p w14:paraId="4846832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-0.039</w:t>
            </w:r>
          </w:p>
        </w:tc>
        <w:tc>
          <w:tcPr>
            <w:tcW w:w="720" w:type="dxa"/>
            <w:tcBorders>
              <w:top w:val="nil"/>
              <w:left w:val="nil"/>
              <w:bottom w:val="nil"/>
              <w:right w:val="nil"/>
            </w:tcBorders>
            <w:shd w:val="clear" w:color="000000" w:fill="FABF8F"/>
            <w:noWrap/>
            <w:vAlign w:val="center"/>
            <w:hideMark/>
          </w:tcPr>
          <w:p w14:paraId="54215BA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-0.100</w:t>
            </w:r>
          </w:p>
        </w:tc>
        <w:tc>
          <w:tcPr>
            <w:tcW w:w="720" w:type="dxa"/>
            <w:tcBorders>
              <w:top w:val="nil"/>
              <w:left w:val="nil"/>
              <w:bottom w:val="nil"/>
              <w:right w:val="nil"/>
            </w:tcBorders>
            <w:shd w:val="clear" w:color="000000" w:fill="FABF8F"/>
            <w:noWrap/>
            <w:vAlign w:val="center"/>
            <w:hideMark/>
          </w:tcPr>
          <w:p w14:paraId="1EC53D1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nil"/>
              <w:left w:val="nil"/>
              <w:bottom w:val="nil"/>
              <w:right w:val="nil"/>
            </w:tcBorders>
            <w:shd w:val="clear" w:color="000000" w:fill="FABF8F"/>
            <w:noWrap/>
            <w:vAlign w:val="center"/>
            <w:hideMark/>
          </w:tcPr>
          <w:p w14:paraId="0FC5F3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-0.173</w:t>
            </w:r>
          </w:p>
        </w:tc>
        <w:tc>
          <w:tcPr>
            <w:tcW w:w="720" w:type="dxa"/>
            <w:tcBorders>
              <w:top w:val="nil"/>
              <w:left w:val="nil"/>
              <w:bottom w:val="nil"/>
              <w:right w:val="nil"/>
            </w:tcBorders>
            <w:shd w:val="clear" w:color="000000" w:fill="FABF8F"/>
            <w:noWrap/>
            <w:vAlign w:val="center"/>
            <w:hideMark/>
          </w:tcPr>
          <w:p w14:paraId="3827B64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-0.167</w:t>
            </w:r>
          </w:p>
        </w:tc>
        <w:tc>
          <w:tcPr>
            <w:tcW w:w="720" w:type="dxa"/>
            <w:tcBorders>
              <w:top w:val="nil"/>
              <w:left w:val="nil"/>
              <w:bottom w:val="nil"/>
              <w:right w:val="nil"/>
            </w:tcBorders>
            <w:shd w:val="clear" w:color="000000" w:fill="FABF8F"/>
            <w:noWrap/>
            <w:vAlign w:val="center"/>
            <w:hideMark/>
          </w:tcPr>
          <w:p w14:paraId="6688865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-0.178</w:t>
            </w:r>
          </w:p>
        </w:tc>
        <w:tc>
          <w:tcPr>
            <w:tcW w:w="720" w:type="dxa"/>
            <w:tcBorders>
              <w:top w:val="nil"/>
              <w:left w:val="nil"/>
              <w:bottom w:val="nil"/>
              <w:right w:val="nil"/>
            </w:tcBorders>
            <w:shd w:val="clear" w:color="000000" w:fill="FABF8F"/>
            <w:noWrap/>
            <w:vAlign w:val="center"/>
            <w:hideMark/>
          </w:tcPr>
          <w:p w14:paraId="1E970C4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-0.171</w:t>
            </w:r>
          </w:p>
        </w:tc>
        <w:tc>
          <w:tcPr>
            <w:tcW w:w="720" w:type="dxa"/>
            <w:tcBorders>
              <w:top w:val="nil"/>
              <w:left w:val="nil"/>
              <w:bottom w:val="nil"/>
              <w:right w:val="nil"/>
            </w:tcBorders>
            <w:shd w:val="clear" w:color="000000" w:fill="FABF8F"/>
            <w:noWrap/>
            <w:vAlign w:val="center"/>
            <w:hideMark/>
          </w:tcPr>
          <w:p w14:paraId="23BDE01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-0.172</w:t>
            </w:r>
          </w:p>
        </w:tc>
        <w:tc>
          <w:tcPr>
            <w:tcW w:w="720" w:type="dxa"/>
            <w:tcBorders>
              <w:top w:val="nil"/>
              <w:left w:val="nil"/>
              <w:bottom w:val="nil"/>
              <w:right w:val="nil"/>
            </w:tcBorders>
            <w:shd w:val="clear" w:color="000000" w:fill="FABF8F"/>
            <w:noWrap/>
            <w:vAlign w:val="center"/>
            <w:hideMark/>
          </w:tcPr>
          <w:p w14:paraId="464BDC2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-0.176</w:t>
            </w:r>
          </w:p>
        </w:tc>
        <w:tc>
          <w:tcPr>
            <w:tcW w:w="720" w:type="dxa"/>
            <w:tcBorders>
              <w:top w:val="nil"/>
              <w:left w:val="nil"/>
              <w:bottom w:val="nil"/>
              <w:right w:val="nil"/>
            </w:tcBorders>
            <w:shd w:val="clear" w:color="000000" w:fill="FABF8F"/>
            <w:noWrap/>
            <w:vAlign w:val="center"/>
            <w:hideMark/>
          </w:tcPr>
          <w:p w14:paraId="674A9F2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-0.176</w:t>
            </w:r>
          </w:p>
        </w:tc>
        <w:tc>
          <w:tcPr>
            <w:tcW w:w="720" w:type="dxa"/>
            <w:tcBorders>
              <w:top w:val="nil"/>
              <w:left w:val="nil"/>
              <w:bottom w:val="nil"/>
              <w:right w:val="single" w:sz="4" w:space="0" w:color="auto"/>
            </w:tcBorders>
            <w:shd w:val="clear" w:color="000000" w:fill="FABF8F"/>
            <w:noWrap/>
            <w:vAlign w:val="center"/>
            <w:hideMark/>
          </w:tcPr>
          <w:p w14:paraId="34C8C88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-0.167</w:t>
            </w:r>
          </w:p>
        </w:tc>
      </w:tr>
      <w:tr w:rsidR="00651A5A" w:rsidRPr="00726718" w14:paraId="5FA475F1"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68C81988"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sysselsettingsvekst de siste ti årene</w:t>
            </w:r>
          </w:p>
        </w:tc>
        <w:tc>
          <w:tcPr>
            <w:tcW w:w="740" w:type="dxa"/>
            <w:tcBorders>
              <w:top w:val="nil"/>
              <w:left w:val="single" w:sz="4" w:space="0" w:color="auto"/>
              <w:bottom w:val="nil"/>
              <w:right w:val="nil"/>
            </w:tcBorders>
            <w:shd w:val="clear" w:color="000000" w:fill="FBD4B4"/>
            <w:noWrap/>
            <w:vAlign w:val="center"/>
            <w:hideMark/>
          </w:tcPr>
          <w:p w14:paraId="5F8866B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-0.065</w:t>
            </w:r>
          </w:p>
        </w:tc>
        <w:tc>
          <w:tcPr>
            <w:tcW w:w="720" w:type="dxa"/>
            <w:tcBorders>
              <w:top w:val="nil"/>
              <w:left w:val="nil"/>
              <w:bottom w:val="nil"/>
              <w:right w:val="nil"/>
            </w:tcBorders>
            <w:shd w:val="clear" w:color="000000" w:fill="FBD4B4"/>
            <w:noWrap/>
            <w:vAlign w:val="center"/>
            <w:hideMark/>
          </w:tcPr>
          <w:p w14:paraId="0ED9ABC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-0.009</w:t>
            </w:r>
          </w:p>
        </w:tc>
        <w:tc>
          <w:tcPr>
            <w:tcW w:w="720" w:type="dxa"/>
            <w:tcBorders>
              <w:top w:val="nil"/>
              <w:left w:val="nil"/>
              <w:bottom w:val="nil"/>
              <w:right w:val="nil"/>
            </w:tcBorders>
            <w:shd w:val="clear" w:color="000000" w:fill="FBD4B4"/>
            <w:noWrap/>
            <w:vAlign w:val="center"/>
            <w:hideMark/>
          </w:tcPr>
          <w:p w14:paraId="4F9F288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-0.011</w:t>
            </w:r>
          </w:p>
        </w:tc>
        <w:tc>
          <w:tcPr>
            <w:tcW w:w="720" w:type="dxa"/>
            <w:tcBorders>
              <w:top w:val="nil"/>
              <w:left w:val="nil"/>
              <w:bottom w:val="nil"/>
              <w:right w:val="nil"/>
            </w:tcBorders>
            <w:shd w:val="clear" w:color="000000" w:fill="FBD4B4"/>
            <w:noWrap/>
            <w:vAlign w:val="center"/>
            <w:hideMark/>
          </w:tcPr>
          <w:p w14:paraId="27E301A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-0.042</w:t>
            </w:r>
          </w:p>
        </w:tc>
        <w:tc>
          <w:tcPr>
            <w:tcW w:w="720" w:type="dxa"/>
            <w:tcBorders>
              <w:top w:val="nil"/>
              <w:left w:val="nil"/>
              <w:bottom w:val="nil"/>
              <w:right w:val="nil"/>
            </w:tcBorders>
            <w:shd w:val="clear" w:color="000000" w:fill="FBD4B4"/>
            <w:noWrap/>
            <w:vAlign w:val="center"/>
            <w:hideMark/>
          </w:tcPr>
          <w:p w14:paraId="4AC38D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-0.048</w:t>
            </w:r>
          </w:p>
        </w:tc>
        <w:tc>
          <w:tcPr>
            <w:tcW w:w="720" w:type="dxa"/>
            <w:tcBorders>
              <w:top w:val="nil"/>
              <w:left w:val="nil"/>
              <w:bottom w:val="nil"/>
              <w:right w:val="nil"/>
            </w:tcBorders>
            <w:shd w:val="clear" w:color="000000" w:fill="FBD4B4"/>
            <w:noWrap/>
            <w:vAlign w:val="center"/>
            <w:hideMark/>
          </w:tcPr>
          <w:p w14:paraId="4B24EB4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-0.052</w:t>
            </w:r>
          </w:p>
        </w:tc>
        <w:tc>
          <w:tcPr>
            <w:tcW w:w="720" w:type="dxa"/>
            <w:tcBorders>
              <w:top w:val="nil"/>
              <w:left w:val="nil"/>
              <w:bottom w:val="nil"/>
              <w:right w:val="nil"/>
            </w:tcBorders>
            <w:shd w:val="clear" w:color="000000" w:fill="FBD4B4"/>
            <w:noWrap/>
            <w:vAlign w:val="center"/>
            <w:hideMark/>
          </w:tcPr>
          <w:p w14:paraId="62623CB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-0.050</w:t>
            </w:r>
          </w:p>
        </w:tc>
        <w:tc>
          <w:tcPr>
            <w:tcW w:w="720" w:type="dxa"/>
            <w:tcBorders>
              <w:top w:val="nil"/>
              <w:left w:val="nil"/>
              <w:bottom w:val="nil"/>
              <w:right w:val="nil"/>
            </w:tcBorders>
            <w:shd w:val="clear" w:color="000000" w:fill="FBD4B4"/>
            <w:noWrap/>
            <w:vAlign w:val="center"/>
            <w:hideMark/>
          </w:tcPr>
          <w:p w14:paraId="6DC0D88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720" w:type="dxa"/>
            <w:tcBorders>
              <w:top w:val="nil"/>
              <w:left w:val="nil"/>
              <w:bottom w:val="nil"/>
              <w:right w:val="nil"/>
            </w:tcBorders>
            <w:shd w:val="clear" w:color="000000" w:fill="FBD4B4"/>
            <w:noWrap/>
            <w:vAlign w:val="center"/>
            <w:hideMark/>
          </w:tcPr>
          <w:p w14:paraId="1A3EAF6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-0.053</w:t>
            </w:r>
          </w:p>
        </w:tc>
        <w:tc>
          <w:tcPr>
            <w:tcW w:w="720" w:type="dxa"/>
            <w:tcBorders>
              <w:top w:val="nil"/>
              <w:left w:val="nil"/>
              <w:bottom w:val="nil"/>
              <w:right w:val="nil"/>
            </w:tcBorders>
            <w:shd w:val="clear" w:color="000000" w:fill="FBD4B4"/>
            <w:noWrap/>
            <w:vAlign w:val="center"/>
            <w:hideMark/>
          </w:tcPr>
          <w:p w14:paraId="71DB8A2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-0.053</w:t>
            </w:r>
          </w:p>
        </w:tc>
        <w:tc>
          <w:tcPr>
            <w:tcW w:w="720" w:type="dxa"/>
            <w:tcBorders>
              <w:top w:val="nil"/>
              <w:left w:val="nil"/>
              <w:bottom w:val="nil"/>
              <w:right w:val="nil"/>
            </w:tcBorders>
            <w:shd w:val="clear" w:color="000000" w:fill="FBD4B4"/>
            <w:noWrap/>
            <w:vAlign w:val="center"/>
            <w:hideMark/>
          </w:tcPr>
          <w:p w14:paraId="0E4F2F6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-0.054</w:t>
            </w:r>
          </w:p>
        </w:tc>
        <w:tc>
          <w:tcPr>
            <w:tcW w:w="720" w:type="dxa"/>
            <w:tcBorders>
              <w:top w:val="nil"/>
              <w:left w:val="nil"/>
              <w:bottom w:val="nil"/>
              <w:right w:val="nil"/>
            </w:tcBorders>
            <w:shd w:val="clear" w:color="000000" w:fill="FBD4B4"/>
            <w:noWrap/>
            <w:vAlign w:val="center"/>
            <w:hideMark/>
          </w:tcPr>
          <w:p w14:paraId="0ED9DEA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-0.054</w:t>
            </w:r>
          </w:p>
        </w:tc>
        <w:tc>
          <w:tcPr>
            <w:tcW w:w="720" w:type="dxa"/>
            <w:tcBorders>
              <w:top w:val="nil"/>
              <w:left w:val="nil"/>
              <w:bottom w:val="nil"/>
              <w:right w:val="single" w:sz="4" w:space="0" w:color="auto"/>
            </w:tcBorders>
            <w:shd w:val="clear" w:color="000000" w:fill="FBD4B4"/>
            <w:noWrap/>
            <w:vAlign w:val="center"/>
            <w:hideMark/>
          </w:tcPr>
          <w:p w14:paraId="57407A6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-0.050</w:t>
            </w:r>
          </w:p>
        </w:tc>
      </w:tr>
      <w:tr w:rsidR="00651A5A" w:rsidRPr="00726718" w14:paraId="15F1FEC1"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434D850E"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Sysselsetting per innbygger</w:t>
            </w:r>
          </w:p>
        </w:tc>
        <w:tc>
          <w:tcPr>
            <w:tcW w:w="740" w:type="dxa"/>
            <w:tcBorders>
              <w:top w:val="nil"/>
              <w:left w:val="single" w:sz="4" w:space="0" w:color="auto"/>
              <w:bottom w:val="nil"/>
              <w:right w:val="nil"/>
            </w:tcBorders>
            <w:shd w:val="clear" w:color="000000" w:fill="FABF8F"/>
            <w:noWrap/>
            <w:vAlign w:val="center"/>
            <w:hideMark/>
          </w:tcPr>
          <w:p w14:paraId="0FF6302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-0.173</w:t>
            </w:r>
          </w:p>
        </w:tc>
        <w:tc>
          <w:tcPr>
            <w:tcW w:w="720" w:type="dxa"/>
            <w:tcBorders>
              <w:top w:val="nil"/>
              <w:left w:val="nil"/>
              <w:bottom w:val="nil"/>
              <w:right w:val="nil"/>
            </w:tcBorders>
            <w:shd w:val="clear" w:color="000000" w:fill="CCCC00"/>
            <w:noWrap/>
            <w:vAlign w:val="center"/>
            <w:hideMark/>
          </w:tcPr>
          <w:p w14:paraId="72A1CEE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0.087</w:t>
            </w:r>
          </w:p>
        </w:tc>
        <w:tc>
          <w:tcPr>
            <w:tcW w:w="720" w:type="dxa"/>
            <w:tcBorders>
              <w:top w:val="nil"/>
              <w:left w:val="nil"/>
              <w:bottom w:val="nil"/>
              <w:right w:val="nil"/>
            </w:tcBorders>
            <w:shd w:val="clear" w:color="000000" w:fill="CCCC00"/>
            <w:noWrap/>
            <w:vAlign w:val="center"/>
            <w:hideMark/>
          </w:tcPr>
          <w:p w14:paraId="448BA7D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0.079</w:t>
            </w:r>
          </w:p>
        </w:tc>
        <w:tc>
          <w:tcPr>
            <w:tcW w:w="720" w:type="dxa"/>
            <w:tcBorders>
              <w:top w:val="nil"/>
              <w:left w:val="nil"/>
              <w:bottom w:val="nil"/>
              <w:right w:val="nil"/>
            </w:tcBorders>
            <w:shd w:val="clear" w:color="000000" w:fill="CCCC00"/>
            <w:noWrap/>
            <w:vAlign w:val="center"/>
            <w:hideMark/>
          </w:tcPr>
          <w:p w14:paraId="3CB201C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0.011</w:t>
            </w:r>
          </w:p>
        </w:tc>
        <w:tc>
          <w:tcPr>
            <w:tcW w:w="720" w:type="dxa"/>
            <w:tcBorders>
              <w:top w:val="nil"/>
              <w:left w:val="nil"/>
              <w:bottom w:val="nil"/>
              <w:right w:val="nil"/>
            </w:tcBorders>
            <w:shd w:val="clear" w:color="000000" w:fill="FBD4B4"/>
            <w:noWrap/>
            <w:vAlign w:val="center"/>
            <w:hideMark/>
          </w:tcPr>
          <w:p w14:paraId="13FAE4A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-0.056</w:t>
            </w:r>
          </w:p>
        </w:tc>
        <w:tc>
          <w:tcPr>
            <w:tcW w:w="720" w:type="dxa"/>
            <w:tcBorders>
              <w:top w:val="nil"/>
              <w:left w:val="nil"/>
              <w:bottom w:val="nil"/>
              <w:right w:val="nil"/>
            </w:tcBorders>
            <w:shd w:val="clear" w:color="000000" w:fill="FBD4B4"/>
            <w:noWrap/>
            <w:vAlign w:val="center"/>
            <w:hideMark/>
          </w:tcPr>
          <w:p w14:paraId="1B224E0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-0.015</w:t>
            </w:r>
          </w:p>
        </w:tc>
        <w:tc>
          <w:tcPr>
            <w:tcW w:w="720" w:type="dxa"/>
            <w:tcBorders>
              <w:top w:val="nil"/>
              <w:left w:val="nil"/>
              <w:bottom w:val="nil"/>
              <w:right w:val="nil"/>
            </w:tcBorders>
            <w:shd w:val="clear" w:color="000000" w:fill="FBD4B4"/>
            <w:noWrap/>
            <w:vAlign w:val="center"/>
            <w:hideMark/>
          </w:tcPr>
          <w:p w14:paraId="0E1761D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-0.011</w:t>
            </w:r>
          </w:p>
        </w:tc>
        <w:tc>
          <w:tcPr>
            <w:tcW w:w="720" w:type="dxa"/>
            <w:tcBorders>
              <w:top w:val="nil"/>
              <w:left w:val="nil"/>
              <w:bottom w:val="nil"/>
              <w:right w:val="nil"/>
            </w:tcBorders>
            <w:shd w:val="clear" w:color="000000" w:fill="FBD4B4"/>
            <w:noWrap/>
            <w:vAlign w:val="center"/>
            <w:hideMark/>
          </w:tcPr>
          <w:p w14:paraId="3210668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-0.028</w:t>
            </w:r>
          </w:p>
        </w:tc>
        <w:tc>
          <w:tcPr>
            <w:tcW w:w="720" w:type="dxa"/>
            <w:tcBorders>
              <w:top w:val="nil"/>
              <w:left w:val="nil"/>
              <w:bottom w:val="nil"/>
              <w:right w:val="nil"/>
            </w:tcBorders>
            <w:shd w:val="clear" w:color="000000" w:fill="FBD4B4"/>
            <w:noWrap/>
            <w:vAlign w:val="center"/>
            <w:hideMark/>
          </w:tcPr>
          <w:p w14:paraId="3A39BCC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-0.020</w:t>
            </w:r>
          </w:p>
        </w:tc>
        <w:tc>
          <w:tcPr>
            <w:tcW w:w="720" w:type="dxa"/>
            <w:tcBorders>
              <w:top w:val="nil"/>
              <w:left w:val="nil"/>
              <w:bottom w:val="nil"/>
              <w:right w:val="nil"/>
            </w:tcBorders>
            <w:shd w:val="clear" w:color="000000" w:fill="FBD4B4"/>
            <w:noWrap/>
            <w:vAlign w:val="center"/>
            <w:hideMark/>
          </w:tcPr>
          <w:p w14:paraId="540B1A0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-0.030</w:t>
            </w:r>
          </w:p>
        </w:tc>
        <w:tc>
          <w:tcPr>
            <w:tcW w:w="720" w:type="dxa"/>
            <w:tcBorders>
              <w:top w:val="nil"/>
              <w:left w:val="nil"/>
              <w:bottom w:val="nil"/>
              <w:right w:val="nil"/>
            </w:tcBorders>
            <w:shd w:val="clear" w:color="000000" w:fill="FBD4B4"/>
            <w:noWrap/>
            <w:vAlign w:val="center"/>
            <w:hideMark/>
          </w:tcPr>
          <w:p w14:paraId="48F3015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-0.019</w:t>
            </w:r>
          </w:p>
        </w:tc>
        <w:tc>
          <w:tcPr>
            <w:tcW w:w="720" w:type="dxa"/>
            <w:tcBorders>
              <w:top w:val="nil"/>
              <w:left w:val="nil"/>
              <w:bottom w:val="nil"/>
              <w:right w:val="nil"/>
            </w:tcBorders>
            <w:shd w:val="clear" w:color="000000" w:fill="FBD4B4"/>
            <w:noWrap/>
            <w:vAlign w:val="center"/>
            <w:hideMark/>
          </w:tcPr>
          <w:p w14:paraId="2D8775A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-0.019</w:t>
            </w:r>
          </w:p>
        </w:tc>
        <w:tc>
          <w:tcPr>
            <w:tcW w:w="720" w:type="dxa"/>
            <w:tcBorders>
              <w:top w:val="nil"/>
              <w:left w:val="nil"/>
              <w:bottom w:val="nil"/>
              <w:right w:val="single" w:sz="4" w:space="0" w:color="auto"/>
            </w:tcBorders>
            <w:shd w:val="clear" w:color="000000" w:fill="FBD4B4"/>
            <w:noWrap/>
            <w:vAlign w:val="center"/>
            <w:hideMark/>
          </w:tcPr>
          <w:p w14:paraId="40B90B4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-0.015</w:t>
            </w:r>
          </w:p>
        </w:tc>
      </w:tr>
      <w:tr w:rsidR="00651A5A" w:rsidRPr="00726718" w14:paraId="3BED7C9C"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7FC6FDCA"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Gjennomsnittsalder</w:t>
            </w:r>
          </w:p>
        </w:tc>
        <w:tc>
          <w:tcPr>
            <w:tcW w:w="740" w:type="dxa"/>
            <w:tcBorders>
              <w:top w:val="nil"/>
              <w:left w:val="single" w:sz="4" w:space="0" w:color="auto"/>
              <w:bottom w:val="nil"/>
              <w:right w:val="nil"/>
            </w:tcBorders>
            <w:shd w:val="clear" w:color="000000" w:fill="AFD7BB"/>
            <w:noWrap/>
            <w:vAlign w:val="center"/>
            <w:hideMark/>
          </w:tcPr>
          <w:p w14:paraId="100319C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0.519</w:t>
            </w:r>
          </w:p>
        </w:tc>
        <w:tc>
          <w:tcPr>
            <w:tcW w:w="720" w:type="dxa"/>
            <w:tcBorders>
              <w:top w:val="nil"/>
              <w:left w:val="nil"/>
              <w:bottom w:val="nil"/>
              <w:right w:val="nil"/>
            </w:tcBorders>
            <w:shd w:val="clear" w:color="000000" w:fill="FFFF99"/>
            <w:noWrap/>
            <w:vAlign w:val="center"/>
            <w:hideMark/>
          </w:tcPr>
          <w:p w14:paraId="61FFE63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0.105</w:t>
            </w:r>
          </w:p>
        </w:tc>
        <w:tc>
          <w:tcPr>
            <w:tcW w:w="720" w:type="dxa"/>
            <w:tcBorders>
              <w:top w:val="nil"/>
              <w:left w:val="nil"/>
              <w:bottom w:val="nil"/>
              <w:right w:val="nil"/>
            </w:tcBorders>
            <w:shd w:val="clear" w:color="000000" w:fill="FFFF99"/>
            <w:noWrap/>
            <w:vAlign w:val="center"/>
            <w:hideMark/>
          </w:tcPr>
          <w:p w14:paraId="312EC0E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0.111</w:t>
            </w:r>
          </w:p>
        </w:tc>
        <w:tc>
          <w:tcPr>
            <w:tcW w:w="720" w:type="dxa"/>
            <w:tcBorders>
              <w:top w:val="nil"/>
              <w:left w:val="nil"/>
              <w:bottom w:val="nil"/>
              <w:right w:val="nil"/>
            </w:tcBorders>
            <w:shd w:val="clear" w:color="000000" w:fill="D7EBDD"/>
            <w:noWrap/>
            <w:vAlign w:val="center"/>
            <w:hideMark/>
          </w:tcPr>
          <w:p w14:paraId="69ABA60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0.308</w:t>
            </w:r>
          </w:p>
        </w:tc>
        <w:tc>
          <w:tcPr>
            <w:tcW w:w="720" w:type="dxa"/>
            <w:tcBorders>
              <w:top w:val="nil"/>
              <w:left w:val="nil"/>
              <w:bottom w:val="nil"/>
              <w:right w:val="nil"/>
            </w:tcBorders>
            <w:shd w:val="clear" w:color="000000" w:fill="D7EBDD"/>
            <w:noWrap/>
            <w:vAlign w:val="center"/>
            <w:hideMark/>
          </w:tcPr>
          <w:p w14:paraId="790E20C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0.345</w:t>
            </w:r>
          </w:p>
        </w:tc>
        <w:tc>
          <w:tcPr>
            <w:tcW w:w="720" w:type="dxa"/>
            <w:tcBorders>
              <w:top w:val="nil"/>
              <w:left w:val="nil"/>
              <w:bottom w:val="nil"/>
              <w:right w:val="nil"/>
            </w:tcBorders>
            <w:shd w:val="clear" w:color="000000" w:fill="D7EBDD"/>
            <w:noWrap/>
            <w:vAlign w:val="center"/>
            <w:hideMark/>
          </w:tcPr>
          <w:p w14:paraId="2E0C6D4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0.350</w:t>
            </w:r>
          </w:p>
        </w:tc>
        <w:tc>
          <w:tcPr>
            <w:tcW w:w="720" w:type="dxa"/>
            <w:tcBorders>
              <w:top w:val="nil"/>
              <w:left w:val="nil"/>
              <w:bottom w:val="nil"/>
              <w:right w:val="nil"/>
            </w:tcBorders>
            <w:shd w:val="clear" w:color="000000" w:fill="D7EBDD"/>
            <w:noWrap/>
            <w:vAlign w:val="center"/>
            <w:hideMark/>
          </w:tcPr>
          <w:p w14:paraId="2DC80CF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0.333</w:t>
            </w:r>
          </w:p>
        </w:tc>
        <w:tc>
          <w:tcPr>
            <w:tcW w:w="720" w:type="dxa"/>
            <w:tcBorders>
              <w:top w:val="nil"/>
              <w:left w:val="nil"/>
              <w:bottom w:val="nil"/>
              <w:right w:val="nil"/>
            </w:tcBorders>
            <w:shd w:val="clear" w:color="000000" w:fill="D7EBDD"/>
            <w:noWrap/>
            <w:vAlign w:val="center"/>
            <w:hideMark/>
          </w:tcPr>
          <w:p w14:paraId="6EA5211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0.351</w:t>
            </w:r>
          </w:p>
        </w:tc>
        <w:tc>
          <w:tcPr>
            <w:tcW w:w="720" w:type="dxa"/>
            <w:tcBorders>
              <w:top w:val="nil"/>
              <w:left w:val="nil"/>
              <w:bottom w:val="nil"/>
              <w:right w:val="nil"/>
            </w:tcBorders>
            <w:shd w:val="clear" w:color="000000" w:fill="D7EBDD"/>
            <w:noWrap/>
            <w:vAlign w:val="center"/>
            <w:hideMark/>
          </w:tcPr>
          <w:p w14:paraId="4FF42BC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D7EBDD"/>
            <w:noWrap/>
            <w:vAlign w:val="center"/>
            <w:hideMark/>
          </w:tcPr>
          <w:p w14:paraId="65404D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0.365</w:t>
            </w:r>
          </w:p>
        </w:tc>
        <w:tc>
          <w:tcPr>
            <w:tcW w:w="720" w:type="dxa"/>
            <w:tcBorders>
              <w:top w:val="nil"/>
              <w:left w:val="nil"/>
              <w:bottom w:val="nil"/>
              <w:right w:val="nil"/>
            </w:tcBorders>
            <w:shd w:val="clear" w:color="000000" w:fill="D7EBDD"/>
            <w:noWrap/>
            <w:vAlign w:val="center"/>
            <w:hideMark/>
          </w:tcPr>
          <w:p w14:paraId="6EF6A45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0.346</w:t>
            </w:r>
          </w:p>
        </w:tc>
        <w:tc>
          <w:tcPr>
            <w:tcW w:w="720" w:type="dxa"/>
            <w:tcBorders>
              <w:top w:val="nil"/>
              <w:left w:val="nil"/>
              <w:bottom w:val="nil"/>
              <w:right w:val="nil"/>
            </w:tcBorders>
            <w:shd w:val="clear" w:color="000000" w:fill="D7EBDD"/>
            <w:noWrap/>
            <w:vAlign w:val="center"/>
            <w:hideMark/>
          </w:tcPr>
          <w:p w14:paraId="070C88A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single" w:sz="4" w:space="0" w:color="auto"/>
            </w:tcBorders>
            <w:shd w:val="clear" w:color="000000" w:fill="D7EBDD"/>
            <w:noWrap/>
            <w:vAlign w:val="center"/>
            <w:hideMark/>
          </w:tcPr>
          <w:p w14:paraId="06E28AA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0.332</w:t>
            </w:r>
          </w:p>
        </w:tc>
      </w:tr>
      <w:tr w:rsidR="00651A5A" w:rsidRPr="00726718" w14:paraId="63B535FD"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0D24E02"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Gjennomsnittlig personinntekt</w:t>
            </w:r>
          </w:p>
        </w:tc>
        <w:tc>
          <w:tcPr>
            <w:tcW w:w="740" w:type="dxa"/>
            <w:tcBorders>
              <w:top w:val="nil"/>
              <w:left w:val="single" w:sz="4" w:space="0" w:color="auto"/>
              <w:bottom w:val="nil"/>
              <w:right w:val="nil"/>
            </w:tcBorders>
            <w:shd w:val="clear" w:color="000000" w:fill="FAC2C9"/>
            <w:noWrap/>
            <w:vAlign w:val="center"/>
            <w:hideMark/>
          </w:tcPr>
          <w:p w14:paraId="3F07545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-0.431</w:t>
            </w:r>
          </w:p>
        </w:tc>
        <w:tc>
          <w:tcPr>
            <w:tcW w:w="720" w:type="dxa"/>
            <w:tcBorders>
              <w:top w:val="nil"/>
              <w:left w:val="nil"/>
              <w:bottom w:val="nil"/>
              <w:right w:val="nil"/>
            </w:tcBorders>
            <w:shd w:val="clear" w:color="000000" w:fill="FBD4B4"/>
            <w:noWrap/>
            <w:vAlign w:val="center"/>
            <w:hideMark/>
          </w:tcPr>
          <w:p w14:paraId="173AFDC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-0.076</w:t>
            </w:r>
          </w:p>
        </w:tc>
        <w:tc>
          <w:tcPr>
            <w:tcW w:w="720" w:type="dxa"/>
            <w:tcBorders>
              <w:top w:val="nil"/>
              <w:left w:val="nil"/>
              <w:bottom w:val="nil"/>
              <w:right w:val="nil"/>
            </w:tcBorders>
            <w:shd w:val="clear" w:color="000000" w:fill="FBD4B4"/>
            <w:noWrap/>
            <w:vAlign w:val="center"/>
            <w:hideMark/>
          </w:tcPr>
          <w:p w14:paraId="4D27486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-0.087</w:t>
            </w:r>
          </w:p>
        </w:tc>
        <w:tc>
          <w:tcPr>
            <w:tcW w:w="720" w:type="dxa"/>
            <w:tcBorders>
              <w:top w:val="nil"/>
              <w:left w:val="nil"/>
              <w:bottom w:val="nil"/>
              <w:right w:val="nil"/>
            </w:tcBorders>
            <w:shd w:val="clear" w:color="000000" w:fill="FABF8F"/>
            <w:noWrap/>
            <w:vAlign w:val="center"/>
            <w:hideMark/>
          </w:tcPr>
          <w:p w14:paraId="7712B58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-0.220</w:t>
            </w:r>
          </w:p>
        </w:tc>
        <w:tc>
          <w:tcPr>
            <w:tcW w:w="720" w:type="dxa"/>
            <w:tcBorders>
              <w:top w:val="nil"/>
              <w:left w:val="nil"/>
              <w:bottom w:val="nil"/>
              <w:right w:val="nil"/>
            </w:tcBorders>
            <w:shd w:val="clear" w:color="000000" w:fill="FAC2C9"/>
            <w:noWrap/>
            <w:vAlign w:val="center"/>
            <w:hideMark/>
          </w:tcPr>
          <w:p w14:paraId="23CB92E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c>
          <w:tcPr>
            <w:tcW w:w="720" w:type="dxa"/>
            <w:tcBorders>
              <w:top w:val="nil"/>
              <w:left w:val="nil"/>
              <w:bottom w:val="nil"/>
              <w:right w:val="nil"/>
            </w:tcBorders>
            <w:shd w:val="clear" w:color="000000" w:fill="FABF8F"/>
            <w:noWrap/>
            <w:vAlign w:val="center"/>
            <w:hideMark/>
          </w:tcPr>
          <w:p w14:paraId="53D06AA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-0.245</w:t>
            </w:r>
          </w:p>
        </w:tc>
        <w:tc>
          <w:tcPr>
            <w:tcW w:w="720" w:type="dxa"/>
            <w:tcBorders>
              <w:top w:val="nil"/>
              <w:left w:val="nil"/>
              <w:bottom w:val="nil"/>
              <w:right w:val="nil"/>
            </w:tcBorders>
            <w:shd w:val="clear" w:color="000000" w:fill="FABF8F"/>
            <w:noWrap/>
            <w:vAlign w:val="center"/>
            <w:hideMark/>
          </w:tcPr>
          <w:p w14:paraId="7D97AF3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-0.235</w:t>
            </w:r>
          </w:p>
        </w:tc>
        <w:tc>
          <w:tcPr>
            <w:tcW w:w="720" w:type="dxa"/>
            <w:tcBorders>
              <w:top w:val="nil"/>
              <w:left w:val="nil"/>
              <w:bottom w:val="nil"/>
              <w:right w:val="nil"/>
            </w:tcBorders>
            <w:shd w:val="clear" w:color="000000" w:fill="FAC2C9"/>
            <w:noWrap/>
            <w:vAlign w:val="center"/>
            <w:hideMark/>
          </w:tcPr>
          <w:p w14:paraId="3F293C6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c>
          <w:tcPr>
            <w:tcW w:w="720" w:type="dxa"/>
            <w:tcBorders>
              <w:top w:val="nil"/>
              <w:left w:val="nil"/>
              <w:bottom w:val="nil"/>
              <w:right w:val="nil"/>
            </w:tcBorders>
            <w:shd w:val="clear" w:color="000000" w:fill="FABF8F"/>
            <w:noWrap/>
            <w:vAlign w:val="center"/>
            <w:hideMark/>
          </w:tcPr>
          <w:p w14:paraId="2BFE0AA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-0.237</w:t>
            </w:r>
          </w:p>
        </w:tc>
        <w:tc>
          <w:tcPr>
            <w:tcW w:w="720" w:type="dxa"/>
            <w:tcBorders>
              <w:top w:val="nil"/>
              <w:left w:val="nil"/>
              <w:bottom w:val="nil"/>
              <w:right w:val="nil"/>
            </w:tcBorders>
            <w:shd w:val="clear" w:color="000000" w:fill="FAC2C9"/>
            <w:noWrap/>
            <w:vAlign w:val="center"/>
            <w:hideMark/>
          </w:tcPr>
          <w:p w14:paraId="4BEBE2C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-0.256</w:t>
            </w:r>
          </w:p>
        </w:tc>
        <w:tc>
          <w:tcPr>
            <w:tcW w:w="720" w:type="dxa"/>
            <w:tcBorders>
              <w:top w:val="nil"/>
              <w:left w:val="nil"/>
              <w:bottom w:val="nil"/>
              <w:right w:val="nil"/>
            </w:tcBorders>
            <w:shd w:val="clear" w:color="000000" w:fill="FABF8F"/>
            <w:noWrap/>
            <w:vAlign w:val="center"/>
            <w:hideMark/>
          </w:tcPr>
          <w:p w14:paraId="336840B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-0.246</w:t>
            </w:r>
          </w:p>
        </w:tc>
        <w:tc>
          <w:tcPr>
            <w:tcW w:w="720" w:type="dxa"/>
            <w:tcBorders>
              <w:top w:val="nil"/>
              <w:left w:val="nil"/>
              <w:bottom w:val="nil"/>
              <w:right w:val="nil"/>
            </w:tcBorders>
            <w:shd w:val="clear" w:color="000000" w:fill="FABF8F"/>
            <w:noWrap/>
            <w:vAlign w:val="center"/>
            <w:hideMark/>
          </w:tcPr>
          <w:p w14:paraId="4187847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-0.246</w:t>
            </w:r>
          </w:p>
        </w:tc>
        <w:tc>
          <w:tcPr>
            <w:tcW w:w="720" w:type="dxa"/>
            <w:tcBorders>
              <w:top w:val="nil"/>
              <w:left w:val="nil"/>
              <w:bottom w:val="nil"/>
              <w:right w:val="single" w:sz="4" w:space="0" w:color="auto"/>
            </w:tcBorders>
            <w:shd w:val="clear" w:color="000000" w:fill="FABF8F"/>
            <w:noWrap/>
            <w:vAlign w:val="center"/>
            <w:hideMark/>
          </w:tcPr>
          <w:p w14:paraId="06F0ECB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-0.240</w:t>
            </w:r>
          </w:p>
        </w:tc>
      </w:tr>
      <w:tr w:rsidR="00651A5A" w:rsidRPr="00726718" w14:paraId="3A78EFBC"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9E51622"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med høyere utdanning</w:t>
            </w:r>
          </w:p>
        </w:tc>
        <w:tc>
          <w:tcPr>
            <w:tcW w:w="740" w:type="dxa"/>
            <w:tcBorders>
              <w:top w:val="nil"/>
              <w:left w:val="single" w:sz="4" w:space="0" w:color="auto"/>
              <w:bottom w:val="nil"/>
              <w:right w:val="nil"/>
            </w:tcBorders>
            <w:shd w:val="clear" w:color="000000" w:fill="FAC2C9"/>
            <w:noWrap/>
            <w:vAlign w:val="center"/>
            <w:hideMark/>
          </w:tcPr>
          <w:p w14:paraId="248EED6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-0.494</w:t>
            </w:r>
          </w:p>
        </w:tc>
        <w:tc>
          <w:tcPr>
            <w:tcW w:w="720" w:type="dxa"/>
            <w:tcBorders>
              <w:top w:val="nil"/>
              <w:left w:val="nil"/>
              <w:bottom w:val="nil"/>
              <w:right w:val="nil"/>
            </w:tcBorders>
            <w:shd w:val="clear" w:color="000000" w:fill="FBD4B4"/>
            <w:noWrap/>
            <w:vAlign w:val="center"/>
            <w:hideMark/>
          </w:tcPr>
          <w:p w14:paraId="1A36FE4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-0.080</w:t>
            </w:r>
          </w:p>
        </w:tc>
        <w:tc>
          <w:tcPr>
            <w:tcW w:w="720" w:type="dxa"/>
            <w:tcBorders>
              <w:top w:val="nil"/>
              <w:left w:val="nil"/>
              <w:bottom w:val="nil"/>
              <w:right w:val="nil"/>
            </w:tcBorders>
            <w:shd w:val="clear" w:color="000000" w:fill="FBD4B4"/>
            <w:noWrap/>
            <w:vAlign w:val="center"/>
            <w:hideMark/>
          </w:tcPr>
          <w:p w14:paraId="4AC5026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-0.090</w:t>
            </w:r>
          </w:p>
        </w:tc>
        <w:tc>
          <w:tcPr>
            <w:tcW w:w="720" w:type="dxa"/>
            <w:tcBorders>
              <w:top w:val="nil"/>
              <w:left w:val="nil"/>
              <w:bottom w:val="nil"/>
              <w:right w:val="nil"/>
            </w:tcBorders>
            <w:shd w:val="clear" w:color="000000" w:fill="FAC2C9"/>
            <w:noWrap/>
            <w:vAlign w:val="center"/>
            <w:hideMark/>
          </w:tcPr>
          <w:p w14:paraId="02F99D0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-0.264</w:t>
            </w:r>
          </w:p>
        </w:tc>
        <w:tc>
          <w:tcPr>
            <w:tcW w:w="720" w:type="dxa"/>
            <w:tcBorders>
              <w:top w:val="nil"/>
              <w:left w:val="nil"/>
              <w:bottom w:val="nil"/>
              <w:right w:val="nil"/>
            </w:tcBorders>
            <w:shd w:val="clear" w:color="000000" w:fill="FAC2C9"/>
            <w:noWrap/>
            <w:vAlign w:val="center"/>
            <w:hideMark/>
          </w:tcPr>
          <w:p w14:paraId="3D0AFD0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c>
          <w:tcPr>
            <w:tcW w:w="720" w:type="dxa"/>
            <w:tcBorders>
              <w:top w:val="nil"/>
              <w:left w:val="nil"/>
              <w:bottom w:val="nil"/>
              <w:right w:val="nil"/>
            </w:tcBorders>
            <w:shd w:val="clear" w:color="000000" w:fill="FAC2C9"/>
            <w:noWrap/>
            <w:vAlign w:val="center"/>
            <w:hideMark/>
          </w:tcPr>
          <w:p w14:paraId="699AA2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-0.272</w:t>
            </w:r>
          </w:p>
        </w:tc>
        <w:tc>
          <w:tcPr>
            <w:tcW w:w="720" w:type="dxa"/>
            <w:tcBorders>
              <w:top w:val="nil"/>
              <w:left w:val="nil"/>
              <w:bottom w:val="nil"/>
              <w:right w:val="nil"/>
            </w:tcBorders>
            <w:shd w:val="clear" w:color="000000" w:fill="FAC2C9"/>
            <w:noWrap/>
            <w:vAlign w:val="center"/>
            <w:hideMark/>
          </w:tcPr>
          <w:p w14:paraId="6C659E5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-0.286</w:t>
            </w:r>
          </w:p>
        </w:tc>
        <w:tc>
          <w:tcPr>
            <w:tcW w:w="720" w:type="dxa"/>
            <w:tcBorders>
              <w:top w:val="nil"/>
              <w:left w:val="nil"/>
              <w:bottom w:val="nil"/>
              <w:right w:val="nil"/>
            </w:tcBorders>
            <w:shd w:val="clear" w:color="000000" w:fill="FAC2C9"/>
            <w:noWrap/>
            <w:vAlign w:val="center"/>
            <w:hideMark/>
          </w:tcPr>
          <w:p w14:paraId="11777A9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-0.297</w:t>
            </w:r>
          </w:p>
        </w:tc>
        <w:tc>
          <w:tcPr>
            <w:tcW w:w="720" w:type="dxa"/>
            <w:tcBorders>
              <w:top w:val="nil"/>
              <w:left w:val="nil"/>
              <w:bottom w:val="nil"/>
              <w:right w:val="nil"/>
            </w:tcBorders>
            <w:shd w:val="clear" w:color="000000" w:fill="FAC2C9"/>
            <w:noWrap/>
            <w:vAlign w:val="center"/>
            <w:hideMark/>
          </w:tcPr>
          <w:p w14:paraId="2FA5F14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-0.311</w:t>
            </w:r>
          </w:p>
        </w:tc>
        <w:tc>
          <w:tcPr>
            <w:tcW w:w="720" w:type="dxa"/>
            <w:tcBorders>
              <w:top w:val="nil"/>
              <w:left w:val="nil"/>
              <w:bottom w:val="nil"/>
              <w:right w:val="nil"/>
            </w:tcBorders>
            <w:shd w:val="clear" w:color="000000" w:fill="FAC2C9"/>
            <w:noWrap/>
            <w:vAlign w:val="center"/>
            <w:hideMark/>
          </w:tcPr>
          <w:p w14:paraId="0C27150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FAC2C9"/>
            <w:noWrap/>
            <w:vAlign w:val="center"/>
            <w:hideMark/>
          </w:tcPr>
          <w:p w14:paraId="525D8EC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-0.291</w:t>
            </w:r>
          </w:p>
        </w:tc>
        <w:tc>
          <w:tcPr>
            <w:tcW w:w="720" w:type="dxa"/>
            <w:tcBorders>
              <w:top w:val="nil"/>
              <w:left w:val="nil"/>
              <w:bottom w:val="nil"/>
              <w:right w:val="nil"/>
            </w:tcBorders>
            <w:shd w:val="clear" w:color="000000" w:fill="FAC2C9"/>
            <w:noWrap/>
            <w:vAlign w:val="center"/>
            <w:hideMark/>
          </w:tcPr>
          <w:p w14:paraId="6A3AF96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-0.290</w:t>
            </w:r>
          </w:p>
        </w:tc>
        <w:tc>
          <w:tcPr>
            <w:tcW w:w="720" w:type="dxa"/>
            <w:tcBorders>
              <w:top w:val="nil"/>
              <w:left w:val="nil"/>
              <w:bottom w:val="nil"/>
              <w:right w:val="single" w:sz="4" w:space="0" w:color="auto"/>
            </w:tcBorders>
            <w:shd w:val="clear" w:color="000000" w:fill="FAC2C9"/>
            <w:noWrap/>
            <w:vAlign w:val="center"/>
            <w:hideMark/>
          </w:tcPr>
          <w:p w14:paraId="737DC19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-0.300</w:t>
            </w:r>
          </w:p>
        </w:tc>
      </w:tr>
      <w:tr w:rsidR="00651A5A" w:rsidRPr="00726718" w14:paraId="23982FA6"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4C91E187"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Sysselsatte arbeidssted over bosted</w:t>
            </w:r>
          </w:p>
        </w:tc>
        <w:tc>
          <w:tcPr>
            <w:tcW w:w="740" w:type="dxa"/>
            <w:tcBorders>
              <w:top w:val="nil"/>
              <w:left w:val="single" w:sz="4" w:space="0" w:color="auto"/>
              <w:bottom w:val="nil"/>
              <w:right w:val="nil"/>
            </w:tcBorders>
            <w:shd w:val="clear" w:color="000000" w:fill="FFFF99"/>
            <w:noWrap/>
            <w:vAlign w:val="center"/>
            <w:hideMark/>
          </w:tcPr>
          <w:p w14:paraId="1385D6E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0.210</w:t>
            </w:r>
          </w:p>
        </w:tc>
        <w:tc>
          <w:tcPr>
            <w:tcW w:w="720" w:type="dxa"/>
            <w:tcBorders>
              <w:top w:val="nil"/>
              <w:left w:val="nil"/>
              <w:bottom w:val="nil"/>
              <w:right w:val="nil"/>
            </w:tcBorders>
            <w:shd w:val="clear" w:color="000000" w:fill="CCCC00"/>
            <w:noWrap/>
            <w:vAlign w:val="center"/>
            <w:hideMark/>
          </w:tcPr>
          <w:p w14:paraId="1092341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0.066</w:t>
            </w:r>
          </w:p>
        </w:tc>
        <w:tc>
          <w:tcPr>
            <w:tcW w:w="720" w:type="dxa"/>
            <w:tcBorders>
              <w:top w:val="nil"/>
              <w:left w:val="nil"/>
              <w:bottom w:val="nil"/>
              <w:right w:val="nil"/>
            </w:tcBorders>
            <w:shd w:val="clear" w:color="000000" w:fill="CCCC00"/>
            <w:noWrap/>
            <w:vAlign w:val="center"/>
            <w:hideMark/>
          </w:tcPr>
          <w:p w14:paraId="53E5E7F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0.080</w:t>
            </w:r>
          </w:p>
        </w:tc>
        <w:tc>
          <w:tcPr>
            <w:tcW w:w="720" w:type="dxa"/>
            <w:tcBorders>
              <w:top w:val="nil"/>
              <w:left w:val="nil"/>
              <w:bottom w:val="nil"/>
              <w:right w:val="nil"/>
            </w:tcBorders>
            <w:shd w:val="clear" w:color="000000" w:fill="FFFF99"/>
            <w:noWrap/>
            <w:vAlign w:val="center"/>
            <w:hideMark/>
          </w:tcPr>
          <w:p w14:paraId="3601E29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0.169</w:t>
            </w:r>
          </w:p>
        </w:tc>
        <w:tc>
          <w:tcPr>
            <w:tcW w:w="720" w:type="dxa"/>
            <w:tcBorders>
              <w:top w:val="nil"/>
              <w:left w:val="nil"/>
              <w:bottom w:val="nil"/>
              <w:right w:val="nil"/>
            </w:tcBorders>
            <w:shd w:val="clear" w:color="000000" w:fill="FFFF99"/>
            <w:noWrap/>
            <w:vAlign w:val="center"/>
            <w:hideMark/>
          </w:tcPr>
          <w:p w14:paraId="015EF3E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0.180</w:t>
            </w:r>
          </w:p>
        </w:tc>
        <w:tc>
          <w:tcPr>
            <w:tcW w:w="720" w:type="dxa"/>
            <w:tcBorders>
              <w:top w:val="nil"/>
              <w:left w:val="nil"/>
              <w:bottom w:val="nil"/>
              <w:right w:val="nil"/>
            </w:tcBorders>
            <w:shd w:val="clear" w:color="000000" w:fill="FFFF99"/>
            <w:noWrap/>
            <w:vAlign w:val="center"/>
            <w:hideMark/>
          </w:tcPr>
          <w:p w14:paraId="32C0BDF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0.191</w:t>
            </w:r>
          </w:p>
        </w:tc>
        <w:tc>
          <w:tcPr>
            <w:tcW w:w="720" w:type="dxa"/>
            <w:tcBorders>
              <w:top w:val="nil"/>
              <w:left w:val="nil"/>
              <w:bottom w:val="nil"/>
              <w:right w:val="nil"/>
            </w:tcBorders>
            <w:shd w:val="clear" w:color="000000" w:fill="FFFF99"/>
            <w:noWrap/>
            <w:vAlign w:val="center"/>
            <w:hideMark/>
          </w:tcPr>
          <w:p w14:paraId="274471A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0.194</w:t>
            </w:r>
          </w:p>
        </w:tc>
        <w:tc>
          <w:tcPr>
            <w:tcW w:w="720" w:type="dxa"/>
            <w:tcBorders>
              <w:top w:val="nil"/>
              <w:left w:val="nil"/>
              <w:bottom w:val="nil"/>
              <w:right w:val="nil"/>
            </w:tcBorders>
            <w:shd w:val="clear" w:color="000000" w:fill="FFFF99"/>
            <w:noWrap/>
            <w:vAlign w:val="center"/>
            <w:hideMark/>
          </w:tcPr>
          <w:p w14:paraId="07C9704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0.190</w:t>
            </w:r>
          </w:p>
        </w:tc>
        <w:tc>
          <w:tcPr>
            <w:tcW w:w="720" w:type="dxa"/>
            <w:tcBorders>
              <w:top w:val="nil"/>
              <w:left w:val="nil"/>
              <w:bottom w:val="nil"/>
              <w:right w:val="nil"/>
            </w:tcBorders>
            <w:shd w:val="clear" w:color="000000" w:fill="FFFF99"/>
            <w:noWrap/>
            <w:vAlign w:val="center"/>
            <w:hideMark/>
          </w:tcPr>
          <w:p w14:paraId="55E5D42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0.192</w:t>
            </w:r>
          </w:p>
        </w:tc>
        <w:tc>
          <w:tcPr>
            <w:tcW w:w="720" w:type="dxa"/>
            <w:tcBorders>
              <w:top w:val="nil"/>
              <w:left w:val="nil"/>
              <w:bottom w:val="nil"/>
              <w:right w:val="nil"/>
            </w:tcBorders>
            <w:shd w:val="clear" w:color="000000" w:fill="FFFF99"/>
            <w:noWrap/>
            <w:vAlign w:val="center"/>
            <w:hideMark/>
          </w:tcPr>
          <w:p w14:paraId="6D09021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0.185</w:t>
            </w:r>
          </w:p>
        </w:tc>
        <w:tc>
          <w:tcPr>
            <w:tcW w:w="720" w:type="dxa"/>
            <w:tcBorders>
              <w:top w:val="nil"/>
              <w:left w:val="nil"/>
              <w:bottom w:val="nil"/>
              <w:right w:val="nil"/>
            </w:tcBorders>
            <w:shd w:val="clear" w:color="000000" w:fill="FFFF99"/>
            <w:noWrap/>
            <w:vAlign w:val="center"/>
            <w:hideMark/>
          </w:tcPr>
          <w:p w14:paraId="0DA2491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nil"/>
            </w:tcBorders>
            <w:shd w:val="clear" w:color="000000" w:fill="FFFF99"/>
            <w:noWrap/>
            <w:vAlign w:val="center"/>
            <w:hideMark/>
          </w:tcPr>
          <w:p w14:paraId="25DB6A5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single" w:sz="4" w:space="0" w:color="auto"/>
            </w:tcBorders>
            <w:shd w:val="clear" w:color="000000" w:fill="FFFF99"/>
            <w:noWrap/>
            <w:vAlign w:val="center"/>
            <w:hideMark/>
          </w:tcPr>
          <w:p w14:paraId="6D8BB47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0.189</w:t>
            </w:r>
          </w:p>
        </w:tc>
      </w:tr>
      <w:tr w:rsidR="00651A5A" w:rsidRPr="00726718" w14:paraId="0C16A6F8"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068C01C"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Herfindahl-indeks, næringskonsentrasjon</w:t>
            </w:r>
          </w:p>
        </w:tc>
        <w:tc>
          <w:tcPr>
            <w:tcW w:w="740" w:type="dxa"/>
            <w:tcBorders>
              <w:top w:val="nil"/>
              <w:left w:val="single" w:sz="4" w:space="0" w:color="auto"/>
              <w:bottom w:val="nil"/>
              <w:right w:val="nil"/>
            </w:tcBorders>
            <w:shd w:val="clear" w:color="000000" w:fill="D7EBDD"/>
            <w:noWrap/>
            <w:vAlign w:val="center"/>
            <w:hideMark/>
          </w:tcPr>
          <w:p w14:paraId="6D9EAC9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0.406</w:t>
            </w:r>
          </w:p>
        </w:tc>
        <w:tc>
          <w:tcPr>
            <w:tcW w:w="720" w:type="dxa"/>
            <w:tcBorders>
              <w:top w:val="nil"/>
              <w:left w:val="nil"/>
              <w:bottom w:val="nil"/>
              <w:right w:val="nil"/>
            </w:tcBorders>
            <w:shd w:val="clear" w:color="000000" w:fill="D7EBDD"/>
            <w:noWrap/>
            <w:vAlign w:val="center"/>
            <w:hideMark/>
          </w:tcPr>
          <w:p w14:paraId="7B50F6F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0.281</w:t>
            </w:r>
          </w:p>
        </w:tc>
        <w:tc>
          <w:tcPr>
            <w:tcW w:w="720" w:type="dxa"/>
            <w:tcBorders>
              <w:top w:val="nil"/>
              <w:left w:val="nil"/>
              <w:bottom w:val="nil"/>
              <w:right w:val="nil"/>
            </w:tcBorders>
            <w:shd w:val="clear" w:color="000000" w:fill="D7EBDD"/>
            <w:noWrap/>
            <w:vAlign w:val="center"/>
            <w:hideMark/>
          </w:tcPr>
          <w:p w14:paraId="6C1EA21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0.273</w:t>
            </w:r>
          </w:p>
        </w:tc>
        <w:tc>
          <w:tcPr>
            <w:tcW w:w="720" w:type="dxa"/>
            <w:tcBorders>
              <w:top w:val="nil"/>
              <w:left w:val="nil"/>
              <w:bottom w:val="nil"/>
              <w:right w:val="nil"/>
            </w:tcBorders>
            <w:shd w:val="clear" w:color="000000" w:fill="D7EBDD"/>
            <w:noWrap/>
            <w:vAlign w:val="center"/>
            <w:hideMark/>
          </w:tcPr>
          <w:p w14:paraId="6E3E2AA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D7EBDD"/>
            <w:noWrap/>
            <w:vAlign w:val="center"/>
            <w:hideMark/>
          </w:tcPr>
          <w:p w14:paraId="61F6DC5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0.301</w:t>
            </w:r>
          </w:p>
        </w:tc>
        <w:tc>
          <w:tcPr>
            <w:tcW w:w="720" w:type="dxa"/>
            <w:tcBorders>
              <w:top w:val="nil"/>
              <w:left w:val="nil"/>
              <w:bottom w:val="nil"/>
              <w:right w:val="nil"/>
            </w:tcBorders>
            <w:shd w:val="clear" w:color="000000" w:fill="D7EBDD"/>
            <w:noWrap/>
            <w:vAlign w:val="center"/>
            <w:hideMark/>
          </w:tcPr>
          <w:p w14:paraId="5671200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0.332</w:t>
            </w:r>
          </w:p>
        </w:tc>
        <w:tc>
          <w:tcPr>
            <w:tcW w:w="720" w:type="dxa"/>
            <w:tcBorders>
              <w:top w:val="nil"/>
              <w:left w:val="nil"/>
              <w:bottom w:val="nil"/>
              <w:right w:val="nil"/>
            </w:tcBorders>
            <w:shd w:val="clear" w:color="000000" w:fill="D7EBDD"/>
            <w:noWrap/>
            <w:vAlign w:val="center"/>
            <w:hideMark/>
          </w:tcPr>
          <w:p w14:paraId="4CE6552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0.335</w:t>
            </w:r>
          </w:p>
        </w:tc>
        <w:tc>
          <w:tcPr>
            <w:tcW w:w="720" w:type="dxa"/>
            <w:tcBorders>
              <w:top w:val="nil"/>
              <w:left w:val="nil"/>
              <w:bottom w:val="nil"/>
              <w:right w:val="nil"/>
            </w:tcBorders>
            <w:shd w:val="clear" w:color="000000" w:fill="D7EBDD"/>
            <w:noWrap/>
            <w:vAlign w:val="center"/>
            <w:hideMark/>
          </w:tcPr>
          <w:p w14:paraId="3B5DA43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nil"/>
            </w:tcBorders>
            <w:shd w:val="clear" w:color="000000" w:fill="D7EBDD"/>
            <w:noWrap/>
            <w:vAlign w:val="center"/>
            <w:hideMark/>
          </w:tcPr>
          <w:p w14:paraId="1272A7A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0.349</w:t>
            </w:r>
          </w:p>
        </w:tc>
        <w:tc>
          <w:tcPr>
            <w:tcW w:w="720" w:type="dxa"/>
            <w:tcBorders>
              <w:top w:val="nil"/>
              <w:left w:val="nil"/>
              <w:bottom w:val="nil"/>
              <w:right w:val="nil"/>
            </w:tcBorders>
            <w:shd w:val="clear" w:color="000000" w:fill="D7EBDD"/>
            <w:noWrap/>
            <w:vAlign w:val="center"/>
            <w:hideMark/>
          </w:tcPr>
          <w:p w14:paraId="5396964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0.348</w:t>
            </w:r>
          </w:p>
        </w:tc>
        <w:tc>
          <w:tcPr>
            <w:tcW w:w="720" w:type="dxa"/>
            <w:tcBorders>
              <w:top w:val="nil"/>
              <w:left w:val="nil"/>
              <w:bottom w:val="nil"/>
              <w:right w:val="nil"/>
            </w:tcBorders>
            <w:shd w:val="clear" w:color="000000" w:fill="D7EBDD"/>
            <w:noWrap/>
            <w:vAlign w:val="center"/>
            <w:hideMark/>
          </w:tcPr>
          <w:p w14:paraId="5310B94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0.342</w:t>
            </w:r>
          </w:p>
        </w:tc>
        <w:tc>
          <w:tcPr>
            <w:tcW w:w="720" w:type="dxa"/>
            <w:tcBorders>
              <w:top w:val="nil"/>
              <w:left w:val="nil"/>
              <w:bottom w:val="nil"/>
              <w:right w:val="nil"/>
            </w:tcBorders>
            <w:shd w:val="clear" w:color="000000" w:fill="D7EBDD"/>
            <w:noWrap/>
            <w:vAlign w:val="center"/>
            <w:hideMark/>
          </w:tcPr>
          <w:p w14:paraId="43A0A03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0.341</w:t>
            </w:r>
          </w:p>
        </w:tc>
        <w:tc>
          <w:tcPr>
            <w:tcW w:w="720" w:type="dxa"/>
            <w:tcBorders>
              <w:top w:val="nil"/>
              <w:left w:val="nil"/>
              <w:bottom w:val="nil"/>
              <w:right w:val="single" w:sz="4" w:space="0" w:color="auto"/>
            </w:tcBorders>
            <w:shd w:val="clear" w:color="000000" w:fill="D7EBDD"/>
            <w:noWrap/>
            <w:vAlign w:val="center"/>
            <w:hideMark/>
          </w:tcPr>
          <w:p w14:paraId="042EA25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0.332</w:t>
            </w:r>
          </w:p>
        </w:tc>
      </w:tr>
      <w:tr w:rsidR="00651A5A" w:rsidRPr="00726718" w14:paraId="69654463"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C1036E2"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vareproduksjon</w:t>
            </w:r>
          </w:p>
        </w:tc>
        <w:tc>
          <w:tcPr>
            <w:tcW w:w="740" w:type="dxa"/>
            <w:tcBorders>
              <w:top w:val="nil"/>
              <w:left w:val="single" w:sz="4" w:space="0" w:color="auto"/>
              <w:bottom w:val="nil"/>
              <w:right w:val="nil"/>
            </w:tcBorders>
            <w:shd w:val="clear" w:color="000000" w:fill="FFFF99"/>
            <w:noWrap/>
            <w:vAlign w:val="center"/>
            <w:hideMark/>
          </w:tcPr>
          <w:p w14:paraId="75165E2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0.214</w:t>
            </w:r>
          </w:p>
        </w:tc>
        <w:tc>
          <w:tcPr>
            <w:tcW w:w="720" w:type="dxa"/>
            <w:tcBorders>
              <w:top w:val="nil"/>
              <w:left w:val="nil"/>
              <w:bottom w:val="nil"/>
              <w:right w:val="nil"/>
            </w:tcBorders>
            <w:shd w:val="clear" w:color="000000" w:fill="FFFF99"/>
            <w:noWrap/>
            <w:vAlign w:val="center"/>
            <w:hideMark/>
          </w:tcPr>
          <w:p w14:paraId="762801F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0.144</w:t>
            </w:r>
          </w:p>
        </w:tc>
        <w:tc>
          <w:tcPr>
            <w:tcW w:w="720" w:type="dxa"/>
            <w:tcBorders>
              <w:top w:val="nil"/>
              <w:left w:val="nil"/>
              <w:bottom w:val="nil"/>
              <w:right w:val="nil"/>
            </w:tcBorders>
            <w:shd w:val="clear" w:color="000000" w:fill="FFFF99"/>
            <w:noWrap/>
            <w:vAlign w:val="center"/>
            <w:hideMark/>
          </w:tcPr>
          <w:p w14:paraId="77E1741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0.146</w:t>
            </w:r>
          </w:p>
        </w:tc>
        <w:tc>
          <w:tcPr>
            <w:tcW w:w="720" w:type="dxa"/>
            <w:tcBorders>
              <w:top w:val="nil"/>
              <w:left w:val="nil"/>
              <w:bottom w:val="nil"/>
              <w:right w:val="nil"/>
            </w:tcBorders>
            <w:shd w:val="clear" w:color="000000" w:fill="FFFF99"/>
            <w:noWrap/>
            <w:vAlign w:val="center"/>
            <w:hideMark/>
          </w:tcPr>
          <w:p w14:paraId="1F2EA7B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0.167</w:t>
            </w:r>
          </w:p>
        </w:tc>
        <w:tc>
          <w:tcPr>
            <w:tcW w:w="720" w:type="dxa"/>
            <w:tcBorders>
              <w:top w:val="nil"/>
              <w:left w:val="nil"/>
              <w:bottom w:val="nil"/>
              <w:right w:val="nil"/>
            </w:tcBorders>
            <w:shd w:val="clear" w:color="000000" w:fill="FFFF99"/>
            <w:noWrap/>
            <w:vAlign w:val="center"/>
            <w:hideMark/>
          </w:tcPr>
          <w:p w14:paraId="5BE3D9F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0.130</w:t>
            </w:r>
          </w:p>
        </w:tc>
        <w:tc>
          <w:tcPr>
            <w:tcW w:w="720" w:type="dxa"/>
            <w:tcBorders>
              <w:top w:val="nil"/>
              <w:left w:val="nil"/>
              <w:bottom w:val="nil"/>
              <w:right w:val="nil"/>
            </w:tcBorders>
            <w:shd w:val="clear" w:color="000000" w:fill="FFFF99"/>
            <w:noWrap/>
            <w:vAlign w:val="center"/>
            <w:hideMark/>
          </w:tcPr>
          <w:p w14:paraId="4F2E8A9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0.145</w:t>
            </w:r>
          </w:p>
        </w:tc>
        <w:tc>
          <w:tcPr>
            <w:tcW w:w="720" w:type="dxa"/>
            <w:tcBorders>
              <w:top w:val="nil"/>
              <w:left w:val="nil"/>
              <w:bottom w:val="nil"/>
              <w:right w:val="nil"/>
            </w:tcBorders>
            <w:shd w:val="clear" w:color="000000" w:fill="FFFF99"/>
            <w:noWrap/>
            <w:vAlign w:val="center"/>
            <w:hideMark/>
          </w:tcPr>
          <w:p w14:paraId="478787D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0.165</w:t>
            </w:r>
          </w:p>
        </w:tc>
        <w:tc>
          <w:tcPr>
            <w:tcW w:w="720" w:type="dxa"/>
            <w:tcBorders>
              <w:top w:val="nil"/>
              <w:left w:val="nil"/>
              <w:bottom w:val="nil"/>
              <w:right w:val="nil"/>
            </w:tcBorders>
            <w:shd w:val="clear" w:color="000000" w:fill="FFFF99"/>
            <w:noWrap/>
            <w:vAlign w:val="center"/>
            <w:hideMark/>
          </w:tcPr>
          <w:p w14:paraId="35740E4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0.136</w:t>
            </w:r>
          </w:p>
        </w:tc>
        <w:tc>
          <w:tcPr>
            <w:tcW w:w="720" w:type="dxa"/>
            <w:tcBorders>
              <w:top w:val="nil"/>
              <w:left w:val="nil"/>
              <w:bottom w:val="nil"/>
              <w:right w:val="nil"/>
            </w:tcBorders>
            <w:shd w:val="clear" w:color="000000" w:fill="FFFF99"/>
            <w:noWrap/>
            <w:vAlign w:val="center"/>
            <w:hideMark/>
          </w:tcPr>
          <w:p w14:paraId="4055010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0.157</w:t>
            </w:r>
          </w:p>
        </w:tc>
        <w:tc>
          <w:tcPr>
            <w:tcW w:w="720" w:type="dxa"/>
            <w:tcBorders>
              <w:top w:val="nil"/>
              <w:left w:val="nil"/>
              <w:bottom w:val="nil"/>
              <w:right w:val="nil"/>
            </w:tcBorders>
            <w:shd w:val="clear" w:color="000000" w:fill="FFFF99"/>
            <w:noWrap/>
            <w:vAlign w:val="center"/>
            <w:hideMark/>
          </w:tcPr>
          <w:p w14:paraId="181542B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0.139</w:t>
            </w:r>
          </w:p>
        </w:tc>
        <w:tc>
          <w:tcPr>
            <w:tcW w:w="720" w:type="dxa"/>
            <w:tcBorders>
              <w:top w:val="nil"/>
              <w:left w:val="nil"/>
              <w:bottom w:val="nil"/>
              <w:right w:val="nil"/>
            </w:tcBorders>
            <w:shd w:val="clear" w:color="000000" w:fill="FFFF99"/>
            <w:noWrap/>
            <w:vAlign w:val="center"/>
            <w:hideMark/>
          </w:tcPr>
          <w:p w14:paraId="02ACF97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0.134</w:t>
            </w:r>
          </w:p>
        </w:tc>
        <w:tc>
          <w:tcPr>
            <w:tcW w:w="720" w:type="dxa"/>
            <w:tcBorders>
              <w:top w:val="nil"/>
              <w:left w:val="nil"/>
              <w:bottom w:val="nil"/>
              <w:right w:val="nil"/>
            </w:tcBorders>
            <w:shd w:val="clear" w:color="000000" w:fill="FFFF99"/>
            <w:noWrap/>
            <w:vAlign w:val="center"/>
            <w:hideMark/>
          </w:tcPr>
          <w:p w14:paraId="40EA15C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0.135</w:t>
            </w:r>
          </w:p>
        </w:tc>
        <w:tc>
          <w:tcPr>
            <w:tcW w:w="720" w:type="dxa"/>
            <w:tcBorders>
              <w:top w:val="nil"/>
              <w:left w:val="nil"/>
              <w:bottom w:val="nil"/>
              <w:right w:val="single" w:sz="4" w:space="0" w:color="auto"/>
            </w:tcBorders>
            <w:shd w:val="clear" w:color="000000" w:fill="FFFF99"/>
            <w:noWrap/>
            <w:vAlign w:val="center"/>
            <w:hideMark/>
          </w:tcPr>
          <w:p w14:paraId="6F534AB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0.162</w:t>
            </w:r>
          </w:p>
        </w:tc>
      </w:tr>
      <w:tr w:rsidR="00651A5A" w:rsidRPr="00726718" w14:paraId="7F640957" w14:textId="77777777" w:rsidTr="00651A5A">
        <w:trPr>
          <w:trHeight w:val="288"/>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6CFD6CF1"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ikke-markedsrettede tjenester</w:t>
            </w:r>
          </w:p>
        </w:tc>
        <w:tc>
          <w:tcPr>
            <w:tcW w:w="740" w:type="dxa"/>
            <w:tcBorders>
              <w:top w:val="nil"/>
              <w:left w:val="single" w:sz="4" w:space="0" w:color="auto"/>
              <w:bottom w:val="single" w:sz="4" w:space="0" w:color="auto"/>
              <w:right w:val="nil"/>
            </w:tcBorders>
            <w:shd w:val="clear" w:color="000000" w:fill="CCCC00"/>
            <w:noWrap/>
            <w:vAlign w:val="center"/>
            <w:hideMark/>
          </w:tcPr>
          <w:p w14:paraId="514957B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0.019</w:t>
            </w:r>
          </w:p>
        </w:tc>
        <w:tc>
          <w:tcPr>
            <w:tcW w:w="720" w:type="dxa"/>
            <w:tcBorders>
              <w:top w:val="nil"/>
              <w:left w:val="nil"/>
              <w:bottom w:val="single" w:sz="4" w:space="0" w:color="auto"/>
              <w:right w:val="nil"/>
            </w:tcBorders>
            <w:shd w:val="clear" w:color="000000" w:fill="FBD4B4"/>
            <w:noWrap/>
            <w:vAlign w:val="center"/>
            <w:hideMark/>
          </w:tcPr>
          <w:p w14:paraId="05B7764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720" w:type="dxa"/>
            <w:tcBorders>
              <w:top w:val="nil"/>
              <w:left w:val="nil"/>
              <w:bottom w:val="single" w:sz="4" w:space="0" w:color="auto"/>
              <w:right w:val="nil"/>
            </w:tcBorders>
            <w:shd w:val="clear" w:color="000000" w:fill="FABF8F"/>
            <w:noWrap/>
            <w:vAlign w:val="center"/>
            <w:hideMark/>
          </w:tcPr>
          <w:p w14:paraId="6A41575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-0.101</w:t>
            </w:r>
          </w:p>
        </w:tc>
        <w:tc>
          <w:tcPr>
            <w:tcW w:w="720" w:type="dxa"/>
            <w:tcBorders>
              <w:top w:val="nil"/>
              <w:left w:val="nil"/>
              <w:bottom w:val="single" w:sz="4" w:space="0" w:color="auto"/>
              <w:right w:val="nil"/>
            </w:tcBorders>
            <w:shd w:val="clear" w:color="000000" w:fill="FBD4B4"/>
            <w:noWrap/>
            <w:vAlign w:val="center"/>
            <w:hideMark/>
          </w:tcPr>
          <w:p w14:paraId="67C14EE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-0.027</w:t>
            </w:r>
          </w:p>
        </w:tc>
        <w:tc>
          <w:tcPr>
            <w:tcW w:w="720" w:type="dxa"/>
            <w:tcBorders>
              <w:top w:val="nil"/>
              <w:left w:val="nil"/>
              <w:bottom w:val="single" w:sz="4" w:space="0" w:color="auto"/>
              <w:right w:val="nil"/>
            </w:tcBorders>
            <w:shd w:val="clear" w:color="000000" w:fill="CCCC00"/>
            <w:noWrap/>
            <w:vAlign w:val="center"/>
            <w:hideMark/>
          </w:tcPr>
          <w:p w14:paraId="7DFC854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0.013</w:t>
            </w:r>
          </w:p>
        </w:tc>
        <w:tc>
          <w:tcPr>
            <w:tcW w:w="720" w:type="dxa"/>
            <w:tcBorders>
              <w:top w:val="nil"/>
              <w:left w:val="nil"/>
              <w:bottom w:val="single" w:sz="4" w:space="0" w:color="auto"/>
              <w:right w:val="nil"/>
            </w:tcBorders>
            <w:shd w:val="clear" w:color="000000" w:fill="FBD4B4"/>
            <w:noWrap/>
            <w:vAlign w:val="center"/>
            <w:hideMark/>
          </w:tcPr>
          <w:p w14:paraId="5B92BA3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-0.003</w:t>
            </w:r>
          </w:p>
        </w:tc>
        <w:tc>
          <w:tcPr>
            <w:tcW w:w="720" w:type="dxa"/>
            <w:tcBorders>
              <w:top w:val="nil"/>
              <w:left w:val="nil"/>
              <w:bottom w:val="single" w:sz="4" w:space="0" w:color="auto"/>
              <w:right w:val="nil"/>
            </w:tcBorders>
            <w:shd w:val="clear" w:color="000000" w:fill="FBD4B4"/>
            <w:noWrap/>
            <w:vAlign w:val="center"/>
            <w:hideMark/>
          </w:tcPr>
          <w:p w14:paraId="26FE580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-0.016</w:t>
            </w:r>
          </w:p>
        </w:tc>
        <w:tc>
          <w:tcPr>
            <w:tcW w:w="720" w:type="dxa"/>
            <w:tcBorders>
              <w:top w:val="nil"/>
              <w:left w:val="nil"/>
              <w:bottom w:val="single" w:sz="4" w:space="0" w:color="auto"/>
              <w:right w:val="nil"/>
            </w:tcBorders>
            <w:shd w:val="clear" w:color="000000" w:fill="CCCC00"/>
            <w:noWrap/>
            <w:vAlign w:val="center"/>
            <w:hideMark/>
          </w:tcPr>
          <w:p w14:paraId="0682BC3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0.009</w:t>
            </w:r>
          </w:p>
        </w:tc>
        <w:tc>
          <w:tcPr>
            <w:tcW w:w="720" w:type="dxa"/>
            <w:tcBorders>
              <w:top w:val="nil"/>
              <w:left w:val="nil"/>
              <w:bottom w:val="single" w:sz="4" w:space="0" w:color="auto"/>
              <w:right w:val="nil"/>
            </w:tcBorders>
            <w:shd w:val="clear" w:color="000000" w:fill="FBD4B4"/>
            <w:noWrap/>
            <w:vAlign w:val="center"/>
            <w:hideMark/>
          </w:tcPr>
          <w:p w14:paraId="607A3C2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-0.007</w:t>
            </w:r>
          </w:p>
        </w:tc>
        <w:tc>
          <w:tcPr>
            <w:tcW w:w="720" w:type="dxa"/>
            <w:tcBorders>
              <w:top w:val="nil"/>
              <w:left w:val="nil"/>
              <w:bottom w:val="single" w:sz="4" w:space="0" w:color="auto"/>
              <w:right w:val="nil"/>
            </w:tcBorders>
            <w:shd w:val="clear" w:color="000000" w:fill="CCCC00"/>
            <w:noWrap/>
            <w:vAlign w:val="center"/>
            <w:hideMark/>
          </w:tcPr>
          <w:p w14:paraId="4C627F4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0.008</w:t>
            </w:r>
          </w:p>
        </w:tc>
        <w:tc>
          <w:tcPr>
            <w:tcW w:w="720" w:type="dxa"/>
            <w:tcBorders>
              <w:top w:val="nil"/>
              <w:left w:val="nil"/>
              <w:bottom w:val="single" w:sz="4" w:space="0" w:color="auto"/>
              <w:right w:val="nil"/>
            </w:tcBorders>
            <w:shd w:val="clear" w:color="000000" w:fill="CCCC00"/>
            <w:noWrap/>
            <w:vAlign w:val="center"/>
            <w:hideMark/>
          </w:tcPr>
          <w:p w14:paraId="79B9C23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0.007</w:t>
            </w:r>
          </w:p>
        </w:tc>
        <w:tc>
          <w:tcPr>
            <w:tcW w:w="720" w:type="dxa"/>
            <w:tcBorders>
              <w:top w:val="nil"/>
              <w:left w:val="nil"/>
              <w:bottom w:val="single" w:sz="4" w:space="0" w:color="auto"/>
              <w:right w:val="nil"/>
            </w:tcBorders>
            <w:shd w:val="clear" w:color="000000" w:fill="CCCC00"/>
            <w:noWrap/>
            <w:vAlign w:val="center"/>
            <w:hideMark/>
          </w:tcPr>
          <w:p w14:paraId="665BFE9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0.006</w:t>
            </w:r>
          </w:p>
        </w:tc>
        <w:tc>
          <w:tcPr>
            <w:tcW w:w="720" w:type="dxa"/>
            <w:tcBorders>
              <w:top w:val="nil"/>
              <w:left w:val="nil"/>
              <w:bottom w:val="single" w:sz="4" w:space="0" w:color="auto"/>
              <w:right w:val="single" w:sz="4" w:space="0" w:color="auto"/>
            </w:tcBorders>
            <w:shd w:val="clear" w:color="000000" w:fill="FBD4B4"/>
            <w:noWrap/>
            <w:vAlign w:val="center"/>
            <w:hideMark/>
          </w:tcPr>
          <w:p w14:paraId="7242953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-0.012</w:t>
            </w:r>
          </w:p>
        </w:tc>
      </w:tr>
    </w:tbl>
    <w:p w14:paraId="567C408E" w14:textId="38CBC0C2" w:rsidR="008A1082" w:rsidRPr="0055149C" w:rsidRDefault="00C23F5C" w:rsidP="008A1082">
      <w:pPr>
        <w:pStyle w:val="Billedtekst-forklaring"/>
        <w:ind w:left="0" w:firstLine="0"/>
        <w:rPr>
          <w:shd w:val="clear" w:color="auto" w:fill="468C5C" w:themeFill="accent6"/>
          <w:lang w:eastAsia="nb-NO"/>
        </w:rPr>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9C7047">
        <w:t>I f</w:t>
      </w:r>
      <w:r w:rsidRPr="0055149C">
        <w:t>orkortelsene dd, ad, da og aa angir første og andre bokstav om henholdsvis kapitaldeflatorene og depresieringsratene er aggregerte (a) eller disaggregerte (d). f og l som følger angir om eventuelle avkastningskrav er fast eller løpende.</w:t>
      </w:r>
      <w:r w:rsidR="008A1082" w:rsidRPr="0055149C">
        <w:t xml:space="preserve"> Angivelse av fargekoder for korrelasjonskoeffisientene: </w:t>
      </w:r>
      <w:r w:rsidR="008A1082" w:rsidRPr="0055149C">
        <w:rPr>
          <w:shd w:val="clear" w:color="auto" w:fill="A60E24" w:themeFill="accent5"/>
          <w:lang w:eastAsia="nb-NO"/>
        </w:rPr>
        <w:t>(-1,00)-(-0,90)</w:t>
      </w:r>
      <w:r w:rsidR="008A1082" w:rsidRPr="0055149C">
        <w:rPr>
          <w:lang w:eastAsia="nb-NO"/>
        </w:rPr>
        <w:t xml:space="preserve">, </w:t>
      </w:r>
      <w:r w:rsidR="008A1082" w:rsidRPr="0055149C">
        <w:rPr>
          <w:shd w:val="clear" w:color="auto" w:fill="EF485F" w:themeFill="accent5" w:themeFillTint="99"/>
          <w:lang w:eastAsia="nb-NO"/>
        </w:rPr>
        <w:t>(-0,90)-(-0,75)</w:t>
      </w:r>
      <w:r w:rsidR="008A1082" w:rsidRPr="0055149C">
        <w:rPr>
          <w:lang w:eastAsia="nb-NO"/>
        </w:rPr>
        <w:t xml:space="preserve">, </w:t>
      </w:r>
      <w:r w:rsidR="008A1082" w:rsidRPr="0055149C">
        <w:rPr>
          <w:shd w:val="clear" w:color="auto" w:fill="F48594" w:themeFill="accent5" w:themeFillTint="66"/>
          <w:lang w:eastAsia="nb-NO"/>
        </w:rPr>
        <w:t>(-0,75)-(-0,50)</w:t>
      </w:r>
      <w:r w:rsidR="008A1082" w:rsidRPr="0055149C">
        <w:rPr>
          <w:lang w:eastAsia="nb-NO"/>
        </w:rPr>
        <w:t xml:space="preserve">, </w:t>
      </w:r>
      <w:r w:rsidR="008A1082" w:rsidRPr="0055149C">
        <w:rPr>
          <w:shd w:val="clear" w:color="auto" w:fill="FAC2C9" w:themeFill="accent5" w:themeFillTint="33"/>
          <w:lang w:eastAsia="nb-NO"/>
        </w:rPr>
        <w:t>(-0,50)-(-0,25)</w:t>
      </w:r>
      <w:r w:rsidR="008A1082" w:rsidRPr="0055149C">
        <w:rPr>
          <w:lang w:eastAsia="nb-NO"/>
        </w:rPr>
        <w:t xml:space="preserve">, </w:t>
      </w:r>
      <w:r w:rsidR="008A1082" w:rsidRPr="0055149C">
        <w:rPr>
          <w:shd w:val="clear" w:color="auto" w:fill="FABF8F" w:themeFill="accent4" w:themeFillTint="99"/>
          <w:lang w:eastAsia="nb-NO"/>
        </w:rPr>
        <w:t>(-0,25)-(-0,10</w:t>
      </w:r>
      <w:r w:rsidR="008A1082" w:rsidRPr="0055149C">
        <w:rPr>
          <w:shd w:val="clear" w:color="auto" w:fill="FBD4B4"/>
          <w:lang w:eastAsia="nb-NO"/>
        </w:rPr>
        <w:t>)</w:t>
      </w:r>
      <w:r w:rsidR="008A1082" w:rsidRPr="0055149C">
        <w:rPr>
          <w:lang w:eastAsia="nb-NO"/>
        </w:rPr>
        <w:t xml:space="preserve">, </w:t>
      </w:r>
      <w:r w:rsidR="008A1082" w:rsidRPr="0055149C">
        <w:rPr>
          <w:shd w:val="clear" w:color="auto" w:fill="FDE9D9" w:themeFill="accent4" w:themeFillTint="33"/>
          <w:lang w:eastAsia="nb-NO"/>
        </w:rPr>
        <w:t>(-0,10)-(-0,00)</w:t>
      </w:r>
      <w:r w:rsidR="008A1082" w:rsidRPr="0055149C">
        <w:rPr>
          <w:lang w:eastAsia="nb-NO"/>
        </w:rPr>
        <w:t>,</w:t>
      </w:r>
      <w:r w:rsidR="008A1082" w:rsidRPr="0055149C">
        <w:t xml:space="preserve"> </w:t>
      </w:r>
      <w:r w:rsidR="008A1082" w:rsidRPr="0055149C">
        <w:rPr>
          <w:shd w:val="clear" w:color="auto" w:fill="CCCC00"/>
          <w:lang w:eastAsia="nb-NO"/>
        </w:rPr>
        <w:t>0.00-0,10</w:t>
      </w:r>
      <w:r w:rsidR="008A1082" w:rsidRPr="0055149C">
        <w:rPr>
          <w:lang w:eastAsia="nb-NO"/>
        </w:rPr>
        <w:t xml:space="preserve">, </w:t>
      </w:r>
      <w:r w:rsidR="008A1082" w:rsidRPr="0055149C">
        <w:rPr>
          <w:shd w:val="clear" w:color="auto" w:fill="FFFF99"/>
          <w:lang w:eastAsia="nb-NO"/>
        </w:rPr>
        <w:t>0,10-0,25</w:t>
      </w:r>
      <w:r w:rsidR="008A1082" w:rsidRPr="0055149C">
        <w:rPr>
          <w:lang w:eastAsia="nb-NO"/>
        </w:rPr>
        <w:t xml:space="preserve">, </w:t>
      </w:r>
      <w:r w:rsidR="008A1082" w:rsidRPr="0055149C">
        <w:rPr>
          <w:shd w:val="clear" w:color="auto" w:fill="D7EBDD" w:themeFill="accent6" w:themeFillTint="33"/>
          <w:lang w:eastAsia="nb-NO"/>
        </w:rPr>
        <w:t>0.25-0,50</w:t>
      </w:r>
      <w:r w:rsidR="008A1082" w:rsidRPr="0055149C">
        <w:rPr>
          <w:lang w:eastAsia="nb-NO"/>
        </w:rPr>
        <w:t xml:space="preserve">, </w:t>
      </w:r>
      <w:r w:rsidR="008A1082" w:rsidRPr="0055149C">
        <w:rPr>
          <w:shd w:val="clear" w:color="auto" w:fill="AFD7BB" w:themeFill="accent6" w:themeFillTint="66"/>
          <w:lang w:eastAsia="nb-NO"/>
        </w:rPr>
        <w:t>0,50-0,75</w:t>
      </w:r>
      <w:r w:rsidR="008A1082" w:rsidRPr="0055149C">
        <w:rPr>
          <w:lang w:eastAsia="nb-NO"/>
        </w:rPr>
        <w:t xml:space="preserve">, </w:t>
      </w:r>
      <w:r w:rsidR="008A1082" w:rsidRPr="0055149C">
        <w:rPr>
          <w:shd w:val="clear" w:color="auto" w:fill="87C399" w:themeFill="accent6" w:themeFillTint="99"/>
          <w:lang w:eastAsia="nb-NO"/>
        </w:rPr>
        <w:t>0,75-0,90</w:t>
      </w:r>
      <w:r w:rsidR="008A1082" w:rsidRPr="0055149C">
        <w:rPr>
          <w:lang w:eastAsia="nb-NO"/>
        </w:rPr>
        <w:t xml:space="preserve"> og </w:t>
      </w:r>
      <w:r w:rsidR="008A1082" w:rsidRPr="0055149C">
        <w:rPr>
          <w:shd w:val="clear" w:color="auto" w:fill="468C5C" w:themeFill="accent6"/>
          <w:lang w:eastAsia="nb-NO"/>
        </w:rPr>
        <w:t>0,90-1,00</w:t>
      </w:r>
    </w:p>
    <w:p w14:paraId="20B0D77E" w14:textId="30BDD4F9" w:rsidR="00BC4762" w:rsidRPr="0055149C" w:rsidRDefault="008A1082" w:rsidP="00F00E50">
      <w:pPr>
        <w:pStyle w:val="Source"/>
        <w:rPr>
          <w:lang w:eastAsia="nb-NO"/>
        </w:rPr>
      </w:pPr>
      <w:r w:rsidRPr="0055149C">
        <w:rPr>
          <w:lang w:eastAsia="nb-NO"/>
        </w:rPr>
        <w:t>Kilde: Vista Analyse</w:t>
      </w:r>
    </w:p>
    <w:p w14:paraId="32AAC6FE" w14:textId="77777777" w:rsidR="00F00E50" w:rsidRPr="0055149C" w:rsidRDefault="00F00E50" w:rsidP="001370AE">
      <w:pPr>
        <w:pStyle w:val="Bildetekst"/>
      </w:pPr>
      <w:r w:rsidRPr="0055149C">
        <w:br w:type="page"/>
      </w:r>
    </w:p>
    <w:p w14:paraId="74079E01" w14:textId="3AA8FC91" w:rsidR="00BC4762" w:rsidRPr="0055149C" w:rsidRDefault="00BC4762" w:rsidP="001370AE">
      <w:pPr>
        <w:pStyle w:val="Bildetekst"/>
      </w:pPr>
      <w:bookmarkStart w:id="135" w:name="_Ref178426296"/>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9</w:t>
        </w:r>
      </w:fldSimple>
      <w:bookmarkEnd w:id="135"/>
      <w:r w:rsidRPr="0055149C">
        <w:tab/>
        <w:t xml:space="preserve">Regresjoner ved minste kvadraters metode </w:t>
      </w:r>
      <w:r w:rsidR="001370AE" w:rsidRPr="0055149C">
        <w:t>der</w:t>
      </w:r>
      <w:r w:rsidRPr="0055149C">
        <w:t xml:space="preserve"> </w:t>
      </w:r>
      <w:r w:rsidR="00B015B5" w:rsidRPr="0055149C">
        <w:t xml:space="preserve">hver </w:t>
      </w:r>
      <w:r w:rsidRPr="0055149C">
        <w:t xml:space="preserve">kovariat </w:t>
      </w:r>
      <w:r w:rsidR="001370AE" w:rsidRPr="0055149C">
        <w:t>forklares ved hvert kommunale kapitalkostnads</w:t>
      </w:r>
      <w:r w:rsidR="00C23F5C" w:rsidRPr="0055149C">
        <w:t>mål</w:t>
      </w:r>
      <w:r w:rsidR="001370AE" w:rsidRPr="0055149C">
        <w:t xml:space="preserve"> per innbygger med bruttodriftsutgifter per innbygger som kontroll</w:t>
      </w:r>
      <w:r w:rsidRPr="0055149C">
        <w:t>.</w:t>
      </w:r>
      <w:r w:rsidR="00B015B5" w:rsidRPr="0055149C">
        <w:t xml:space="preserve"> Samtlige variabler </w:t>
      </w:r>
      <w:r w:rsidR="007F51CD" w:rsidRPr="0055149C">
        <w:t xml:space="preserve">måles i 2022 og </w:t>
      </w:r>
      <w:r w:rsidR="00B015B5" w:rsidRPr="0055149C">
        <w:t xml:space="preserve">er normalisert til standardnormalfordelingen basert </w:t>
      </w:r>
      <w:r w:rsidRPr="0055149C">
        <w:t>på deres respektive gjennomsnitt og standardfeil.</w:t>
      </w:r>
    </w:p>
    <w:tbl>
      <w:tblPr>
        <w:tblW w:w="0" w:type="auto"/>
        <w:tblCellMar>
          <w:left w:w="70" w:type="dxa"/>
          <w:right w:w="70" w:type="dxa"/>
        </w:tblCellMar>
        <w:tblLook w:val="04A0" w:firstRow="1" w:lastRow="0" w:firstColumn="1" w:lastColumn="0" w:noHBand="0" w:noVBand="1"/>
      </w:tblPr>
      <w:tblGrid>
        <w:gridCol w:w="2423"/>
        <w:gridCol w:w="901"/>
        <w:gridCol w:w="901"/>
        <w:gridCol w:w="901"/>
        <w:gridCol w:w="901"/>
        <w:gridCol w:w="901"/>
        <w:gridCol w:w="901"/>
        <w:gridCol w:w="901"/>
        <w:gridCol w:w="901"/>
        <w:gridCol w:w="901"/>
        <w:gridCol w:w="901"/>
        <w:gridCol w:w="901"/>
        <w:gridCol w:w="901"/>
      </w:tblGrid>
      <w:tr w:rsidR="00423107" w:rsidRPr="00423107" w14:paraId="2A88548D" w14:textId="77777777" w:rsidTr="00423107">
        <w:trPr>
          <w:trHeight w:val="50"/>
        </w:trPr>
        <w:tc>
          <w:tcPr>
            <w:tcW w:w="2423" w:type="dxa"/>
            <w:tcBorders>
              <w:top w:val="single" w:sz="4" w:space="0" w:color="auto"/>
              <w:left w:val="single" w:sz="4" w:space="0" w:color="auto"/>
              <w:bottom w:val="nil"/>
              <w:right w:val="nil"/>
            </w:tcBorders>
            <w:shd w:val="clear" w:color="000000" w:fill="3672B0"/>
            <w:noWrap/>
            <w:vAlign w:val="center"/>
            <w:hideMark/>
          </w:tcPr>
          <w:p w14:paraId="5402F029" w14:textId="77777777" w:rsidR="00651A5A" w:rsidRPr="00651A5A" w:rsidRDefault="00651A5A" w:rsidP="00651A5A">
            <w:pPr>
              <w:spacing w:before="0" w:line="240" w:lineRule="auto"/>
              <w:jc w:val="left"/>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Variabler</w:t>
            </w:r>
          </w:p>
        </w:tc>
        <w:tc>
          <w:tcPr>
            <w:tcW w:w="901" w:type="dxa"/>
            <w:tcBorders>
              <w:top w:val="single" w:sz="4" w:space="0" w:color="auto"/>
              <w:left w:val="nil"/>
              <w:bottom w:val="nil"/>
              <w:right w:val="nil"/>
            </w:tcBorders>
            <w:shd w:val="clear" w:color="000000" w:fill="3672B0"/>
            <w:noWrap/>
            <w:vAlign w:val="center"/>
            <w:hideMark/>
          </w:tcPr>
          <w:p w14:paraId="0FC425D2"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w:t>
            </w:r>
          </w:p>
        </w:tc>
        <w:tc>
          <w:tcPr>
            <w:tcW w:w="901" w:type="dxa"/>
            <w:tcBorders>
              <w:top w:val="single" w:sz="4" w:space="0" w:color="auto"/>
              <w:left w:val="nil"/>
              <w:bottom w:val="nil"/>
              <w:right w:val="nil"/>
            </w:tcBorders>
            <w:shd w:val="clear" w:color="000000" w:fill="3672B0"/>
            <w:noWrap/>
            <w:vAlign w:val="center"/>
            <w:hideMark/>
          </w:tcPr>
          <w:p w14:paraId="72EBA35B"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w:t>
            </w:r>
          </w:p>
        </w:tc>
        <w:tc>
          <w:tcPr>
            <w:tcW w:w="901" w:type="dxa"/>
            <w:tcBorders>
              <w:top w:val="single" w:sz="4" w:space="0" w:color="auto"/>
              <w:left w:val="nil"/>
              <w:bottom w:val="nil"/>
              <w:right w:val="nil"/>
            </w:tcBorders>
            <w:shd w:val="clear" w:color="000000" w:fill="3672B0"/>
            <w:noWrap/>
            <w:vAlign w:val="center"/>
            <w:hideMark/>
          </w:tcPr>
          <w:p w14:paraId="54E6D17E"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(3)</w:t>
            </w:r>
          </w:p>
        </w:tc>
        <w:tc>
          <w:tcPr>
            <w:tcW w:w="901" w:type="dxa"/>
            <w:tcBorders>
              <w:top w:val="single" w:sz="4" w:space="0" w:color="auto"/>
              <w:left w:val="nil"/>
              <w:bottom w:val="nil"/>
              <w:right w:val="nil"/>
            </w:tcBorders>
            <w:shd w:val="clear" w:color="000000" w:fill="3672B0"/>
            <w:noWrap/>
            <w:vAlign w:val="center"/>
            <w:hideMark/>
          </w:tcPr>
          <w:p w14:paraId="35FFBD4B"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(4)</w:t>
            </w:r>
          </w:p>
        </w:tc>
        <w:tc>
          <w:tcPr>
            <w:tcW w:w="901" w:type="dxa"/>
            <w:tcBorders>
              <w:top w:val="single" w:sz="4" w:space="0" w:color="auto"/>
              <w:left w:val="nil"/>
              <w:bottom w:val="nil"/>
              <w:right w:val="nil"/>
            </w:tcBorders>
            <w:shd w:val="clear" w:color="000000" w:fill="3672B0"/>
            <w:noWrap/>
            <w:vAlign w:val="center"/>
            <w:hideMark/>
          </w:tcPr>
          <w:p w14:paraId="2F0DBD04"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(5)</w:t>
            </w:r>
          </w:p>
        </w:tc>
        <w:tc>
          <w:tcPr>
            <w:tcW w:w="901" w:type="dxa"/>
            <w:tcBorders>
              <w:top w:val="single" w:sz="4" w:space="0" w:color="auto"/>
              <w:left w:val="nil"/>
              <w:bottom w:val="nil"/>
              <w:right w:val="nil"/>
            </w:tcBorders>
            <w:shd w:val="clear" w:color="000000" w:fill="3672B0"/>
            <w:noWrap/>
            <w:vAlign w:val="center"/>
            <w:hideMark/>
          </w:tcPr>
          <w:p w14:paraId="3D1902F8"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(6)</w:t>
            </w:r>
          </w:p>
        </w:tc>
        <w:tc>
          <w:tcPr>
            <w:tcW w:w="901" w:type="dxa"/>
            <w:tcBorders>
              <w:top w:val="single" w:sz="4" w:space="0" w:color="auto"/>
              <w:left w:val="nil"/>
              <w:bottom w:val="nil"/>
              <w:right w:val="nil"/>
            </w:tcBorders>
            <w:shd w:val="clear" w:color="000000" w:fill="3672B0"/>
            <w:noWrap/>
            <w:vAlign w:val="center"/>
            <w:hideMark/>
          </w:tcPr>
          <w:p w14:paraId="0393A6A2"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(7)</w:t>
            </w:r>
          </w:p>
        </w:tc>
        <w:tc>
          <w:tcPr>
            <w:tcW w:w="901" w:type="dxa"/>
            <w:tcBorders>
              <w:top w:val="single" w:sz="4" w:space="0" w:color="auto"/>
              <w:left w:val="nil"/>
              <w:bottom w:val="nil"/>
              <w:right w:val="nil"/>
            </w:tcBorders>
            <w:shd w:val="clear" w:color="000000" w:fill="3672B0"/>
            <w:noWrap/>
            <w:vAlign w:val="center"/>
            <w:hideMark/>
          </w:tcPr>
          <w:p w14:paraId="526C53B7"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(8)</w:t>
            </w:r>
          </w:p>
        </w:tc>
        <w:tc>
          <w:tcPr>
            <w:tcW w:w="901" w:type="dxa"/>
            <w:tcBorders>
              <w:top w:val="single" w:sz="4" w:space="0" w:color="auto"/>
              <w:left w:val="nil"/>
              <w:bottom w:val="nil"/>
              <w:right w:val="nil"/>
            </w:tcBorders>
            <w:shd w:val="clear" w:color="000000" w:fill="3672B0"/>
            <w:noWrap/>
            <w:vAlign w:val="center"/>
            <w:hideMark/>
          </w:tcPr>
          <w:p w14:paraId="20D47C88"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(9)</w:t>
            </w:r>
          </w:p>
        </w:tc>
        <w:tc>
          <w:tcPr>
            <w:tcW w:w="901" w:type="dxa"/>
            <w:tcBorders>
              <w:top w:val="single" w:sz="4" w:space="0" w:color="auto"/>
              <w:left w:val="nil"/>
              <w:bottom w:val="nil"/>
              <w:right w:val="nil"/>
            </w:tcBorders>
            <w:shd w:val="clear" w:color="000000" w:fill="3672B0"/>
            <w:noWrap/>
            <w:vAlign w:val="center"/>
            <w:hideMark/>
          </w:tcPr>
          <w:p w14:paraId="12BA3A36"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(10)</w:t>
            </w:r>
          </w:p>
        </w:tc>
        <w:tc>
          <w:tcPr>
            <w:tcW w:w="901" w:type="dxa"/>
            <w:tcBorders>
              <w:top w:val="single" w:sz="4" w:space="0" w:color="auto"/>
              <w:left w:val="nil"/>
              <w:bottom w:val="nil"/>
              <w:right w:val="nil"/>
            </w:tcBorders>
            <w:shd w:val="clear" w:color="000000" w:fill="3672B0"/>
            <w:noWrap/>
            <w:vAlign w:val="center"/>
            <w:hideMark/>
          </w:tcPr>
          <w:p w14:paraId="0D57E411"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(11)</w:t>
            </w:r>
          </w:p>
        </w:tc>
        <w:tc>
          <w:tcPr>
            <w:tcW w:w="901" w:type="dxa"/>
            <w:tcBorders>
              <w:top w:val="single" w:sz="4" w:space="0" w:color="auto"/>
              <w:left w:val="nil"/>
              <w:bottom w:val="nil"/>
              <w:right w:val="single" w:sz="4" w:space="0" w:color="auto"/>
            </w:tcBorders>
            <w:shd w:val="clear" w:color="000000" w:fill="3672B0"/>
            <w:noWrap/>
            <w:vAlign w:val="center"/>
            <w:hideMark/>
          </w:tcPr>
          <w:p w14:paraId="7FD5075C"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(12)</w:t>
            </w:r>
          </w:p>
        </w:tc>
      </w:tr>
      <w:tr w:rsidR="00423107" w:rsidRPr="00423107" w14:paraId="18A08BA4" w14:textId="77777777" w:rsidTr="00423107">
        <w:trPr>
          <w:trHeight w:val="261"/>
        </w:trPr>
        <w:tc>
          <w:tcPr>
            <w:tcW w:w="2423" w:type="dxa"/>
            <w:vMerge w:val="restart"/>
            <w:tcBorders>
              <w:top w:val="single" w:sz="4" w:space="0" w:color="auto"/>
              <w:left w:val="single" w:sz="4" w:space="0" w:color="auto"/>
              <w:bottom w:val="nil"/>
              <w:right w:val="single" w:sz="4" w:space="0" w:color="auto"/>
            </w:tcBorders>
            <w:shd w:val="clear" w:color="000000" w:fill="A9C6E4"/>
            <w:vAlign w:val="center"/>
            <w:hideMark/>
          </w:tcPr>
          <w:p w14:paraId="4B207013"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Befolkning</w:t>
            </w:r>
          </w:p>
        </w:tc>
        <w:tc>
          <w:tcPr>
            <w:tcW w:w="901" w:type="dxa"/>
            <w:tcBorders>
              <w:top w:val="single" w:sz="4" w:space="0" w:color="auto"/>
              <w:left w:val="nil"/>
              <w:bottom w:val="nil"/>
              <w:right w:val="nil"/>
            </w:tcBorders>
            <w:shd w:val="clear" w:color="000000" w:fill="F48594"/>
            <w:noWrap/>
            <w:vAlign w:val="center"/>
            <w:hideMark/>
          </w:tcPr>
          <w:p w14:paraId="3678745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-0.102**</w:t>
            </w:r>
          </w:p>
        </w:tc>
        <w:tc>
          <w:tcPr>
            <w:tcW w:w="901" w:type="dxa"/>
            <w:tcBorders>
              <w:top w:val="single" w:sz="4" w:space="0" w:color="auto"/>
              <w:left w:val="nil"/>
              <w:bottom w:val="nil"/>
              <w:right w:val="nil"/>
            </w:tcBorders>
            <w:shd w:val="clear" w:color="000000" w:fill="F48594"/>
            <w:noWrap/>
            <w:vAlign w:val="center"/>
            <w:hideMark/>
          </w:tcPr>
          <w:p w14:paraId="4614664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-0.095**</w:t>
            </w:r>
          </w:p>
        </w:tc>
        <w:tc>
          <w:tcPr>
            <w:tcW w:w="901" w:type="dxa"/>
            <w:tcBorders>
              <w:top w:val="single" w:sz="4" w:space="0" w:color="auto"/>
              <w:left w:val="nil"/>
              <w:bottom w:val="nil"/>
              <w:right w:val="nil"/>
            </w:tcBorders>
            <w:shd w:val="clear" w:color="000000" w:fill="F48594"/>
            <w:noWrap/>
            <w:vAlign w:val="center"/>
            <w:hideMark/>
          </w:tcPr>
          <w:p w14:paraId="17A58E5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-0.215**</w:t>
            </w:r>
          </w:p>
        </w:tc>
        <w:tc>
          <w:tcPr>
            <w:tcW w:w="901" w:type="dxa"/>
            <w:tcBorders>
              <w:top w:val="single" w:sz="4" w:space="0" w:color="auto"/>
              <w:left w:val="nil"/>
              <w:bottom w:val="nil"/>
              <w:right w:val="nil"/>
            </w:tcBorders>
            <w:shd w:val="clear" w:color="000000" w:fill="F48594"/>
            <w:noWrap/>
            <w:vAlign w:val="center"/>
            <w:hideMark/>
          </w:tcPr>
          <w:p w14:paraId="455338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-0.216**</w:t>
            </w:r>
          </w:p>
        </w:tc>
        <w:tc>
          <w:tcPr>
            <w:tcW w:w="901" w:type="dxa"/>
            <w:tcBorders>
              <w:top w:val="single" w:sz="4" w:space="0" w:color="auto"/>
              <w:left w:val="nil"/>
              <w:bottom w:val="nil"/>
              <w:right w:val="nil"/>
            </w:tcBorders>
            <w:shd w:val="clear" w:color="000000" w:fill="F48594"/>
            <w:noWrap/>
            <w:vAlign w:val="center"/>
            <w:hideMark/>
          </w:tcPr>
          <w:p w14:paraId="24BD118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-0.182**</w:t>
            </w:r>
          </w:p>
        </w:tc>
        <w:tc>
          <w:tcPr>
            <w:tcW w:w="901" w:type="dxa"/>
            <w:tcBorders>
              <w:top w:val="single" w:sz="4" w:space="0" w:color="auto"/>
              <w:left w:val="nil"/>
              <w:bottom w:val="nil"/>
              <w:right w:val="nil"/>
            </w:tcBorders>
            <w:shd w:val="clear" w:color="000000" w:fill="F48594"/>
            <w:noWrap/>
            <w:vAlign w:val="center"/>
            <w:hideMark/>
          </w:tcPr>
          <w:p w14:paraId="045651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-0.184**</w:t>
            </w:r>
          </w:p>
        </w:tc>
        <w:tc>
          <w:tcPr>
            <w:tcW w:w="901" w:type="dxa"/>
            <w:tcBorders>
              <w:top w:val="single" w:sz="4" w:space="0" w:color="auto"/>
              <w:left w:val="nil"/>
              <w:bottom w:val="nil"/>
              <w:right w:val="nil"/>
            </w:tcBorders>
            <w:shd w:val="clear" w:color="000000" w:fill="F48594"/>
            <w:noWrap/>
            <w:vAlign w:val="center"/>
            <w:hideMark/>
          </w:tcPr>
          <w:p w14:paraId="7E91711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-0.204**</w:t>
            </w:r>
          </w:p>
        </w:tc>
        <w:tc>
          <w:tcPr>
            <w:tcW w:w="901" w:type="dxa"/>
            <w:tcBorders>
              <w:top w:val="single" w:sz="4" w:space="0" w:color="auto"/>
              <w:left w:val="nil"/>
              <w:bottom w:val="nil"/>
              <w:right w:val="nil"/>
            </w:tcBorders>
            <w:shd w:val="clear" w:color="000000" w:fill="F48594"/>
            <w:noWrap/>
            <w:vAlign w:val="center"/>
            <w:hideMark/>
          </w:tcPr>
          <w:p w14:paraId="2CACA5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-0.205**</w:t>
            </w:r>
          </w:p>
        </w:tc>
        <w:tc>
          <w:tcPr>
            <w:tcW w:w="901" w:type="dxa"/>
            <w:tcBorders>
              <w:top w:val="single" w:sz="4" w:space="0" w:color="auto"/>
              <w:left w:val="nil"/>
              <w:bottom w:val="nil"/>
              <w:right w:val="nil"/>
            </w:tcBorders>
            <w:shd w:val="clear" w:color="000000" w:fill="F48594"/>
            <w:noWrap/>
            <w:vAlign w:val="center"/>
            <w:hideMark/>
          </w:tcPr>
          <w:p w14:paraId="7666207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-0.212**</w:t>
            </w:r>
          </w:p>
        </w:tc>
        <w:tc>
          <w:tcPr>
            <w:tcW w:w="901" w:type="dxa"/>
            <w:tcBorders>
              <w:top w:val="single" w:sz="4" w:space="0" w:color="auto"/>
              <w:left w:val="nil"/>
              <w:bottom w:val="nil"/>
              <w:right w:val="nil"/>
            </w:tcBorders>
            <w:shd w:val="clear" w:color="000000" w:fill="F48594"/>
            <w:noWrap/>
            <w:vAlign w:val="center"/>
            <w:hideMark/>
          </w:tcPr>
          <w:p w14:paraId="46F8EF0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-0.201**</w:t>
            </w:r>
          </w:p>
        </w:tc>
        <w:tc>
          <w:tcPr>
            <w:tcW w:w="901" w:type="dxa"/>
            <w:tcBorders>
              <w:top w:val="single" w:sz="4" w:space="0" w:color="auto"/>
              <w:left w:val="nil"/>
              <w:bottom w:val="nil"/>
              <w:right w:val="nil"/>
            </w:tcBorders>
            <w:shd w:val="clear" w:color="000000" w:fill="F48594"/>
            <w:noWrap/>
            <w:vAlign w:val="center"/>
            <w:hideMark/>
          </w:tcPr>
          <w:p w14:paraId="56F7434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-0.200**</w:t>
            </w:r>
          </w:p>
        </w:tc>
        <w:tc>
          <w:tcPr>
            <w:tcW w:w="901" w:type="dxa"/>
            <w:tcBorders>
              <w:top w:val="single" w:sz="4" w:space="0" w:color="auto"/>
              <w:left w:val="nil"/>
              <w:bottom w:val="nil"/>
              <w:right w:val="single" w:sz="4" w:space="0" w:color="auto"/>
            </w:tcBorders>
            <w:shd w:val="clear" w:color="000000" w:fill="F48594"/>
            <w:noWrap/>
            <w:vAlign w:val="center"/>
            <w:hideMark/>
          </w:tcPr>
          <w:p w14:paraId="66DBC85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-0.197**</w:t>
            </w:r>
          </w:p>
        </w:tc>
      </w:tr>
      <w:tr w:rsidR="00423107" w:rsidRPr="00423107" w14:paraId="70630B0F" w14:textId="77777777" w:rsidTr="00423107">
        <w:trPr>
          <w:trHeight w:val="50"/>
        </w:trPr>
        <w:tc>
          <w:tcPr>
            <w:tcW w:w="2423" w:type="dxa"/>
            <w:vMerge/>
            <w:tcBorders>
              <w:top w:val="single" w:sz="4" w:space="0" w:color="auto"/>
              <w:left w:val="single" w:sz="4" w:space="0" w:color="auto"/>
              <w:bottom w:val="nil"/>
              <w:right w:val="single" w:sz="4" w:space="0" w:color="auto"/>
            </w:tcBorders>
            <w:vAlign w:val="center"/>
            <w:hideMark/>
          </w:tcPr>
          <w:p w14:paraId="6219DF9A"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48594"/>
            <w:noWrap/>
            <w:vAlign w:val="center"/>
            <w:hideMark/>
          </w:tcPr>
          <w:p w14:paraId="15A40CA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48594"/>
            <w:noWrap/>
            <w:vAlign w:val="center"/>
            <w:hideMark/>
          </w:tcPr>
          <w:p w14:paraId="5186709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48594"/>
            <w:noWrap/>
            <w:vAlign w:val="center"/>
            <w:hideMark/>
          </w:tcPr>
          <w:p w14:paraId="2D99DF0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F48594"/>
            <w:noWrap/>
            <w:vAlign w:val="center"/>
            <w:hideMark/>
          </w:tcPr>
          <w:p w14:paraId="030D82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F48594"/>
            <w:noWrap/>
            <w:vAlign w:val="center"/>
            <w:hideMark/>
          </w:tcPr>
          <w:p w14:paraId="3865B71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48594"/>
            <w:noWrap/>
            <w:vAlign w:val="center"/>
            <w:hideMark/>
          </w:tcPr>
          <w:p w14:paraId="312CB44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1" w:type="dxa"/>
            <w:tcBorders>
              <w:top w:val="nil"/>
              <w:left w:val="nil"/>
              <w:bottom w:val="nil"/>
              <w:right w:val="nil"/>
            </w:tcBorders>
            <w:shd w:val="clear" w:color="000000" w:fill="F48594"/>
            <w:noWrap/>
            <w:vAlign w:val="center"/>
            <w:hideMark/>
          </w:tcPr>
          <w:p w14:paraId="1B0D2C5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F48594"/>
            <w:noWrap/>
            <w:vAlign w:val="center"/>
            <w:hideMark/>
          </w:tcPr>
          <w:p w14:paraId="636AB49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1" w:type="dxa"/>
            <w:tcBorders>
              <w:top w:val="nil"/>
              <w:left w:val="nil"/>
              <w:bottom w:val="nil"/>
              <w:right w:val="nil"/>
            </w:tcBorders>
            <w:shd w:val="clear" w:color="000000" w:fill="F48594"/>
            <w:noWrap/>
            <w:vAlign w:val="center"/>
            <w:hideMark/>
          </w:tcPr>
          <w:p w14:paraId="0F9EB41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F48594"/>
            <w:noWrap/>
            <w:vAlign w:val="center"/>
            <w:hideMark/>
          </w:tcPr>
          <w:p w14:paraId="566E8D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nil"/>
            </w:tcBorders>
            <w:shd w:val="clear" w:color="000000" w:fill="F48594"/>
            <w:noWrap/>
            <w:vAlign w:val="center"/>
            <w:hideMark/>
          </w:tcPr>
          <w:p w14:paraId="6A4774D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single" w:sz="4" w:space="0" w:color="auto"/>
            </w:tcBorders>
            <w:shd w:val="clear" w:color="000000" w:fill="F48594"/>
            <w:noWrap/>
            <w:vAlign w:val="center"/>
            <w:hideMark/>
          </w:tcPr>
          <w:p w14:paraId="525A61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r>
      <w:tr w:rsidR="00423107" w:rsidRPr="00423107" w14:paraId="089CE86E"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22AC2208"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Intern reiseavstandsproxy</w:t>
            </w:r>
          </w:p>
        </w:tc>
        <w:tc>
          <w:tcPr>
            <w:tcW w:w="901" w:type="dxa"/>
            <w:tcBorders>
              <w:top w:val="nil"/>
              <w:left w:val="nil"/>
              <w:bottom w:val="nil"/>
              <w:right w:val="nil"/>
            </w:tcBorders>
            <w:shd w:val="clear" w:color="000000" w:fill="EF485F"/>
            <w:noWrap/>
            <w:vAlign w:val="center"/>
            <w:hideMark/>
          </w:tcPr>
          <w:p w14:paraId="40A24FD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-0.134***</w:t>
            </w:r>
          </w:p>
        </w:tc>
        <w:tc>
          <w:tcPr>
            <w:tcW w:w="901" w:type="dxa"/>
            <w:tcBorders>
              <w:top w:val="nil"/>
              <w:left w:val="nil"/>
              <w:bottom w:val="nil"/>
              <w:right w:val="nil"/>
            </w:tcBorders>
            <w:shd w:val="clear" w:color="000000" w:fill="EF485F"/>
            <w:noWrap/>
            <w:vAlign w:val="center"/>
            <w:hideMark/>
          </w:tcPr>
          <w:p w14:paraId="2DDCE6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-0.125***</w:t>
            </w:r>
          </w:p>
        </w:tc>
        <w:tc>
          <w:tcPr>
            <w:tcW w:w="901" w:type="dxa"/>
            <w:tcBorders>
              <w:top w:val="nil"/>
              <w:left w:val="nil"/>
              <w:bottom w:val="nil"/>
              <w:right w:val="nil"/>
            </w:tcBorders>
            <w:shd w:val="clear" w:color="000000" w:fill="EF485F"/>
            <w:noWrap/>
            <w:vAlign w:val="center"/>
            <w:hideMark/>
          </w:tcPr>
          <w:p w14:paraId="0E88A94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-0.243***</w:t>
            </w:r>
          </w:p>
        </w:tc>
        <w:tc>
          <w:tcPr>
            <w:tcW w:w="901" w:type="dxa"/>
            <w:tcBorders>
              <w:top w:val="nil"/>
              <w:left w:val="nil"/>
              <w:bottom w:val="nil"/>
              <w:right w:val="nil"/>
            </w:tcBorders>
            <w:shd w:val="clear" w:color="000000" w:fill="EF485F"/>
            <w:noWrap/>
            <w:vAlign w:val="center"/>
            <w:hideMark/>
          </w:tcPr>
          <w:p w14:paraId="2BD3974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-0.232***</w:t>
            </w:r>
          </w:p>
        </w:tc>
        <w:tc>
          <w:tcPr>
            <w:tcW w:w="901" w:type="dxa"/>
            <w:tcBorders>
              <w:top w:val="nil"/>
              <w:left w:val="nil"/>
              <w:bottom w:val="nil"/>
              <w:right w:val="nil"/>
            </w:tcBorders>
            <w:shd w:val="clear" w:color="000000" w:fill="EF485F"/>
            <w:noWrap/>
            <w:vAlign w:val="center"/>
            <w:hideMark/>
          </w:tcPr>
          <w:p w14:paraId="6F5F9AB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-0.203***</w:t>
            </w:r>
          </w:p>
        </w:tc>
        <w:tc>
          <w:tcPr>
            <w:tcW w:w="901" w:type="dxa"/>
            <w:tcBorders>
              <w:top w:val="nil"/>
              <w:left w:val="nil"/>
              <w:bottom w:val="nil"/>
              <w:right w:val="nil"/>
            </w:tcBorders>
            <w:shd w:val="clear" w:color="000000" w:fill="EF485F"/>
            <w:noWrap/>
            <w:vAlign w:val="center"/>
            <w:hideMark/>
          </w:tcPr>
          <w:p w14:paraId="41BF5E7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-0.205***</w:t>
            </w:r>
          </w:p>
        </w:tc>
        <w:tc>
          <w:tcPr>
            <w:tcW w:w="901" w:type="dxa"/>
            <w:tcBorders>
              <w:top w:val="nil"/>
              <w:left w:val="nil"/>
              <w:bottom w:val="nil"/>
              <w:right w:val="nil"/>
            </w:tcBorders>
            <w:shd w:val="clear" w:color="000000" w:fill="EF485F"/>
            <w:noWrap/>
            <w:vAlign w:val="center"/>
            <w:hideMark/>
          </w:tcPr>
          <w:p w14:paraId="659791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-0.231***</w:t>
            </w:r>
          </w:p>
        </w:tc>
        <w:tc>
          <w:tcPr>
            <w:tcW w:w="901" w:type="dxa"/>
            <w:tcBorders>
              <w:top w:val="nil"/>
              <w:left w:val="nil"/>
              <w:bottom w:val="nil"/>
              <w:right w:val="nil"/>
            </w:tcBorders>
            <w:shd w:val="clear" w:color="000000" w:fill="EF485F"/>
            <w:noWrap/>
            <w:vAlign w:val="center"/>
            <w:hideMark/>
          </w:tcPr>
          <w:p w14:paraId="02BAD99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-0.231***</w:t>
            </w:r>
          </w:p>
        </w:tc>
        <w:tc>
          <w:tcPr>
            <w:tcW w:w="901" w:type="dxa"/>
            <w:tcBorders>
              <w:top w:val="nil"/>
              <w:left w:val="nil"/>
              <w:bottom w:val="nil"/>
              <w:right w:val="nil"/>
            </w:tcBorders>
            <w:shd w:val="clear" w:color="000000" w:fill="EF485F"/>
            <w:noWrap/>
            <w:vAlign w:val="center"/>
            <w:hideMark/>
          </w:tcPr>
          <w:p w14:paraId="553ADC6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-0.236***</w:t>
            </w:r>
          </w:p>
        </w:tc>
        <w:tc>
          <w:tcPr>
            <w:tcW w:w="901" w:type="dxa"/>
            <w:tcBorders>
              <w:top w:val="nil"/>
              <w:left w:val="nil"/>
              <w:bottom w:val="nil"/>
              <w:right w:val="nil"/>
            </w:tcBorders>
            <w:shd w:val="clear" w:color="000000" w:fill="EF485F"/>
            <w:noWrap/>
            <w:vAlign w:val="center"/>
            <w:hideMark/>
          </w:tcPr>
          <w:p w14:paraId="4E267E7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-0.228***</w:t>
            </w:r>
          </w:p>
        </w:tc>
        <w:tc>
          <w:tcPr>
            <w:tcW w:w="901" w:type="dxa"/>
            <w:tcBorders>
              <w:top w:val="nil"/>
              <w:left w:val="nil"/>
              <w:bottom w:val="nil"/>
              <w:right w:val="nil"/>
            </w:tcBorders>
            <w:shd w:val="clear" w:color="000000" w:fill="EF485F"/>
            <w:noWrap/>
            <w:vAlign w:val="center"/>
            <w:hideMark/>
          </w:tcPr>
          <w:p w14:paraId="35CE6F4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-0.226***</w:t>
            </w:r>
          </w:p>
        </w:tc>
        <w:tc>
          <w:tcPr>
            <w:tcW w:w="901" w:type="dxa"/>
            <w:tcBorders>
              <w:top w:val="nil"/>
              <w:left w:val="nil"/>
              <w:bottom w:val="nil"/>
              <w:right w:val="single" w:sz="4" w:space="0" w:color="auto"/>
            </w:tcBorders>
            <w:shd w:val="clear" w:color="000000" w:fill="EF485F"/>
            <w:noWrap/>
            <w:vAlign w:val="center"/>
            <w:hideMark/>
          </w:tcPr>
          <w:p w14:paraId="4B90AF2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-0.216***</w:t>
            </w:r>
          </w:p>
        </w:tc>
      </w:tr>
      <w:tr w:rsidR="00423107" w:rsidRPr="00423107" w14:paraId="387AA7E6"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068D7558"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EF485F"/>
            <w:noWrap/>
            <w:vAlign w:val="center"/>
            <w:hideMark/>
          </w:tcPr>
          <w:p w14:paraId="7BDB58F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EF485F"/>
            <w:noWrap/>
            <w:vAlign w:val="center"/>
            <w:hideMark/>
          </w:tcPr>
          <w:p w14:paraId="28F16EE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EF485F"/>
            <w:noWrap/>
            <w:vAlign w:val="center"/>
            <w:hideMark/>
          </w:tcPr>
          <w:p w14:paraId="51374B2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1" w:type="dxa"/>
            <w:tcBorders>
              <w:top w:val="nil"/>
              <w:left w:val="nil"/>
              <w:bottom w:val="nil"/>
              <w:right w:val="nil"/>
            </w:tcBorders>
            <w:shd w:val="clear" w:color="000000" w:fill="EF485F"/>
            <w:noWrap/>
            <w:vAlign w:val="center"/>
            <w:hideMark/>
          </w:tcPr>
          <w:p w14:paraId="514C32A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EF485F"/>
            <w:noWrap/>
            <w:vAlign w:val="center"/>
            <w:hideMark/>
          </w:tcPr>
          <w:p w14:paraId="7340E03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1" w:type="dxa"/>
            <w:tcBorders>
              <w:top w:val="nil"/>
              <w:left w:val="nil"/>
              <w:bottom w:val="nil"/>
              <w:right w:val="nil"/>
            </w:tcBorders>
            <w:shd w:val="clear" w:color="000000" w:fill="EF485F"/>
            <w:noWrap/>
            <w:vAlign w:val="center"/>
            <w:hideMark/>
          </w:tcPr>
          <w:p w14:paraId="1AE5FE1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1" w:type="dxa"/>
            <w:tcBorders>
              <w:top w:val="nil"/>
              <w:left w:val="nil"/>
              <w:bottom w:val="nil"/>
              <w:right w:val="nil"/>
            </w:tcBorders>
            <w:shd w:val="clear" w:color="000000" w:fill="EF485F"/>
            <w:noWrap/>
            <w:vAlign w:val="center"/>
            <w:hideMark/>
          </w:tcPr>
          <w:p w14:paraId="0450774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1" w:type="dxa"/>
            <w:tcBorders>
              <w:top w:val="nil"/>
              <w:left w:val="nil"/>
              <w:bottom w:val="nil"/>
              <w:right w:val="nil"/>
            </w:tcBorders>
            <w:shd w:val="clear" w:color="000000" w:fill="EF485F"/>
            <w:noWrap/>
            <w:vAlign w:val="center"/>
            <w:hideMark/>
          </w:tcPr>
          <w:p w14:paraId="1DFC422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EF485F"/>
            <w:noWrap/>
            <w:vAlign w:val="center"/>
            <w:hideMark/>
          </w:tcPr>
          <w:p w14:paraId="71835CF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EF485F"/>
            <w:noWrap/>
            <w:vAlign w:val="center"/>
            <w:hideMark/>
          </w:tcPr>
          <w:p w14:paraId="579328E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EF485F"/>
            <w:noWrap/>
            <w:vAlign w:val="center"/>
            <w:hideMark/>
          </w:tcPr>
          <w:p w14:paraId="4396163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single" w:sz="4" w:space="0" w:color="auto"/>
            </w:tcBorders>
            <w:shd w:val="clear" w:color="000000" w:fill="EF485F"/>
            <w:noWrap/>
            <w:vAlign w:val="center"/>
            <w:hideMark/>
          </w:tcPr>
          <w:p w14:paraId="6FDE269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r>
      <w:tr w:rsidR="00423107" w:rsidRPr="00423107" w14:paraId="01C4FED4"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5487FBF1"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befolkningsvekst de siste ti årene</w:t>
            </w:r>
          </w:p>
        </w:tc>
        <w:tc>
          <w:tcPr>
            <w:tcW w:w="901" w:type="dxa"/>
            <w:tcBorders>
              <w:top w:val="nil"/>
              <w:left w:val="nil"/>
              <w:bottom w:val="nil"/>
              <w:right w:val="nil"/>
            </w:tcBorders>
            <w:shd w:val="clear" w:color="000000" w:fill="FFFFFF"/>
            <w:noWrap/>
            <w:vAlign w:val="center"/>
            <w:hideMark/>
          </w:tcPr>
          <w:p w14:paraId="7FD9412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1" w:type="dxa"/>
            <w:tcBorders>
              <w:top w:val="nil"/>
              <w:left w:val="nil"/>
              <w:bottom w:val="nil"/>
              <w:right w:val="nil"/>
            </w:tcBorders>
            <w:shd w:val="clear" w:color="000000" w:fill="FFFFFF"/>
            <w:noWrap/>
            <w:vAlign w:val="center"/>
            <w:hideMark/>
          </w:tcPr>
          <w:p w14:paraId="4CA4CDD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0.033</w:t>
            </w:r>
          </w:p>
        </w:tc>
        <w:tc>
          <w:tcPr>
            <w:tcW w:w="901" w:type="dxa"/>
            <w:tcBorders>
              <w:top w:val="nil"/>
              <w:left w:val="nil"/>
              <w:bottom w:val="nil"/>
              <w:right w:val="nil"/>
            </w:tcBorders>
            <w:shd w:val="clear" w:color="000000" w:fill="87C399"/>
            <w:noWrap/>
            <w:vAlign w:val="center"/>
            <w:hideMark/>
          </w:tcPr>
          <w:p w14:paraId="6979306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FFFFFF"/>
            <w:noWrap/>
            <w:vAlign w:val="center"/>
            <w:hideMark/>
          </w:tcPr>
          <w:p w14:paraId="6943D3C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1" w:type="dxa"/>
            <w:tcBorders>
              <w:top w:val="nil"/>
              <w:left w:val="nil"/>
              <w:bottom w:val="nil"/>
              <w:right w:val="nil"/>
            </w:tcBorders>
            <w:shd w:val="clear" w:color="000000" w:fill="FFFFFF"/>
            <w:noWrap/>
            <w:vAlign w:val="center"/>
            <w:hideMark/>
          </w:tcPr>
          <w:p w14:paraId="6A21A2F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1" w:type="dxa"/>
            <w:tcBorders>
              <w:top w:val="nil"/>
              <w:left w:val="nil"/>
              <w:bottom w:val="nil"/>
              <w:right w:val="nil"/>
            </w:tcBorders>
            <w:shd w:val="clear" w:color="000000" w:fill="FFFFFF"/>
            <w:noWrap/>
            <w:vAlign w:val="center"/>
            <w:hideMark/>
          </w:tcPr>
          <w:p w14:paraId="27758D6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0.017</w:t>
            </w:r>
          </w:p>
        </w:tc>
        <w:tc>
          <w:tcPr>
            <w:tcW w:w="901" w:type="dxa"/>
            <w:tcBorders>
              <w:top w:val="nil"/>
              <w:left w:val="nil"/>
              <w:bottom w:val="nil"/>
              <w:right w:val="nil"/>
            </w:tcBorders>
            <w:shd w:val="clear" w:color="000000" w:fill="FFFFFF"/>
            <w:noWrap/>
            <w:vAlign w:val="center"/>
            <w:hideMark/>
          </w:tcPr>
          <w:p w14:paraId="63BDD68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nil"/>
            </w:tcBorders>
            <w:shd w:val="clear" w:color="000000" w:fill="FFFFFF"/>
            <w:noWrap/>
            <w:vAlign w:val="center"/>
            <w:hideMark/>
          </w:tcPr>
          <w:p w14:paraId="04DB981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1" w:type="dxa"/>
            <w:tcBorders>
              <w:top w:val="nil"/>
              <w:left w:val="nil"/>
              <w:bottom w:val="nil"/>
              <w:right w:val="nil"/>
            </w:tcBorders>
            <w:shd w:val="clear" w:color="000000" w:fill="FFFFFF"/>
            <w:noWrap/>
            <w:vAlign w:val="center"/>
            <w:hideMark/>
          </w:tcPr>
          <w:p w14:paraId="77657F4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0.018</w:t>
            </w:r>
          </w:p>
        </w:tc>
        <w:tc>
          <w:tcPr>
            <w:tcW w:w="901" w:type="dxa"/>
            <w:tcBorders>
              <w:top w:val="nil"/>
              <w:left w:val="nil"/>
              <w:bottom w:val="nil"/>
              <w:right w:val="nil"/>
            </w:tcBorders>
            <w:shd w:val="clear" w:color="000000" w:fill="FFFFFF"/>
            <w:noWrap/>
            <w:vAlign w:val="center"/>
            <w:hideMark/>
          </w:tcPr>
          <w:p w14:paraId="0BD1462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nil"/>
            </w:tcBorders>
            <w:shd w:val="clear" w:color="000000" w:fill="FFFFFF"/>
            <w:noWrap/>
            <w:vAlign w:val="center"/>
            <w:hideMark/>
          </w:tcPr>
          <w:p w14:paraId="767CFAD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single" w:sz="4" w:space="0" w:color="auto"/>
            </w:tcBorders>
            <w:shd w:val="clear" w:color="000000" w:fill="FFFFFF"/>
            <w:noWrap/>
            <w:vAlign w:val="center"/>
            <w:hideMark/>
          </w:tcPr>
          <w:p w14:paraId="33AFFE8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0.019</w:t>
            </w:r>
          </w:p>
        </w:tc>
      </w:tr>
      <w:tr w:rsidR="00423107" w:rsidRPr="00423107" w14:paraId="08E1A07A" w14:textId="77777777" w:rsidTr="00423107">
        <w:trPr>
          <w:trHeight w:val="76"/>
        </w:trPr>
        <w:tc>
          <w:tcPr>
            <w:tcW w:w="2423" w:type="dxa"/>
            <w:vMerge/>
            <w:tcBorders>
              <w:top w:val="nil"/>
              <w:left w:val="single" w:sz="4" w:space="0" w:color="auto"/>
              <w:bottom w:val="nil"/>
              <w:right w:val="single" w:sz="4" w:space="0" w:color="auto"/>
            </w:tcBorders>
            <w:vAlign w:val="center"/>
            <w:hideMark/>
          </w:tcPr>
          <w:p w14:paraId="7D70C6C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6A87CB1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(0.037)</w:t>
            </w:r>
          </w:p>
        </w:tc>
        <w:tc>
          <w:tcPr>
            <w:tcW w:w="901" w:type="dxa"/>
            <w:tcBorders>
              <w:top w:val="nil"/>
              <w:left w:val="nil"/>
              <w:bottom w:val="nil"/>
              <w:right w:val="nil"/>
            </w:tcBorders>
            <w:shd w:val="clear" w:color="000000" w:fill="FFFFFF"/>
            <w:noWrap/>
            <w:vAlign w:val="center"/>
            <w:hideMark/>
          </w:tcPr>
          <w:p w14:paraId="768724A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1" w:type="dxa"/>
            <w:tcBorders>
              <w:top w:val="nil"/>
              <w:left w:val="nil"/>
              <w:bottom w:val="nil"/>
              <w:right w:val="nil"/>
            </w:tcBorders>
            <w:shd w:val="clear" w:color="000000" w:fill="87C399"/>
            <w:noWrap/>
            <w:vAlign w:val="center"/>
            <w:hideMark/>
          </w:tcPr>
          <w:p w14:paraId="3996A2D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FFFFF"/>
            <w:noWrap/>
            <w:vAlign w:val="center"/>
            <w:hideMark/>
          </w:tcPr>
          <w:p w14:paraId="62F2E41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1B25C84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(0.066)</w:t>
            </w:r>
          </w:p>
        </w:tc>
        <w:tc>
          <w:tcPr>
            <w:tcW w:w="901" w:type="dxa"/>
            <w:tcBorders>
              <w:top w:val="nil"/>
              <w:left w:val="nil"/>
              <w:bottom w:val="nil"/>
              <w:right w:val="nil"/>
            </w:tcBorders>
            <w:shd w:val="clear" w:color="000000" w:fill="FFFFFF"/>
            <w:noWrap/>
            <w:vAlign w:val="center"/>
            <w:hideMark/>
          </w:tcPr>
          <w:p w14:paraId="13806DC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FFFFFF"/>
            <w:noWrap/>
            <w:vAlign w:val="center"/>
            <w:hideMark/>
          </w:tcPr>
          <w:p w14:paraId="40FF86E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FFFFFF"/>
            <w:noWrap/>
            <w:vAlign w:val="center"/>
            <w:hideMark/>
          </w:tcPr>
          <w:p w14:paraId="25E6A36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c>
          <w:tcPr>
            <w:tcW w:w="901" w:type="dxa"/>
            <w:tcBorders>
              <w:top w:val="nil"/>
              <w:left w:val="nil"/>
              <w:bottom w:val="nil"/>
              <w:right w:val="nil"/>
            </w:tcBorders>
            <w:shd w:val="clear" w:color="000000" w:fill="FFFFFF"/>
            <w:noWrap/>
            <w:vAlign w:val="center"/>
            <w:hideMark/>
          </w:tcPr>
          <w:p w14:paraId="1C16B62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c>
          <w:tcPr>
            <w:tcW w:w="901" w:type="dxa"/>
            <w:tcBorders>
              <w:top w:val="nil"/>
              <w:left w:val="nil"/>
              <w:bottom w:val="nil"/>
              <w:right w:val="nil"/>
            </w:tcBorders>
            <w:shd w:val="clear" w:color="000000" w:fill="FFFFFF"/>
            <w:noWrap/>
            <w:vAlign w:val="center"/>
            <w:hideMark/>
          </w:tcPr>
          <w:p w14:paraId="2E57B27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FFFFFF"/>
            <w:noWrap/>
            <w:vAlign w:val="center"/>
            <w:hideMark/>
          </w:tcPr>
          <w:p w14:paraId="7565679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single" w:sz="4" w:space="0" w:color="auto"/>
            </w:tcBorders>
            <w:shd w:val="clear" w:color="000000" w:fill="FFFFFF"/>
            <w:noWrap/>
            <w:vAlign w:val="center"/>
            <w:hideMark/>
          </w:tcPr>
          <w:p w14:paraId="4E435A0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r>
      <w:tr w:rsidR="00423107" w:rsidRPr="00423107" w14:paraId="4D710B32"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52D62B4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sysselsettingsvekst de siste ti årene</w:t>
            </w:r>
          </w:p>
        </w:tc>
        <w:tc>
          <w:tcPr>
            <w:tcW w:w="901" w:type="dxa"/>
            <w:tcBorders>
              <w:top w:val="nil"/>
              <w:left w:val="nil"/>
              <w:bottom w:val="nil"/>
              <w:right w:val="nil"/>
            </w:tcBorders>
            <w:shd w:val="clear" w:color="000000" w:fill="FFFFFF"/>
            <w:noWrap/>
            <w:vAlign w:val="center"/>
            <w:hideMark/>
          </w:tcPr>
          <w:p w14:paraId="7D48380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0.032</w:t>
            </w:r>
          </w:p>
        </w:tc>
        <w:tc>
          <w:tcPr>
            <w:tcW w:w="901" w:type="dxa"/>
            <w:tcBorders>
              <w:top w:val="nil"/>
              <w:left w:val="nil"/>
              <w:bottom w:val="nil"/>
              <w:right w:val="nil"/>
            </w:tcBorders>
            <w:shd w:val="clear" w:color="000000" w:fill="FFFFFF"/>
            <w:noWrap/>
            <w:vAlign w:val="center"/>
            <w:hideMark/>
          </w:tcPr>
          <w:p w14:paraId="56999B6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0.028</w:t>
            </w:r>
          </w:p>
        </w:tc>
        <w:tc>
          <w:tcPr>
            <w:tcW w:w="901" w:type="dxa"/>
            <w:tcBorders>
              <w:top w:val="nil"/>
              <w:left w:val="nil"/>
              <w:bottom w:val="nil"/>
              <w:right w:val="nil"/>
            </w:tcBorders>
            <w:shd w:val="clear" w:color="000000" w:fill="FFFFFF"/>
            <w:noWrap/>
            <w:vAlign w:val="center"/>
            <w:hideMark/>
          </w:tcPr>
          <w:p w14:paraId="5DEC008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1" w:type="dxa"/>
            <w:tcBorders>
              <w:top w:val="nil"/>
              <w:left w:val="nil"/>
              <w:bottom w:val="nil"/>
              <w:right w:val="nil"/>
            </w:tcBorders>
            <w:shd w:val="clear" w:color="000000" w:fill="FFFFFF"/>
            <w:noWrap/>
            <w:vAlign w:val="center"/>
            <w:hideMark/>
          </w:tcPr>
          <w:p w14:paraId="41DE39A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05559A8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1" w:type="dxa"/>
            <w:tcBorders>
              <w:top w:val="nil"/>
              <w:left w:val="nil"/>
              <w:bottom w:val="nil"/>
              <w:right w:val="nil"/>
            </w:tcBorders>
            <w:shd w:val="clear" w:color="000000" w:fill="FFFFFF"/>
            <w:noWrap/>
            <w:vAlign w:val="center"/>
            <w:hideMark/>
          </w:tcPr>
          <w:p w14:paraId="4014DF2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1" w:type="dxa"/>
            <w:tcBorders>
              <w:top w:val="nil"/>
              <w:left w:val="nil"/>
              <w:bottom w:val="nil"/>
              <w:right w:val="nil"/>
            </w:tcBorders>
            <w:shd w:val="clear" w:color="000000" w:fill="FFFFFF"/>
            <w:noWrap/>
            <w:vAlign w:val="center"/>
            <w:hideMark/>
          </w:tcPr>
          <w:p w14:paraId="7BC13C3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nil"/>
              <w:right w:val="nil"/>
            </w:tcBorders>
            <w:shd w:val="clear" w:color="000000" w:fill="FFFFFF"/>
            <w:noWrap/>
            <w:vAlign w:val="center"/>
            <w:hideMark/>
          </w:tcPr>
          <w:p w14:paraId="3F302FD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36A95DD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1A820D8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nil"/>
              <w:right w:val="nil"/>
            </w:tcBorders>
            <w:shd w:val="clear" w:color="000000" w:fill="FFFFFF"/>
            <w:noWrap/>
            <w:vAlign w:val="center"/>
            <w:hideMark/>
          </w:tcPr>
          <w:p w14:paraId="0A4D904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1" w:type="dxa"/>
            <w:tcBorders>
              <w:top w:val="nil"/>
              <w:left w:val="nil"/>
              <w:bottom w:val="nil"/>
              <w:right w:val="single" w:sz="4" w:space="0" w:color="auto"/>
            </w:tcBorders>
            <w:shd w:val="clear" w:color="000000" w:fill="FFFFFF"/>
            <w:noWrap/>
            <w:vAlign w:val="center"/>
            <w:hideMark/>
          </w:tcPr>
          <w:p w14:paraId="5CA5531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r>
      <w:tr w:rsidR="00423107" w:rsidRPr="00423107" w14:paraId="1D9C393B"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04C74A58"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6C7BC8E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(0.030)</w:t>
            </w:r>
          </w:p>
        </w:tc>
        <w:tc>
          <w:tcPr>
            <w:tcW w:w="901" w:type="dxa"/>
            <w:tcBorders>
              <w:top w:val="nil"/>
              <w:left w:val="nil"/>
              <w:bottom w:val="nil"/>
              <w:right w:val="nil"/>
            </w:tcBorders>
            <w:shd w:val="clear" w:color="000000" w:fill="FFFFFF"/>
            <w:noWrap/>
            <w:vAlign w:val="center"/>
            <w:hideMark/>
          </w:tcPr>
          <w:p w14:paraId="63D6B22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(0.028)</w:t>
            </w:r>
          </w:p>
        </w:tc>
        <w:tc>
          <w:tcPr>
            <w:tcW w:w="901" w:type="dxa"/>
            <w:tcBorders>
              <w:top w:val="nil"/>
              <w:left w:val="nil"/>
              <w:bottom w:val="nil"/>
              <w:right w:val="nil"/>
            </w:tcBorders>
            <w:shd w:val="clear" w:color="000000" w:fill="FFFFFF"/>
            <w:noWrap/>
            <w:vAlign w:val="center"/>
            <w:hideMark/>
          </w:tcPr>
          <w:p w14:paraId="3E7CC45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FFFFF"/>
            <w:noWrap/>
            <w:vAlign w:val="center"/>
            <w:hideMark/>
          </w:tcPr>
          <w:p w14:paraId="5385902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FFFFF"/>
            <w:noWrap/>
            <w:vAlign w:val="center"/>
            <w:hideMark/>
          </w:tcPr>
          <w:p w14:paraId="45F811B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58CD7D3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FFFFF"/>
            <w:noWrap/>
            <w:vAlign w:val="center"/>
            <w:hideMark/>
          </w:tcPr>
          <w:p w14:paraId="5E4A777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69D6A03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FFFFF"/>
            <w:noWrap/>
            <w:vAlign w:val="center"/>
            <w:hideMark/>
          </w:tcPr>
          <w:p w14:paraId="69CD6BD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08AE2B3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FFFFFF"/>
            <w:noWrap/>
            <w:vAlign w:val="center"/>
            <w:hideMark/>
          </w:tcPr>
          <w:p w14:paraId="1CBC7AE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single" w:sz="4" w:space="0" w:color="auto"/>
            </w:tcBorders>
            <w:shd w:val="clear" w:color="000000" w:fill="FFFFFF"/>
            <w:noWrap/>
            <w:vAlign w:val="center"/>
            <w:hideMark/>
          </w:tcPr>
          <w:p w14:paraId="05C2CF6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r>
      <w:tr w:rsidR="00423107" w:rsidRPr="00423107" w14:paraId="7B795FAD"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0D4C3B7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Sysselsetting per innbygger</w:t>
            </w:r>
          </w:p>
        </w:tc>
        <w:tc>
          <w:tcPr>
            <w:tcW w:w="901" w:type="dxa"/>
            <w:tcBorders>
              <w:top w:val="nil"/>
              <w:left w:val="nil"/>
              <w:bottom w:val="nil"/>
              <w:right w:val="nil"/>
            </w:tcBorders>
            <w:shd w:val="clear" w:color="000000" w:fill="87C399"/>
            <w:noWrap/>
            <w:vAlign w:val="center"/>
            <w:hideMark/>
          </w:tcPr>
          <w:p w14:paraId="409306F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0.129**</w:t>
            </w:r>
          </w:p>
        </w:tc>
        <w:tc>
          <w:tcPr>
            <w:tcW w:w="901" w:type="dxa"/>
            <w:tcBorders>
              <w:top w:val="nil"/>
              <w:left w:val="nil"/>
              <w:bottom w:val="nil"/>
              <w:right w:val="nil"/>
            </w:tcBorders>
            <w:shd w:val="clear" w:color="000000" w:fill="87C399"/>
            <w:noWrap/>
            <w:vAlign w:val="center"/>
            <w:hideMark/>
          </w:tcPr>
          <w:p w14:paraId="637E584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0.121**</w:t>
            </w:r>
          </w:p>
        </w:tc>
        <w:tc>
          <w:tcPr>
            <w:tcW w:w="901" w:type="dxa"/>
            <w:tcBorders>
              <w:top w:val="nil"/>
              <w:left w:val="nil"/>
              <w:bottom w:val="nil"/>
              <w:right w:val="nil"/>
            </w:tcBorders>
            <w:shd w:val="clear" w:color="000000" w:fill="FFFFFF"/>
            <w:noWrap/>
            <w:vAlign w:val="center"/>
            <w:hideMark/>
          </w:tcPr>
          <w:p w14:paraId="010D073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FFFFFF"/>
            <w:noWrap/>
            <w:vAlign w:val="center"/>
            <w:hideMark/>
          </w:tcPr>
          <w:p w14:paraId="6BD998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0.057</w:t>
            </w:r>
          </w:p>
        </w:tc>
        <w:tc>
          <w:tcPr>
            <w:tcW w:w="901" w:type="dxa"/>
            <w:tcBorders>
              <w:top w:val="nil"/>
              <w:left w:val="nil"/>
              <w:bottom w:val="nil"/>
              <w:right w:val="nil"/>
            </w:tcBorders>
            <w:shd w:val="clear" w:color="000000" w:fill="FFFFFF"/>
            <w:noWrap/>
            <w:vAlign w:val="center"/>
            <w:hideMark/>
          </w:tcPr>
          <w:p w14:paraId="15AED03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6E77587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0.109</w:t>
            </w:r>
          </w:p>
        </w:tc>
        <w:tc>
          <w:tcPr>
            <w:tcW w:w="901" w:type="dxa"/>
            <w:tcBorders>
              <w:top w:val="nil"/>
              <w:left w:val="nil"/>
              <w:bottom w:val="nil"/>
              <w:right w:val="nil"/>
            </w:tcBorders>
            <w:shd w:val="clear" w:color="000000" w:fill="FFFFFF"/>
            <w:noWrap/>
            <w:vAlign w:val="center"/>
            <w:hideMark/>
          </w:tcPr>
          <w:p w14:paraId="738B040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FFFFFF"/>
            <w:noWrap/>
            <w:vAlign w:val="center"/>
            <w:hideMark/>
          </w:tcPr>
          <w:p w14:paraId="3725B4F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0.101</w:t>
            </w:r>
          </w:p>
        </w:tc>
        <w:tc>
          <w:tcPr>
            <w:tcW w:w="901" w:type="dxa"/>
            <w:tcBorders>
              <w:top w:val="nil"/>
              <w:left w:val="nil"/>
              <w:bottom w:val="nil"/>
              <w:right w:val="nil"/>
            </w:tcBorders>
            <w:shd w:val="clear" w:color="000000" w:fill="FFFFFF"/>
            <w:noWrap/>
            <w:vAlign w:val="center"/>
            <w:hideMark/>
          </w:tcPr>
          <w:p w14:paraId="3C9B50E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1" w:type="dxa"/>
            <w:tcBorders>
              <w:top w:val="nil"/>
              <w:left w:val="nil"/>
              <w:bottom w:val="nil"/>
              <w:right w:val="nil"/>
            </w:tcBorders>
            <w:shd w:val="clear" w:color="000000" w:fill="FFFFFF"/>
            <w:noWrap/>
            <w:vAlign w:val="center"/>
            <w:hideMark/>
          </w:tcPr>
          <w:p w14:paraId="2D7B6F1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0.100</w:t>
            </w:r>
          </w:p>
        </w:tc>
        <w:tc>
          <w:tcPr>
            <w:tcW w:w="901" w:type="dxa"/>
            <w:tcBorders>
              <w:top w:val="nil"/>
              <w:left w:val="nil"/>
              <w:bottom w:val="nil"/>
              <w:right w:val="nil"/>
            </w:tcBorders>
            <w:shd w:val="clear" w:color="000000" w:fill="FFFFFF"/>
            <w:noWrap/>
            <w:vAlign w:val="center"/>
            <w:hideMark/>
          </w:tcPr>
          <w:p w14:paraId="736239B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0.100</w:t>
            </w:r>
          </w:p>
        </w:tc>
        <w:tc>
          <w:tcPr>
            <w:tcW w:w="901" w:type="dxa"/>
            <w:tcBorders>
              <w:top w:val="nil"/>
              <w:left w:val="nil"/>
              <w:bottom w:val="nil"/>
              <w:right w:val="single" w:sz="4" w:space="0" w:color="auto"/>
            </w:tcBorders>
            <w:shd w:val="clear" w:color="000000" w:fill="FFFFFF"/>
            <w:noWrap/>
            <w:vAlign w:val="center"/>
            <w:hideMark/>
          </w:tcPr>
          <w:p w14:paraId="1A4C482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0.105</w:t>
            </w:r>
          </w:p>
        </w:tc>
      </w:tr>
      <w:tr w:rsidR="00423107" w:rsidRPr="00423107" w14:paraId="289DD189"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7A5869A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87C399"/>
            <w:noWrap/>
            <w:vAlign w:val="center"/>
            <w:hideMark/>
          </w:tcPr>
          <w:p w14:paraId="2CDB1F8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87C399"/>
            <w:noWrap/>
            <w:vAlign w:val="center"/>
            <w:hideMark/>
          </w:tcPr>
          <w:p w14:paraId="6D55B73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FFFFFF"/>
            <w:noWrap/>
            <w:vAlign w:val="center"/>
            <w:hideMark/>
          </w:tcPr>
          <w:p w14:paraId="0C61A64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FFFFFF"/>
            <w:noWrap/>
            <w:vAlign w:val="center"/>
            <w:hideMark/>
          </w:tcPr>
          <w:p w14:paraId="19348C6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nil"/>
            </w:tcBorders>
            <w:shd w:val="clear" w:color="000000" w:fill="FFFFFF"/>
            <w:noWrap/>
            <w:vAlign w:val="center"/>
            <w:hideMark/>
          </w:tcPr>
          <w:p w14:paraId="0FFAC4A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2257ED5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1" w:type="dxa"/>
            <w:tcBorders>
              <w:top w:val="nil"/>
              <w:left w:val="nil"/>
              <w:bottom w:val="nil"/>
              <w:right w:val="nil"/>
            </w:tcBorders>
            <w:shd w:val="clear" w:color="000000" w:fill="FFFFFF"/>
            <w:noWrap/>
            <w:vAlign w:val="center"/>
            <w:hideMark/>
          </w:tcPr>
          <w:p w14:paraId="22395A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0D56B08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1" w:type="dxa"/>
            <w:tcBorders>
              <w:top w:val="nil"/>
              <w:left w:val="nil"/>
              <w:bottom w:val="nil"/>
              <w:right w:val="nil"/>
            </w:tcBorders>
            <w:shd w:val="clear" w:color="000000" w:fill="FFFFFF"/>
            <w:noWrap/>
            <w:vAlign w:val="center"/>
            <w:hideMark/>
          </w:tcPr>
          <w:p w14:paraId="51BEDCF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FFFFFF"/>
            <w:noWrap/>
            <w:vAlign w:val="center"/>
            <w:hideMark/>
          </w:tcPr>
          <w:p w14:paraId="222F08B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016DC49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single" w:sz="4" w:space="0" w:color="auto"/>
            </w:tcBorders>
            <w:shd w:val="clear" w:color="000000" w:fill="FFFFFF"/>
            <w:noWrap/>
            <w:vAlign w:val="center"/>
            <w:hideMark/>
          </w:tcPr>
          <w:p w14:paraId="6B1BE7F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r>
      <w:tr w:rsidR="00423107" w:rsidRPr="00423107" w14:paraId="337661D5"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497C30A3"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Gjennomsnittsalder</w:t>
            </w:r>
          </w:p>
        </w:tc>
        <w:tc>
          <w:tcPr>
            <w:tcW w:w="901" w:type="dxa"/>
            <w:tcBorders>
              <w:top w:val="nil"/>
              <w:left w:val="nil"/>
              <w:bottom w:val="nil"/>
              <w:right w:val="nil"/>
            </w:tcBorders>
            <w:shd w:val="clear" w:color="000000" w:fill="FFFFFF"/>
            <w:noWrap/>
            <w:vAlign w:val="center"/>
            <w:hideMark/>
          </w:tcPr>
          <w:p w14:paraId="3C62BC1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32D5FD1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-0.059</w:t>
            </w:r>
          </w:p>
        </w:tc>
        <w:tc>
          <w:tcPr>
            <w:tcW w:w="901" w:type="dxa"/>
            <w:tcBorders>
              <w:top w:val="nil"/>
              <w:left w:val="nil"/>
              <w:bottom w:val="nil"/>
              <w:right w:val="nil"/>
            </w:tcBorders>
            <w:shd w:val="clear" w:color="000000" w:fill="FAC2C9"/>
            <w:noWrap/>
            <w:vAlign w:val="center"/>
            <w:hideMark/>
          </w:tcPr>
          <w:p w14:paraId="565B538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-0.137*</w:t>
            </w:r>
          </w:p>
        </w:tc>
        <w:tc>
          <w:tcPr>
            <w:tcW w:w="901" w:type="dxa"/>
            <w:tcBorders>
              <w:top w:val="nil"/>
              <w:left w:val="nil"/>
              <w:bottom w:val="nil"/>
              <w:right w:val="nil"/>
            </w:tcBorders>
            <w:shd w:val="clear" w:color="000000" w:fill="FFFFFF"/>
            <w:noWrap/>
            <w:vAlign w:val="center"/>
            <w:hideMark/>
          </w:tcPr>
          <w:p w14:paraId="08A0BC7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nil"/>
            </w:tcBorders>
            <w:shd w:val="clear" w:color="000000" w:fill="FFFFFF"/>
            <w:noWrap/>
            <w:vAlign w:val="center"/>
            <w:hideMark/>
          </w:tcPr>
          <w:p w14:paraId="196AC0D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FFFFFF"/>
            <w:noWrap/>
            <w:vAlign w:val="center"/>
            <w:hideMark/>
          </w:tcPr>
          <w:p w14:paraId="2F7537B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-0.110</w:t>
            </w:r>
          </w:p>
        </w:tc>
        <w:tc>
          <w:tcPr>
            <w:tcW w:w="901" w:type="dxa"/>
            <w:tcBorders>
              <w:top w:val="nil"/>
              <w:left w:val="nil"/>
              <w:bottom w:val="nil"/>
              <w:right w:val="nil"/>
            </w:tcBorders>
            <w:shd w:val="clear" w:color="000000" w:fill="FFFFFF"/>
            <w:noWrap/>
            <w:vAlign w:val="center"/>
            <w:hideMark/>
          </w:tcPr>
          <w:p w14:paraId="3EE692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-0.101</w:t>
            </w:r>
          </w:p>
        </w:tc>
        <w:tc>
          <w:tcPr>
            <w:tcW w:w="901" w:type="dxa"/>
            <w:tcBorders>
              <w:top w:val="nil"/>
              <w:left w:val="nil"/>
              <w:bottom w:val="nil"/>
              <w:right w:val="nil"/>
            </w:tcBorders>
            <w:shd w:val="clear" w:color="000000" w:fill="FAC2C9"/>
            <w:noWrap/>
            <w:vAlign w:val="center"/>
            <w:hideMark/>
          </w:tcPr>
          <w:p w14:paraId="2EA0C56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-0.128*</w:t>
            </w:r>
          </w:p>
        </w:tc>
        <w:tc>
          <w:tcPr>
            <w:tcW w:w="901" w:type="dxa"/>
            <w:tcBorders>
              <w:top w:val="nil"/>
              <w:left w:val="nil"/>
              <w:bottom w:val="nil"/>
              <w:right w:val="nil"/>
            </w:tcBorders>
            <w:shd w:val="clear" w:color="000000" w:fill="FFFFFF"/>
            <w:noWrap/>
            <w:vAlign w:val="center"/>
            <w:hideMark/>
          </w:tcPr>
          <w:p w14:paraId="68C1D8A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6FA28A5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49A2F4F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-0.102</w:t>
            </w:r>
          </w:p>
        </w:tc>
        <w:tc>
          <w:tcPr>
            <w:tcW w:w="901" w:type="dxa"/>
            <w:tcBorders>
              <w:top w:val="nil"/>
              <w:left w:val="nil"/>
              <w:bottom w:val="nil"/>
              <w:right w:val="single" w:sz="4" w:space="0" w:color="auto"/>
            </w:tcBorders>
            <w:shd w:val="clear" w:color="000000" w:fill="FFFFFF"/>
            <w:noWrap/>
            <w:vAlign w:val="center"/>
            <w:hideMark/>
          </w:tcPr>
          <w:p w14:paraId="0B9D7A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-0.115</w:t>
            </w:r>
          </w:p>
        </w:tc>
      </w:tr>
      <w:tr w:rsidR="00423107" w:rsidRPr="00423107" w14:paraId="7063A0B4"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5F93FF12"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4BAD357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1" w:type="dxa"/>
            <w:tcBorders>
              <w:top w:val="nil"/>
              <w:left w:val="nil"/>
              <w:bottom w:val="nil"/>
              <w:right w:val="nil"/>
            </w:tcBorders>
            <w:shd w:val="clear" w:color="000000" w:fill="FFFFFF"/>
            <w:noWrap/>
            <w:vAlign w:val="center"/>
            <w:hideMark/>
          </w:tcPr>
          <w:p w14:paraId="4EE8436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1" w:type="dxa"/>
            <w:tcBorders>
              <w:top w:val="nil"/>
              <w:left w:val="nil"/>
              <w:bottom w:val="nil"/>
              <w:right w:val="nil"/>
            </w:tcBorders>
            <w:shd w:val="clear" w:color="000000" w:fill="FAC2C9"/>
            <w:noWrap/>
            <w:vAlign w:val="center"/>
            <w:hideMark/>
          </w:tcPr>
          <w:p w14:paraId="3F6FDE2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FFFFF"/>
            <w:noWrap/>
            <w:vAlign w:val="center"/>
            <w:hideMark/>
          </w:tcPr>
          <w:p w14:paraId="41AB50E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(0.074)</w:t>
            </w:r>
          </w:p>
        </w:tc>
        <w:tc>
          <w:tcPr>
            <w:tcW w:w="901" w:type="dxa"/>
            <w:tcBorders>
              <w:top w:val="nil"/>
              <w:left w:val="nil"/>
              <w:bottom w:val="nil"/>
              <w:right w:val="nil"/>
            </w:tcBorders>
            <w:shd w:val="clear" w:color="000000" w:fill="FFFFFF"/>
            <w:noWrap/>
            <w:vAlign w:val="center"/>
            <w:hideMark/>
          </w:tcPr>
          <w:p w14:paraId="644C28C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FFFFF"/>
            <w:noWrap/>
            <w:vAlign w:val="center"/>
            <w:hideMark/>
          </w:tcPr>
          <w:p w14:paraId="58C5393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1" w:type="dxa"/>
            <w:tcBorders>
              <w:top w:val="nil"/>
              <w:left w:val="nil"/>
              <w:bottom w:val="nil"/>
              <w:right w:val="nil"/>
            </w:tcBorders>
            <w:shd w:val="clear" w:color="000000" w:fill="FFFFFF"/>
            <w:noWrap/>
            <w:vAlign w:val="center"/>
            <w:hideMark/>
          </w:tcPr>
          <w:p w14:paraId="2131453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1" w:type="dxa"/>
            <w:tcBorders>
              <w:top w:val="nil"/>
              <w:left w:val="nil"/>
              <w:bottom w:val="nil"/>
              <w:right w:val="nil"/>
            </w:tcBorders>
            <w:shd w:val="clear" w:color="000000" w:fill="FAC2C9"/>
            <w:noWrap/>
            <w:vAlign w:val="center"/>
            <w:hideMark/>
          </w:tcPr>
          <w:p w14:paraId="7A39B62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1" w:type="dxa"/>
            <w:tcBorders>
              <w:top w:val="nil"/>
              <w:left w:val="nil"/>
              <w:bottom w:val="nil"/>
              <w:right w:val="nil"/>
            </w:tcBorders>
            <w:shd w:val="clear" w:color="000000" w:fill="FFFFFF"/>
            <w:noWrap/>
            <w:vAlign w:val="center"/>
            <w:hideMark/>
          </w:tcPr>
          <w:p w14:paraId="130D1E0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1" w:type="dxa"/>
            <w:tcBorders>
              <w:top w:val="nil"/>
              <w:left w:val="nil"/>
              <w:bottom w:val="nil"/>
              <w:right w:val="nil"/>
            </w:tcBorders>
            <w:shd w:val="clear" w:color="000000" w:fill="FFFFFF"/>
            <w:noWrap/>
            <w:vAlign w:val="center"/>
            <w:hideMark/>
          </w:tcPr>
          <w:p w14:paraId="7946C18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1" w:type="dxa"/>
            <w:tcBorders>
              <w:top w:val="nil"/>
              <w:left w:val="nil"/>
              <w:bottom w:val="nil"/>
              <w:right w:val="nil"/>
            </w:tcBorders>
            <w:shd w:val="clear" w:color="000000" w:fill="FFFFFF"/>
            <w:noWrap/>
            <w:vAlign w:val="center"/>
            <w:hideMark/>
          </w:tcPr>
          <w:p w14:paraId="2A7BF61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1" w:type="dxa"/>
            <w:tcBorders>
              <w:top w:val="nil"/>
              <w:left w:val="nil"/>
              <w:bottom w:val="nil"/>
              <w:right w:val="single" w:sz="4" w:space="0" w:color="auto"/>
            </w:tcBorders>
            <w:shd w:val="clear" w:color="000000" w:fill="FFFFFF"/>
            <w:noWrap/>
            <w:vAlign w:val="center"/>
            <w:hideMark/>
          </w:tcPr>
          <w:p w14:paraId="709DCA3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r>
      <w:tr w:rsidR="00423107" w:rsidRPr="00423107" w14:paraId="2C6CDB89"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39191BF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Gjennomsnittlig personinntekt</w:t>
            </w:r>
          </w:p>
        </w:tc>
        <w:tc>
          <w:tcPr>
            <w:tcW w:w="901" w:type="dxa"/>
            <w:tcBorders>
              <w:top w:val="nil"/>
              <w:left w:val="nil"/>
              <w:bottom w:val="nil"/>
              <w:right w:val="nil"/>
            </w:tcBorders>
            <w:shd w:val="clear" w:color="000000" w:fill="FFFFFF"/>
            <w:noWrap/>
            <w:vAlign w:val="center"/>
            <w:hideMark/>
          </w:tcPr>
          <w:p w14:paraId="1353A9D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FFFFFF"/>
            <w:noWrap/>
            <w:vAlign w:val="center"/>
            <w:hideMark/>
          </w:tcPr>
          <w:p w14:paraId="0BA6F99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D7EBDD"/>
            <w:noWrap/>
            <w:vAlign w:val="center"/>
            <w:hideMark/>
          </w:tcPr>
          <w:p w14:paraId="1FC1EBF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0.133*</w:t>
            </w:r>
          </w:p>
        </w:tc>
        <w:tc>
          <w:tcPr>
            <w:tcW w:w="901" w:type="dxa"/>
            <w:tcBorders>
              <w:top w:val="nil"/>
              <w:left w:val="nil"/>
              <w:bottom w:val="nil"/>
              <w:right w:val="nil"/>
            </w:tcBorders>
            <w:shd w:val="clear" w:color="000000" w:fill="FFFFFF"/>
            <w:noWrap/>
            <w:vAlign w:val="center"/>
            <w:hideMark/>
          </w:tcPr>
          <w:p w14:paraId="6D8597C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391D7B1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3B08500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1" w:type="dxa"/>
            <w:tcBorders>
              <w:top w:val="nil"/>
              <w:left w:val="nil"/>
              <w:bottom w:val="nil"/>
              <w:right w:val="nil"/>
            </w:tcBorders>
            <w:shd w:val="clear" w:color="000000" w:fill="FFFFFF"/>
            <w:noWrap/>
            <w:vAlign w:val="center"/>
            <w:hideMark/>
          </w:tcPr>
          <w:p w14:paraId="48F26C7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0.108</w:t>
            </w:r>
          </w:p>
        </w:tc>
        <w:tc>
          <w:tcPr>
            <w:tcW w:w="901" w:type="dxa"/>
            <w:tcBorders>
              <w:top w:val="nil"/>
              <w:left w:val="nil"/>
              <w:bottom w:val="nil"/>
              <w:right w:val="nil"/>
            </w:tcBorders>
            <w:shd w:val="clear" w:color="000000" w:fill="D7EBDD"/>
            <w:noWrap/>
            <w:vAlign w:val="center"/>
            <w:hideMark/>
          </w:tcPr>
          <w:p w14:paraId="1736ED5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FFFFFF"/>
            <w:noWrap/>
            <w:vAlign w:val="center"/>
            <w:hideMark/>
          </w:tcPr>
          <w:p w14:paraId="313CD91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0661D63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0.111</w:t>
            </w:r>
          </w:p>
        </w:tc>
        <w:tc>
          <w:tcPr>
            <w:tcW w:w="901" w:type="dxa"/>
            <w:tcBorders>
              <w:top w:val="nil"/>
              <w:left w:val="nil"/>
              <w:bottom w:val="nil"/>
              <w:right w:val="nil"/>
            </w:tcBorders>
            <w:shd w:val="clear" w:color="000000" w:fill="FFFFFF"/>
            <w:noWrap/>
            <w:vAlign w:val="center"/>
            <w:hideMark/>
          </w:tcPr>
          <w:p w14:paraId="7264146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0.110</w:t>
            </w:r>
          </w:p>
        </w:tc>
        <w:tc>
          <w:tcPr>
            <w:tcW w:w="901" w:type="dxa"/>
            <w:tcBorders>
              <w:top w:val="nil"/>
              <w:left w:val="nil"/>
              <w:bottom w:val="nil"/>
              <w:right w:val="single" w:sz="4" w:space="0" w:color="auto"/>
            </w:tcBorders>
            <w:shd w:val="clear" w:color="000000" w:fill="FFFFFF"/>
            <w:noWrap/>
            <w:vAlign w:val="center"/>
            <w:hideMark/>
          </w:tcPr>
          <w:p w14:paraId="046EDEF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0.116</w:t>
            </w:r>
          </w:p>
        </w:tc>
      </w:tr>
      <w:tr w:rsidR="00423107" w:rsidRPr="00423107" w14:paraId="64B7AC17"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672EF1E1"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0F0240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1" w:type="dxa"/>
            <w:tcBorders>
              <w:top w:val="nil"/>
              <w:left w:val="nil"/>
              <w:bottom w:val="nil"/>
              <w:right w:val="nil"/>
            </w:tcBorders>
            <w:shd w:val="clear" w:color="000000" w:fill="FFFFFF"/>
            <w:noWrap/>
            <w:vAlign w:val="center"/>
            <w:hideMark/>
          </w:tcPr>
          <w:p w14:paraId="6463AB7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1" w:type="dxa"/>
            <w:tcBorders>
              <w:top w:val="nil"/>
              <w:left w:val="nil"/>
              <w:bottom w:val="nil"/>
              <w:right w:val="nil"/>
            </w:tcBorders>
            <w:shd w:val="clear" w:color="000000" w:fill="D7EBDD"/>
            <w:noWrap/>
            <w:vAlign w:val="center"/>
            <w:hideMark/>
          </w:tcPr>
          <w:p w14:paraId="5EB7221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(0.071)</w:t>
            </w:r>
          </w:p>
        </w:tc>
        <w:tc>
          <w:tcPr>
            <w:tcW w:w="901" w:type="dxa"/>
            <w:tcBorders>
              <w:top w:val="nil"/>
              <w:left w:val="nil"/>
              <w:bottom w:val="nil"/>
              <w:right w:val="nil"/>
            </w:tcBorders>
            <w:shd w:val="clear" w:color="000000" w:fill="FFFFFF"/>
            <w:noWrap/>
            <w:vAlign w:val="center"/>
            <w:hideMark/>
          </w:tcPr>
          <w:p w14:paraId="32A3CF5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(0.069)</w:t>
            </w:r>
          </w:p>
        </w:tc>
        <w:tc>
          <w:tcPr>
            <w:tcW w:w="901" w:type="dxa"/>
            <w:tcBorders>
              <w:top w:val="nil"/>
              <w:left w:val="nil"/>
              <w:bottom w:val="nil"/>
              <w:right w:val="nil"/>
            </w:tcBorders>
            <w:shd w:val="clear" w:color="000000" w:fill="FFFFFF"/>
            <w:noWrap/>
            <w:vAlign w:val="center"/>
            <w:hideMark/>
          </w:tcPr>
          <w:p w14:paraId="5155B6D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c>
          <w:tcPr>
            <w:tcW w:w="901" w:type="dxa"/>
            <w:tcBorders>
              <w:top w:val="nil"/>
              <w:left w:val="nil"/>
              <w:bottom w:val="nil"/>
              <w:right w:val="nil"/>
            </w:tcBorders>
            <w:shd w:val="clear" w:color="000000" w:fill="FFFFFF"/>
            <w:noWrap/>
            <w:vAlign w:val="center"/>
            <w:hideMark/>
          </w:tcPr>
          <w:p w14:paraId="60540A1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c>
          <w:tcPr>
            <w:tcW w:w="901" w:type="dxa"/>
            <w:tcBorders>
              <w:top w:val="nil"/>
              <w:left w:val="nil"/>
              <w:bottom w:val="nil"/>
              <w:right w:val="nil"/>
            </w:tcBorders>
            <w:shd w:val="clear" w:color="000000" w:fill="FFFFFF"/>
            <w:noWrap/>
            <w:vAlign w:val="center"/>
            <w:hideMark/>
          </w:tcPr>
          <w:p w14:paraId="131489E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D7EBDD"/>
            <w:noWrap/>
            <w:vAlign w:val="center"/>
            <w:hideMark/>
          </w:tcPr>
          <w:p w14:paraId="15FAF91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583304E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(0.071)</w:t>
            </w:r>
          </w:p>
        </w:tc>
        <w:tc>
          <w:tcPr>
            <w:tcW w:w="901" w:type="dxa"/>
            <w:tcBorders>
              <w:top w:val="nil"/>
              <w:left w:val="nil"/>
              <w:bottom w:val="nil"/>
              <w:right w:val="nil"/>
            </w:tcBorders>
            <w:shd w:val="clear" w:color="000000" w:fill="FFFFFF"/>
            <w:noWrap/>
            <w:vAlign w:val="center"/>
            <w:hideMark/>
          </w:tcPr>
          <w:p w14:paraId="3850F7E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1544144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single" w:sz="4" w:space="0" w:color="auto"/>
            </w:tcBorders>
            <w:shd w:val="clear" w:color="000000" w:fill="FFFFFF"/>
            <w:noWrap/>
            <w:vAlign w:val="center"/>
            <w:hideMark/>
          </w:tcPr>
          <w:p w14:paraId="6FCB48E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r>
      <w:tr w:rsidR="00423107" w:rsidRPr="00423107" w14:paraId="011295A5"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7551CBCA"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med høyere utdanning</w:t>
            </w:r>
          </w:p>
        </w:tc>
        <w:tc>
          <w:tcPr>
            <w:tcW w:w="901" w:type="dxa"/>
            <w:tcBorders>
              <w:top w:val="nil"/>
              <w:left w:val="nil"/>
              <w:bottom w:val="nil"/>
              <w:right w:val="nil"/>
            </w:tcBorders>
            <w:shd w:val="clear" w:color="000000" w:fill="FFFFFF"/>
            <w:noWrap/>
            <w:vAlign w:val="center"/>
            <w:hideMark/>
          </w:tcPr>
          <w:p w14:paraId="5E03F1A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FFFFF"/>
            <w:noWrap/>
            <w:vAlign w:val="center"/>
            <w:hideMark/>
          </w:tcPr>
          <w:p w14:paraId="5859810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AFD7BB"/>
            <w:noWrap/>
            <w:vAlign w:val="center"/>
            <w:hideMark/>
          </w:tcPr>
          <w:p w14:paraId="7CB7FE0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0.150**</w:t>
            </w:r>
          </w:p>
        </w:tc>
        <w:tc>
          <w:tcPr>
            <w:tcW w:w="901" w:type="dxa"/>
            <w:tcBorders>
              <w:top w:val="nil"/>
              <w:left w:val="nil"/>
              <w:bottom w:val="nil"/>
              <w:right w:val="nil"/>
            </w:tcBorders>
            <w:shd w:val="clear" w:color="000000" w:fill="FFFFFF"/>
            <w:noWrap/>
            <w:vAlign w:val="center"/>
            <w:hideMark/>
          </w:tcPr>
          <w:p w14:paraId="399A130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AFD7BB"/>
            <w:noWrap/>
            <w:vAlign w:val="center"/>
            <w:hideMark/>
          </w:tcPr>
          <w:p w14:paraId="66D82F4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0.133**</w:t>
            </w:r>
          </w:p>
        </w:tc>
        <w:tc>
          <w:tcPr>
            <w:tcW w:w="901" w:type="dxa"/>
            <w:tcBorders>
              <w:top w:val="nil"/>
              <w:left w:val="nil"/>
              <w:bottom w:val="nil"/>
              <w:right w:val="nil"/>
            </w:tcBorders>
            <w:shd w:val="clear" w:color="000000" w:fill="AFD7BB"/>
            <w:noWrap/>
            <w:vAlign w:val="center"/>
            <w:hideMark/>
          </w:tcPr>
          <w:p w14:paraId="0E9ACB2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AFD7BB"/>
            <w:noWrap/>
            <w:vAlign w:val="center"/>
            <w:hideMark/>
          </w:tcPr>
          <w:p w14:paraId="6370638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0.123**</w:t>
            </w:r>
          </w:p>
        </w:tc>
        <w:tc>
          <w:tcPr>
            <w:tcW w:w="901" w:type="dxa"/>
            <w:tcBorders>
              <w:top w:val="nil"/>
              <w:left w:val="nil"/>
              <w:bottom w:val="nil"/>
              <w:right w:val="nil"/>
            </w:tcBorders>
            <w:shd w:val="clear" w:color="000000" w:fill="D7EBDD"/>
            <w:noWrap/>
            <w:vAlign w:val="center"/>
            <w:hideMark/>
          </w:tcPr>
          <w:p w14:paraId="69A6C2A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0.116*</w:t>
            </w:r>
          </w:p>
        </w:tc>
        <w:tc>
          <w:tcPr>
            <w:tcW w:w="901" w:type="dxa"/>
            <w:tcBorders>
              <w:top w:val="nil"/>
              <w:left w:val="nil"/>
              <w:bottom w:val="nil"/>
              <w:right w:val="nil"/>
            </w:tcBorders>
            <w:shd w:val="clear" w:color="000000" w:fill="AFD7BB"/>
            <w:noWrap/>
            <w:vAlign w:val="center"/>
            <w:hideMark/>
          </w:tcPr>
          <w:p w14:paraId="3D874D2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0.124**</w:t>
            </w:r>
          </w:p>
        </w:tc>
        <w:tc>
          <w:tcPr>
            <w:tcW w:w="901" w:type="dxa"/>
            <w:tcBorders>
              <w:top w:val="nil"/>
              <w:left w:val="nil"/>
              <w:bottom w:val="nil"/>
              <w:right w:val="nil"/>
            </w:tcBorders>
            <w:shd w:val="clear" w:color="000000" w:fill="AFD7BB"/>
            <w:noWrap/>
            <w:vAlign w:val="center"/>
            <w:hideMark/>
          </w:tcPr>
          <w:p w14:paraId="0AA69C2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AFD7BB"/>
            <w:noWrap/>
            <w:vAlign w:val="center"/>
            <w:hideMark/>
          </w:tcPr>
          <w:p w14:paraId="34C0F0E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0.127**</w:t>
            </w:r>
          </w:p>
        </w:tc>
        <w:tc>
          <w:tcPr>
            <w:tcW w:w="901" w:type="dxa"/>
            <w:tcBorders>
              <w:top w:val="nil"/>
              <w:left w:val="nil"/>
              <w:bottom w:val="nil"/>
              <w:right w:val="single" w:sz="4" w:space="0" w:color="auto"/>
            </w:tcBorders>
            <w:shd w:val="clear" w:color="000000" w:fill="D7EBDD"/>
            <w:noWrap/>
            <w:vAlign w:val="center"/>
            <w:hideMark/>
          </w:tcPr>
          <w:p w14:paraId="68E700B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0.117*</w:t>
            </w:r>
          </w:p>
        </w:tc>
      </w:tr>
      <w:tr w:rsidR="00423107" w:rsidRPr="00423107" w14:paraId="1F9710BD"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41037A69"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3D7BF31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FFFFFF"/>
            <w:noWrap/>
            <w:vAlign w:val="center"/>
            <w:hideMark/>
          </w:tcPr>
          <w:p w14:paraId="5728F88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AFD7BB"/>
            <w:noWrap/>
            <w:vAlign w:val="center"/>
            <w:hideMark/>
          </w:tcPr>
          <w:p w14:paraId="59D3C1C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(0.059)</w:t>
            </w:r>
          </w:p>
        </w:tc>
        <w:tc>
          <w:tcPr>
            <w:tcW w:w="901" w:type="dxa"/>
            <w:tcBorders>
              <w:top w:val="nil"/>
              <w:left w:val="nil"/>
              <w:bottom w:val="nil"/>
              <w:right w:val="nil"/>
            </w:tcBorders>
            <w:shd w:val="clear" w:color="000000" w:fill="FFFFFF"/>
            <w:noWrap/>
            <w:vAlign w:val="center"/>
            <w:hideMark/>
          </w:tcPr>
          <w:p w14:paraId="2BBD4AC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c>
          <w:tcPr>
            <w:tcW w:w="901" w:type="dxa"/>
            <w:tcBorders>
              <w:top w:val="nil"/>
              <w:left w:val="nil"/>
              <w:bottom w:val="nil"/>
              <w:right w:val="nil"/>
            </w:tcBorders>
            <w:shd w:val="clear" w:color="000000" w:fill="AFD7BB"/>
            <w:noWrap/>
            <w:vAlign w:val="center"/>
            <w:hideMark/>
          </w:tcPr>
          <w:p w14:paraId="17EB891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AFD7BB"/>
            <w:noWrap/>
            <w:vAlign w:val="center"/>
            <w:hideMark/>
          </w:tcPr>
          <w:p w14:paraId="41F62EE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AFD7BB"/>
            <w:noWrap/>
            <w:vAlign w:val="center"/>
            <w:hideMark/>
          </w:tcPr>
          <w:p w14:paraId="1C72836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D7EBDD"/>
            <w:noWrap/>
            <w:vAlign w:val="center"/>
            <w:hideMark/>
          </w:tcPr>
          <w:p w14:paraId="7027C95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AFD7BB"/>
            <w:noWrap/>
            <w:vAlign w:val="center"/>
            <w:hideMark/>
          </w:tcPr>
          <w:p w14:paraId="41637D3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AFD7BB"/>
            <w:noWrap/>
            <w:vAlign w:val="center"/>
            <w:hideMark/>
          </w:tcPr>
          <w:p w14:paraId="20C7C82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AFD7BB"/>
            <w:noWrap/>
            <w:vAlign w:val="center"/>
            <w:hideMark/>
          </w:tcPr>
          <w:p w14:paraId="2B564ED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single" w:sz="4" w:space="0" w:color="auto"/>
            </w:tcBorders>
            <w:shd w:val="clear" w:color="000000" w:fill="D7EBDD"/>
            <w:noWrap/>
            <w:vAlign w:val="center"/>
            <w:hideMark/>
          </w:tcPr>
          <w:p w14:paraId="291B83A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r>
      <w:tr w:rsidR="00423107" w:rsidRPr="00423107" w14:paraId="20795272" w14:textId="77777777" w:rsidTr="00423107">
        <w:trPr>
          <w:trHeight w:val="261"/>
        </w:trPr>
        <w:tc>
          <w:tcPr>
            <w:tcW w:w="2423" w:type="dxa"/>
            <w:vMerge w:val="restart"/>
            <w:tcBorders>
              <w:top w:val="nil"/>
              <w:left w:val="single" w:sz="4" w:space="0" w:color="auto"/>
              <w:bottom w:val="nil"/>
              <w:right w:val="nil"/>
            </w:tcBorders>
            <w:shd w:val="clear" w:color="000000" w:fill="A9C6E4"/>
            <w:vAlign w:val="center"/>
            <w:hideMark/>
          </w:tcPr>
          <w:p w14:paraId="0169DF6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Sysselsatte arbeidssted over bosted</w:t>
            </w:r>
          </w:p>
        </w:tc>
        <w:tc>
          <w:tcPr>
            <w:tcW w:w="901" w:type="dxa"/>
            <w:tcBorders>
              <w:top w:val="nil"/>
              <w:left w:val="single" w:sz="4" w:space="0" w:color="auto"/>
              <w:bottom w:val="nil"/>
              <w:right w:val="nil"/>
            </w:tcBorders>
            <w:shd w:val="clear" w:color="000000" w:fill="FFFFFF"/>
            <w:noWrap/>
            <w:vAlign w:val="center"/>
            <w:hideMark/>
          </w:tcPr>
          <w:p w14:paraId="55AD3E5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-0.030</w:t>
            </w:r>
          </w:p>
        </w:tc>
        <w:tc>
          <w:tcPr>
            <w:tcW w:w="901" w:type="dxa"/>
            <w:tcBorders>
              <w:top w:val="nil"/>
              <w:left w:val="nil"/>
              <w:bottom w:val="nil"/>
              <w:right w:val="nil"/>
            </w:tcBorders>
            <w:shd w:val="clear" w:color="000000" w:fill="FFFFFF"/>
            <w:noWrap/>
            <w:vAlign w:val="center"/>
            <w:hideMark/>
          </w:tcPr>
          <w:p w14:paraId="723DCFC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-0.014</w:t>
            </w:r>
          </w:p>
        </w:tc>
        <w:tc>
          <w:tcPr>
            <w:tcW w:w="901" w:type="dxa"/>
            <w:tcBorders>
              <w:top w:val="nil"/>
              <w:left w:val="nil"/>
              <w:bottom w:val="nil"/>
              <w:right w:val="nil"/>
            </w:tcBorders>
            <w:shd w:val="clear" w:color="000000" w:fill="FFFFFF"/>
            <w:noWrap/>
            <w:vAlign w:val="center"/>
            <w:hideMark/>
          </w:tcPr>
          <w:p w14:paraId="4859A6E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FFFFFF"/>
            <w:noWrap/>
            <w:vAlign w:val="center"/>
            <w:hideMark/>
          </w:tcPr>
          <w:p w14:paraId="3264545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1" w:type="dxa"/>
            <w:tcBorders>
              <w:top w:val="nil"/>
              <w:left w:val="nil"/>
              <w:bottom w:val="nil"/>
              <w:right w:val="nil"/>
            </w:tcBorders>
            <w:shd w:val="clear" w:color="000000" w:fill="FFFFFF"/>
            <w:noWrap/>
            <w:vAlign w:val="center"/>
            <w:hideMark/>
          </w:tcPr>
          <w:p w14:paraId="4E0378F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-0.033</w:t>
            </w:r>
          </w:p>
        </w:tc>
        <w:tc>
          <w:tcPr>
            <w:tcW w:w="901" w:type="dxa"/>
            <w:tcBorders>
              <w:top w:val="nil"/>
              <w:left w:val="nil"/>
              <w:bottom w:val="nil"/>
              <w:right w:val="nil"/>
            </w:tcBorders>
            <w:shd w:val="clear" w:color="000000" w:fill="FFFFFF"/>
            <w:noWrap/>
            <w:vAlign w:val="center"/>
            <w:hideMark/>
          </w:tcPr>
          <w:p w14:paraId="7643CDB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-0.034</w:t>
            </w:r>
          </w:p>
        </w:tc>
        <w:tc>
          <w:tcPr>
            <w:tcW w:w="901" w:type="dxa"/>
            <w:tcBorders>
              <w:top w:val="nil"/>
              <w:left w:val="nil"/>
              <w:bottom w:val="nil"/>
              <w:right w:val="nil"/>
            </w:tcBorders>
            <w:shd w:val="clear" w:color="000000" w:fill="FFFFFF"/>
            <w:noWrap/>
            <w:vAlign w:val="center"/>
            <w:hideMark/>
          </w:tcPr>
          <w:p w14:paraId="2238556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FFFFFF"/>
            <w:noWrap/>
            <w:vAlign w:val="center"/>
            <w:hideMark/>
          </w:tcPr>
          <w:p w14:paraId="66311B9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04FB910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41F6622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FFFFFF"/>
            <w:noWrap/>
            <w:vAlign w:val="center"/>
            <w:hideMark/>
          </w:tcPr>
          <w:p w14:paraId="241F37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single" w:sz="4" w:space="0" w:color="auto"/>
            </w:tcBorders>
            <w:shd w:val="clear" w:color="000000" w:fill="FFFFFF"/>
            <w:noWrap/>
            <w:vAlign w:val="center"/>
            <w:hideMark/>
          </w:tcPr>
          <w:p w14:paraId="5C93784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r>
      <w:tr w:rsidR="00423107" w:rsidRPr="00423107" w14:paraId="2E0F7C1A" w14:textId="77777777" w:rsidTr="00423107">
        <w:trPr>
          <w:trHeight w:val="60"/>
        </w:trPr>
        <w:tc>
          <w:tcPr>
            <w:tcW w:w="2423" w:type="dxa"/>
            <w:vMerge/>
            <w:tcBorders>
              <w:top w:val="nil"/>
              <w:left w:val="single" w:sz="4" w:space="0" w:color="auto"/>
              <w:bottom w:val="nil"/>
              <w:right w:val="nil"/>
            </w:tcBorders>
            <w:vAlign w:val="center"/>
            <w:hideMark/>
          </w:tcPr>
          <w:p w14:paraId="695CAA6A"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nil"/>
              <w:right w:val="nil"/>
            </w:tcBorders>
            <w:shd w:val="clear" w:color="000000" w:fill="FFFFFF"/>
            <w:noWrap/>
            <w:vAlign w:val="center"/>
            <w:hideMark/>
          </w:tcPr>
          <w:p w14:paraId="23029DE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1" w:type="dxa"/>
            <w:tcBorders>
              <w:top w:val="nil"/>
              <w:left w:val="nil"/>
              <w:bottom w:val="nil"/>
              <w:right w:val="nil"/>
            </w:tcBorders>
            <w:shd w:val="clear" w:color="000000" w:fill="FFFFFF"/>
            <w:noWrap/>
            <w:vAlign w:val="center"/>
            <w:hideMark/>
          </w:tcPr>
          <w:p w14:paraId="3670178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1" w:type="dxa"/>
            <w:tcBorders>
              <w:top w:val="nil"/>
              <w:left w:val="nil"/>
              <w:bottom w:val="nil"/>
              <w:right w:val="nil"/>
            </w:tcBorders>
            <w:shd w:val="clear" w:color="000000" w:fill="FFFFFF"/>
            <w:noWrap/>
            <w:vAlign w:val="center"/>
            <w:hideMark/>
          </w:tcPr>
          <w:p w14:paraId="054499B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33CA20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6C5572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251E510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1716B00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5C6C423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4034A52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3EB1727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3881CF4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single" w:sz="4" w:space="0" w:color="auto"/>
            </w:tcBorders>
            <w:shd w:val="clear" w:color="000000" w:fill="FFFFFF"/>
            <w:noWrap/>
            <w:vAlign w:val="center"/>
            <w:hideMark/>
          </w:tcPr>
          <w:p w14:paraId="66FA5EB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r>
      <w:tr w:rsidR="00423107" w:rsidRPr="00423107" w14:paraId="6FC7B8E7" w14:textId="77777777" w:rsidTr="00423107">
        <w:trPr>
          <w:trHeight w:val="261"/>
        </w:trPr>
        <w:tc>
          <w:tcPr>
            <w:tcW w:w="2423" w:type="dxa"/>
            <w:vMerge w:val="restart"/>
            <w:tcBorders>
              <w:top w:val="nil"/>
              <w:left w:val="single" w:sz="4" w:space="0" w:color="auto"/>
              <w:bottom w:val="nil"/>
              <w:right w:val="nil"/>
            </w:tcBorders>
            <w:shd w:val="clear" w:color="000000" w:fill="A9C6E4"/>
            <w:vAlign w:val="center"/>
            <w:hideMark/>
          </w:tcPr>
          <w:p w14:paraId="2318B615"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Herfindahl-indeks, næringskonsentrasjon</w:t>
            </w:r>
          </w:p>
        </w:tc>
        <w:tc>
          <w:tcPr>
            <w:tcW w:w="901" w:type="dxa"/>
            <w:tcBorders>
              <w:top w:val="nil"/>
              <w:left w:val="single" w:sz="4" w:space="0" w:color="auto"/>
              <w:bottom w:val="nil"/>
              <w:right w:val="nil"/>
            </w:tcBorders>
            <w:shd w:val="clear" w:color="000000" w:fill="AFD7BB"/>
            <w:noWrap/>
            <w:vAlign w:val="center"/>
            <w:hideMark/>
          </w:tcPr>
          <w:p w14:paraId="060E05C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0.152**</w:t>
            </w:r>
          </w:p>
        </w:tc>
        <w:tc>
          <w:tcPr>
            <w:tcW w:w="901" w:type="dxa"/>
            <w:tcBorders>
              <w:top w:val="nil"/>
              <w:left w:val="nil"/>
              <w:bottom w:val="nil"/>
              <w:right w:val="nil"/>
            </w:tcBorders>
            <w:shd w:val="clear" w:color="000000" w:fill="AFD7BB"/>
            <w:noWrap/>
            <w:vAlign w:val="center"/>
            <w:hideMark/>
          </w:tcPr>
          <w:p w14:paraId="6300FF2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0.146**</w:t>
            </w:r>
          </w:p>
        </w:tc>
        <w:tc>
          <w:tcPr>
            <w:tcW w:w="901" w:type="dxa"/>
            <w:tcBorders>
              <w:top w:val="nil"/>
              <w:left w:val="nil"/>
              <w:bottom w:val="nil"/>
              <w:right w:val="nil"/>
            </w:tcBorders>
            <w:shd w:val="clear" w:color="000000" w:fill="FFFFFF"/>
            <w:noWrap/>
            <w:vAlign w:val="center"/>
            <w:hideMark/>
          </w:tcPr>
          <w:p w14:paraId="384892A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1" w:type="dxa"/>
            <w:tcBorders>
              <w:top w:val="nil"/>
              <w:left w:val="nil"/>
              <w:bottom w:val="nil"/>
              <w:right w:val="nil"/>
            </w:tcBorders>
            <w:shd w:val="clear" w:color="000000" w:fill="FFFFFF"/>
            <w:noWrap/>
            <w:vAlign w:val="center"/>
            <w:hideMark/>
          </w:tcPr>
          <w:p w14:paraId="532E8ED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1" w:type="dxa"/>
            <w:tcBorders>
              <w:top w:val="nil"/>
              <w:left w:val="nil"/>
              <w:bottom w:val="nil"/>
              <w:right w:val="nil"/>
            </w:tcBorders>
            <w:shd w:val="clear" w:color="000000" w:fill="FFFFFF"/>
            <w:noWrap/>
            <w:vAlign w:val="center"/>
            <w:hideMark/>
          </w:tcPr>
          <w:p w14:paraId="3C2BCD1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0.011</w:t>
            </w:r>
          </w:p>
        </w:tc>
        <w:tc>
          <w:tcPr>
            <w:tcW w:w="901" w:type="dxa"/>
            <w:tcBorders>
              <w:top w:val="nil"/>
              <w:left w:val="nil"/>
              <w:bottom w:val="nil"/>
              <w:right w:val="nil"/>
            </w:tcBorders>
            <w:shd w:val="clear" w:color="000000" w:fill="FFFFFF"/>
            <w:noWrap/>
            <w:vAlign w:val="center"/>
            <w:hideMark/>
          </w:tcPr>
          <w:p w14:paraId="7766C6A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3CE0382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1" w:type="dxa"/>
            <w:tcBorders>
              <w:top w:val="nil"/>
              <w:left w:val="nil"/>
              <w:bottom w:val="nil"/>
              <w:right w:val="nil"/>
            </w:tcBorders>
            <w:shd w:val="clear" w:color="000000" w:fill="FFFFFF"/>
            <w:noWrap/>
            <w:vAlign w:val="center"/>
            <w:hideMark/>
          </w:tcPr>
          <w:p w14:paraId="00D72CA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c>
          <w:tcPr>
            <w:tcW w:w="901" w:type="dxa"/>
            <w:tcBorders>
              <w:top w:val="nil"/>
              <w:left w:val="nil"/>
              <w:bottom w:val="nil"/>
              <w:right w:val="nil"/>
            </w:tcBorders>
            <w:shd w:val="clear" w:color="000000" w:fill="FFFFFF"/>
            <w:noWrap/>
            <w:vAlign w:val="center"/>
            <w:hideMark/>
          </w:tcPr>
          <w:p w14:paraId="59D7C4A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0.017</w:t>
            </w:r>
          </w:p>
        </w:tc>
        <w:tc>
          <w:tcPr>
            <w:tcW w:w="901" w:type="dxa"/>
            <w:tcBorders>
              <w:top w:val="nil"/>
              <w:left w:val="nil"/>
              <w:bottom w:val="nil"/>
              <w:right w:val="nil"/>
            </w:tcBorders>
            <w:shd w:val="clear" w:color="000000" w:fill="FFFFFF"/>
            <w:noWrap/>
            <w:vAlign w:val="center"/>
            <w:hideMark/>
          </w:tcPr>
          <w:p w14:paraId="459FFBE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c>
          <w:tcPr>
            <w:tcW w:w="901" w:type="dxa"/>
            <w:tcBorders>
              <w:top w:val="nil"/>
              <w:left w:val="nil"/>
              <w:bottom w:val="nil"/>
              <w:right w:val="nil"/>
            </w:tcBorders>
            <w:shd w:val="clear" w:color="000000" w:fill="FFFFFF"/>
            <w:noWrap/>
            <w:vAlign w:val="center"/>
            <w:hideMark/>
          </w:tcPr>
          <w:p w14:paraId="2590C6C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single" w:sz="4" w:space="0" w:color="auto"/>
            </w:tcBorders>
            <w:shd w:val="clear" w:color="000000" w:fill="FFFFFF"/>
            <w:noWrap/>
            <w:vAlign w:val="center"/>
            <w:hideMark/>
          </w:tcPr>
          <w:p w14:paraId="3E26C10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r>
      <w:tr w:rsidR="00423107" w:rsidRPr="00423107" w14:paraId="278C811F" w14:textId="77777777" w:rsidTr="00423107">
        <w:trPr>
          <w:trHeight w:val="60"/>
        </w:trPr>
        <w:tc>
          <w:tcPr>
            <w:tcW w:w="2423" w:type="dxa"/>
            <w:vMerge/>
            <w:tcBorders>
              <w:top w:val="nil"/>
              <w:left w:val="single" w:sz="4" w:space="0" w:color="auto"/>
              <w:bottom w:val="nil"/>
              <w:right w:val="nil"/>
            </w:tcBorders>
            <w:vAlign w:val="center"/>
            <w:hideMark/>
          </w:tcPr>
          <w:p w14:paraId="5C0D58D2"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nil"/>
              <w:right w:val="nil"/>
            </w:tcBorders>
            <w:shd w:val="clear" w:color="000000" w:fill="AFD7BB"/>
            <w:noWrap/>
            <w:vAlign w:val="center"/>
            <w:hideMark/>
          </w:tcPr>
          <w:p w14:paraId="0715678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AFD7BB"/>
            <w:noWrap/>
            <w:vAlign w:val="center"/>
            <w:hideMark/>
          </w:tcPr>
          <w:p w14:paraId="5B3072F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c>
          <w:tcPr>
            <w:tcW w:w="901" w:type="dxa"/>
            <w:tcBorders>
              <w:top w:val="nil"/>
              <w:left w:val="nil"/>
              <w:bottom w:val="nil"/>
              <w:right w:val="nil"/>
            </w:tcBorders>
            <w:shd w:val="clear" w:color="000000" w:fill="FFFFFF"/>
            <w:noWrap/>
            <w:vAlign w:val="center"/>
            <w:hideMark/>
          </w:tcPr>
          <w:p w14:paraId="6CB742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(0.074)</w:t>
            </w:r>
          </w:p>
        </w:tc>
        <w:tc>
          <w:tcPr>
            <w:tcW w:w="901" w:type="dxa"/>
            <w:tcBorders>
              <w:top w:val="nil"/>
              <w:left w:val="nil"/>
              <w:bottom w:val="nil"/>
              <w:right w:val="nil"/>
            </w:tcBorders>
            <w:shd w:val="clear" w:color="000000" w:fill="FFFFFF"/>
            <w:noWrap/>
            <w:vAlign w:val="center"/>
            <w:hideMark/>
          </w:tcPr>
          <w:p w14:paraId="4D8F45B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c>
          <w:tcPr>
            <w:tcW w:w="901" w:type="dxa"/>
            <w:tcBorders>
              <w:top w:val="nil"/>
              <w:left w:val="nil"/>
              <w:bottom w:val="nil"/>
              <w:right w:val="nil"/>
            </w:tcBorders>
            <w:shd w:val="clear" w:color="000000" w:fill="FFFFFF"/>
            <w:noWrap/>
            <w:vAlign w:val="center"/>
            <w:hideMark/>
          </w:tcPr>
          <w:p w14:paraId="0C72E34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2E8644E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700D520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4A103AF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6BB31BE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514339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1AF44FE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single" w:sz="4" w:space="0" w:color="auto"/>
            </w:tcBorders>
            <w:shd w:val="clear" w:color="000000" w:fill="FFFFFF"/>
            <w:noWrap/>
            <w:vAlign w:val="center"/>
            <w:hideMark/>
          </w:tcPr>
          <w:p w14:paraId="29AB313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r>
      <w:tr w:rsidR="00423107" w:rsidRPr="00423107" w14:paraId="26867526" w14:textId="77777777" w:rsidTr="00423107">
        <w:trPr>
          <w:trHeight w:val="261"/>
        </w:trPr>
        <w:tc>
          <w:tcPr>
            <w:tcW w:w="2423" w:type="dxa"/>
            <w:vMerge w:val="restart"/>
            <w:tcBorders>
              <w:top w:val="nil"/>
              <w:left w:val="single" w:sz="4" w:space="0" w:color="auto"/>
              <w:bottom w:val="nil"/>
              <w:right w:val="nil"/>
            </w:tcBorders>
            <w:shd w:val="clear" w:color="000000" w:fill="A9C6E4"/>
            <w:vAlign w:val="center"/>
            <w:hideMark/>
          </w:tcPr>
          <w:p w14:paraId="54425030"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vareproduksjon</w:t>
            </w:r>
          </w:p>
        </w:tc>
        <w:tc>
          <w:tcPr>
            <w:tcW w:w="901" w:type="dxa"/>
            <w:tcBorders>
              <w:top w:val="nil"/>
              <w:left w:val="single" w:sz="4" w:space="0" w:color="auto"/>
              <w:bottom w:val="nil"/>
              <w:right w:val="nil"/>
            </w:tcBorders>
            <w:shd w:val="clear" w:color="000000" w:fill="D7EBDD"/>
            <w:noWrap/>
            <w:vAlign w:val="center"/>
            <w:hideMark/>
          </w:tcPr>
          <w:p w14:paraId="0F0B17A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1" w:type="dxa"/>
            <w:tcBorders>
              <w:top w:val="nil"/>
              <w:left w:val="nil"/>
              <w:bottom w:val="nil"/>
              <w:right w:val="nil"/>
            </w:tcBorders>
            <w:shd w:val="clear" w:color="000000" w:fill="D7EBDD"/>
            <w:noWrap/>
            <w:vAlign w:val="center"/>
            <w:hideMark/>
          </w:tcPr>
          <w:p w14:paraId="37984AA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1" w:type="dxa"/>
            <w:tcBorders>
              <w:top w:val="nil"/>
              <w:left w:val="nil"/>
              <w:bottom w:val="nil"/>
              <w:right w:val="nil"/>
            </w:tcBorders>
            <w:shd w:val="clear" w:color="000000" w:fill="FFFFFF"/>
            <w:noWrap/>
            <w:vAlign w:val="center"/>
            <w:hideMark/>
          </w:tcPr>
          <w:p w14:paraId="687587D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1" w:type="dxa"/>
            <w:tcBorders>
              <w:top w:val="nil"/>
              <w:left w:val="nil"/>
              <w:bottom w:val="nil"/>
              <w:right w:val="nil"/>
            </w:tcBorders>
            <w:shd w:val="clear" w:color="000000" w:fill="FFFFFF"/>
            <w:noWrap/>
            <w:vAlign w:val="center"/>
            <w:hideMark/>
          </w:tcPr>
          <w:p w14:paraId="7FEA324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1" w:type="dxa"/>
            <w:tcBorders>
              <w:top w:val="nil"/>
              <w:left w:val="nil"/>
              <w:bottom w:val="nil"/>
              <w:right w:val="nil"/>
            </w:tcBorders>
            <w:shd w:val="clear" w:color="000000" w:fill="FFFFFF"/>
            <w:noWrap/>
            <w:vAlign w:val="center"/>
            <w:hideMark/>
          </w:tcPr>
          <w:p w14:paraId="5696C2F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c>
          <w:tcPr>
            <w:tcW w:w="901" w:type="dxa"/>
            <w:tcBorders>
              <w:top w:val="nil"/>
              <w:left w:val="nil"/>
              <w:bottom w:val="nil"/>
              <w:right w:val="nil"/>
            </w:tcBorders>
            <w:shd w:val="clear" w:color="000000" w:fill="FFFFFF"/>
            <w:noWrap/>
            <w:vAlign w:val="center"/>
            <w:hideMark/>
          </w:tcPr>
          <w:p w14:paraId="70C1CE4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1" w:type="dxa"/>
            <w:tcBorders>
              <w:top w:val="nil"/>
              <w:left w:val="nil"/>
              <w:bottom w:val="nil"/>
              <w:right w:val="nil"/>
            </w:tcBorders>
            <w:shd w:val="clear" w:color="000000" w:fill="FFFFFF"/>
            <w:noWrap/>
            <w:vAlign w:val="center"/>
            <w:hideMark/>
          </w:tcPr>
          <w:p w14:paraId="56143AA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1" w:type="dxa"/>
            <w:tcBorders>
              <w:top w:val="nil"/>
              <w:left w:val="nil"/>
              <w:bottom w:val="nil"/>
              <w:right w:val="nil"/>
            </w:tcBorders>
            <w:shd w:val="clear" w:color="000000" w:fill="FFFFFF"/>
            <w:noWrap/>
            <w:vAlign w:val="center"/>
            <w:hideMark/>
          </w:tcPr>
          <w:p w14:paraId="611A50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49A0CDB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-0.022</w:t>
            </w:r>
          </w:p>
        </w:tc>
        <w:tc>
          <w:tcPr>
            <w:tcW w:w="901" w:type="dxa"/>
            <w:tcBorders>
              <w:top w:val="nil"/>
              <w:left w:val="nil"/>
              <w:bottom w:val="nil"/>
              <w:right w:val="nil"/>
            </w:tcBorders>
            <w:shd w:val="clear" w:color="000000" w:fill="FFFFFF"/>
            <w:noWrap/>
            <w:vAlign w:val="center"/>
            <w:hideMark/>
          </w:tcPr>
          <w:p w14:paraId="390122A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1" w:type="dxa"/>
            <w:tcBorders>
              <w:top w:val="nil"/>
              <w:left w:val="nil"/>
              <w:bottom w:val="nil"/>
              <w:right w:val="nil"/>
            </w:tcBorders>
            <w:shd w:val="clear" w:color="000000" w:fill="FFFFFF"/>
            <w:noWrap/>
            <w:vAlign w:val="center"/>
            <w:hideMark/>
          </w:tcPr>
          <w:p w14:paraId="7B9C12F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1" w:type="dxa"/>
            <w:tcBorders>
              <w:top w:val="nil"/>
              <w:left w:val="nil"/>
              <w:bottom w:val="nil"/>
              <w:right w:val="single" w:sz="4" w:space="0" w:color="auto"/>
            </w:tcBorders>
            <w:shd w:val="clear" w:color="000000" w:fill="FFFFFF"/>
            <w:noWrap/>
            <w:vAlign w:val="center"/>
            <w:hideMark/>
          </w:tcPr>
          <w:p w14:paraId="2D90C94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-0.001</w:t>
            </w:r>
          </w:p>
        </w:tc>
      </w:tr>
      <w:tr w:rsidR="00423107" w:rsidRPr="00423107" w14:paraId="397FEE95" w14:textId="77777777" w:rsidTr="00423107">
        <w:trPr>
          <w:trHeight w:val="60"/>
        </w:trPr>
        <w:tc>
          <w:tcPr>
            <w:tcW w:w="2423" w:type="dxa"/>
            <w:vMerge/>
            <w:tcBorders>
              <w:top w:val="nil"/>
              <w:left w:val="single" w:sz="4" w:space="0" w:color="auto"/>
              <w:bottom w:val="nil"/>
              <w:right w:val="nil"/>
            </w:tcBorders>
            <w:vAlign w:val="center"/>
            <w:hideMark/>
          </w:tcPr>
          <w:p w14:paraId="0F48E9C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nil"/>
              <w:right w:val="nil"/>
            </w:tcBorders>
            <w:shd w:val="clear" w:color="000000" w:fill="D7EBDD"/>
            <w:noWrap/>
            <w:vAlign w:val="center"/>
            <w:hideMark/>
          </w:tcPr>
          <w:p w14:paraId="7B3E43B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D7EBDD"/>
            <w:noWrap/>
            <w:vAlign w:val="center"/>
            <w:hideMark/>
          </w:tcPr>
          <w:p w14:paraId="1EB9F44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FFFFFF"/>
            <w:noWrap/>
            <w:vAlign w:val="center"/>
            <w:hideMark/>
          </w:tcPr>
          <w:p w14:paraId="5EDCB48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1" w:type="dxa"/>
            <w:tcBorders>
              <w:top w:val="nil"/>
              <w:left w:val="nil"/>
              <w:bottom w:val="nil"/>
              <w:right w:val="nil"/>
            </w:tcBorders>
            <w:shd w:val="clear" w:color="000000" w:fill="FFFFFF"/>
            <w:noWrap/>
            <w:vAlign w:val="center"/>
            <w:hideMark/>
          </w:tcPr>
          <w:p w14:paraId="5406D1D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1" w:type="dxa"/>
            <w:tcBorders>
              <w:top w:val="nil"/>
              <w:left w:val="nil"/>
              <w:bottom w:val="nil"/>
              <w:right w:val="nil"/>
            </w:tcBorders>
            <w:shd w:val="clear" w:color="000000" w:fill="FFFFFF"/>
            <w:noWrap/>
            <w:vAlign w:val="center"/>
            <w:hideMark/>
          </w:tcPr>
          <w:p w14:paraId="24AC4E4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01434C8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(0.057)</w:t>
            </w:r>
          </w:p>
        </w:tc>
        <w:tc>
          <w:tcPr>
            <w:tcW w:w="901" w:type="dxa"/>
            <w:tcBorders>
              <w:top w:val="nil"/>
              <w:left w:val="nil"/>
              <w:bottom w:val="nil"/>
              <w:right w:val="nil"/>
            </w:tcBorders>
            <w:shd w:val="clear" w:color="000000" w:fill="FFFFFF"/>
            <w:noWrap/>
            <w:vAlign w:val="center"/>
            <w:hideMark/>
          </w:tcPr>
          <w:p w14:paraId="0DDC08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4D46883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1" w:type="dxa"/>
            <w:tcBorders>
              <w:top w:val="nil"/>
              <w:left w:val="nil"/>
              <w:bottom w:val="nil"/>
              <w:right w:val="nil"/>
            </w:tcBorders>
            <w:shd w:val="clear" w:color="000000" w:fill="FFFFFF"/>
            <w:noWrap/>
            <w:vAlign w:val="center"/>
            <w:hideMark/>
          </w:tcPr>
          <w:p w14:paraId="25E41BA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1" w:type="dxa"/>
            <w:tcBorders>
              <w:top w:val="nil"/>
              <w:left w:val="nil"/>
              <w:bottom w:val="nil"/>
              <w:right w:val="nil"/>
            </w:tcBorders>
            <w:shd w:val="clear" w:color="000000" w:fill="FFFFFF"/>
            <w:noWrap/>
            <w:vAlign w:val="center"/>
            <w:hideMark/>
          </w:tcPr>
          <w:p w14:paraId="3B06A9D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09AE8FD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single" w:sz="4" w:space="0" w:color="auto"/>
            </w:tcBorders>
            <w:shd w:val="clear" w:color="000000" w:fill="FFFFFF"/>
            <w:noWrap/>
            <w:vAlign w:val="center"/>
            <w:hideMark/>
          </w:tcPr>
          <w:p w14:paraId="08D048A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r>
      <w:tr w:rsidR="00423107" w:rsidRPr="00423107" w14:paraId="0C89564A" w14:textId="77777777" w:rsidTr="00423107">
        <w:trPr>
          <w:trHeight w:val="60"/>
        </w:trPr>
        <w:tc>
          <w:tcPr>
            <w:tcW w:w="2423" w:type="dxa"/>
            <w:vMerge w:val="restart"/>
            <w:tcBorders>
              <w:top w:val="nil"/>
              <w:left w:val="single" w:sz="4" w:space="0" w:color="auto"/>
              <w:bottom w:val="single" w:sz="4" w:space="0" w:color="000000"/>
              <w:right w:val="nil"/>
            </w:tcBorders>
            <w:shd w:val="clear" w:color="000000" w:fill="A9C6E4"/>
            <w:vAlign w:val="center"/>
            <w:hideMark/>
          </w:tcPr>
          <w:p w14:paraId="7BF0A1A4"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ikke-markedsrettede tjenester</w:t>
            </w:r>
          </w:p>
        </w:tc>
        <w:tc>
          <w:tcPr>
            <w:tcW w:w="901" w:type="dxa"/>
            <w:tcBorders>
              <w:top w:val="nil"/>
              <w:left w:val="single" w:sz="4" w:space="0" w:color="auto"/>
              <w:bottom w:val="nil"/>
              <w:right w:val="nil"/>
            </w:tcBorders>
            <w:shd w:val="clear" w:color="000000" w:fill="F48594"/>
            <w:noWrap/>
            <w:vAlign w:val="center"/>
            <w:hideMark/>
          </w:tcPr>
          <w:p w14:paraId="597616C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-0.100**</w:t>
            </w:r>
          </w:p>
        </w:tc>
        <w:tc>
          <w:tcPr>
            <w:tcW w:w="901" w:type="dxa"/>
            <w:tcBorders>
              <w:top w:val="nil"/>
              <w:left w:val="nil"/>
              <w:bottom w:val="nil"/>
              <w:right w:val="nil"/>
            </w:tcBorders>
            <w:shd w:val="clear" w:color="000000" w:fill="F48594"/>
            <w:noWrap/>
            <w:vAlign w:val="center"/>
            <w:hideMark/>
          </w:tcPr>
          <w:p w14:paraId="2254900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-0.106**</w:t>
            </w:r>
          </w:p>
        </w:tc>
        <w:tc>
          <w:tcPr>
            <w:tcW w:w="901" w:type="dxa"/>
            <w:tcBorders>
              <w:top w:val="nil"/>
              <w:left w:val="nil"/>
              <w:bottom w:val="nil"/>
              <w:right w:val="nil"/>
            </w:tcBorders>
            <w:shd w:val="clear" w:color="000000" w:fill="FFFFFF"/>
            <w:noWrap/>
            <w:vAlign w:val="center"/>
            <w:hideMark/>
          </w:tcPr>
          <w:p w14:paraId="2127590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FFFFF"/>
            <w:noWrap/>
            <w:vAlign w:val="center"/>
            <w:hideMark/>
          </w:tcPr>
          <w:p w14:paraId="7D8F499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1" w:type="dxa"/>
            <w:tcBorders>
              <w:top w:val="nil"/>
              <w:left w:val="nil"/>
              <w:bottom w:val="nil"/>
              <w:right w:val="nil"/>
            </w:tcBorders>
            <w:shd w:val="clear" w:color="000000" w:fill="FFFFFF"/>
            <w:noWrap/>
            <w:vAlign w:val="center"/>
            <w:hideMark/>
          </w:tcPr>
          <w:p w14:paraId="7D0817B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-0.017</w:t>
            </w:r>
          </w:p>
        </w:tc>
        <w:tc>
          <w:tcPr>
            <w:tcW w:w="901" w:type="dxa"/>
            <w:tcBorders>
              <w:top w:val="nil"/>
              <w:left w:val="nil"/>
              <w:bottom w:val="nil"/>
              <w:right w:val="nil"/>
            </w:tcBorders>
            <w:shd w:val="clear" w:color="000000" w:fill="FFFFFF"/>
            <w:noWrap/>
            <w:vAlign w:val="center"/>
            <w:hideMark/>
          </w:tcPr>
          <w:p w14:paraId="3A821E0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-0.031</w:t>
            </w:r>
          </w:p>
        </w:tc>
        <w:tc>
          <w:tcPr>
            <w:tcW w:w="901" w:type="dxa"/>
            <w:tcBorders>
              <w:top w:val="nil"/>
              <w:left w:val="nil"/>
              <w:bottom w:val="nil"/>
              <w:right w:val="nil"/>
            </w:tcBorders>
            <w:shd w:val="clear" w:color="000000" w:fill="FFFFFF"/>
            <w:noWrap/>
            <w:vAlign w:val="center"/>
            <w:hideMark/>
          </w:tcPr>
          <w:p w14:paraId="2CC77B1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7BCAEFA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1" w:type="dxa"/>
            <w:tcBorders>
              <w:top w:val="nil"/>
              <w:left w:val="nil"/>
              <w:bottom w:val="nil"/>
              <w:right w:val="nil"/>
            </w:tcBorders>
            <w:shd w:val="clear" w:color="000000" w:fill="FFFFFF"/>
            <w:noWrap/>
            <w:vAlign w:val="center"/>
            <w:hideMark/>
          </w:tcPr>
          <w:p w14:paraId="3359F8D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1DAC627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1" w:type="dxa"/>
            <w:tcBorders>
              <w:top w:val="nil"/>
              <w:left w:val="nil"/>
              <w:bottom w:val="nil"/>
              <w:right w:val="nil"/>
            </w:tcBorders>
            <w:shd w:val="clear" w:color="000000" w:fill="FFFFFF"/>
            <w:noWrap/>
            <w:vAlign w:val="center"/>
            <w:hideMark/>
          </w:tcPr>
          <w:p w14:paraId="7949591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-0.010</w:t>
            </w:r>
          </w:p>
        </w:tc>
        <w:tc>
          <w:tcPr>
            <w:tcW w:w="901" w:type="dxa"/>
            <w:tcBorders>
              <w:top w:val="nil"/>
              <w:left w:val="nil"/>
              <w:bottom w:val="nil"/>
              <w:right w:val="single" w:sz="4" w:space="0" w:color="auto"/>
            </w:tcBorders>
            <w:shd w:val="clear" w:color="000000" w:fill="FFFFFF"/>
            <w:noWrap/>
            <w:vAlign w:val="center"/>
            <w:hideMark/>
          </w:tcPr>
          <w:p w14:paraId="0DEB077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r>
      <w:tr w:rsidR="00423107" w:rsidRPr="00423107" w14:paraId="03D3013E" w14:textId="77777777" w:rsidTr="00423107">
        <w:trPr>
          <w:trHeight w:val="50"/>
        </w:trPr>
        <w:tc>
          <w:tcPr>
            <w:tcW w:w="2423" w:type="dxa"/>
            <w:vMerge/>
            <w:tcBorders>
              <w:top w:val="nil"/>
              <w:left w:val="single" w:sz="4" w:space="0" w:color="auto"/>
              <w:bottom w:val="single" w:sz="4" w:space="0" w:color="000000"/>
              <w:right w:val="nil"/>
            </w:tcBorders>
            <w:vAlign w:val="center"/>
            <w:hideMark/>
          </w:tcPr>
          <w:p w14:paraId="0BC01F5D"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single" w:sz="4" w:space="0" w:color="auto"/>
              <w:right w:val="nil"/>
            </w:tcBorders>
            <w:shd w:val="clear" w:color="000000" w:fill="F48594"/>
            <w:noWrap/>
            <w:vAlign w:val="center"/>
            <w:hideMark/>
          </w:tcPr>
          <w:p w14:paraId="647FFB6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single" w:sz="4" w:space="0" w:color="auto"/>
              <w:right w:val="nil"/>
            </w:tcBorders>
            <w:shd w:val="clear" w:color="000000" w:fill="F48594"/>
            <w:noWrap/>
            <w:vAlign w:val="center"/>
            <w:hideMark/>
          </w:tcPr>
          <w:p w14:paraId="1CDC058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single" w:sz="4" w:space="0" w:color="auto"/>
              <w:right w:val="nil"/>
            </w:tcBorders>
            <w:shd w:val="clear" w:color="000000" w:fill="FFFFFF"/>
            <w:noWrap/>
            <w:vAlign w:val="center"/>
            <w:hideMark/>
          </w:tcPr>
          <w:p w14:paraId="3FCD73A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1" w:type="dxa"/>
            <w:tcBorders>
              <w:top w:val="nil"/>
              <w:left w:val="nil"/>
              <w:bottom w:val="single" w:sz="4" w:space="0" w:color="auto"/>
              <w:right w:val="nil"/>
            </w:tcBorders>
            <w:shd w:val="clear" w:color="000000" w:fill="FFFFFF"/>
            <w:noWrap/>
            <w:vAlign w:val="center"/>
            <w:hideMark/>
          </w:tcPr>
          <w:p w14:paraId="47DA6C1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single" w:sz="4" w:space="0" w:color="auto"/>
              <w:right w:val="nil"/>
            </w:tcBorders>
            <w:shd w:val="clear" w:color="000000" w:fill="FFFFFF"/>
            <w:noWrap/>
            <w:vAlign w:val="center"/>
            <w:hideMark/>
          </w:tcPr>
          <w:p w14:paraId="21717E7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nil"/>
            </w:tcBorders>
            <w:shd w:val="clear" w:color="000000" w:fill="FFFFFF"/>
            <w:noWrap/>
            <w:vAlign w:val="center"/>
            <w:hideMark/>
          </w:tcPr>
          <w:p w14:paraId="1A0D08A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single" w:sz="4" w:space="0" w:color="auto"/>
              <w:right w:val="nil"/>
            </w:tcBorders>
            <w:shd w:val="clear" w:color="000000" w:fill="FFFFFF"/>
            <w:noWrap/>
            <w:vAlign w:val="center"/>
            <w:hideMark/>
          </w:tcPr>
          <w:p w14:paraId="0111A05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nil"/>
            </w:tcBorders>
            <w:shd w:val="clear" w:color="000000" w:fill="FFFFFF"/>
            <w:noWrap/>
            <w:vAlign w:val="center"/>
            <w:hideMark/>
          </w:tcPr>
          <w:p w14:paraId="1C413A3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single" w:sz="4" w:space="0" w:color="auto"/>
              <w:right w:val="nil"/>
            </w:tcBorders>
            <w:shd w:val="clear" w:color="000000" w:fill="FFFFFF"/>
            <w:noWrap/>
            <w:vAlign w:val="center"/>
            <w:hideMark/>
          </w:tcPr>
          <w:p w14:paraId="0D633F8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single" w:sz="4" w:space="0" w:color="auto"/>
              <w:right w:val="nil"/>
            </w:tcBorders>
            <w:shd w:val="clear" w:color="000000" w:fill="FFFFFF"/>
            <w:noWrap/>
            <w:vAlign w:val="center"/>
            <w:hideMark/>
          </w:tcPr>
          <w:p w14:paraId="3389D4F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nil"/>
            </w:tcBorders>
            <w:shd w:val="clear" w:color="000000" w:fill="FFFFFF"/>
            <w:noWrap/>
            <w:vAlign w:val="center"/>
            <w:hideMark/>
          </w:tcPr>
          <w:p w14:paraId="49BB9D3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single" w:sz="4" w:space="0" w:color="auto"/>
            </w:tcBorders>
            <w:shd w:val="clear" w:color="000000" w:fill="FFFFFF"/>
            <w:noWrap/>
            <w:vAlign w:val="center"/>
            <w:hideMark/>
          </w:tcPr>
          <w:p w14:paraId="3D8A75B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r>
    </w:tbl>
    <w:p w14:paraId="6141FABF" w14:textId="66F4D9E5" w:rsidR="00B015B5" w:rsidRPr="0055149C" w:rsidRDefault="00EB199B" w:rsidP="00B015B5">
      <w:pPr>
        <w:pStyle w:val="Billedtekst-forklaring"/>
        <w:ind w:left="0" w:firstLine="0"/>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9C7047">
        <w:t>I f</w:t>
      </w:r>
      <w:r w:rsidRPr="0055149C">
        <w:t xml:space="preserve">orkortelsene dd, ad, da og aa angir første og andre bokstav om henholdsvis kapitaldeflatorene og depresieringsratene er aggregerte (a) eller disaggregerte (d). f og l som følger angir om eventuelle avkastningskrav er fast eller løpende. </w:t>
      </w:r>
      <w:r w:rsidR="00B015B5" w:rsidRPr="0055149C">
        <w:t>Standardavvikene beregnet som heteroskedastisitetsrobuste. Angivelse av signifikans: * p &lt; 0.10, ** p &lt; 0.05 og *** p &lt; 0.01.</w:t>
      </w:r>
      <w:r w:rsidR="00A612E2" w:rsidRPr="0055149C">
        <w:t xml:space="preserve"> </w:t>
      </w:r>
    </w:p>
    <w:p w14:paraId="376522FA" w14:textId="1DC3961A" w:rsidR="00F84C8E" w:rsidRDefault="00B015B5" w:rsidP="00B015B5">
      <w:pPr>
        <w:pStyle w:val="Source"/>
        <w:rPr>
          <w:lang w:eastAsia="nb-NO"/>
        </w:rPr>
      </w:pPr>
      <w:r w:rsidRPr="0055149C">
        <w:rPr>
          <w:lang w:eastAsia="nb-NO"/>
        </w:rPr>
        <w:t>Kilde: Vista Analyse</w:t>
      </w:r>
      <w:r w:rsidR="00F84C8E">
        <w:rPr>
          <w:lang w:eastAsia="nb-NO"/>
        </w:rPr>
        <w:br w:type="page"/>
      </w:r>
    </w:p>
    <w:p w14:paraId="66A275C2" w14:textId="1AFDD017" w:rsidR="001370AE" w:rsidRPr="0055149C" w:rsidRDefault="001370AE" w:rsidP="001370AE">
      <w:pPr>
        <w:pStyle w:val="Bildetekst"/>
      </w:pPr>
      <w:bookmarkStart w:id="136" w:name="_Ref179319048"/>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10</w:t>
        </w:r>
      </w:fldSimple>
      <w:bookmarkEnd w:id="136"/>
      <w:r w:rsidRPr="0055149C">
        <w:tab/>
        <w:t>Regresjoner ved minste kvadraters metode i to steg: I første steg forklares hver kovariat ved bruttodriftsutgifter</w:t>
      </w:r>
      <w:r w:rsidR="00AE53A8" w:rsidRPr="0055149C">
        <w:t xml:space="preserve"> per innbygger</w:t>
      </w:r>
      <w:r w:rsidRPr="0055149C">
        <w:t>. I andre ste</w:t>
      </w:r>
      <w:r w:rsidR="007F2335" w:rsidRPr="0055149C">
        <w:t>g</w:t>
      </w:r>
      <w:r w:rsidRPr="0055149C">
        <w:t xml:space="preserve"> forklares residualen fra den første regresjonen ved hvert kommunale </w:t>
      </w:r>
      <w:r w:rsidR="00C23F5C" w:rsidRPr="0055149C">
        <w:t xml:space="preserve">kapitalkostnadsmål </w:t>
      </w:r>
      <w:r w:rsidRPr="0055149C">
        <w:t xml:space="preserve">per innbygger. Samtlige variabler </w:t>
      </w:r>
      <w:r w:rsidR="007F51CD" w:rsidRPr="0055149C">
        <w:t xml:space="preserve">måles i 2022 og </w:t>
      </w:r>
      <w:r w:rsidRPr="0055149C">
        <w:t>er normalisert til standardnormalfordelingen basert på deres respektive gjennomsnitt og standardfeil.</w:t>
      </w:r>
    </w:p>
    <w:tbl>
      <w:tblPr>
        <w:tblW w:w="13310" w:type="dxa"/>
        <w:tblCellMar>
          <w:left w:w="70" w:type="dxa"/>
          <w:right w:w="70" w:type="dxa"/>
        </w:tblCellMar>
        <w:tblLook w:val="04A0" w:firstRow="1" w:lastRow="0" w:firstColumn="1" w:lastColumn="0" w:noHBand="0" w:noVBand="1"/>
      </w:tblPr>
      <w:tblGrid>
        <w:gridCol w:w="2438"/>
        <w:gridCol w:w="906"/>
        <w:gridCol w:w="906"/>
        <w:gridCol w:w="906"/>
        <w:gridCol w:w="906"/>
        <w:gridCol w:w="906"/>
        <w:gridCol w:w="906"/>
        <w:gridCol w:w="906"/>
        <w:gridCol w:w="906"/>
        <w:gridCol w:w="906"/>
        <w:gridCol w:w="906"/>
        <w:gridCol w:w="906"/>
        <w:gridCol w:w="906"/>
      </w:tblGrid>
      <w:tr w:rsidR="00423107" w:rsidRPr="00423107" w14:paraId="5BBA99D8" w14:textId="77777777" w:rsidTr="00423107">
        <w:trPr>
          <w:trHeight w:val="50"/>
        </w:trPr>
        <w:tc>
          <w:tcPr>
            <w:tcW w:w="2438" w:type="dxa"/>
            <w:tcBorders>
              <w:top w:val="single" w:sz="4" w:space="0" w:color="auto"/>
              <w:left w:val="single" w:sz="4" w:space="0" w:color="auto"/>
              <w:bottom w:val="nil"/>
              <w:right w:val="nil"/>
            </w:tcBorders>
            <w:shd w:val="clear" w:color="000000" w:fill="3672B0"/>
            <w:noWrap/>
            <w:vAlign w:val="center"/>
            <w:hideMark/>
          </w:tcPr>
          <w:p w14:paraId="698C2963" w14:textId="77777777" w:rsidR="00423107" w:rsidRPr="00423107" w:rsidRDefault="00423107" w:rsidP="00423107">
            <w:pPr>
              <w:spacing w:before="0" w:line="240" w:lineRule="auto"/>
              <w:jc w:val="left"/>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Variabler</w:t>
            </w:r>
          </w:p>
        </w:tc>
        <w:tc>
          <w:tcPr>
            <w:tcW w:w="906" w:type="dxa"/>
            <w:tcBorders>
              <w:top w:val="single" w:sz="4" w:space="0" w:color="auto"/>
              <w:left w:val="nil"/>
              <w:bottom w:val="nil"/>
              <w:right w:val="nil"/>
            </w:tcBorders>
            <w:shd w:val="clear" w:color="000000" w:fill="3672B0"/>
            <w:noWrap/>
            <w:vAlign w:val="center"/>
            <w:hideMark/>
          </w:tcPr>
          <w:p w14:paraId="411CA0B8"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w:t>
            </w:r>
          </w:p>
        </w:tc>
        <w:tc>
          <w:tcPr>
            <w:tcW w:w="906" w:type="dxa"/>
            <w:tcBorders>
              <w:top w:val="single" w:sz="4" w:space="0" w:color="auto"/>
              <w:left w:val="nil"/>
              <w:bottom w:val="nil"/>
              <w:right w:val="nil"/>
            </w:tcBorders>
            <w:shd w:val="clear" w:color="000000" w:fill="3672B0"/>
            <w:noWrap/>
            <w:vAlign w:val="center"/>
            <w:hideMark/>
          </w:tcPr>
          <w:p w14:paraId="024E7FF3"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w:t>
            </w:r>
          </w:p>
        </w:tc>
        <w:tc>
          <w:tcPr>
            <w:tcW w:w="906" w:type="dxa"/>
            <w:tcBorders>
              <w:top w:val="single" w:sz="4" w:space="0" w:color="auto"/>
              <w:left w:val="nil"/>
              <w:bottom w:val="nil"/>
              <w:right w:val="nil"/>
            </w:tcBorders>
            <w:shd w:val="clear" w:color="000000" w:fill="3672B0"/>
            <w:noWrap/>
            <w:vAlign w:val="center"/>
            <w:hideMark/>
          </w:tcPr>
          <w:p w14:paraId="188F3D3C"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(3)</w:t>
            </w:r>
          </w:p>
        </w:tc>
        <w:tc>
          <w:tcPr>
            <w:tcW w:w="906" w:type="dxa"/>
            <w:tcBorders>
              <w:top w:val="single" w:sz="4" w:space="0" w:color="auto"/>
              <w:left w:val="nil"/>
              <w:bottom w:val="nil"/>
              <w:right w:val="nil"/>
            </w:tcBorders>
            <w:shd w:val="clear" w:color="000000" w:fill="3672B0"/>
            <w:noWrap/>
            <w:vAlign w:val="center"/>
            <w:hideMark/>
          </w:tcPr>
          <w:p w14:paraId="4A2CE3DE"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(4)</w:t>
            </w:r>
          </w:p>
        </w:tc>
        <w:tc>
          <w:tcPr>
            <w:tcW w:w="906" w:type="dxa"/>
            <w:tcBorders>
              <w:top w:val="single" w:sz="4" w:space="0" w:color="auto"/>
              <w:left w:val="nil"/>
              <w:bottom w:val="nil"/>
              <w:right w:val="nil"/>
            </w:tcBorders>
            <w:shd w:val="clear" w:color="000000" w:fill="3672B0"/>
            <w:noWrap/>
            <w:vAlign w:val="center"/>
            <w:hideMark/>
          </w:tcPr>
          <w:p w14:paraId="372E878D"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(5)</w:t>
            </w:r>
          </w:p>
        </w:tc>
        <w:tc>
          <w:tcPr>
            <w:tcW w:w="906" w:type="dxa"/>
            <w:tcBorders>
              <w:top w:val="single" w:sz="4" w:space="0" w:color="auto"/>
              <w:left w:val="nil"/>
              <w:bottom w:val="nil"/>
              <w:right w:val="nil"/>
            </w:tcBorders>
            <w:shd w:val="clear" w:color="000000" w:fill="3672B0"/>
            <w:noWrap/>
            <w:vAlign w:val="center"/>
            <w:hideMark/>
          </w:tcPr>
          <w:p w14:paraId="0F130624"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(6)</w:t>
            </w:r>
          </w:p>
        </w:tc>
        <w:tc>
          <w:tcPr>
            <w:tcW w:w="906" w:type="dxa"/>
            <w:tcBorders>
              <w:top w:val="single" w:sz="4" w:space="0" w:color="auto"/>
              <w:left w:val="nil"/>
              <w:bottom w:val="nil"/>
              <w:right w:val="nil"/>
            </w:tcBorders>
            <w:shd w:val="clear" w:color="000000" w:fill="3672B0"/>
            <w:noWrap/>
            <w:vAlign w:val="center"/>
            <w:hideMark/>
          </w:tcPr>
          <w:p w14:paraId="67DF455A"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(7)</w:t>
            </w:r>
          </w:p>
        </w:tc>
        <w:tc>
          <w:tcPr>
            <w:tcW w:w="906" w:type="dxa"/>
            <w:tcBorders>
              <w:top w:val="single" w:sz="4" w:space="0" w:color="auto"/>
              <w:left w:val="nil"/>
              <w:bottom w:val="nil"/>
              <w:right w:val="nil"/>
            </w:tcBorders>
            <w:shd w:val="clear" w:color="000000" w:fill="3672B0"/>
            <w:noWrap/>
            <w:vAlign w:val="center"/>
            <w:hideMark/>
          </w:tcPr>
          <w:p w14:paraId="7B748953"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(8)</w:t>
            </w:r>
          </w:p>
        </w:tc>
        <w:tc>
          <w:tcPr>
            <w:tcW w:w="906" w:type="dxa"/>
            <w:tcBorders>
              <w:top w:val="single" w:sz="4" w:space="0" w:color="auto"/>
              <w:left w:val="nil"/>
              <w:bottom w:val="nil"/>
              <w:right w:val="nil"/>
            </w:tcBorders>
            <w:shd w:val="clear" w:color="000000" w:fill="3672B0"/>
            <w:noWrap/>
            <w:vAlign w:val="center"/>
            <w:hideMark/>
          </w:tcPr>
          <w:p w14:paraId="40C52A1E"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(9)</w:t>
            </w:r>
          </w:p>
        </w:tc>
        <w:tc>
          <w:tcPr>
            <w:tcW w:w="906" w:type="dxa"/>
            <w:tcBorders>
              <w:top w:val="single" w:sz="4" w:space="0" w:color="auto"/>
              <w:left w:val="nil"/>
              <w:bottom w:val="nil"/>
              <w:right w:val="nil"/>
            </w:tcBorders>
            <w:shd w:val="clear" w:color="000000" w:fill="3672B0"/>
            <w:noWrap/>
            <w:vAlign w:val="center"/>
            <w:hideMark/>
          </w:tcPr>
          <w:p w14:paraId="66ED8934"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(10)</w:t>
            </w:r>
          </w:p>
        </w:tc>
        <w:tc>
          <w:tcPr>
            <w:tcW w:w="906" w:type="dxa"/>
            <w:tcBorders>
              <w:top w:val="single" w:sz="4" w:space="0" w:color="auto"/>
              <w:left w:val="nil"/>
              <w:bottom w:val="nil"/>
              <w:right w:val="nil"/>
            </w:tcBorders>
            <w:shd w:val="clear" w:color="000000" w:fill="3672B0"/>
            <w:noWrap/>
            <w:vAlign w:val="center"/>
            <w:hideMark/>
          </w:tcPr>
          <w:p w14:paraId="41B57498"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(11)</w:t>
            </w:r>
          </w:p>
        </w:tc>
        <w:tc>
          <w:tcPr>
            <w:tcW w:w="906" w:type="dxa"/>
            <w:tcBorders>
              <w:top w:val="single" w:sz="4" w:space="0" w:color="auto"/>
              <w:left w:val="nil"/>
              <w:bottom w:val="nil"/>
              <w:right w:val="single" w:sz="4" w:space="0" w:color="auto"/>
            </w:tcBorders>
            <w:shd w:val="clear" w:color="000000" w:fill="3672B0"/>
            <w:noWrap/>
            <w:vAlign w:val="center"/>
            <w:hideMark/>
          </w:tcPr>
          <w:p w14:paraId="6946C9DA"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(12)</w:t>
            </w:r>
          </w:p>
        </w:tc>
      </w:tr>
      <w:tr w:rsidR="00423107" w:rsidRPr="00423107" w14:paraId="652FBA84" w14:textId="77777777" w:rsidTr="00423107">
        <w:trPr>
          <w:trHeight w:val="258"/>
        </w:trPr>
        <w:tc>
          <w:tcPr>
            <w:tcW w:w="2438" w:type="dxa"/>
            <w:vMerge w:val="restart"/>
            <w:tcBorders>
              <w:top w:val="single" w:sz="4" w:space="0" w:color="auto"/>
              <w:left w:val="single" w:sz="4" w:space="0" w:color="auto"/>
              <w:bottom w:val="nil"/>
              <w:right w:val="single" w:sz="4" w:space="0" w:color="auto"/>
            </w:tcBorders>
            <w:shd w:val="clear" w:color="000000" w:fill="A9C6E4"/>
            <w:vAlign w:val="center"/>
            <w:hideMark/>
          </w:tcPr>
          <w:p w14:paraId="20ACD1A8"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Befolkning</w:t>
            </w:r>
          </w:p>
        </w:tc>
        <w:tc>
          <w:tcPr>
            <w:tcW w:w="906" w:type="dxa"/>
            <w:tcBorders>
              <w:top w:val="single" w:sz="4" w:space="0" w:color="auto"/>
              <w:left w:val="nil"/>
              <w:bottom w:val="nil"/>
              <w:right w:val="nil"/>
            </w:tcBorders>
            <w:shd w:val="clear" w:color="000000" w:fill="FFFFFF"/>
            <w:noWrap/>
            <w:vAlign w:val="center"/>
            <w:hideMark/>
          </w:tcPr>
          <w:p w14:paraId="20F3D9D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6" w:type="dxa"/>
            <w:tcBorders>
              <w:top w:val="single" w:sz="4" w:space="0" w:color="auto"/>
              <w:left w:val="nil"/>
              <w:bottom w:val="nil"/>
              <w:right w:val="nil"/>
            </w:tcBorders>
            <w:shd w:val="clear" w:color="000000" w:fill="FFFFFF"/>
            <w:noWrap/>
            <w:vAlign w:val="center"/>
            <w:hideMark/>
          </w:tcPr>
          <w:p w14:paraId="45FA108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0.010</w:t>
            </w:r>
          </w:p>
        </w:tc>
        <w:tc>
          <w:tcPr>
            <w:tcW w:w="906" w:type="dxa"/>
            <w:tcBorders>
              <w:top w:val="single" w:sz="4" w:space="0" w:color="auto"/>
              <w:left w:val="nil"/>
              <w:bottom w:val="nil"/>
              <w:right w:val="nil"/>
            </w:tcBorders>
            <w:shd w:val="clear" w:color="000000" w:fill="FFFFFF"/>
            <w:noWrap/>
            <w:vAlign w:val="center"/>
            <w:hideMark/>
          </w:tcPr>
          <w:p w14:paraId="255A21E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6" w:type="dxa"/>
            <w:tcBorders>
              <w:top w:val="single" w:sz="4" w:space="0" w:color="auto"/>
              <w:left w:val="nil"/>
              <w:bottom w:val="nil"/>
              <w:right w:val="nil"/>
            </w:tcBorders>
            <w:shd w:val="clear" w:color="000000" w:fill="FFFFFF"/>
            <w:noWrap/>
            <w:vAlign w:val="center"/>
            <w:hideMark/>
          </w:tcPr>
          <w:p w14:paraId="0DD3809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0.033</w:t>
            </w:r>
          </w:p>
        </w:tc>
        <w:tc>
          <w:tcPr>
            <w:tcW w:w="906" w:type="dxa"/>
            <w:tcBorders>
              <w:top w:val="single" w:sz="4" w:space="0" w:color="auto"/>
              <w:left w:val="nil"/>
              <w:bottom w:val="nil"/>
              <w:right w:val="nil"/>
            </w:tcBorders>
            <w:shd w:val="clear" w:color="000000" w:fill="FFFFFF"/>
            <w:noWrap/>
            <w:vAlign w:val="center"/>
            <w:hideMark/>
          </w:tcPr>
          <w:p w14:paraId="05F933B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6" w:type="dxa"/>
            <w:tcBorders>
              <w:top w:val="single" w:sz="4" w:space="0" w:color="auto"/>
              <w:left w:val="nil"/>
              <w:bottom w:val="nil"/>
              <w:right w:val="nil"/>
            </w:tcBorders>
            <w:shd w:val="clear" w:color="000000" w:fill="FFFFFF"/>
            <w:noWrap/>
            <w:vAlign w:val="center"/>
            <w:hideMark/>
          </w:tcPr>
          <w:p w14:paraId="4441CDE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0.034</w:t>
            </w:r>
          </w:p>
        </w:tc>
        <w:tc>
          <w:tcPr>
            <w:tcW w:w="906" w:type="dxa"/>
            <w:tcBorders>
              <w:top w:val="single" w:sz="4" w:space="0" w:color="auto"/>
              <w:left w:val="nil"/>
              <w:bottom w:val="nil"/>
              <w:right w:val="nil"/>
            </w:tcBorders>
            <w:shd w:val="clear" w:color="000000" w:fill="FFFFFF"/>
            <w:noWrap/>
            <w:vAlign w:val="center"/>
            <w:hideMark/>
          </w:tcPr>
          <w:p w14:paraId="2B85936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6" w:type="dxa"/>
            <w:tcBorders>
              <w:top w:val="single" w:sz="4" w:space="0" w:color="auto"/>
              <w:left w:val="nil"/>
              <w:bottom w:val="nil"/>
              <w:right w:val="nil"/>
            </w:tcBorders>
            <w:shd w:val="clear" w:color="000000" w:fill="FFFFFF"/>
            <w:noWrap/>
            <w:vAlign w:val="center"/>
            <w:hideMark/>
          </w:tcPr>
          <w:p w14:paraId="3E759B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6" w:type="dxa"/>
            <w:tcBorders>
              <w:top w:val="single" w:sz="4" w:space="0" w:color="auto"/>
              <w:left w:val="nil"/>
              <w:bottom w:val="nil"/>
              <w:right w:val="nil"/>
            </w:tcBorders>
            <w:shd w:val="clear" w:color="000000" w:fill="FFFFFF"/>
            <w:noWrap/>
            <w:vAlign w:val="center"/>
            <w:hideMark/>
          </w:tcPr>
          <w:p w14:paraId="40D6CFD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6" w:type="dxa"/>
            <w:tcBorders>
              <w:top w:val="single" w:sz="4" w:space="0" w:color="auto"/>
              <w:left w:val="nil"/>
              <w:bottom w:val="nil"/>
              <w:right w:val="nil"/>
            </w:tcBorders>
            <w:shd w:val="clear" w:color="000000" w:fill="FFFFFF"/>
            <w:noWrap/>
            <w:vAlign w:val="center"/>
            <w:hideMark/>
          </w:tcPr>
          <w:p w14:paraId="0BEFA79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single" w:sz="4" w:space="0" w:color="auto"/>
              <w:left w:val="nil"/>
              <w:bottom w:val="nil"/>
              <w:right w:val="nil"/>
            </w:tcBorders>
            <w:shd w:val="clear" w:color="000000" w:fill="FFFFFF"/>
            <w:noWrap/>
            <w:vAlign w:val="center"/>
            <w:hideMark/>
          </w:tcPr>
          <w:p w14:paraId="03FD592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single" w:sz="4" w:space="0" w:color="auto"/>
              <w:left w:val="nil"/>
              <w:bottom w:val="nil"/>
              <w:right w:val="single" w:sz="4" w:space="0" w:color="auto"/>
            </w:tcBorders>
            <w:shd w:val="clear" w:color="000000" w:fill="FFFFFF"/>
            <w:noWrap/>
            <w:vAlign w:val="center"/>
            <w:hideMark/>
          </w:tcPr>
          <w:p w14:paraId="2952B67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r>
      <w:tr w:rsidR="00423107" w:rsidRPr="00423107" w14:paraId="708B4335" w14:textId="77777777" w:rsidTr="00423107">
        <w:trPr>
          <w:trHeight w:val="50"/>
        </w:trPr>
        <w:tc>
          <w:tcPr>
            <w:tcW w:w="2438" w:type="dxa"/>
            <w:vMerge/>
            <w:tcBorders>
              <w:top w:val="single" w:sz="4" w:space="0" w:color="auto"/>
              <w:left w:val="single" w:sz="4" w:space="0" w:color="auto"/>
              <w:bottom w:val="nil"/>
              <w:right w:val="single" w:sz="4" w:space="0" w:color="auto"/>
            </w:tcBorders>
            <w:vAlign w:val="center"/>
            <w:hideMark/>
          </w:tcPr>
          <w:p w14:paraId="73134360"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450CA9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6" w:type="dxa"/>
            <w:tcBorders>
              <w:top w:val="nil"/>
              <w:left w:val="nil"/>
              <w:bottom w:val="nil"/>
              <w:right w:val="nil"/>
            </w:tcBorders>
            <w:shd w:val="clear" w:color="000000" w:fill="FFFFFF"/>
            <w:noWrap/>
            <w:vAlign w:val="center"/>
            <w:hideMark/>
          </w:tcPr>
          <w:p w14:paraId="11D01FA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6" w:type="dxa"/>
            <w:tcBorders>
              <w:top w:val="nil"/>
              <w:left w:val="nil"/>
              <w:bottom w:val="nil"/>
              <w:right w:val="nil"/>
            </w:tcBorders>
            <w:shd w:val="clear" w:color="000000" w:fill="FFFFFF"/>
            <w:noWrap/>
            <w:vAlign w:val="center"/>
            <w:hideMark/>
          </w:tcPr>
          <w:p w14:paraId="785BC07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nil"/>
            </w:tcBorders>
            <w:shd w:val="clear" w:color="000000" w:fill="FFFFFF"/>
            <w:noWrap/>
            <w:vAlign w:val="center"/>
            <w:hideMark/>
          </w:tcPr>
          <w:p w14:paraId="72F414F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6" w:type="dxa"/>
            <w:tcBorders>
              <w:top w:val="nil"/>
              <w:left w:val="nil"/>
              <w:bottom w:val="nil"/>
              <w:right w:val="nil"/>
            </w:tcBorders>
            <w:shd w:val="clear" w:color="000000" w:fill="FFFFFF"/>
            <w:noWrap/>
            <w:vAlign w:val="center"/>
            <w:hideMark/>
          </w:tcPr>
          <w:p w14:paraId="18D4F8F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(0.037)</w:t>
            </w:r>
          </w:p>
        </w:tc>
        <w:tc>
          <w:tcPr>
            <w:tcW w:w="906" w:type="dxa"/>
            <w:tcBorders>
              <w:top w:val="nil"/>
              <w:left w:val="nil"/>
              <w:bottom w:val="nil"/>
              <w:right w:val="nil"/>
            </w:tcBorders>
            <w:shd w:val="clear" w:color="000000" w:fill="FFFFFF"/>
            <w:noWrap/>
            <w:vAlign w:val="center"/>
            <w:hideMark/>
          </w:tcPr>
          <w:p w14:paraId="3D5FB5E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nil"/>
            </w:tcBorders>
            <w:shd w:val="clear" w:color="000000" w:fill="FFFFFF"/>
            <w:noWrap/>
            <w:vAlign w:val="center"/>
            <w:hideMark/>
          </w:tcPr>
          <w:p w14:paraId="1BD161A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4A9B8F7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6" w:type="dxa"/>
            <w:tcBorders>
              <w:top w:val="nil"/>
              <w:left w:val="nil"/>
              <w:bottom w:val="nil"/>
              <w:right w:val="nil"/>
            </w:tcBorders>
            <w:shd w:val="clear" w:color="000000" w:fill="FFFFFF"/>
            <w:noWrap/>
            <w:vAlign w:val="center"/>
            <w:hideMark/>
          </w:tcPr>
          <w:p w14:paraId="4CDACB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00AE714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3F3B5EB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single" w:sz="4" w:space="0" w:color="auto"/>
            </w:tcBorders>
            <w:shd w:val="clear" w:color="000000" w:fill="FFFFFF"/>
            <w:noWrap/>
            <w:vAlign w:val="center"/>
            <w:hideMark/>
          </w:tcPr>
          <w:p w14:paraId="63ACA03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r>
      <w:tr w:rsidR="00423107" w:rsidRPr="00423107" w14:paraId="0426302B"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299E314E"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Intern reiseavstandsproxy</w:t>
            </w:r>
          </w:p>
        </w:tc>
        <w:tc>
          <w:tcPr>
            <w:tcW w:w="906" w:type="dxa"/>
            <w:tcBorders>
              <w:top w:val="nil"/>
              <w:left w:val="nil"/>
              <w:bottom w:val="nil"/>
              <w:right w:val="nil"/>
            </w:tcBorders>
            <w:shd w:val="clear" w:color="000000" w:fill="F48594"/>
            <w:noWrap/>
            <w:vAlign w:val="center"/>
            <w:hideMark/>
          </w:tcPr>
          <w:p w14:paraId="34D64A4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6" w:type="dxa"/>
            <w:tcBorders>
              <w:top w:val="nil"/>
              <w:left w:val="nil"/>
              <w:bottom w:val="nil"/>
              <w:right w:val="nil"/>
            </w:tcBorders>
            <w:shd w:val="clear" w:color="000000" w:fill="F48594"/>
            <w:noWrap/>
            <w:vAlign w:val="center"/>
            <w:hideMark/>
          </w:tcPr>
          <w:p w14:paraId="1BECC14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-0.031**</w:t>
            </w:r>
          </w:p>
        </w:tc>
        <w:tc>
          <w:tcPr>
            <w:tcW w:w="906" w:type="dxa"/>
            <w:tcBorders>
              <w:top w:val="nil"/>
              <w:left w:val="nil"/>
              <w:bottom w:val="nil"/>
              <w:right w:val="nil"/>
            </w:tcBorders>
            <w:shd w:val="clear" w:color="000000" w:fill="EF485F"/>
            <w:noWrap/>
            <w:vAlign w:val="center"/>
            <w:hideMark/>
          </w:tcPr>
          <w:p w14:paraId="64BF130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6" w:type="dxa"/>
            <w:tcBorders>
              <w:top w:val="nil"/>
              <w:left w:val="nil"/>
              <w:bottom w:val="nil"/>
              <w:right w:val="nil"/>
            </w:tcBorders>
            <w:shd w:val="clear" w:color="000000" w:fill="FFFFFF"/>
            <w:noWrap/>
            <w:vAlign w:val="center"/>
            <w:hideMark/>
          </w:tcPr>
          <w:p w14:paraId="1149349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c>
          <w:tcPr>
            <w:tcW w:w="906" w:type="dxa"/>
            <w:tcBorders>
              <w:top w:val="nil"/>
              <w:left w:val="nil"/>
              <w:bottom w:val="nil"/>
              <w:right w:val="nil"/>
            </w:tcBorders>
            <w:shd w:val="clear" w:color="000000" w:fill="F48594"/>
            <w:noWrap/>
            <w:vAlign w:val="center"/>
            <w:hideMark/>
          </w:tcPr>
          <w:p w14:paraId="4073E1F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F48594"/>
            <w:noWrap/>
            <w:vAlign w:val="center"/>
            <w:hideMark/>
          </w:tcPr>
          <w:p w14:paraId="38B0C1C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6" w:type="dxa"/>
            <w:tcBorders>
              <w:top w:val="nil"/>
              <w:left w:val="nil"/>
              <w:bottom w:val="nil"/>
              <w:right w:val="nil"/>
            </w:tcBorders>
            <w:shd w:val="clear" w:color="000000" w:fill="F48594"/>
            <w:noWrap/>
            <w:vAlign w:val="center"/>
            <w:hideMark/>
          </w:tcPr>
          <w:p w14:paraId="7006011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48594"/>
            <w:noWrap/>
            <w:vAlign w:val="center"/>
            <w:hideMark/>
          </w:tcPr>
          <w:p w14:paraId="3164085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6" w:type="dxa"/>
            <w:tcBorders>
              <w:top w:val="nil"/>
              <w:left w:val="nil"/>
              <w:bottom w:val="nil"/>
              <w:right w:val="nil"/>
            </w:tcBorders>
            <w:shd w:val="clear" w:color="000000" w:fill="F48594"/>
            <w:noWrap/>
            <w:vAlign w:val="center"/>
            <w:hideMark/>
          </w:tcPr>
          <w:p w14:paraId="65A02A7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48594"/>
            <w:noWrap/>
            <w:vAlign w:val="center"/>
            <w:hideMark/>
          </w:tcPr>
          <w:p w14:paraId="4C8B3BE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48594"/>
            <w:noWrap/>
            <w:vAlign w:val="center"/>
            <w:hideMark/>
          </w:tcPr>
          <w:p w14:paraId="1484F63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single" w:sz="4" w:space="0" w:color="auto"/>
            </w:tcBorders>
            <w:shd w:val="clear" w:color="000000" w:fill="F48594"/>
            <w:noWrap/>
            <w:vAlign w:val="center"/>
            <w:hideMark/>
          </w:tcPr>
          <w:p w14:paraId="4BE7514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-0.065**</w:t>
            </w:r>
          </w:p>
        </w:tc>
      </w:tr>
      <w:tr w:rsidR="00423107" w:rsidRPr="00423107" w14:paraId="05EFC360"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4812A282"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48594"/>
            <w:noWrap/>
            <w:vAlign w:val="center"/>
            <w:hideMark/>
          </w:tcPr>
          <w:p w14:paraId="0DF13A9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6" w:type="dxa"/>
            <w:tcBorders>
              <w:top w:val="nil"/>
              <w:left w:val="nil"/>
              <w:bottom w:val="nil"/>
              <w:right w:val="nil"/>
            </w:tcBorders>
            <w:shd w:val="clear" w:color="000000" w:fill="F48594"/>
            <w:noWrap/>
            <w:vAlign w:val="center"/>
            <w:hideMark/>
          </w:tcPr>
          <w:p w14:paraId="7A621CE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6" w:type="dxa"/>
            <w:tcBorders>
              <w:top w:val="nil"/>
              <w:left w:val="nil"/>
              <w:bottom w:val="nil"/>
              <w:right w:val="nil"/>
            </w:tcBorders>
            <w:shd w:val="clear" w:color="000000" w:fill="EF485F"/>
            <w:noWrap/>
            <w:vAlign w:val="center"/>
            <w:hideMark/>
          </w:tcPr>
          <w:p w14:paraId="20FCC16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1B93AE3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c>
          <w:tcPr>
            <w:tcW w:w="906" w:type="dxa"/>
            <w:tcBorders>
              <w:top w:val="nil"/>
              <w:left w:val="nil"/>
              <w:bottom w:val="nil"/>
              <w:right w:val="nil"/>
            </w:tcBorders>
            <w:shd w:val="clear" w:color="000000" w:fill="F48594"/>
            <w:noWrap/>
            <w:vAlign w:val="center"/>
            <w:hideMark/>
          </w:tcPr>
          <w:p w14:paraId="0B90014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c>
          <w:tcPr>
            <w:tcW w:w="906" w:type="dxa"/>
            <w:tcBorders>
              <w:top w:val="nil"/>
              <w:left w:val="nil"/>
              <w:bottom w:val="nil"/>
              <w:right w:val="nil"/>
            </w:tcBorders>
            <w:shd w:val="clear" w:color="000000" w:fill="F48594"/>
            <w:noWrap/>
            <w:vAlign w:val="center"/>
            <w:hideMark/>
          </w:tcPr>
          <w:p w14:paraId="2E8DAD3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6" w:type="dxa"/>
            <w:tcBorders>
              <w:top w:val="nil"/>
              <w:left w:val="nil"/>
              <w:bottom w:val="nil"/>
              <w:right w:val="nil"/>
            </w:tcBorders>
            <w:shd w:val="clear" w:color="000000" w:fill="F48594"/>
            <w:noWrap/>
            <w:vAlign w:val="center"/>
            <w:hideMark/>
          </w:tcPr>
          <w:p w14:paraId="0C3B58E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48594"/>
            <w:noWrap/>
            <w:vAlign w:val="center"/>
            <w:hideMark/>
          </w:tcPr>
          <w:p w14:paraId="5BCE265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c>
          <w:tcPr>
            <w:tcW w:w="906" w:type="dxa"/>
            <w:tcBorders>
              <w:top w:val="nil"/>
              <w:left w:val="nil"/>
              <w:bottom w:val="nil"/>
              <w:right w:val="nil"/>
            </w:tcBorders>
            <w:shd w:val="clear" w:color="000000" w:fill="F48594"/>
            <w:noWrap/>
            <w:vAlign w:val="center"/>
            <w:hideMark/>
          </w:tcPr>
          <w:p w14:paraId="0EA135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48594"/>
            <w:noWrap/>
            <w:vAlign w:val="center"/>
            <w:hideMark/>
          </w:tcPr>
          <w:p w14:paraId="599D295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48594"/>
            <w:noWrap/>
            <w:vAlign w:val="center"/>
            <w:hideMark/>
          </w:tcPr>
          <w:p w14:paraId="7D47F3A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single" w:sz="4" w:space="0" w:color="auto"/>
            </w:tcBorders>
            <w:shd w:val="clear" w:color="000000" w:fill="F48594"/>
            <w:noWrap/>
            <w:vAlign w:val="center"/>
            <w:hideMark/>
          </w:tcPr>
          <w:p w14:paraId="4C5C247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r>
      <w:tr w:rsidR="00423107" w:rsidRPr="00423107" w14:paraId="5104C468"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5A26DAB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befolkningsvekst de siste ti årene</w:t>
            </w:r>
          </w:p>
        </w:tc>
        <w:tc>
          <w:tcPr>
            <w:tcW w:w="906" w:type="dxa"/>
            <w:tcBorders>
              <w:top w:val="nil"/>
              <w:left w:val="nil"/>
              <w:bottom w:val="nil"/>
              <w:right w:val="nil"/>
            </w:tcBorders>
            <w:shd w:val="clear" w:color="000000" w:fill="FFFFFF"/>
            <w:noWrap/>
            <w:vAlign w:val="center"/>
            <w:hideMark/>
          </w:tcPr>
          <w:p w14:paraId="1FA0A79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0.031</w:t>
            </w:r>
          </w:p>
        </w:tc>
        <w:tc>
          <w:tcPr>
            <w:tcW w:w="906" w:type="dxa"/>
            <w:tcBorders>
              <w:top w:val="nil"/>
              <w:left w:val="nil"/>
              <w:bottom w:val="nil"/>
              <w:right w:val="nil"/>
            </w:tcBorders>
            <w:shd w:val="clear" w:color="000000" w:fill="FFFFFF"/>
            <w:noWrap/>
            <w:vAlign w:val="center"/>
            <w:hideMark/>
          </w:tcPr>
          <w:p w14:paraId="71495BC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c>
          <w:tcPr>
            <w:tcW w:w="906" w:type="dxa"/>
            <w:tcBorders>
              <w:top w:val="nil"/>
              <w:left w:val="nil"/>
              <w:bottom w:val="nil"/>
              <w:right w:val="nil"/>
            </w:tcBorders>
            <w:shd w:val="clear" w:color="000000" w:fill="AFD7BB"/>
            <w:noWrap/>
            <w:vAlign w:val="center"/>
            <w:hideMark/>
          </w:tcPr>
          <w:p w14:paraId="26522BD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0.185**</w:t>
            </w:r>
          </w:p>
        </w:tc>
        <w:tc>
          <w:tcPr>
            <w:tcW w:w="906" w:type="dxa"/>
            <w:tcBorders>
              <w:top w:val="nil"/>
              <w:left w:val="nil"/>
              <w:bottom w:val="nil"/>
              <w:right w:val="nil"/>
            </w:tcBorders>
            <w:shd w:val="clear" w:color="000000" w:fill="FFFFFF"/>
            <w:noWrap/>
            <w:vAlign w:val="center"/>
            <w:hideMark/>
          </w:tcPr>
          <w:p w14:paraId="3969D05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-0.005</w:t>
            </w:r>
          </w:p>
        </w:tc>
        <w:tc>
          <w:tcPr>
            <w:tcW w:w="906" w:type="dxa"/>
            <w:tcBorders>
              <w:top w:val="nil"/>
              <w:left w:val="nil"/>
              <w:bottom w:val="nil"/>
              <w:right w:val="nil"/>
            </w:tcBorders>
            <w:shd w:val="clear" w:color="000000" w:fill="FFFFFF"/>
            <w:noWrap/>
            <w:vAlign w:val="center"/>
            <w:hideMark/>
          </w:tcPr>
          <w:p w14:paraId="2B6B957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nil"/>
            </w:tcBorders>
            <w:shd w:val="clear" w:color="000000" w:fill="FFFFFF"/>
            <w:noWrap/>
            <w:vAlign w:val="center"/>
            <w:hideMark/>
          </w:tcPr>
          <w:p w14:paraId="5952D97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-0.016</w:t>
            </w:r>
          </w:p>
        </w:tc>
        <w:tc>
          <w:tcPr>
            <w:tcW w:w="906" w:type="dxa"/>
            <w:tcBorders>
              <w:top w:val="nil"/>
              <w:left w:val="nil"/>
              <w:bottom w:val="nil"/>
              <w:right w:val="nil"/>
            </w:tcBorders>
            <w:shd w:val="clear" w:color="000000" w:fill="FFFFFF"/>
            <w:noWrap/>
            <w:vAlign w:val="center"/>
            <w:hideMark/>
          </w:tcPr>
          <w:p w14:paraId="5A6D8A2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6" w:type="dxa"/>
            <w:tcBorders>
              <w:top w:val="nil"/>
              <w:left w:val="nil"/>
              <w:bottom w:val="nil"/>
              <w:right w:val="nil"/>
            </w:tcBorders>
            <w:shd w:val="clear" w:color="000000" w:fill="FFFFFF"/>
            <w:noWrap/>
            <w:vAlign w:val="center"/>
            <w:hideMark/>
          </w:tcPr>
          <w:p w14:paraId="37594DB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-0.016</w:t>
            </w:r>
          </w:p>
        </w:tc>
        <w:tc>
          <w:tcPr>
            <w:tcW w:w="906" w:type="dxa"/>
            <w:tcBorders>
              <w:top w:val="nil"/>
              <w:left w:val="nil"/>
              <w:bottom w:val="nil"/>
              <w:right w:val="nil"/>
            </w:tcBorders>
            <w:shd w:val="clear" w:color="000000" w:fill="FFFFFF"/>
            <w:noWrap/>
            <w:vAlign w:val="center"/>
            <w:hideMark/>
          </w:tcPr>
          <w:p w14:paraId="78080A2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677A406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6" w:type="dxa"/>
            <w:tcBorders>
              <w:top w:val="nil"/>
              <w:left w:val="nil"/>
              <w:bottom w:val="nil"/>
              <w:right w:val="nil"/>
            </w:tcBorders>
            <w:shd w:val="clear" w:color="000000" w:fill="FFFFFF"/>
            <w:noWrap/>
            <w:vAlign w:val="center"/>
            <w:hideMark/>
          </w:tcPr>
          <w:p w14:paraId="5804845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6" w:type="dxa"/>
            <w:tcBorders>
              <w:top w:val="nil"/>
              <w:left w:val="nil"/>
              <w:bottom w:val="nil"/>
              <w:right w:val="single" w:sz="4" w:space="0" w:color="auto"/>
            </w:tcBorders>
            <w:shd w:val="clear" w:color="000000" w:fill="FFFFFF"/>
            <w:noWrap/>
            <w:vAlign w:val="center"/>
            <w:hideMark/>
          </w:tcPr>
          <w:p w14:paraId="40567CF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r>
      <w:tr w:rsidR="00423107" w:rsidRPr="00423107" w14:paraId="507ABF0E"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3EEF97DB"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08A190B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nil"/>
              <w:left w:val="nil"/>
              <w:bottom w:val="nil"/>
              <w:right w:val="nil"/>
            </w:tcBorders>
            <w:shd w:val="clear" w:color="000000" w:fill="FFFFFF"/>
            <w:noWrap/>
            <w:vAlign w:val="center"/>
            <w:hideMark/>
          </w:tcPr>
          <w:p w14:paraId="393A76E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nil"/>
              <w:left w:val="nil"/>
              <w:bottom w:val="nil"/>
              <w:right w:val="nil"/>
            </w:tcBorders>
            <w:shd w:val="clear" w:color="000000" w:fill="AFD7BB"/>
            <w:noWrap/>
            <w:vAlign w:val="center"/>
            <w:hideMark/>
          </w:tcPr>
          <w:p w14:paraId="12EF75E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0789C79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FFFFFF"/>
            <w:noWrap/>
            <w:vAlign w:val="center"/>
            <w:hideMark/>
          </w:tcPr>
          <w:p w14:paraId="4BBA2A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FFFFFF"/>
            <w:noWrap/>
            <w:vAlign w:val="center"/>
            <w:hideMark/>
          </w:tcPr>
          <w:p w14:paraId="400C5A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34F99D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c>
          <w:tcPr>
            <w:tcW w:w="906" w:type="dxa"/>
            <w:tcBorders>
              <w:top w:val="nil"/>
              <w:left w:val="nil"/>
              <w:bottom w:val="nil"/>
              <w:right w:val="nil"/>
            </w:tcBorders>
            <w:shd w:val="clear" w:color="000000" w:fill="FFFFFF"/>
            <w:noWrap/>
            <w:vAlign w:val="center"/>
            <w:hideMark/>
          </w:tcPr>
          <w:p w14:paraId="671CE52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(0.097)</w:t>
            </w:r>
          </w:p>
        </w:tc>
        <w:tc>
          <w:tcPr>
            <w:tcW w:w="906" w:type="dxa"/>
            <w:tcBorders>
              <w:top w:val="nil"/>
              <w:left w:val="nil"/>
              <w:bottom w:val="nil"/>
              <w:right w:val="nil"/>
            </w:tcBorders>
            <w:shd w:val="clear" w:color="000000" w:fill="FFFFFF"/>
            <w:noWrap/>
            <w:vAlign w:val="center"/>
            <w:hideMark/>
          </w:tcPr>
          <w:p w14:paraId="5A903AA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c>
          <w:tcPr>
            <w:tcW w:w="906" w:type="dxa"/>
            <w:tcBorders>
              <w:top w:val="nil"/>
              <w:left w:val="nil"/>
              <w:bottom w:val="nil"/>
              <w:right w:val="nil"/>
            </w:tcBorders>
            <w:shd w:val="clear" w:color="000000" w:fill="FFFFFF"/>
            <w:noWrap/>
            <w:vAlign w:val="center"/>
            <w:hideMark/>
          </w:tcPr>
          <w:p w14:paraId="6A27BE1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11B437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single" w:sz="4" w:space="0" w:color="auto"/>
            </w:tcBorders>
            <w:shd w:val="clear" w:color="000000" w:fill="FFFFFF"/>
            <w:noWrap/>
            <w:vAlign w:val="center"/>
            <w:hideMark/>
          </w:tcPr>
          <w:p w14:paraId="49C2C7E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r>
      <w:tr w:rsidR="00423107" w:rsidRPr="00423107" w14:paraId="05B2BAAB" w14:textId="77777777" w:rsidTr="00423107">
        <w:trPr>
          <w:trHeight w:val="250"/>
        </w:trPr>
        <w:tc>
          <w:tcPr>
            <w:tcW w:w="2438" w:type="dxa"/>
            <w:vMerge w:val="restart"/>
            <w:tcBorders>
              <w:top w:val="nil"/>
              <w:left w:val="single" w:sz="4" w:space="0" w:color="auto"/>
              <w:bottom w:val="nil"/>
              <w:right w:val="single" w:sz="4" w:space="0" w:color="auto"/>
            </w:tcBorders>
            <w:shd w:val="clear" w:color="000000" w:fill="A9C6E4"/>
            <w:vAlign w:val="center"/>
            <w:hideMark/>
          </w:tcPr>
          <w:p w14:paraId="10005E65"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sysselsettingsvekst de siste ti årene</w:t>
            </w:r>
          </w:p>
        </w:tc>
        <w:tc>
          <w:tcPr>
            <w:tcW w:w="906" w:type="dxa"/>
            <w:tcBorders>
              <w:top w:val="nil"/>
              <w:left w:val="nil"/>
              <w:bottom w:val="nil"/>
              <w:right w:val="nil"/>
            </w:tcBorders>
            <w:shd w:val="clear" w:color="000000" w:fill="FFFFFF"/>
            <w:noWrap/>
            <w:vAlign w:val="center"/>
            <w:hideMark/>
          </w:tcPr>
          <w:p w14:paraId="7932082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0.011</w:t>
            </w:r>
          </w:p>
        </w:tc>
        <w:tc>
          <w:tcPr>
            <w:tcW w:w="906" w:type="dxa"/>
            <w:tcBorders>
              <w:top w:val="nil"/>
              <w:left w:val="nil"/>
              <w:bottom w:val="nil"/>
              <w:right w:val="nil"/>
            </w:tcBorders>
            <w:shd w:val="clear" w:color="000000" w:fill="FFFFFF"/>
            <w:noWrap/>
            <w:vAlign w:val="center"/>
            <w:hideMark/>
          </w:tcPr>
          <w:p w14:paraId="0F6FBA9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6" w:type="dxa"/>
            <w:tcBorders>
              <w:top w:val="nil"/>
              <w:left w:val="nil"/>
              <w:bottom w:val="nil"/>
              <w:right w:val="nil"/>
            </w:tcBorders>
            <w:shd w:val="clear" w:color="000000" w:fill="FFFFFF"/>
            <w:noWrap/>
            <w:vAlign w:val="center"/>
            <w:hideMark/>
          </w:tcPr>
          <w:p w14:paraId="4C56784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0.028</w:t>
            </w:r>
          </w:p>
        </w:tc>
        <w:tc>
          <w:tcPr>
            <w:tcW w:w="906" w:type="dxa"/>
            <w:tcBorders>
              <w:top w:val="nil"/>
              <w:left w:val="nil"/>
              <w:bottom w:val="nil"/>
              <w:right w:val="nil"/>
            </w:tcBorders>
            <w:shd w:val="clear" w:color="000000" w:fill="FFFFFF"/>
            <w:noWrap/>
            <w:vAlign w:val="center"/>
            <w:hideMark/>
          </w:tcPr>
          <w:p w14:paraId="2C51A0A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6" w:type="dxa"/>
            <w:tcBorders>
              <w:top w:val="nil"/>
              <w:left w:val="nil"/>
              <w:bottom w:val="nil"/>
              <w:right w:val="nil"/>
            </w:tcBorders>
            <w:shd w:val="clear" w:color="000000" w:fill="FFFFFF"/>
            <w:noWrap/>
            <w:vAlign w:val="center"/>
            <w:hideMark/>
          </w:tcPr>
          <w:p w14:paraId="528BE9A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6" w:type="dxa"/>
            <w:tcBorders>
              <w:top w:val="nil"/>
              <w:left w:val="nil"/>
              <w:bottom w:val="nil"/>
              <w:right w:val="nil"/>
            </w:tcBorders>
            <w:shd w:val="clear" w:color="000000" w:fill="FFFFFF"/>
            <w:noWrap/>
            <w:vAlign w:val="center"/>
            <w:hideMark/>
          </w:tcPr>
          <w:p w14:paraId="5C8E6E3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0.005</w:t>
            </w:r>
          </w:p>
        </w:tc>
        <w:tc>
          <w:tcPr>
            <w:tcW w:w="906" w:type="dxa"/>
            <w:tcBorders>
              <w:top w:val="nil"/>
              <w:left w:val="nil"/>
              <w:bottom w:val="nil"/>
              <w:right w:val="nil"/>
            </w:tcBorders>
            <w:shd w:val="clear" w:color="000000" w:fill="FFFFFF"/>
            <w:noWrap/>
            <w:vAlign w:val="center"/>
            <w:hideMark/>
          </w:tcPr>
          <w:p w14:paraId="5F285FE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6" w:type="dxa"/>
            <w:tcBorders>
              <w:top w:val="nil"/>
              <w:left w:val="nil"/>
              <w:bottom w:val="nil"/>
              <w:right w:val="nil"/>
            </w:tcBorders>
            <w:shd w:val="clear" w:color="000000" w:fill="FFFFFF"/>
            <w:noWrap/>
            <w:vAlign w:val="center"/>
            <w:hideMark/>
          </w:tcPr>
          <w:p w14:paraId="2AF3BB7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6" w:type="dxa"/>
            <w:tcBorders>
              <w:top w:val="nil"/>
              <w:left w:val="nil"/>
              <w:bottom w:val="nil"/>
              <w:right w:val="nil"/>
            </w:tcBorders>
            <w:shd w:val="clear" w:color="000000" w:fill="FFFFFF"/>
            <w:noWrap/>
            <w:vAlign w:val="center"/>
            <w:hideMark/>
          </w:tcPr>
          <w:p w14:paraId="636AC36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0.000</w:t>
            </w:r>
          </w:p>
        </w:tc>
        <w:tc>
          <w:tcPr>
            <w:tcW w:w="906" w:type="dxa"/>
            <w:tcBorders>
              <w:top w:val="nil"/>
              <w:left w:val="nil"/>
              <w:bottom w:val="nil"/>
              <w:right w:val="nil"/>
            </w:tcBorders>
            <w:shd w:val="clear" w:color="000000" w:fill="FFFFFF"/>
            <w:noWrap/>
            <w:vAlign w:val="center"/>
            <w:hideMark/>
          </w:tcPr>
          <w:p w14:paraId="11D8239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6" w:type="dxa"/>
            <w:tcBorders>
              <w:top w:val="nil"/>
              <w:left w:val="nil"/>
              <w:bottom w:val="nil"/>
              <w:right w:val="nil"/>
            </w:tcBorders>
            <w:shd w:val="clear" w:color="000000" w:fill="FFFFFF"/>
            <w:noWrap/>
            <w:vAlign w:val="center"/>
            <w:hideMark/>
          </w:tcPr>
          <w:p w14:paraId="2BD9F60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6" w:type="dxa"/>
            <w:tcBorders>
              <w:top w:val="nil"/>
              <w:left w:val="nil"/>
              <w:bottom w:val="nil"/>
              <w:right w:val="single" w:sz="4" w:space="0" w:color="auto"/>
            </w:tcBorders>
            <w:shd w:val="clear" w:color="000000" w:fill="FFFFFF"/>
            <w:noWrap/>
            <w:vAlign w:val="center"/>
            <w:hideMark/>
          </w:tcPr>
          <w:p w14:paraId="63C1324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0.007</w:t>
            </w:r>
          </w:p>
        </w:tc>
      </w:tr>
      <w:tr w:rsidR="00423107" w:rsidRPr="00423107" w14:paraId="20AE3324"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34AFE2AD"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5A97D54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(0.052)</w:t>
            </w:r>
          </w:p>
        </w:tc>
        <w:tc>
          <w:tcPr>
            <w:tcW w:w="906" w:type="dxa"/>
            <w:tcBorders>
              <w:top w:val="nil"/>
              <w:left w:val="nil"/>
              <w:bottom w:val="nil"/>
              <w:right w:val="nil"/>
            </w:tcBorders>
            <w:shd w:val="clear" w:color="000000" w:fill="FFFFFF"/>
            <w:noWrap/>
            <w:vAlign w:val="center"/>
            <w:hideMark/>
          </w:tcPr>
          <w:p w14:paraId="0DDEA54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(0.052)</w:t>
            </w:r>
          </w:p>
        </w:tc>
        <w:tc>
          <w:tcPr>
            <w:tcW w:w="906" w:type="dxa"/>
            <w:tcBorders>
              <w:top w:val="nil"/>
              <w:left w:val="nil"/>
              <w:bottom w:val="nil"/>
              <w:right w:val="nil"/>
            </w:tcBorders>
            <w:shd w:val="clear" w:color="000000" w:fill="FFFFFF"/>
            <w:noWrap/>
            <w:vAlign w:val="center"/>
            <w:hideMark/>
          </w:tcPr>
          <w:p w14:paraId="317707A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3E6E80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FFFFFF"/>
            <w:noWrap/>
            <w:vAlign w:val="center"/>
            <w:hideMark/>
          </w:tcPr>
          <w:p w14:paraId="3039AE4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FFFFFF"/>
            <w:noWrap/>
            <w:vAlign w:val="center"/>
            <w:hideMark/>
          </w:tcPr>
          <w:p w14:paraId="2FE07E2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6" w:type="dxa"/>
            <w:tcBorders>
              <w:top w:val="nil"/>
              <w:left w:val="nil"/>
              <w:bottom w:val="nil"/>
              <w:right w:val="nil"/>
            </w:tcBorders>
            <w:shd w:val="clear" w:color="000000" w:fill="FFFFFF"/>
            <w:noWrap/>
            <w:vAlign w:val="center"/>
            <w:hideMark/>
          </w:tcPr>
          <w:p w14:paraId="5254E1F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6" w:type="dxa"/>
            <w:tcBorders>
              <w:top w:val="nil"/>
              <w:left w:val="nil"/>
              <w:bottom w:val="nil"/>
              <w:right w:val="nil"/>
            </w:tcBorders>
            <w:shd w:val="clear" w:color="000000" w:fill="FFFFFF"/>
            <w:noWrap/>
            <w:vAlign w:val="center"/>
            <w:hideMark/>
          </w:tcPr>
          <w:p w14:paraId="1D6D3F8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nil"/>
            </w:tcBorders>
            <w:shd w:val="clear" w:color="000000" w:fill="FFFFFF"/>
            <w:noWrap/>
            <w:vAlign w:val="center"/>
            <w:hideMark/>
          </w:tcPr>
          <w:p w14:paraId="032B21D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6" w:type="dxa"/>
            <w:tcBorders>
              <w:top w:val="nil"/>
              <w:left w:val="nil"/>
              <w:bottom w:val="nil"/>
              <w:right w:val="nil"/>
            </w:tcBorders>
            <w:shd w:val="clear" w:color="000000" w:fill="FFFFFF"/>
            <w:noWrap/>
            <w:vAlign w:val="center"/>
            <w:hideMark/>
          </w:tcPr>
          <w:p w14:paraId="28BE225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FFFFFF"/>
            <w:noWrap/>
            <w:vAlign w:val="center"/>
            <w:hideMark/>
          </w:tcPr>
          <w:p w14:paraId="2138AA1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single" w:sz="4" w:space="0" w:color="auto"/>
            </w:tcBorders>
            <w:shd w:val="clear" w:color="000000" w:fill="FFFFFF"/>
            <w:noWrap/>
            <w:vAlign w:val="center"/>
            <w:hideMark/>
          </w:tcPr>
          <w:p w14:paraId="15E22B9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r>
      <w:tr w:rsidR="00423107" w:rsidRPr="00423107" w14:paraId="48736963"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55ECC145"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Sysselsetting per innbygger</w:t>
            </w:r>
          </w:p>
        </w:tc>
        <w:tc>
          <w:tcPr>
            <w:tcW w:w="906" w:type="dxa"/>
            <w:tcBorders>
              <w:top w:val="nil"/>
              <w:left w:val="nil"/>
              <w:bottom w:val="nil"/>
              <w:right w:val="nil"/>
            </w:tcBorders>
            <w:shd w:val="clear" w:color="000000" w:fill="87C399"/>
            <w:noWrap/>
            <w:vAlign w:val="center"/>
            <w:hideMark/>
          </w:tcPr>
          <w:p w14:paraId="76BF620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0.153***</w:t>
            </w:r>
          </w:p>
        </w:tc>
        <w:tc>
          <w:tcPr>
            <w:tcW w:w="906" w:type="dxa"/>
            <w:tcBorders>
              <w:top w:val="nil"/>
              <w:left w:val="nil"/>
              <w:bottom w:val="nil"/>
              <w:right w:val="nil"/>
            </w:tcBorders>
            <w:shd w:val="clear" w:color="000000" w:fill="87C399"/>
            <w:noWrap/>
            <w:vAlign w:val="center"/>
            <w:hideMark/>
          </w:tcPr>
          <w:p w14:paraId="2721CC2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0.143***</w:t>
            </w:r>
          </w:p>
        </w:tc>
        <w:tc>
          <w:tcPr>
            <w:tcW w:w="906" w:type="dxa"/>
            <w:tcBorders>
              <w:top w:val="nil"/>
              <w:left w:val="nil"/>
              <w:bottom w:val="nil"/>
              <w:right w:val="nil"/>
            </w:tcBorders>
            <w:shd w:val="clear" w:color="000000" w:fill="87C399"/>
            <w:noWrap/>
            <w:vAlign w:val="center"/>
            <w:hideMark/>
          </w:tcPr>
          <w:p w14:paraId="56A244B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0.442***</w:t>
            </w:r>
          </w:p>
        </w:tc>
        <w:tc>
          <w:tcPr>
            <w:tcW w:w="906" w:type="dxa"/>
            <w:tcBorders>
              <w:top w:val="nil"/>
              <w:left w:val="nil"/>
              <w:bottom w:val="nil"/>
              <w:right w:val="nil"/>
            </w:tcBorders>
            <w:shd w:val="clear" w:color="000000" w:fill="87C399"/>
            <w:noWrap/>
            <w:vAlign w:val="center"/>
            <w:hideMark/>
          </w:tcPr>
          <w:p w14:paraId="2A32278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0.193**</w:t>
            </w:r>
          </w:p>
        </w:tc>
        <w:tc>
          <w:tcPr>
            <w:tcW w:w="906" w:type="dxa"/>
            <w:tcBorders>
              <w:top w:val="nil"/>
              <w:left w:val="nil"/>
              <w:bottom w:val="nil"/>
              <w:right w:val="nil"/>
            </w:tcBorders>
            <w:shd w:val="clear" w:color="000000" w:fill="87C399"/>
            <w:noWrap/>
            <w:vAlign w:val="center"/>
            <w:hideMark/>
          </w:tcPr>
          <w:p w14:paraId="6123F94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0.331***</w:t>
            </w:r>
          </w:p>
        </w:tc>
        <w:tc>
          <w:tcPr>
            <w:tcW w:w="906" w:type="dxa"/>
            <w:tcBorders>
              <w:top w:val="nil"/>
              <w:left w:val="nil"/>
              <w:bottom w:val="nil"/>
              <w:right w:val="nil"/>
            </w:tcBorders>
            <w:shd w:val="clear" w:color="000000" w:fill="87C399"/>
            <w:noWrap/>
            <w:vAlign w:val="center"/>
            <w:hideMark/>
          </w:tcPr>
          <w:p w14:paraId="3C1E12D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0.370***</w:t>
            </w:r>
          </w:p>
        </w:tc>
        <w:tc>
          <w:tcPr>
            <w:tcW w:w="906" w:type="dxa"/>
            <w:tcBorders>
              <w:top w:val="nil"/>
              <w:left w:val="nil"/>
              <w:bottom w:val="nil"/>
              <w:right w:val="nil"/>
            </w:tcBorders>
            <w:shd w:val="clear" w:color="000000" w:fill="87C399"/>
            <w:noWrap/>
            <w:vAlign w:val="center"/>
            <w:hideMark/>
          </w:tcPr>
          <w:p w14:paraId="68C4E4D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0.348***</w:t>
            </w:r>
          </w:p>
        </w:tc>
        <w:tc>
          <w:tcPr>
            <w:tcW w:w="906" w:type="dxa"/>
            <w:tcBorders>
              <w:top w:val="nil"/>
              <w:left w:val="nil"/>
              <w:bottom w:val="nil"/>
              <w:right w:val="nil"/>
            </w:tcBorders>
            <w:shd w:val="clear" w:color="000000" w:fill="87C399"/>
            <w:noWrap/>
            <w:vAlign w:val="center"/>
            <w:hideMark/>
          </w:tcPr>
          <w:p w14:paraId="648B20A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0.400***</w:t>
            </w:r>
          </w:p>
        </w:tc>
        <w:tc>
          <w:tcPr>
            <w:tcW w:w="906" w:type="dxa"/>
            <w:tcBorders>
              <w:top w:val="nil"/>
              <w:left w:val="nil"/>
              <w:bottom w:val="nil"/>
              <w:right w:val="nil"/>
            </w:tcBorders>
            <w:shd w:val="clear" w:color="000000" w:fill="87C399"/>
            <w:noWrap/>
            <w:vAlign w:val="center"/>
            <w:hideMark/>
          </w:tcPr>
          <w:p w14:paraId="4870BB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0.342***</w:t>
            </w:r>
          </w:p>
        </w:tc>
        <w:tc>
          <w:tcPr>
            <w:tcW w:w="906" w:type="dxa"/>
            <w:tcBorders>
              <w:top w:val="nil"/>
              <w:left w:val="nil"/>
              <w:bottom w:val="nil"/>
              <w:right w:val="nil"/>
            </w:tcBorders>
            <w:shd w:val="clear" w:color="000000" w:fill="87C399"/>
            <w:noWrap/>
            <w:vAlign w:val="center"/>
            <w:hideMark/>
          </w:tcPr>
          <w:p w14:paraId="27C6A7C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0.363***</w:t>
            </w:r>
          </w:p>
        </w:tc>
        <w:tc>
          <w:tcPr>
            <w:tcW w:w="906" w:type="dxa"/>
            <w:tcBorders>
              <w:top w:val="nil"/>
              <w:left w:val="nil"/>
              <w:bottom w:val="nil"/>
              <w:right w:val="nil"/>
            </w:tcBorders>
            <w:shd w:val="clear" w:color="000000" w:fill="87C399"/>
            <w:noWrap/>
            <w:vAlign w:val="center"/>
            <w:hideMark/>
          </w:tcPr>
          <w:p w14:paraId="0B1EE37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0.362***</w:t>
            </w:r>
          </w:p>
        </w:tc>
        <w:tc>
          <w:tcPr>
            <w:tcW w:w="906" w:type="dxa"/>
            <w:tcBorders>
              <w:top w:val="nil"/>
              <w:left w:val="nil"/>
              <w:bottom w:val="nil"/>
              <w:right w:val="single" w:sz="4" w:space="0" w:color="auto"/>
            </w:tcBorders>
            <w:shd w:val="clear" w:color="000000" w:fill="87C399"/>
            <w:noWrap/>
            <w:vAlign w:val="center"/>
            <w:hideMark/>
          </w:tcPr>
          <w:p w14:paraId="3B084CB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0.375***</w:t>
            </w:r>
          </w:p>
        </w:tc>
      </w:tr>
      <w:tr w:rsidR="00423107" w:rsidRPr="00423107" w14:paraId="6CB98E03"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0E9EC632"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87C399"/>
            <w:noWrap/>
            <w:vAlign w:val="center"/>
            <w:hideMark/>
          </w:tcPr>
          <w:p w14:paraId="7C262DB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87C399"/>
            <w:noWrap/>
            <w:vAlign w:val="center"/>
            <w:hideMark/>
          </w:tcPr>
          <w:p w14:paraId="5FB50FE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87C399"/>
            <w:noWrap/>
            <w:vAlign w:val="center"/>
            <w:hideMark/>
          </w:tcPr>
          <w:p w14:paraId="40313C3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87C399"/>
            <w:noWrap/>
            <w:vAlign w:val="center"/>
            <w:hideMark/>
          </w:tcPr>
          <w:p w14:paraId="3BE09FA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87C399"/>
            <w:noWrap/>
            <w:vAlign w:val="center"/>
            <w:hideMark/>
          </w:tcPr>
          <w:p w14:paraId="335A1CB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87C399"/>
            <w:noWrap/>
            <w:vAlign w:val="center"/>
            <w:hideMark/>
          </w:tcPr>
          <w:p w14:paraId="230D72A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87C399"/>
            <w:noWrap/>
            <w:vAlign w:val="center"/>
            <w:hideMark/>
          </w:tcPr>
          <w:p w14:paraId="55F42B0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87C399"/>
            <w:noWrap/>
            <w:vAlign w:val="center"/>
            <w:hideMark/>
          </w:tcPr>
          <w:p w14:paraId="1323E5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87C399"/>
            <w:noWrap/>
            <w:vAlign w:val="center"/>
            <w:hideMark/>
          </w:tcPr>
          <w:p w14:paraId="631D4CD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nil"/>
            </w:tcBorders>
            <w:shd w:val="clear" w:color="000000" w:fill="87C399"/>
            <w:noWrap/>
            <w:vAlign w:val="center"/>
            <w:hideMark/>
          </w:tcPr>
          <w:p w14:paraId="761AAAF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87C399"/>
            <w:noWrap/>
            <w:vAlign w:val="center"/>
            <w:hideMark/>
          </w:tcPr>
          <w:p w14:paraId="781E19D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single" w:sz="4" w:space="0" w:color="auto"/>
            </w:tcBorders>
            <w:shd w:val="clear" w:color="000000" w:fill="87C399"/>
            <w:noWrap/>
            <w:vAlign w:val="center"/>
            <w:hideMark/>
          </w:tcPr>
          <w:p w14:paraId="35D2A2B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r>
      <w:tr w:rsidR="00423107" w:rsidRPr="00423107" w14:paraId="5B18881A"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2589FE2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Gjennomsnittsalder</w:t>
            </w:r>
          </w:p>
        </w:tc>
        <w:tc>
          <w:tcPr>
            <w:tcW w:w="906" w:type="dxa"/>
            <w:tcBorders>
              <w:top w:val="nil"/>
              <w:left w:val="nil"/>
              <w:bottom w:val="nil"/>
              <w:right w:val="nil"/>
            </w:tcBorders>
            <w:shd w:val="clear" w:color="000000" w:fill="FFFFFF"/>
            <w:noWrap/>
            <w:vAlign w:val="center"/>
            <w:hideMark/>
          </w:tcPr>
          <w:p w14:paraId="39E7075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-0.059</w:t>
            </w:r>
          </w:p>
        </w:tc>
        <w:tc>
          <w:tcPr>
            <w:tcW w:w="906" w:type="dxa"/>
            <w:tcBorders>
              <w:top w:val="nil"/>
              <w:left w:val="nil"/>
              <w:bottom w:val="nil"/>
              <w:right w:val="nil"/>
            </w:tcBorders>
            <w:shd w:val="clear" w:color="000000" w:fill="FFFFFF"/>
            <w:noWrap/>
            <w:vAlign w:val="center"/>
            <w:hideMark/>
          </w:tcPr>
          <w:p w14:paraId="6F1155C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EF485F"/>
            <w:noWrap/>
            <w:vAlign w:val="center"/>
            <w:hideMark/>
          </w:tcPr>
          <w:p w14:paraId="071527A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-0.325***</w:t>
            </w:r>
          </w:p>
        </w:tc>
        <w:tc>
          <w:tcPr>
            <w:tcW w:w="906" w:type="dxa"/>
            <w:tcBorders>
              <w:top w:val="nil"/>
              <w:left w:val="nil"/>
              <w:bottom w:val="nil"/>
              <w:right w:val="nil"/>
            </w:tcBorders>
            <w:shd w:val="clear" w:color="000000" w:fill="FAC2C9"/>
            <w:noWrap/>
            <w:vAlign w:val="center"/>
            <w:hideMark/>
          </w:tcPr>
          <w:p w14:paraId="519E586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-0.133*</w:t>
            </w:r>
          </w:p>
        </w:tc>
        <w:tc>
          <w:tcPr>
            <w:tcW w:w="906" w:type="dxa"/>
            <w:tcBorders>
              <w:top w:val="nil"/>
              <w:left w:val="nil"/>
              <w:bottom w:val="nil"/>
              <w:right w:val="nil"/>
            </w:tcBorders>
            <w:shd w:val="clear" w:color="000000" w:fill="F48594"/>
            <w:noWrap/>
            <w:vAlign w:val="center"/>
            <w:hideMark/>
          </w:tcPr>
          <w:p w14:paraId="42B340F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-0.165**</w:t>
            </w:r>
          </w:p>
        </w:tc>
        <w:tc>
          <w:tcPr>
            <w:tcW w:w="906" w:type="dxa"/>
            <w:tcBorders>
              <w:top w:val="nil"/>
              <w:left w:val="nil"/>
              <w:bottom w:val="nil"/>
              <w:right w:val="nil"/>
            </w:tcBorders>
            <w:shd w:val="clear" w:color="000000" w:fill="EF485F"/>
            <w:noWrap/>
            <w:vAlign w:val="center"/>
            <w:hideMark/>
          </w:tcPr>
          <w:p w14:paraId="71D0F94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-0.247***</w:t>
            </w:r>
          </w:p>
        </w:tc>
        <w:tc>
          <w:tcPr>
            <w:tcW w:w="906" w:type="dxa"/>
            <w:tcBorders>
              <w:top w:val="nil"/>
              <w:left w:val="nil"/>
              <w:bottom w:val="nil"/>
              <w:right w:val="nil"/>
            </w:tcBorders>
            <w:shd w:val="clear" w:color="000000" w:fill="EF485F"/>
            <w:noWrap/>
            <w:vAlign w:val="center"/>
            <w:hideMark/>
          </w:tcPr>
          <w:p w14:paraId="78F740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-0.221***</w:t>
            </w:r>
          </w:p>
        </w:tc>
        <w:tc>
          <w:tcPr>
            <w:tcW w:w="906" w:type="dxa"/>
            <w:tcBorders>
              <w:top w:val="nil"/>
              <w:left w:val="nil"/>
              <w:bottom w:val="nil"/>
              <w:right w:val="nil"/>
            </w:tcBorders>
            <w:shd w:val="clear" w:color="000000" w:fill="EF485F"/>
            <w:noWrap/>
            <w:vAlign w:val="center"/>
            <w:hideMark/>
          </w:tcPr>
          <w:p w14:paraId="4073561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-0.330***</w:t>
            </w:r>
          </w:p>
        </w:tc>
        <w:tc>
          <w:tcPr>
            <w:tcW w:w="906" w:type="dxa"/>
            <w:tcBorders>
              <w:top w:val="nil"/>
              <w:left w:val="nil"/>
              <w:bottom w:val="nil"/>
              <w:right w:val="nil"/>
            </w:tcBorders>
            <w:shd w:val="clear" w:color="000000" w:fill="F48594"/>
            <w:noWrap/>
            <w:vAlign w:val="center"/>
            <w:hideMark/>
          </w:tcPr>
          <w:p w14:paraId="23BA31C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-0.178**</w:t>
            </w:r>
          </w:p>
        </w:tc>
        <w:tc>
          <w:tcPr>
            <w:tcW w:w="906" w:type="dxa"/>
            <w:tcBorders>
              <w:top w:val="nil"/>
              <w:left w:val="nil"/>
              <w:bottom w:val="nil"/>
              <w:right w:val="nil"/>
            </w:tcBorders>
            <w:shd w:val="clear" w:color="000000" w:fill="EF485F"/>
            <w:noWrap/>
            <w:vAlign w:val="center"/>
            <w:hideMark/>
          </w:tcPr>
          <w:p w14:paraId="39148A7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-0.225***</w:t>
            </w:r>
          </w:p>
        </w:tc>
        <w:tc>
          <w:tcPr>
            <w:tcW w:w="906" w:type="dxa"/>
            <w:tcBorders>
              <w:top w:val="nil"/>
              <w:left w:val="nil"/>
              <w:bottom w:val="nil"/>
              <w:right w:val="nil"/>
            </w:tcBorders>
            <w:shd w:val="clear" w:color="000000" w:fill="EF485F"/>
            <w:noWrap/>
            <w:vAlign w:val="center"/>
            <w:hideMark/>
          </w:tcPr>
          <w:p w14:paraId="640FE12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-0.221***</w:t>
            </w:r>
          </w:p>
        </w:tc>
        <w:tc>
          <w:tcPr>
            <w:tcW w:w="906" w:type="dxa"/>
            <w:tcBorders>
              <w:top w:val="nil"/>
              <w:left w:val="nil"/>
              <w:bottom w:val="nil"/>
              <w:right w:val="single" w:sz="4" w:space="0" w:color="auto"/>
            </w:tcBorders>
            <w:shd w:val="clear" w:color="000000" w:fill="EF485F"/>
            <w:noWrap/>
            <w:vAlign w:val="center"/>
            <w:hideMark/>
          </w:tcPr>
          <w:p w14:paraId="503D4F5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-0.268***</w:t>
            </w:r>
          </w:p>
        </w:tc>
      </w:tr>
      <w:tr w:rsidR="00423107" w:rsidRPr="00423107" w14:paraId="2D2E7716"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572A37B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09A770D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6" w:type="dxa"/>
            <w:tcBorders>
              <w:top w:val="nil"/>
              <w:left w:val="nil"/>
              <w:bottom w:val="nil"/>
              <w:right w:val="nil"/>
            </w:tcBorders>
            <w:shd w:val="clear" w:color="000000" w:fill="FFFFFF"/>
            <w:noWrap/>
            <w:vAlign w:val="center"/>
            <w:hideMark/>
          </w:tcPr>
          <w:p w14:paraId="77A1E03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6" w:type="dxa"/>
            <w:tcBorders>
              <w:top w:val="nil"/>
              <w:left w:val="nil"/>
              <w:bottom w:val="nil"/>
              <w:right w:val="nil"/>
            </w:tcBorders>
            <w:shd w:val="clear" w:color="000000" w:fill="EF485F"/>
            <w:noWrap/>
            <w:vAlign w:val="center"/>
            <w:hideMark/>
          </w:tcPr>
          <w:p w14:paraId="1824A46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FAC2C9"/>
            <w:noWrap/>
            <w:vAlign w:val="center"/>
            <w:hideMark/>
          </w:tcPr>
          <w:p w14:paraId="50C4FE2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(0.073)</w:t>
            </w:r>
          </w:p>
        </w:tc>
        <w:tc>
          <w:tcPr>
            <w:tcW w:w="906" w:type="dxa"/>
            <w:tcBorders>
              <w:top w:val="nil"/>
              <w:left w:val="nil"/>
              <w:bottom w:val="nil"/>
              <w:right w:val="nil"/>
            </w:tcBorders>
            <w:shd w:val="clear" w:color="000000" w:fill="F48594"/>
            <w:noWrap/>
            <w:vAlign w:val="center"/>
            <w:hideMark/>
          </w:tcPr>
          <w:p w14:paraId="30580BF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(0.075)</w:t>
            </w:r>
          </w:p>
        </w:tc>
        <w:tc>
          <w:tcPr>
            <w:tcW w:w="906" w:type="dxa"/>
            <w:tcBorders>
              <w:top w:val="nil"/>
              <w:left w:val="nil"/>
              <w:bottom w:val="nil"/>
              <w:right w:val="nil"/>
            </w:tcBorders>
            <w:shd w:val="clear" w:color="000000" w:fill="EF485F"/>
            <w:noWrap/>
            <w:vAlign w:val="center"/>
            <w:hideMark/>
          </w:tcPr>
          <w:p w14:paraId="3CCFFA1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6" w:type="dxa"/>
            <w:tcBorders>
              <w:top w:val="nil"/>
              <w:left w:val="nil"/>
              <w:bottom w:val="nil"/>
              <w:right w:val="nil"/>
            </w:tcBorders>
            <w:shd w:val="clear" w:color="000000" w:fill="EF485F"/>
            <w:noWrap/>
            <w:vAlign w:val="center"/>
            <w:hideMark/>
          </w:tcPr>
          <w:p w14:paraId="11BA2BC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6" w:type="dxa"/>
            <w:tcBorders>
              <w:top w:val="nil"/>
              <w:left w:val="nil"/>
              <w:bottom w:val="nil"/>
              <w:right w:val="nil"/>
            </w:tcBorders>
            <w:shd w:val="clear" w:color="000000" w:fill="EF485F"/>
            <w:noWrap/>
            <w:vAlign w:val="center"/>
            <w:hideMark/>
          </w:tcPr>
          <w:p w14:paraId="2E2D7E6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c>
          <w:tcPr>
            <w:tcW w:w="906" w:type="dxa"/>
            <w:tcBorders>
              <w:top w:val="nil"/>
              <w:left w:val="nil"/>
              <w:bottom w:val="nil"/>
              <w:right w:val="nil"/>
            </w:tcBorders>
            <w:shd w:val="clear" w:color="000000" w:fill="F48594"/>
            <w:noWrap/>
            <w:vAlign w:val="center"/>
            <w:hideMark/>
          </w:tcPr>
          <w:p w14:paraId="22580A5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EF485F"/>
            <w:noWrap/>
            <w:vAlign w:val="center"/>
            <w:hideMark/>
          </w:tcPr>
          <w:p w14:paraId="2691974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nil"/>
            </w:tcBorders>
            <w:shd w:val="clear" w:color="000000" w:fill="EF485F"/>
            <w:noWrap/>
            <w:vAlign w:val="center"/>
            <w:hideMark/>
          </w:tcPr>
          <w:p w14:paraId="3A65594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single" w:sz="4" w:space="0" w:color="auto"/>
            </w:tcBorders>
            <w:shd w:val="clear" w:color="000000" w:fill="EF485F"/>
            <w:noWrap/>
            <w:vAlign w:val="center"/>
            <w:hideMark/>
          </w:tcPr>
          <w:p w14:paraId="5D1FEF5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r>
      <w:tr w:rsidR="00423107" w:rsidRPr="00423107" w14:paraId="7D525C18"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6A9B5896"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Gjennomsnittlig personinntekt</w:t>
            </w:r>
          </w:p>
        </w:tc>
        <w:tc>
          <w:tcPr>
            <w:tcW w:w="906" w:type="dxa"/>
            <w:tcBorders>
              <w:top w:val="nil"/>
              <w:left w:val="nil"/>
              <w:bottom w:val="nil"/>
              <w:right w:val="nil"/>
            </w:tcBorders>
            <w:shd w:val="clear" w:color="000000" w:fill="FFFFFF"/>
            <w:noWrap/>
            <w:vAlign w:val="center"/>
            <w:hideMark/>
          </w:tcPr>
          <w:p w14:paraId="64A26B4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6" w:type="dxa"/>
            <w:tcBorders>
              <w:top w:val="nil"/>
              <w:left w:val="nil"/>
              <w:bottom w:val="nil"/>
              <w:right w:val="nil"/>
            </w:tcBorders>
            <w:shd w:val="clear" w:color="000000" w:fill="FFFFFF"/>
            <w:noWrap/>
            <w:vAlign w:val="center"/>
            <w:hideMark/>
          </w:tcPr>
          <w:p w14:paraId="45FA552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6" w:type="dxa"/>
            <w:tcBorders>
              <w:top w:val="nil"/>
              <w:left w:val="nil"/>
              <w:bottom w:val="nil"/>
              <w:right w:val="nil"/>
            </w:tcBorders>
            <w:shd w:val="clear" w:color="000000" w:fill="87C399"/>
            <w:noWrap/>
            <w:vAlign w:val="center"/>
            <w:hideMark/>
          </w:tcPr>
          <w:p w14:paraId="2FA1117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0.374***</w:t>
            </w:r>
          </w:p>
        </w:tc>
        <w:tc>
          <w:tcPr>
            <w:tcW w:w="906" w:type="dxa"/>
            <w:tcBorders>
              <w:top w:val="nil"/>
              <w:left w:val="nil"/>
              <w:bottom w:val="nil"/>
              <w:right w:val="nil"/>
            </w:tcBorders>
            <w:shd w:val="clear" w:color="000000" w:fill="87C399"/>
            <w:noWrap/>
            <w:vAlign w:val="center"/>
            <w:hideMark/>
          </w:tcPr>
          <w:p w14:paraId="5127850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0.199***</w:t>
            </w:r>
          </w:p>
        </w:tc>
        <w:tc>
          <w:tcPr>
            <w:tcW w:w="906" w:type="dxa"/>
            <w:tcBorders>
              <w:top w:val="nil"/>
              <w:left w:val="nil"/>
              <w:bottom w:val="nil"/>
              <w:right w:val="nil"/>
            </w:tcBorders>
            <w:shd w:val="clear" w:color="000000" w:fill="87C399"/>
            <w:noWrap/>
            <w:vAlign w:val="center"/>
            <w:hideMark/>
          </w:tcPr>
          <w:p w14:paraId="7426467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0.261***</w:t>
            </w:r>
          </w:p>
        </w:tc>
        <w:tc>
          <w:tcPr>
            <w:tcW w:w="906" w:type="dxa"/>
            <w:tcBorders>
              <w:top w:val="nil"/>
              <w:left w:val="nil"/>
              <w:bottom w:val="nil"/>
              <w:right w:val="nil"/>
            </w:tcBorders>
            <w:shd w:val="clear" w:color="000000" w:fill="87C399"/>
            <w:noWrap/>
            <w:vAlign w:val="center"/>
            <w:hideMark/>
          </w:tcPr>
          <w:p w14:paraId="7B6AFC0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0.324***</w:t>
            </w:r>
          </w:p>
        </w:tc>
        <w:tc>
          <w:tcPr>
            <w:tcW w:w="906" w:type="dxa"/>
            <w:tcBorders>
              <w:top w:val="nil"/>
              <w:left w:val="nil"/>
              <w:bottom w:val="nil"/>
              <w:right w:val="nil"/>
            </w:tcBorders>
            <w:shd w:val="clear" w:color="000000" w:fill="87C399"/>
            <w:noWrap/>
            <w:vAlign w:val="center"/>
            <w:hideMark/>
          </w:tcPr>
          <w:p w14:paraId="52548C6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0.308***</w:t>
            </w:r>
          </w:p>
        </w:tc>
        <w:tc>
          <w:tcPr>
            <w:tcW w:w="906" w:type="dxa"/>
            <w:tcBorders>
              <w:top w:val="nil"/>
              <w:left w:val="nil"/>
              <w:bottom w:val="nil"/>
              <w:right w:val="nil"/>
            </w:tcBorders>
            <w:shd w:val="clear" w:color="000000" w:fill="87C399"/>
            <w:noWrap/>
            <w:vAlign w:val="center"/>
            <w:hideMark/>
          </w:tcPr>
          <w:p w14:paraId="109B849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0.391***</w:t>
            </w:r>
          </w:p>
        </w:tc>
        <w:tc>
          <w:tcPr>
            <w:tcW w:w="906" w:type="dxa"/>
            <w:tcBorders>
              <w:top w:val="nil"/>
              <w:left w:val="nil"/>
              <w:bottom w:val="nil"/>
              <w:right w:val="nil"/>
            </w:tcBorders>
            <w:shd w:val="clear" w:color="000000" w:fill="87C399"/>
            <w:noWrap/>
            <w:vAlign w:val="center"/>
            <w:hideMark/>
          </w:tcPr>
          <w:p w14:paraId="3939822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0.291***</w:t>
            </w:r>
          </w:p>
        </w:tc>
        <w:tc>
          <w:tcPr>
            <w:tcW w:w="906" w:type="dxa"/>
            <w:tcBorders>
              <w:top w:val="nil"/>
              <w:left w:val="nil"/>
              <w:bottom w:val="nil"/>
              <w:right w:val="nil"/>
            </w:tcBorders>
            <w:shd w:val="clear" w:color="000000" w:fill="87C399"/>
            <w:noWrap/>
            <w:vAlign w:val="center"/>
            <w:hideMark/>
          </w:tcPr>
          <w:p w14:paraId="6E42AC9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0.309***</w:t>
            </w:r>
          </w:p>
        </w:tc>
        <w:tc>
          <w:tcPr>
            <w:tcW w:w="906" w:type="dxa"/>
            <w:tcBorders>
              <w:top w:val="nil"/>
              <w:left w:val="nil"/>
              <w:bottom w:val="nil"/>
              <w:right w:val="nil"/>
            </w:tcBorders>
            <w:shd w:val="clear" w:color="000000" w:fill="87C399"/>
            <w:noWrap/>
            <w:vAlign w:val="center"/>
            <w:hideMark/>
          </w:tcPr>
          <w:p w14:paraId="0EE507D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0.306***</w:t>
            </w:r>
          </w:p>
        </w:tc>
        <w:tc>
          <w:tcPr>
            <w:tcW w:w="906" w:type="dxa"/>
            <w:tcBorders>
              <w:top w:val="nil"/>
              <w:left w:val="nil"/>
              <w:bottom w:val="nil"/>
              <w:right w:val="single" w:sz="4" w:space="0" w:color="auto"/>
            </w:tcBorders>
            <w:shd w:val="clear" w:color="000000" w:fill="87C399"/>
            <w:noWrap/>
            <w:vAlign w:val="center"/>
            <w:hideMark/>
          </w:tcPr>
          <w:p w14:paraId="036964F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0.328***</w:t>
            </w:r>
          </w:p>
        </w:tc>
      </w:tr>
      <w:tr w:rsidR="00423107" w:rsidRPr="00423107" w14:paraId="109A6DE6"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5BA41029"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400CD01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FFFFFF"/>
            <w:noWrap/>
            <w:vAlign w:val="center"/>
            <w:hideMark/>
          </w:tcPr>
          <w:p w14:paraId="469791A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87C399"/>
            <w:noWrap/>
            <w:vAlign w:val="center"/>
            <w:hideMark/>
          </w:tcPr>
          <w:p w14:paraId="3FBB1C8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87C399"/>
            <w:noWrap/>
            <w:vAlign w:val="center"/>
            <w:hideMark/>
          </w:tcPr>
          <w:p w14:paraId="0841C8E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6" w:type="dxa"/>
            <w:tcBorders>
              <w:top w:val="nil"/>
              <w:left w:val="nil"/>
              <w:bottom w:val="nil"/>
              <w:right w:val="nil"/>
            </w:tcBorders>
            <w:shd w:val="clear" w:color="000000" w:fill="87C399"/>
            <w:noWrap/>
            <w:vAlign w:val="center"/>
            <w:hideMark/>
          </w:tcPr>
          <w:p w14:paraId="5EC5DED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87C399"/>
            <w:noWrap/>
            <w:vAlign w:val="center"/>
            <w:hideMark/>
          </w:tcPr>
          <w:p w14:paraId="68021D5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6" w:type="dxa"/>
            <w:tcBorders>
              <w:top w:val="nil"/>
              <w:left w:val="nil"/>
              <w:bottom w:val="nil"/>
              <w:right w:val="nil"/>
            </w:tcBorders>
            <w:shd w:val="clear" w:color="000000" w:fill="87C399"/>
            <w:noWrap/>
            <w:vAlign w:val="center"/>
            <w:hideMark/>
          </w:tcPr>
          <w:p w14:paraId="342D7B6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87C399"/>
            <w:noWrap/>
            <w:vAlign w:val="center"/>
            <w:hideMark/>
          </w:tcPr>
          <w:p w14:paraId="4FE34F7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87C399"/>
            <w:noWrap/>
            <w:vAlign w:val="center"/>
            <w:hideMark/>
          </w:tcPr>
          <w:p w14:paraId="5E6B910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87C399"/>
            <w:noWrap/>
            <w:vAlign w:val="center"/>
            <w:hideMark/>
          </w:tcPr>
          <w:p w14:paraId="5FA7470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c>
          <w:tcPr>
            <w:tcW w:w="906" w:type="dxa"/>
            <w:tcBorders>
              <w:top w:val="nil"/>
              <w:left w:val="nil"/>
              <w:bottom w:val="nil"/>
              <w:right w:val="nil"/>
            </w:tcBorders>
            <w:shd w:val="clear" w:color="000000" w:fill="87C399"/>
            <w:noWrap/>
            <w:vAlign w:val="center"/>
            <w:hideMark/>
          </w:tcPr>
          <w:p w14:paraId="2F5CCC0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c>
          <w:tcPr>
            <w:tcW w:w="906" w:type="dxa"/>
            <w:tcBorders>
              <w:top w:val="nil"/>
              <w:left w:val="nil"/>
              <w:bottom w:val="nil"/>
              <w:right w:val="single" w:sz="4" w:space="0" w:color="auto"/>
            </w:tcBorders>
            <w:shd w:val="clear" w:color="000000" w:fill="87C399"/>
            <w:noWrap/>
            <w:vAlign w:val="center"/>
            <w:hideMark/>
          </w:tcPr>
          <w:p w14:paraId="160D203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r>
      <w:tr w:rsidR="00423107" w:rsidRPr="00423107" w14:paraId="05276582"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0F76CAB4"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med høyere utdanning</w:t>
            </w:r>
          </w:p>
        </w:tc>
        <w:tc>
          <w:tcPr>
            <w:tcW w:w="906" w:type="dxa"/>
            <w:tcBorders>
              <w:top w:val="nil"/>
              <w:left w:val="nil"/>
              <w:bottom w:val="nil"/>
              <w:right w:val="nil"/>
            </w:tcBorders>
            <w:shd w:val="clear" w:color="000000" w:fill="FFFFFF"/>
            <w:noWrap/>
            <w:vAlign w:val="center"/>
            <w:hideMark/>
          </w:tcPr>
          <w:p w14:paraId="5B4B0D1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6" w:type="dxa"/>
            <w:tcBorders>
              <w:top w:val="nil"/>
              <w:left w:val="nil"/>
              <w:bottom w:val="nil"/>
              <w:right w:val="nil"/>
            </w:tcBorders>
            <w:shd w:val="clear" w:color="000000" w:fill="FFFFFF"/>
            <w:noWrap/>
            <w:vAlign w:val="center"/>
            <w:hideMark/>
          </w:tcPr>
          <w:p w14:paraId="69412F6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c>
          <w:tcPr>
            <w:tcW w:w="906" w:type="dxa"/>
            <w:tcBorders>
              <w:top w:val="nil"/>
              <w:left w:val="nil"/>
              <w:bottom w:val="nil"/>
              <w:right w:val="nil"/>
            </w:tcBorders>
            <w:shd w:val="clear" w:color="000000" w:fill="87C399"/>
            <w:noWrap/>
            <w:vAlign w:val="center"/>
            <w:hideMark/>
          </w:tcPr>
          <w:p w14:paraId="04C531C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0.396***</w:t>
            </w:r>
          </w:p>
        </w:tc>
        <w:tc>
          <w:tcPr>
            <w:tcW w:w="906" w:type="dxa"/>
            <w:tcBorders>
              <w:top w:val="nil"/>
              <w:left w:val="nil"/>
              <w:bottom w:val="nil"/>
              <w:right w:val="nil"/>
            </w:tcBorders>
            <w:shd w:val="clear" w:color="000000" w:fill="AFD7BB"/>
            <w:noWrap/>
            <w:vAlign w:val="center"/>
            <w:hideMark/>
          </w:tcPr>
          <w:p w14:paraId="1C14711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0.183**</w:t>
            </w:r>
          </w:p>
        </w:tc>
        <w:tc>
          <w:tcPr>
            <w:tcW w:w="906" w:type="dxa"/>
            <w:tcBorders>
              <w:top w:val="nil"/>
              <w:left w:val="nil"/>
              <w:bottom w:val="nil"/>
              <w:right w:val="nil"/>
            </w:tcBorders>
            <w:shd w:val="clear" w:color="000000" w:fill="87C399"/>
            <w:noWrap/>
            <w:vAlign w:val="center"/>
            <w:hideMark/>
          </w:tcPr>
          <w:p w14:paraId="5742931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0.325***</w:t>
            </w:r>
          </w:p>
        </w:tc>
        <w:tc>
          <w:tcPr>
            <w:tcW w:w="906" w:type="dxa"/>
            <w:tcBorders>
              <w:top w:val="nil"/>
              <w:left w:val="nil"/>
              <w:bottom w:val="nil"/>
              <w:right w:val="nil"/>
            </w:tcBorders>
            <w:shd w:val="clear" w:color="000000" w:fill="87C399"/>
            <w:noWrap/>
            <w:vAlign w:val="center"/>
            <w:hideMark/>
          </w:tcPr>
          <w:p w14:paraId="30117AC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0.323***</w:t>
            </w:r>
          </w:p>
        </w:tc>
        <w:tc>
          <w:tcPr>
            <w:tcW w:w="906" w:type="dxa"/>
            <w:tcBorders>
              <w:top w:val="nil"/>
              <w:left w:val="nil"/>
              <w:bottom w:val="nil"/>
              <w:right w:val="nil"/>
            </w:tcBorders>
            <w:shd w:val="clear" w:color="000000" w:fill="87C399"/>
            <w:noWrap/>
            <w:vAlign w:val="center"/>
            <w:hideMark/>
          </w:tcPr>
          <w:p w14:paraId="299FD8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0.326***</w:t>
            </w:r>
          </w:p>
        </w:tc>
        <w:tc>
          <w:tcPr>
            <w:tcW w:w="906" w:type="dxa"/>
            <w:tcBorders>
              <w:top w:val="nil"/>
              <w:left w:val="nil"/>
              <w:bottom w:val="nil"/>
              <w:right w:val="nil"/>
            </w:tcBorders>
            <w:shd w:val="clear" w:color="000000" w:fill="87C399"/>
            <w:noWrap/>
            <w:vAlign w:val="center"/>
            <w:hideMark/>
          </w:tcPr>
          <w:p w14:paraId="7436B17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0.322***</w:t>
            </w:r>
          </w:p>
        </w:tc>
        <w:tc>
          <w:tcPr>
            <w:tcW w:w="906" w:type="dxa"/>
            <w:tcBorders>
              <w:top w:val="nil"/>
              <w:left w:val="nil"/>
              <w:bottom w:val="nil"/>
              <w:right w:val="nil"/>
            </w:tcBorders>
            <w:shd w:val="clear" w:color="000000" w:fill="87C399"/>
            <w:noWrap/>
            <w:vAlign w:val="center"/>
            <w:hideMark/>
          </w:tcPr>
          <w:p w14:paraId="7142E2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0.329***</w:t>
            </w:r>
          </w:p>
        </w:tc>
        <w:tc>
          <w:tcPr>
            <w:tcW w:w="906" w:type="dxa"/>
            <w:tcBorders>
              <w:top w:val="nil"/>
              <w:left w:val="nil"/>
              <w:bottom w:val="nil"/>
              <w:right w:val="nil"/>
            </w:tcBorders>
            <w:shd w:val="clear" w:color="000000" w:fill="87C399"/>
            <w:noWrap/>
            <w:vAlign w:val="center"/>
            <w:hideMark/>
          </w:tcPr>
          <w:p w14:paraId="2E073BB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0.329***</w:t>
            </w:r>
          </w:p>
        </w:tc>
        <w:tc>
          <w:tcPr>
            <w:tcW w:w="906" w:type="dxa"/>
            <w:tcBorders>
              <w:top w:val="nil"/>
              <w:left w:val="nil"/>
              <w:bottom w:val="nil"/>
              <w:right w:val="nil"/>
            </w:tcBorders>
            <w:shd w:val="clear" w:color="000000" w:fill="87C399"/>
            <w:noWrap/>
            <w:vAlign w:val="center"/>
            <w:hideMark/>
          </w:tcPr>
          <w:p w14:paraId="668BA5B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0.330***</w:t>
            </w:r>
          </w:p>
        </w:tc>
        <w:tc>
          <w:tcPr>
            <w:tcW w:w="906" w:type="dxa"/>
            <w:tcBorders>
              <w:top w:val="nil"/>
              <w:left w:val="nil"/>
              <w:bottom w:val="nil"/>
              <w:right w:val="single" w:sz="4" w:space="0" w:color="auto"/>
            </w:tcBorders>
            <w:shd w:val="clear" w:color="000000" w:fill="87C399"/>
            <w:noWrap/>
            <w:vAlign w:val="center"/>
            <w:hideMark/>
          </w:tcPr>
          <w:p w14:paraId="16603D9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0.303***</w:t>
            </w:r>
          </w:p>
        </w:tc>
      </w:tr>
      <w:tr w:rsidR="00423107" w:rsidRPr="00423107" w14:paraId="40ADBF11"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536DE0AD"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39512C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6" w:type="dxa"/>
            <w:tcBorders>
              <w:top w:val="nil"/>
              <w:left w:val="nil"/>
              <w:bottom w:val="nil"/>
              <w:right w:val="nil"/>
            </w:tcBorders>
            <w:shd w:val="clear" w:color="000000" w:fill="FFFFFF"/>
            <w:noWrap/>
            <w:vAlign w:val="center"/>
            <w:hideMark/>
          </w:tcPr>
          <w:p w14:paraId="7A2075C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6" w:type="dxa"/>
            <w:tcBorders>
              <w:top w:val="nil"/>
              <w:left w:val="nil"/>
              <w:bottom w:val="nil"/>
              <w:right w:val="nil"/>
            </w:tcBorders>
            <w:shd w:val="clear" w:color="000000" w:fill="87C399"/>
            <w:noWrap/>
            <w:vAlign w:val="center"/>
            <w:hideMark/>
          </w:tcPr>
          <w:p w14:paraId="4A534CC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AFD7BB"/>
            <w:noWrap/>
            <w:vAlign w:val="center"/>
            <w:hideMark/>
          </w:tcPr>
          <w:p w14:paraId="78B44C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(0.074)</w:t>
            </w:r>
          </w:p>
        </w:tc>
        <w:tc>
          <w:tcPr>
            <w:tcW w:w="906" w:type="dxa"/>
            <w:tcBorders>
              <w:top w:val="nil"/>
              <w:left w:val="nil"/>
              <w:bottom w:val="nil"/>
              <w:right w:val="nil"/>
            </w:tcBorders>
            <w:shd w:val="clear" w:color="000000" w:fill="87C399"/>
            <w:noWrap/>
            <w:vAlign w:val="center"/>
            <w:hideMark/>
          </w:tcPr>
          <w:p w14:paraId="37E8844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(0.075)</w:t>
            </w:r>
          </w:p>
        </w:tc>
        <w:tc>
          <w:tcPr>
            <w:tcW w:w="906" w:type="dxa"/>
            <w:tcBorders>
              <w:top w:val="nil"/>
              <w:left w:val="nil"/>
              <w:bottom w:val="nil"/>
              <w:right w:val="nil"/>
            </w:tcBorders>
            <w:shd w:val="clear" w:color="000000" w:fill="87C399"/>
            <w:noWrap/>
            <w:vAlign w:val="center"/>
            <w:hideMark/>
          </w:tcPr>
          <w:p w14:paraId="6E284CB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87C399"/>
            <w:noWrap/>
            <w:vAlign w:val="center"/>
            <w:hideMark/>
          </w:tcPr>
          <w:p w14:paraId="1B142B6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6" w:type="dxa"/>
            <w:tcBorders>
              <w:top w:val="nil"/>
              <w:left w:val="nil"/>
              <w:bottom w:val="nil"/>
              <w:right w:val="nil"/>
            </w:tcBorders>
            <w:shd w:val="clear" w:color="000000" w:fill="87C399"/>
            <w:noWrap/>
            <w:vAlign w:val="center"/>
            <w:hideMark/>
          </w:tcPr>
          <w:p w14:paraId="6FD0D78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87C399"/>
            <w:noWrap/>
            <w:vAlign w:val="center"/>
            <w:hideMark/>
          </w:tcPr>
          <w:p w14:paraId="39E8D46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87C399"/>
            <w:noWrap/>
            <w:vAlign w:val="center"/>
            <w:hideMark/>
          </w:tcPr>
          <w:p w14:paraId="342900D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nil"/>
            </w:tcBorders>
            <w:shd w:val="clear" w:color="000000" w:fill="87C399"/>
            <w:noWrap/>
            <w:vAlign w:val="center"/>
            <w:hideMark/>
          </w:tcPr>
          <w:p w14:paraId="2411B29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single" w:sz="4" w:space="0" w:color="auto"/>
            </w:tcBorders>
            <w:shd w:val="clear" w:color="000000" w:fill="87C399"/>
            <w:noWrap/>
            <w:vAlign w:val="center"/>
            <w:hideMark/>
          </w:tcPr>
          <w:p w14:paraId="55FC073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r>
      <w:tr w:rsidR="00423107" w:rsidRPr="00423107" w14:paraId="1606C9A1" w14:textId="77777777" w:rsidTr="00423107">
        <w:trPr>
          <w:trHeight w:val="258"/>
        </w:trPr>
        <w:tc>
          <w:tcPr>
            <w:tcW w:w="2438" w:type="dxa"/>
            <w:vMerge w:val="restart"/>
            <w:tcBorders>
              <w:top w:val="nil"/>
              <w:left w:val="single" w:sz="4" w:space="0" w:color="auto"/>
              <w:bottom w:val="nil"/>
              <w:right w:val="nil"/>
            </w:tcBorders>
            <w:shd w:val="clear" w:color="000000" w:fill="A9C6E4"/>
            <w:vAlign w:val="center"/>
            <w:hideMark/>
          </w:tcPr>
          <w:p w14:paraId="6487D334"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Sysselsatte arbeidssted over bosted</w:t>
            </w:r>
          </w:p>
        </w:tc>
        <w:tc>
          <w:tcPr>
            <w:tcW w:w="906" w:type="dxa"/>
            <w:tcBorders>
              <w:top w:val="nil"/>
              <w:left w:val="single" w:sz="4" w:space="0" w:color="auto"/>
              <w:bottom w:val="nil"/>
              <w:right w:val="nil"/>
            </w:tcBorders>
            <w:shd w:val="clear" w:color="000000" w:fill="FFFFFF"/>
            <w:noWrap/>
            <w:vAlign w:val="center"/>
            <w:hideMark/>
          </w:tcPr>
          <w:p w14:paraId="49BE5E8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0.002</w:t>
            </w:r>
          </w:p>
        </w:tc>
        <w:tc>
          <w:tcPr>
            <w:tcW w:w="906" w:type="dxa"/>
            <w:tcBorders>
              <w:top w:val="nil"/>
              <w:left w:val="nil"/>
              <w:bottom w:val="nil"/>
              <w:right w:val="nil"/>
            </w:tcBorders>
            <w:shd w:val="clear" w:color="000000" w:fill="FFFFFF"/>
            <w:noWrap/>
            <w:vAlign w:val="center"/>
            <w:hideMark/>
          </w:tcPr>
          <w:p w14:paraId="273D962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0.019</w:t>
            </w:r>
          </w:p>
        </w:tc>
        <w:tc>
          <w:tcPr>
            <w:tcW w:w="906" w:type="dxa"/>
            <w:tcBorders>
              <w:top w:val="nil"/>
              <w:left w:val="nil"/>
              <w:bottom w:val="nil"/>
              <w:right w:val="nil"/>
            </w:tcBorders>
            <w:shd w:val="clear" w:color="000000" w:fill="FFFFFF"/>
            <w:noWrap/>
            <w:vAlign w:val="center"/>
            <w:hideMark/>
          </w:tcPr>
          <w:p w14:paraId="00B5E44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-0.002</w:t>
            </w:r>
          </w:p>
        </w:tc>
        <w:tc>
          <w:tcPr>
            <w:tcW w:w="906" w:type="dxa"/>
            <w:tcBorders>
              <w:top w:val="nil"/>
              <w:left w:val="nil"/>
              <w:bottom w:val="nil"/>
              <w:right w:val="nil"/>
            </w:tcBorders>
            <w:shd w:val="clear" w:color="000000" w:fill="FFFFFF"/>
            <w:noWrap/>
            <w:vAlign w:val="center"/>
            <w:hideMark/>
          </w:tcPr>
          <w:p w14:paraId="5D02712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6" w:type="dxa"/>
            <w:tcBorders>
              <w:top w:val="nil"/>
              <w:left w:val="nil"/>
              <w:bottom w:val="nil"/>
              <w:right w:val="nil"/>
            </w:tcBorders>
            <w:shd w:val="clear" w:color="000000" w:fill="FFFFFF"/>
            <w:noWrap/>
            <w:vAlign w:val="center"/>
            <w:hideMark/>
          </w:tcPr>
          <w:p w14:paraId="41BB88F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0.069</w:t>
            </w:r>
          </w:p>
        </w:tc>
        <w:tc>
          <w:tcPr>
            <w:tcW w:w="906" w:type="dxa"/>
            <w:tcBorders>
              <w:top w:val="nil"/>
              <w:left w:val="nil"/>
              <w:bottom w:val="nil"/>
              <w:right w:val="nil"/>
            </w:tcBorders>
            <w:shd w:val="clear" w:color="000000" w:fill="FFFFFF"/>
            <w:noWrap/>
            <w:vAlign w:val="center"/>
            <w:hideMark/>
          </w:tcPr>
          <w:p w14:paraId="52830A1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c>
          <w:tcPr>
            <w:tcW w:w="906" w:type="dxa"/>
            <w:tcBorders>
              <w:top w:val="nil"/>
              <w:left w:val="nil"/>
              <w:bottom w:val="nil"/>
              <w:right w:val="nil"/>
            </w:tcBorders>
            <w:shd w:val="clear" w:color="000000" w:fill="FFFFFF"/>
            <w:noWrap/>
            <w:vAlign w:val="center"/>
            <w:hideMark/>
          </w:tcPr>
          <w:p w14:paraId="0827907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6" w:type="dxa"/>
            <w:tcBorders>
              <w:top w:val="nil"/>
              <w:left w:val="nil"/>
              <w:bottom w:val="nil"/>
              <w:right w:val="nil"/>
            </w:tcBorders>
            <w:shd w:val="clear" w:color="000000" w:fill="FFFFFF"/>
            <w:noWrap/>
            <w:vAlign w:val="center"/>
            <w:hideMark/>
          </w:tcPr>
          <w:p w14:paraId="70DEEDB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6" w:type="dxa"/>
            <w:tcBorders>
              <w:top w:val="nil"/>
              <w:left w:val="nil"/>
              <w:bottom w:val="nil"/>
              <w:right w:val="nil"/>
            </w:tcBorders>
            <w:shd w:val="clear" w:color="000000" w:fill="FFFFFF"/>
            <w:noWrap/>
            <w:vAlign w:val="center"/>
            <w:hideMark/>
          </w:tcPr>
          <w:p w14:paraId="33526B4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6" w:type="dxa"/>
            <w:tcBorders>
              <w:top w:val="nil"/>
              <w:left w:val="nil"/>
              <w:bottom w:val="nil"/>
              <w:right w:val="nil"/>
            </w:tcBorders>
            <w:shd w:val="clear" w:color="000000" w:fill="FFFFFF"/>
            <w:noWrap/>
            <w:vAlign w:val="center"/>
            <w:hideMark/>
          </w:tcPr>
          <w:p w14:paraId="7BEB89D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0.052</w:t>
            </w:r>
          </w:p>
        </w:tc>
        <w:tc>
          <w:tcPr>
            <w:tcW w:w="906" w:type="dxa"/>
            <w:tcBorders>
              <w:top w:val="nil"/>
              <w:left w:val="nil"/>
              <w:bottom w:val="nil"/>
              <w:right w:val="nil"/>
            </w:tcBorders>
            <w:shd w:val="clear" w:color="000000" w:fill="FFFFFF"/>
            <w:noWrap/>
            <w:vAlign w:val="center"/>
            <w:hideMark/>
          </w:tcPr>
          <w:p w14:paraId="1613FCA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single" w:sz="4" w:space="0" w:color="auto"/>
            </w:tcBorders>
            <w:shd w:val="clear" w:color="000000" w:fill="FFFFFF"/>
            <w:noWrap/>
            <w:vAlign w:val="center"/>
            <w:hideMark/>
          </w:tcPr>
          <w:p w14:paraId="17CFB2B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0.057</w:t>
            </w:r>
          </w:p>
        </w:tc>
      </w:tr>
      <w:tr w:rsidR="00423107" w:rsidRPr="00423107" w14:paraId="3FDD919D" w14:textId="77777777" w:rsidTr="00423107">
        <w:trPr>
          <w:trHeight w:val="60"/>
        </w:trPr>
        <w:tc>
          <w:tcPr>
            <w:tcW w:w="2438" w:type="dxa"/>
            <w:vMerge/>
            <w:tcBorders>
              <w:top w:val="nil"/>
              <w:left w:val="single" w:sz="4" w:space="0" w:color="auto"/>
              <w:bottom w:val="nil"/>
              <w:right w:val="nil"/>
            </w:tcBorders>
            <w:vAlign w:val="center"/>
            <w:hideMark/>
          </w:tcPr>
          <w:p w14:paraId="1D71E81A"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nil"/>
              <w:right w:val="nil"/>
            </w:tcBorders>
            <w:shd w:val="clear" w:color="000000" w:fill="FFFFFF"/>
            <w:noWrap/>
            <w:vAlign w:val="center"/>
            <w:hideMark/>
          </w:tcPr>
          <w:p w14:paraId="35E1F34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nil"/>
              <w:left w:val="nil"/>
              <w:bottom w:val="nil"/>
              <w:right w:val="nil"/>
            </w:tcBorders>
            <w:shd w:val="clear" w:color="000000" w:fill="FFFFFF"/>
            <w:noWrap/>
            <w:vAlign w:val="center"/>
            <w:hideMark/>
          </w:tcPr>
          <w:p w14:paraId="383ECFB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FFFFFF"/>
            <w:noWrap/>
            <w:vAlign w:val="center"/>
            <w:hideMark/>
          </w:tcPr>
          <w:p w14:paraId="5CB3B9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75DBC1E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FFFFFF"/>
            <w:noWrap/>
            <w:vAlign w:val="center"/>
            <w:hideMark/>
          </w:tcPr>
          <w:p w14:paraId="0AAA00C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36EC879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2B19A52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11E0F2E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nil"/>
              <w:right w:val="nil"/>
            </w:tcBorders>
            <w:shd w:val="clear" w:color="000000" w:fill="FFFFFF"/>
            <w:noWrap/>
            <w:vAlign w:val="center"/>
            <w:hideMark/>
          </w:tcPr>
          <w:p w14:paraId="7DD4455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5373F86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nil"/>
            </w:tcBorders>
            <w:shd w:val="clear" w:color="000000" w:fill="FFFFFF"/>
            <w:noWrap/>
            <w:vAlign w:val="center"/>
            <w:hideMark/>
          </w:tcPr>
          <w:p w14:paraId="230CBE3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single" w:sz="4" w:space="0" w:color="auto"/>
            </w:tcBorders>
            <w:shd w:val="clear" w:color="000000" w:fill="FFFFFF"/>
            <w:noWrap/>
            <w:vAlign w:val="center"/>
            <w:hideMark/>
          </w:tcPr>
          <w:p w14:paraId="3AEA0C1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r>
      <w:tr w:rsidR="00423107" w:rsidRPr="00423107" w14:paraId="47EBB4B3" w14:textId="77777777" w:rsidTr="00423107">
        <w:trPr>
          <w:trHeight w:val="258"/>
        </w:trPr>
        <w:tc>
          <w:tcPr>
            <w:tcW w:w="2438" w:type="dxa"/>
            <w:vMerge w:val="restart"/>
            <w:tcBorders>
              <w:top w:val="nil"/>
              <w:left w:val="single" w:sz="4" w:space="0" w:color="auto"/>
              <w:bottom w:val="nil"/>
              <w:right w:val="nil"/>
            </w:tcBorders>
            <w:shd w:val="clear" w:color="000000" w:fill="A9C6E4"/>
            <w:vAlign w:val="center"/>
            <w:hideMark/>
          </w:tcPr>
          <w:p w14:paraId="3227F8AC"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Herfindahl-indeks, næringskonsentrasjon</w:t>
            </w:r>
          </w:p>
        </w:tc>
        <w:tc>
          <w:tcPr>
            <w:tcW w:w="906" w:type="dxa"/>
            <w:tcBorders>
              <w:top w:val="nil"/>
              <w:left w:val="single" w:sz="4" w:space="0" w:color="auto"/>
              <w:bottom w:val="nil"/>
              <w:right w:val="nil"/>
            </w:tcBorders>
            <w:shd w:val="clear" w:color="000000" w:fill="87C399"/>
            <w:noWrap/>
            <w:vAlign w:val="center"/>
            <w:hideMark/>
          </w:tcPr>
          <w:p w14:paraId="427BA0A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0.172***</w:t>
            </w:r>
          </w:p>
        </w:tc>
        <w:tc>
          <w:tcPr>
            <w:tcW w:w="906" w:type="dxa"/>
            <w:tcBorders>
              <w:top w:val="nil"/>
              <w:left w:val="nil"/>
              <w:bottom w:val="nil"/>
              <w:right w:val="nil"/>
            </w:tcBorders>
            <w:shd w:val="clear" w:color="000000" w:fill="87C399"/>
            <w:noWrap/>
            <w:vAlign w:val="center"/>
            <w:hideMark/>
          </w:tcPr>
          <w:p w14:paraId="1BCEC2B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0.164***</w:t>
            </w:r>
          </w:p>
        </w:tc>
        <w:tc>
          <w:tcPr>
            <w:tcW w:w="906" w:type="dxa"/>
            <w:tcBorders>
              <w:top w:val="nil"/>
              <w:left w:val="nil"/>
              <w:bottom w:val="nil"/>
              <w:right w:val="nil"/>
            </w:tcBorders>
            <w:shd w:val="clear" w:color="000000" w:fill="FFFFFF"/>
            <w:noWrap/>
            <w:vAlign w:val="center"/>
            <w:hideMark/>
          </w:tcPr>
          <w:p w14:paraId="660FD79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0.007</w:t>
            </w:r>
          </w:p>
        </w:tc>
        <w:tc>
          <w:tcPr>
            <w:tcW w:w="906" w:type="dxa"/>
            <w:tcBorders>
              <w:top w:val="nil"/>
              <w:left w:val="nil"/>
              <w:bottom w:val="nil"/>
              <w:right w:val="nil"/>
            </w:tcBorders>
            <w:shd w:val="clear" w:color="000000" w:fill="FFFFFF"/>
            <w:noWrap/>
            <w:vAlign w:val="center"/>
            <w:hideMark/>
          </w:tcPr>
          <w:p w14:paraId="08CEAD2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7BD556D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0.030</w:t>
            </w:r>
          </w:p>
        </w:tc>
        <w:tc>
          <w:tcPr>
            <w:tcW w:w="906" w:type="dxa"/>
            <w:tcBorders>
              <w:top w:val="nil"/>
              <w:left w:val="nil"/>
              <w:bottom w:val="nil"/>
              <w:right w:val="nil"/>
            </w:tcBorders>
            <w:shd w:val="clear" w:color="000000" w:fill="FFFFFF"/>
            <w:noWrap/>
            <w:vAlign w:val="center"/>
            <w:hideMark/>
          </w:tcPr>
          <w:p w14:paraId="4271F76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6" w:type="dxa"/>
            <w:tcBorders>
              <w:top w:val="nil"/>
              <w:left w:val="nil"/>
              <w:bottom w:val="nil"/>
              <w:right w:val="nil"/>
            </w:tcBorders>
            <w:shd w:val="clear" w:color="000000" w:fill="FFFFFF"/>
            <w:noWrap/>
            <w:vAlign w:val="center"/>
            <w:hideMark/>
          </w:tcPr>
          <w:p w14:paraId="292D47B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0.049</w:t>
            </w:r>
          </w:p>
        </w:tc>
        <w:tc>
          <w:tcPr>
            <w:tcW w:w="906" w:type="dxa"/>
            <w:tcBorders>
              <w:top w:val="nil"/>
              <w:left w:val="nil"/>
              <w:bottom w:val="nil"/>
              <w:right w:val="nil"/>
            </w:tcBorders>
            <w:shd w:val="clear" w:color="000000" w:fill="FFFFFF"/>
            <w:noWrap/>
            <w:vAlign w:val="center"/>
            <w:hideMark/>
          </w:tcPr>
          <w:p w14:paraId="4924354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6" w:type="dxa"/>
            <w:tcBorders>
              <w:top w:val="nil"/>
              <w:left w:val="nil"/>
              <w:bottom w:val="nil"/>
              <w:right w:val="nil"/>
            </w:tcBorders>
            <w:shd w:val="clear" w:color="000000" w:fill="FFFFFF"/>
            <w:noWrap/>
            <w:vAlign w:val="center"/>
            <w:hideMark/>
          </w:tcPr>
          <w:p w14:paraId="0D1BE44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FFFFF"/>
            <w:noWrap/>
            <w:vAlign w:val="center"/>
            <w:hideMark/>
          </w:tcPr>
          <w:p w14:paraId="0211D7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01807EA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single" w:sz="4" w:space="0" w:color="auto"/>
            </w:tcBorders>
            <w:shd w:val="clear" w:color="000000" w:fill="FFFFFF"/>
            <w:noWrap/>
            <w:vAlign w:val="center"/>
            <w:hideMark/>
          </w:tcPr>
          <w:p w14:paraId="398895E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r>
      <w:tr w:rsidR="00423107" w:rsidRPr="00423107" w14:paraId="6CA6C3F7" w14:textId="77777777" w:rsidTr="00423107">
        <w:trPr>
          <w:trHeight w:val="60"/>
        </w:trPr>
        <w:tc>
          <w:tcPr>
            <w:tcW w:w="2438" w:type="dxa"/>
            <w:vMerge/>
            <w:tcBorders>
              <w:top w:val="nil"/>
              <w:left w:val="single" w:sz="4" w:space="0" w:color="auto"/>
              <w:bottom w:val="nil"/>
              <w:right w:val="nil"/>
            </w:tcBorders>
            <w:vAlign w:val="center"/>
            <w:hideMark/>
          </w:tcPr>
          <w:p w14:paraId="3880127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nil"/>
              <w:right w:val="nil"/>
            </w:tcBorders>
            <w:shd w:val="clear" w:color="000000" w:fill="87C399"/>
            <w:noWrap/>
            <w:vAlign w:val="center"/>
            <w:hideMark/>
          </w:tcPr>
          <w:p w14:paraId="2450439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87C399"/>
            <w:noWrap/>
            <w:vAlign w:val="center"/>
            <w:hideMark/>
          </w:tcPr>
          <w:p w14:paraId="363E60E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FFFFFF"/>
            <w:noWrap/>
            <w:vAlign w:val="center"/>
            <w:hideMark/>
          </w:tcPr>
          <w:p w14:paraId="1217943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FFFFFF"/>
            <w:noWrap/>
            <w:vAlign w:val="center"/>
            <w:hideMark/>
          </w:tcPr>
          <w:p w14:paraId="2D9D10B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FFFFFF"/>
            <w:noWrap/>
            <w:vAlign w:val="center"/>
            <w:hideMark/>
          </w:tcPr>
          <w:p w14:paraId="7D96178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FFFFFF"/>
            <w:noWrap/>
            <w:vAlign w:val="center"/>
            <w:hideMark/>
          </w:tcPr>
          <w:p w14:paraId="0212D12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FFFFFF"/>
            <w:noWrap/>
            <w:vAlign w:val="center"/>
            <w:hideMark/>
          </w:tcPr>
          <w:p w14:paraId="26EF412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6" w:type="dxa"/>
            <w:tcBorders>
              <w:top w:val="nil"/>
              <w:left w:val="nil"/>
              <w:bottom w:val="nil"/>
              <w:right w:val="nil"/>
            </w:tcBorders>
            <w:shd w:val="clear" w:color="000000" w:fill="FFFFFF"/>
            <w:noWrap/>
            <w:vAlign w:val="center"/>
            <w:hideMark/>
          </w:tcPr>
          <w:p w14:paraId="43A3498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6" w:type="dxa"/>
            <w:tcBorders>
              <w:top w:val="nil"/>
              <w:left w:val="nil"/>
              <w:bottom w:val="nil"/>
              <w:right w:val="nil"/>
            </w:tcBorders>
            <w:shd w:val="clear" w:color="000000" w:fill="FFFFFF"/>
            <w:noWrap/>
            <w:vAlign w:val="center"/>
            <w:hideMark/>
          </w:tcPr>
          <w:p w14:paraId="6A4911D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103E55B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FFFFFF"/>
            <w:noWrap/>
            <w:vAlign w:val="center"/>
            <w:hideMark/>
          </w:tcPr>
          <w:p w14:paraId="426B744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single" w:sz="4" w:space="0" w:color="auto"/>
            </w:tcBorders>
            <w:shd w:val="clear" w:color="000000" w:fill="FFFFFF"/>
            <w:noWrap/>
            <w:vAlign w:val="center"/>
            <w:hideMark/>
          </w:tcPr>
          <w:p w14:paraId="2F5861A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r>
      <w:tr w:rsidR="00423107" w:rsidRPr="00423107" w14:paraId="6BD8DE0B" w14:textId="77777777" w:rsidTr="00423107">
        <w:trPr>
          <w:trHeight w:val="258"/>
        </w:trPr>
        <w:tc>
          <w:tcPr>
            <w:tcW w:w="2438" w:type="dxa"/>
            <w:vMerge w:val="restart"/>
            <w:tcBorders>
              <w:top w:val="nil"/>
              <w:left w:val="single" w:sz="4" w:space="0" w:color="auto"/>
              <w:bottom w:val="nil"/>
              <w:right w:val="nil"/>
            </w:tcBorders>
            <w:shd w:val="clear" w:color="000000" w:fill="A9C6E4"/>
            <w:vAlign w:val="center"/>
            <w:hideMark/>
          </w:tcPr>
          <w:p w14:paraId="54B8D07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vareproduksjon</w:t>
            </w:r>
          </w:p>
        </w:tc>
        <w:tc>
          <w:tcPr>
            <w:tcW w:w="906" w:type="dxa"/>
            <w:tcBorders>
              <w:top w:val="nil"/>
              <w:left w:val="single" w:sz="4" w:space="0" w:color="auto"/>
              <w:bottom w:val="nil"/>
              <w:right w:val="nil"/>
            </w:tcBorders>
            <w:shd w:val="clear" w:color="000000" w:fill="FFFFFF"/>
            <w:noWrap/>
            <w:vAlign w:val="center"/>
            <w:hideMark/>
          </w:tcPr>
          <w:p w14:paraId="512166A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D7EBDD"/>
            <w:noWrap/>
            <w:vAlign w:val="center"/>
            <w:hideMark/>
          </w:tcPr>
          <w:p w14:paraId="096CDCB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305BC7C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6" w:type="dxa"/>
            <w:tcBorders>
              <w:top w:val="nil"/>
              <w:left w:val="nil"/>
              <w:bottom w:val="nil"/>
              <w:right w:val="nil"/>
            </w:tcBorders>
            <w:shd w:val="clear" w:color="000000" w:fill="FFFFFF"/>
            <w:noWrap/>
            <w:vAlign w:val="center"/>
            <w:hideMark/>
          </w:tcPr>
          <w:p w14:paraId="4C0BBD5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6" w:type="dxa"/>
            <w:tcBorders>
              <w:top w:val="nil"/>
              <w:left w:val="nil"/>
              <w:bottom w:val="nil"/>
              <w:right w:val="nil"/>
            </w:tcBorders>
            <w:shd w:val="clear" w:color="000000" w:fill="FFFFFF"/>
            <w:noWrap/>
            <w:vAlign w:val="center"/>
            <w:hideMark/>
          </w:tcPr>
          <w:p w14:paraId="796C68B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-0.065</w:t>
            </w:r>
          </w:p>
        </w:tc>
        <w:tc>
          <w:tcPr>
            <w:tcW w:w="906" w:type="dxa"/>
            <w:tcBorders>
              <w:top w:val="nil"/>
              <w:left w:val="nil"/>
              <w:bottom w:val="nil"/>
              <w:right w:val="nil"/>
            </w:tcBorders>
            <w:shd w:val="clear" w:color="000000" w:fill="FFFFFF"/>
            <w:noWrap/>
            <w:vAlign w:val="center"/>
            <w:hideMark/>
          </w:tcPr>
          <w:p w14:paraId="4EFAC6D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6" w:type="dxa"/>
            <w:tcBorders>
              <w:top w:val="nil"/>
              <w:left w:val="nil"/>
              <w:bottom w:val="nil"/>
              <w:right w:val="nil"/>
            </w:tcBorders>
            <w:shd w:val="clear" w:color="000000" w:fill="FFFFFF"/>
            <w:noWrap/>
            <w:vAlign w:val="center"/>
            <w:hideMark/>
          </w:tcPr>
          <w:p w14:paraId="05AC131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6" w:type="dxa"/>
            <w:tcBorders>
              <w:top w:val="nil"/>
              <w:left w:val="nil"/>
              <w:bottom w:val="nil"/>
              <w:right w:val="nil"/>
            </w:tcBorders>
            <w:shd w:val="clear" w:color="000000" w:fill="FFFFFF"/>
            <w:noWrap/>
            <w:vAlign w:val="center"/>
            <w:hideMark/>
          </w:tcPr>
          <w:p w14:paraId="3564DDB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-0.065</w:t>
            </w:r>
          </w:p>
        </w:tc>
        <w:tc>
          <w:tcPr>
            <w:tcW w:w="906" w:type="dxa"/>
            <w:tcBorders>
              <w:top w:val="nil"/>
              <w:left w:val="nil"/>
              <w:bottom w:val="nil"/>
              <w:right w:val="nil"/>
            </w:tcBorders>
            <w:shd w:val="clear" w:color="000000" w:fill="FFFFFF"/>
            <w:noWrap/>
            <w:vAlign w:val="center"/>
            <w:hideMark/>
          </w:tcPr>
          <w:p w14:paraId="799A0A6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-0.109</w:t>
            </w:r>
          </w:p>
        </w:tc>
        <w:tc>
          <w:tcPr>
            <w:tcW w:w="906" w:type="dxa"/>
            <w:tcBorders>
              <w:top w:val="nil"/>
              <w:left w:val="nil"/>
              <w:bottom w:val="nil"/>
              <w:right w:val="nil"/>
            </w:tcBorders>
            <w:shd w:val="clear" w:color="000000" w:fill="FFFFFF"/>
            <w:noWrap/>
            <w:vAlign w:val="center"/>
            <w:hideMark/>
          </w:tcPr>
          <w:p w14:paraId="258DB3E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6" w:type="dxa"/>
            <w:tcBorders>
              <w:top w:val="nil"/>
              <w:left w:val="nil"/>
              <w:bottom w:val="nil"/>
              <w:right w:val="nil"/>
            </w:tcBorders>
            <w:shd w:val="clear" w:color="000000" w:fill="FFFFFF"/>
            <w:noWrap/>
            <w:vAlign w:val="center"/>
            <w:hideMark/>
          </w:tcPr>
          <w:p w14:paraId="483AD4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-0.114</w:t>
            </w:r>
          </w:p>
        </w:tc>
        <w:tc>
          <w:tcPr>
            <w:tcW w:w="906" w:type="dxa"/>
            <w:tcBorders>
              <w:top w:val="nil"/>
              <w:left w:val="nil"/>
              <w:bottom w:val="nil"/>
              <w:right w:val="single" w:sz="4" w:space="0" w:color="auto"/>
            </w:tcBorders>
            <w:shd w:val="clear" w:color="000000" w:fill="FFFFFF"/>
            <w:noWrap/>
            <w:vAlign w:val="center"/>
            <w:hideMark/>
          </w:tcPr>
          <w:p w14:paraId="13EC507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r>
      <w:tr w:rsidR="00423107" w:rsidRPr="00423107" w14:paraId="0FEF01A0" w14:textId="77777777" w:rsidTr="00423107">
        <w:trPr>
          <w:trHeight w:val="60"/>
        </w:trPr>
        <w:tc>
          <w:tcPr>
            <w:tcW w:w="2438" w:type="dxa"/>
            <w:vMerge/>
            <w:tcBorders>
              <w:top w:val="nil"/>
              <w:left w:val="single" w:sz="4" w:space="0" w:color="auto"/>
              <w:bottom w:val="nil"/>
              <w:right w:val="nil"/>
            </w:tcBorders>
            <w:vAlign w:val="center"/>
            <w:hideMark/>
          </w:tcPr>
          <w:p w14:paraId="79CB37E4"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nil"/>
              <w:right w:val="nil"/>
            </w:tcBorders>
            <w:shd w:val="clear" w:color="000000" w:fill="FFFFFF"/>
            <w:noWrap/>
            <w:vAlign w:val="center"/>
            <w:hideMark/>
          </w:tcPr>
          <w:p w14:paraId="042C154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D7EBDD"/>
            <w:noWrap/>
            <w:vAlign w:val="center"/>
            <w:hideMark/>
          </w:tcPr>
          <w:p w14:paraId="2A37EFA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FFFFFF"/>
            <w:noWrap/>
            <w:vAlign w:val="center"/>
            <w:hideMark/>
          </w:tcPr>
          <w:p w14:paraId="3EF089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2CD8763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FFFFFF"/>
            <w:noWrap/>
            <w:vAlign w:val="center"/>
            <w:hideMark/>
          </w:tcPr>
          <w:p w14:paraId="073C70C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34BF56B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2B6F5F5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6AA9357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nil"/>
              <w:right w:val="nil"/>
            </w:tcBorders>
            <w:shd w:val="clear" w:color="000000" w:fill="FFFFFF"/>
            <w:noWrap/>
            <w:vAlign w:val="center"/>
            <w:hideMark/>
          </w:tcPr>
          <w:p w14:paraId="787409A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16A3A1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1E86674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single" w:sz="4" w:space="0" w:color="auto"/>
            </w:tcBorders>
            <w:shd w:val="clear" w:color="000000" w:fill="FFFFFF"/>
            <w:noWrap/>
            <w:vAlign w:val="center"/>
            <w:hideMark/>
          </w:tcPr>
          <w:p w14:paraId="25357C5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r>
      <w:tr w:rsidR="00423107" w:rsidRPr="00423107" w14:paraId="6C51561C" w14:textId="77777777" w:rsidTr="00423107">
        <w:trPr>
          <w:trHeight w:val="258"/>
        </w:trPr>
        <w:tc>
          <w:tcPr>
            <w:tcW w:w="2438" w:type="dxa"/>
            <w:vMerge w:val="restart"/>
            <w:tcBorders>
              <w:top w:val="nil"/>
              <w:left w:val="single" w:sz="4" w:space="0" w:color="auto"/>
              <w:bottom w:val="single" w:sz="4" w:space="0" w:color="000000"/>
              <w:right w:val="nil"/>
            </w:tcBorders>
            <w:shd w:val="clear" w:color="000000" w:fill="A9C6E4"/>
            <w:vAlign w:val="center"/>
            <w:hideMark/>
          </w:tcPr>
          <w:p w14:paraId="5F1E149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ikke-markedsrettede tjenester</w:t>
            </w:r>
          </w:p>
        </w:tc>
        <w:tc>
          <w:tcPr>
            <w:tcW w:w="906" w:type="dxa"/>
            <w:tcBorders>
              <w:top w:val="nil"/>
              <w:left w:val="single" w:sz="4" w:space="0" w:color="auto"/>
              <w:bottom w:val="nil"/>
              <w:right w:val="nil"/>
            </w:tcBorders>
            <w:shd w:val="clear" w:color="000000" w:fill="F48594"/>
            <w:noWrap/>
            <w:vAlign w:val="center"/>
            <w:hideMark/>
          </w:tcPr>
          <w:p w14:paraId="2007D66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-0.112**</w:t>
            </w:r>
          </w:p>
        </w:tc>
        <w:tc>
          <w:tcPr>
            <w:tcW w:w="906" w:type="dxa"/>
            <w:tcBorders>
              <w:top w:val="nil"/>
              <w:left w:val="nil"/>
              <w:bottom w:val="nil"/>
              <w:right w:val="nil"/>
            </w:tcBorders>
            <w:shd w:val="clear" w:color="000000" w:fill="F48594"/>
            <w:noWrap/>
            <w:vAlign w:val="center"/>
            <w:hideMark/>
          </w:tcPr>
          <w:p w14:paraId="67B9953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6" w:type="dxa"/>
            <w:tcBorders>
              <w:top w:val="nil"/>
              <w:left w:val="nil"/>
              <w:bottom w:val="nil"/>
              <w:right w:val="nil"/>
            </w:tcBorders>
            <w:shd w:val="clear" w:color="000000" w:fill="FFFFFF"/>
            <w:noWrap/>
            <w:vAlign w:val="center"/>
            <w:hideMark/>
          </w:tcPr>
          <w:p w14:paraId="559F6B9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-0.128</w:t>
            </w:r>
          </w:p>
        </w:tc>
        <w:tc>
          <w:tcPr>
            <w:tcW w:w="906" w:type="dxa"/>
            <w:tcBorders>
              <w:top w:val="nil"/>
              <w:left w:val="nil"/>
              <w:bottom w:val="nil"/>
              <w:right w:val="nil"/>
            </w:tcBorders>
            <w:shd w:val="clear" w:color="000000" w:fill="FFFFFF"/>
            <w:noWrap/>
            <w:vAlign w:val="center"/>
            <w:hideMark/>
          </w:tcPr>
          <w:p w14:paraId="5FEED08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-0.004</w:t>
            </w:r>
          </w:p>
        </w:tc>
        <w:tc>
          <w:tcPr>
            <w:tcW w:w="906" w:type="dxa"/>
            <w:tcBorders>
              <w:top w:val="nil"/>
              <w:left w:val="nil"/>
              <w:bottom w:val="nil"/>
              <w:right w:val="nil"/>
            </w:tcBorders>
            <w:shd w:val="clear" w:color="000000" w:fill="FFFFFF"/>
            <w:noWrap/>
            <w:vAlign w:val="center"/>
            <w:hideMark/>
          </w:tcPr>
          <w:p w14:paraId="67C1A02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6" w:type="dxa"/>
            <w:tcBorders>
              <w:top w:val="nil"/>
              <w:left w:val="nil"/>
              <w:bottom w:val="nil"/>
              <w:right w:val="nil"/>
            </w:tcBorders>
            <w:shd w:val="clear" w:color="000000" w:fill="FFFFFF"/>
            <w:noWrap/>
            <w:vAlign w:val="center"/>
            <w:hideMark/>
          </w:tcPr>
          <w:p w14:paraId="0A2905D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62D168C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6" w:type="dxa"/>
            <w:tcBorders>
              <w:top w:val="nil"/>
              <w:left w:val="nil"/>
              <w:bottom w:val="nil"/>
              <w:right w:val="nil"/>
            </w:tcBorders>
            <w:shd w:val="clear" w:color="000000" w:fill="FFFFFF"/>
            <w:noWrap/>
            <w:vAlign w:val="center"/>
            <w:hideMark/>
          </w:tcPr>
          <w:p w14:paraId="16AEC26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6" w:type="dxa"/>
            <w:tcBorders>
              <w:top w:val="nil"/>
              <w:left w:val="nil"/>
              <w:bottom w:val="nil"/>
              <w:right w:val="nil"/>
            </w:tcBorders>
            <w:shd w:val="clear" w:color="000000" w:fill="FFFFFF"/>
            <w:noWrap/>
            <w:vAlign w:val="center"/>
            <w:hideMark/>
          </w:tcPr>
          <w:p w14:paraId="49642D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6" w:type="dxa"/>
            <w:tcBorders>
              <w:top w:val="nil"/>
              <w:left w:val="nil"/>
              <w:bottom w:val="nil"/>
              <w:right w:val="nil"/>
            </w:tcBorders>
            <w:shd w:val="clear" w:color="000000" w:fill="FFFFFF"/>
            <w:noWrap/>
            <w:vAlign w:val="center"/>
            <w:hideMark/>
          </w:tcPr>
          <w:p w14:paraId="23230FD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1322A8C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c>
          <w:tcPr>
            <w:tcW w:w="906" w:type="dxa"/>
            <w:tcBorders>
              <w:top w:val="nil"/>
              <w:left w:val="nil"/>
              <w:bottom w:val="nil"/>
              <w:right w:val="single" w:sz="4" w:space="0" w:color="auto"/>
            </w:tcBorders>
            <w:shd w:val="clear" w:color="000000" w:fill="FFFFFF"/>
            <w:noWrap/>
            <w:vAlign w:val="center"/>
            <w:hideMark/>
          </w:tcPr>
          <w:p w14:paraId="33B2C58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r>
      <w:tr w:rsidR="00423107" w:rsidRPr="00423107" w14:paraId="4FEFD77B" w14:textId="77777777" w:rsidTr="00423107">
        <w:trPr>
          <w:trHeight w:val="50"/>
        </w:trPr>
        <w:tc>
          <w:tcPr>
            <w:tcW w:w="2438" w:type="dxa"/>
            <w:vMerge/>
            <w:tcBorders>
              <w:top w:val="nil"/>
              <w:left w:val="single" w:sz="4" w:space="0" w:color="auto"/>
              <w:bottom w:val="single" w:sz="4" w:space="0" w:color="000000"/>
              <w:right w:val="nil"/>
            </w:tcBorders>
            <w:vAlign w:val="center"/>
            <w:hideMark/>
          </w:tcPr>
          <w:p w14:paraId="0761709A"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single" w:sz="4" w:space="0" w:color="auto"/>
              <w:right w:val="nil"/>
            </w:tcBorders>
            <w:shd w:val="clear" w:color="000000" w:fill="F48594"/>
            <w:noWrap/>
            <w:vAlign w:val="center"/>
            <w:hideMark/>
          </w:tcPr>
          <w:p w14:paraId="4029844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6" w:type="dxa"/>
            <w:tcBorders>
              <w:top w:val="nil"/>
              <w:left w:val="nil"/>
              <w:bottom w:val="single" w:sz="4" w:space="0" w:color="auto"/>
              <w:right w:val="nil"/>
            </w:tcBorders>
            <w:shd w:val="clear" w:color="000000" w:fill="F48594"/>
            <w:noWrap/>
            <w:vAlign w:val="center"/>
            <w:hideMark/>
          </w:tcPr>
          <w:p w14:paraId="13C5A5A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6" w:type="dxa"/>
            <w:tcBorders>
              <w:top w:val="nil"/>
              <w:left w:val="nil"/>
              <w:bottom w:val="single" w:sz="4" w:space="0" w:color="auto"/>
              <w:right w:val="nil"/>
            </w:tcBorders>
            <w:shd w:val="clear" w:color="000000" w:fill="FFFFFF"/>
            <w:noWrap/>
            <w:vAlign w:val="center"/>
            <w:hideMark/>
          </w:tcPr>
          <w:p w14:paraId="207131D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c>
          <w:tcPr>
            <w:tcW w:w="906" w:type="dxa"/>
            <w:tcBorders>
              <w:top w:val="nil"/>
              <w:left w:val="nil"/>
              <w:bottom w:val="single" w:sz="4" w:space="0" w:color="auto"/>
              <w:right w:val="nil"/>
            </w:tcBorders>
            <w:shd w:val="clear" w:color="000000" w:fill="FFFFFF"/>
            <w:noWrap/>
            <w:vAlign w:val="center"/>
            <w:hideMark/>
          </w:tcPr>
          <w:p w14:paraId="3192D39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single" w:sz="4" w:space="0" w:color="auto"/>
              <w:right w:val="nil"/>
            </w:tcBorders>
            <w:shd w:val="clear" w:color="000000" w:fill="FFFFFF"/>
            <w:noWrap/>
            <w:vAlign w:val="center"/>
            <w:hideMark/>
          </w:tcPr>
          <w:p w14:paraId="68CBF55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single" w:sz="4" w:space="0" w:color="auto"/>
              <w:right w:val="nil"/>
            </w:tcBorders>
            <w:shd w:val="clear" w:color="000000" w:fill="FFFFFF"/>
            <w:noWrap/>
            <w:vAlign w:val="center"/>
            <w:hideMark/>
          </w:tcPr>
          <w:p w14:paraId="738FC7E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single" w:sz="4" w:space="0" w:color="auto"/>
              <w:right w:val="nil"/>
            </w:tcBorders>
            <w:shd w:val="clear" w:color="000000" w:fill="FFFFFF"/>
            <w:noWrap/>
            <w:vAlign w:val="center"/>
            <w:hideMark/>
          </w:tcPr>
          <w:p w14:paraId="6DF48C5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single" w:sz="4" w:space="0" w:color="auto"/>
              <w:right w:val="nil"/>
            </w:tcBorders>
            <w:shd w:val="clear" w:color="000000" w:fill="FFFFFF"/>
            <w:noWrap/>
            <w:vAlign w:val="center"/>
            <w:hideMark/>
          </w:tcPr>
          <w:p w14:paraId="59B97C1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(0.099)</w:t>
            </w:r>
          </w:p>
        </w:tc>
        <w:tc>
          <w:tcPr>
            <w:tcW w:w="906" w:type="dxa"/>
            <w:tcBorders>
              <w:top w:val="nil"/>
              <w:left w:val="nil"/>
              <w:bottom w:val="single" w:sz="4" w:space="0" w:color="auto"/>
              <w:right w:val="nil"/>
            </w:tcBorders>
            <w:shd w:val="clear" w:color="000000" w:fill="FFFFFF"/>
            <w:noWrap/>
            <w:vAlign w:val="center"/>
            <w:hideMark/>
          </w:tcPr>
          <w:p w14:paraId="3BDB44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single" w:sz="4" w:space="0" w:color="auto"/>
              <w:right w:val="nil"/>
            </w:tcBorders>
            <w:shd w:val="clear" w:color="000000" w:fill="FFFFFF"/>
            <w:noWrap/>
            <w:vAlign w:val="center"/>
            <w:hideMark/>
          </w:tcPr>
          <w:p w14:paraId="65E06FF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(0.095)</w:t>
            </w:r>
          </w:p>
        </w:tc>
        <w:tc>
          <w:tcPr>
            <w:tcW w:w="906" w:type="dxa"/>
            <w:tcBorders>
              <w:top w:val="nil"/>
              <w:left w:val="nil"/>
              <w:bottom w:val="single" w:sz="4" w:space="0" w:color="auto"/>
              <w:right w:val="nil"/>
            </w:tcBorders>
            <w:shd w:val="clear" w:color="000000" w:fill="FFFFFF"/>
            <w:noWrap/>
            <w:vAlign w:val="center"/>
            <w:hideMark/>
          </w:tcPr>
          <w:p w14:paraId="6E33514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(0.095)</w:t>
            </w:r>
          </w:p>
        </w:tc>
        <w:tc>
          <w:tcPr>
            <w:tcW w:w="906" w:type="dxa"/>
            <w:tcBorders>
              <w:top w:val="nil"/>
              <w:left w:val="nil"/>
              <w:bottom w:val="single" w:sz="4" w:space="0" w:color="auto"/>
              <w:right w:val="single" w:sz="4" w:space="0" w:color="auto"/>
            </w:tcBorders>
            <w:shd w:val="clear" w:color="000000" w:fill="FFFFFF"/>
            <w:noWrap/>
            <w:vAlign w:val="center"/>
            <w:hideMark/>
          </w:tcPr>
          <w:p w14:paraId="41C224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r>
    </w:tbl>
    <w:p w14:paraId="5C1992FB" w14:textId="54D46CDB" w:rsidR="001370AE" w:rsidRPr="0055149C" w:rsidRDefault="00EB199B" w:rsidP="001370AE">
      <w:pPr>
        <w:pStyle w:val="Billedtekst-forklaring"/>
        <w:ind w:left="0" w:firstLine="0"/>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F02EBE">
        <w:t>I f</w:t>
      </w:r>
      <w:r w:rsidRPr="0055149C">
        <w:t>orkortelsene dd, ad, da og aa angir første og andre bokstav om henholdsvis kapitaldeflatorene og depresieringsratene er aggregerte (a) eller disaggregerte (d). f og l som følger angir om eventuelle avkastningskrav er fast eller løpende. Standardavvikene beregnet som heteroskedastisitetsrobuste. Angivelse av signifikans: * p &lt; 0.10, ** p &lt; 0.05 og *** p &lt; 0.01.</w:t>
      </w:r>
    </w:p>
    <w:p w14:paraId="73E07A1D" w14:textId="45523EE6" w:rsidR="00845590" w:rsidRPr="0055149C" w:rsidRDefault="001370AE" w:rsidP="0022224B">
      <w:pPr>
        <w:pStyle w:val="Source"/>
        <w:rPr>
          <w:lang w:eastAsia="nb-NO"/>
        </w:rPr>
        <w:sectPr w:rsidR="00845590" w:rsidRPr="0055149C" w:rsidSect="008A1082">
          <w:pgSz w:w="16838" w:h="11906" w:orient="landscape" w:code="9"/>
          <w:pgMar w:top="1985" w:right="1418" w:bottom="1418" w:left="1418" w:header="567" w:footer="284" w:gutter="0"/>
          <w:cols w:space="708"/>
          <w:docGrid w:linePitch="360"/>
        </w:sectPr>
      </w:pPr>
      <w:r w:rsidRPr="0055149C">
        <w:rPr>
          <w:lang w:eastAsia="nb-NO"/>
        </w:rPr>
        <w:t>Kilde: Vista Analys</w:t>
      </w:r>
      <w:r w:rsidR="0022224B" w:rsidRPr="0055149C">
        <w:rPr>
          <w:lang w:eastAsia="nb-NO"/>
        </w:rPr>
        <w:t>e</w:t>
      </w:r>
    </w:p>
    <w:p w14:paraId="012D2E43" w14:textId="77777777" w:rsidR="007C64AF" w:rsidRPr="0055149C" w:rsidRDefault="007C64AF" w:rsidP="007B5D49">
      <w:pPr>
        <w:pStyle w:val="Overskrift4"/>
        <w:numPr>
          <w:ilvl w:val="0"/>
          <w:numId w:val="0"/>
        </w:numPr>
      </w:pPr>
      <w:r w:rsidRPr="0055149C">
        <w:lastRenderedPageBreak/>
        <w:t>Fylkeskommunene</w:t>
      </w:r>
    </w:p>
    <w:p w14:paraId="7EDFCD30" w14:textId="1B5253D2" w:rsidR="00125B69" w:rsidRPr="0055149C" w:rsidRDefault="00624B32" w:rsidP="00DF6496">
      <w:pPr>
        <w:rPr>
          <w:lang w:eastAsia="nb-NO"/>
        </w:rPr>
      </w:pPr>
      <w:r w:rsidRPr="0055149C">
        <w:rPr>
          <w:lang w:eastAsia="nb-NO"/>
        </w:rPr>
        <w:t xml:space="preserve">I det følgende har </w:t>
      </w:r>
      <w:r w:rsidR="00413245">
        <w:rPr>
          <w:lang w:eastAsia="nb-NO"/>
        </w:rPr>
        <w:t xml:space="preserve">vi </w:t>
      </w:r>
      <w:r w:rsidRPr="0055149C">
        <w:rPr>
          <w:lang w:eastAsia="nb-NO"/>
        </w:rPr>
        <w:t xml:space="preserve">belyst sammenhengen i fylkeskommunene mellom bruttodriftsutgifter og kapitalkostnader på den ene siden og kovariater på den andre siden. Oversikter over samvariasjonen inkludert og ekskludert Oslo er gitt i henholdsvis </w:t>
      </w:r>
      <w:r w:rsidRPr="0055149C">
        <w:rPr>
          <w:lang w:eastAsia="nb-NO"/>
        </w:rPr>
        <w:fldChar w:fldCharType="begin"/>
      </w:r>
      <w:r w:rsidRPr="0055149C">
        <w:rPr>
          <w:lang w:eastAsia="nb-NO"/>
        </w:rPr>
        <w:instrText xml:space="preserve"> REF _Ref168519948 \h </w:instrText>
      </w:r>
      <w:r w:rsidRPr="0055149C">
        <w:rPr>
          <w:lang w:eastAsia="nb-NO"/>
        </w:rPr>
      </w:r>
      <w:r w:rsidRPr="0055149C">
        <w:rPr>
          <w:lang w:eastAsia="nb-NO"/>
        </w:rPr>
        <w:fldChar w:fldCharType="separate"/>
      </w:r>
      <w:r w:rsidR="009B1DA8" w:rsidRPr="0055149C">
        <w:t xml:space="preserve">Tabell </w:t>
      </w:r>
      <w:r w:rsidR="009B1DA8">
        <w:rPr>
          <w:noProof/>
        </w:rPr>
        <w:t>4</w:t>
      </w:r>
      <w:r w:rsidR="009B1DA8" w:rsidRPr="0055149C">
        <w:t>.</w:t>
      </w:r>
      <w:r w:rsidR="009B1DA8">
        <w:rPr>
          <w:noProof/>
        </w:rPr>
        <w:t>11</w:t>
      </w:r>
      <w:r w:rsidRPr="0055149C">
        <w:rPr>
          <w:lang w:eastAsia="nb-NO"/>
        </w:rPr>
        <w:fldChar w:fldCharType="end"/>
      </w:r>
      <w:r w:rsidRPr="0055149C">
        <w:rPr>
          <w:lang w:eastAsia="nb-NO"/>
        </w:rPr>
        <w:t xml:space="preserve"> og </w:t>
      </w:r>
      <w:r w:rsidRPr="0055149C">
        <w:rPr>
          <w:lang w:eastAsia="nb-NO"/>
        </w:rPr>
        <w:fldChar w:fldCharType="begin"/>
      </w:r>
      <w:r w:rsidRPr="0055149C">
        <w:rPr>
          <w:lang w:eastAsia="nb-NO"/>
        </w:rPr>
        <w:instrText xml:space="preserve"> REF _Ref168519950 \h </w:instrText>
      </w:r>
      <w:r w:rsidRPr="0055149C">
        <w:rPr>
          <w:lang w:eastAsia="nb-NO"/>
        </w:rPr>
      </w:r>
      <w:r w:rsidRPr="0055149C">
        <w:rPr>
          <w:lang w:eastAsia="nb-NO"/>
        </w:rPr>
        <w:fldChar w:fldCharType="separate"/>
      </w:r>
      <w:r w:rsidR="009B1DA8" w:rsidRPr="0055149C">
        <w:t xml:space="preserve">Tabell </w:t>
      </w:r>
      <w:r w:rsidR="009B1DA8">
        <w:rPr>
          <w:noProof/>
        </w:rPr>
        <w:t>4</w:t>
      </w:r>
      <w:r w:rsidR="009B1DA8" w:rsidRPr="0055149C">
        <w:t>.</w:t>
      </w:r>
      <w:r w:rsidR="009B1DA8">
        <w:rPr>
          <w:noProof/>
        </w:rPr>
        <w:t>12</w:t>
      </w:r>
      <w:r w:rsidRPr="0055149C">
        <w:rPr>
          <w:lang w:eastAsia="nb-NO"/>
        </w:rPr>
        <w:fldChar w:fldCharType="end"/>
      </w:r>
      <w:r w:rsidR="00CE61C2">
        <w:rPr>
          <w:lang w:eastAsia="nb-NO"/>
        </w:rPr>
        <w:t xml:space="preserve">. Vi velger å gjengi resultatene med og uten hovedstaden, både fordi den skiller seg fra de øvrige fylkeskommunene, og fordi vi har måttet beregne fordelingen mellom Oslo primærkommune og Oslo fylkeskommune selv, jamfør seksjon </w:t>
      </w:r>
      <w:r w:rsidR="00CE61C2">
        <w:rPr>
          <w:lang w:eastAsia="nb-NO"/>
        </w:rPr>
        <w:fldChar w:fldCharType="begin"/>
      </w:r>
      <w:r w:rsidR="00CE61C2">
        <w:rPr>
          <w:lang w:eastAsia="nb-NO"/>
        </w:rPr>
        <w:instrText xml:space="preserve"> REF _Ref166249059 \r \h </w:instrText>
      </w:r>
      <w:r w:rsidR="00CE61C2">
        <w:rPr>
          <w:lang w:eastAsia="nb-NO"/>
        </w:rPr>
      </w:r>
      <w:r w:rsidR="00CE61C2">
        <w:rPr>
          <w:lang w:eastAsia="nb-NO"/>
        </w:rPr>
        <w:fldChar w:fldCharType="separate"/>
      </w:r>
      <w:r w:rsidR="009B1DA8">
        <w:rPr>
          <w:lang w:eastAsia="nb-NO"/>
        </w:rPr>
        <w:t>3.1.1</w:t>
      </w:r>
      <w:r w:rsidR="00CE61C2">
        <w:rPr>
          <w:lang w:eastAsia="nb-NO"/>
        </w:rPr>
        <w:fldChar w:fldCharType="end"/>
      </w:r>
      <w:r w:rsidR="00CE61C2">
        <w:rPr>
          <w:lang w:eastAsia="nb-NO"/>
        </w:rPr>
        <w:t>.</w:t>
      </w:r>
      <w:r w:rsidR="00C149E9">
        <w:rPr>
          <w:lang w:eastAsia="nb-NO"/>
        </w:rPr>
        <w:t xml:space="preserve"> Korrelasjonsanalysene tyder på </w:t>
      </w:r>
      <w:r w:rsidR="00C06288">
        <w:rPr>
          <w:lang w:eastAsia="nb-NO"/>
        </w:rPr>
        <w:t>relativt sterk sammenheng</w:t>
      </w:r>
      <w:r w:rsidR="00C149E9">
        <w:rPr>
          <w:lang w:eastAsia="nb-NO"/>
        </w:rPr>
        <w:t xml:space="preserve"> mellom kommunenes bruttodriftsutgifter og kapitalkostnader på den ene siden, og forhold i kommunenes omgivelser på den andre siden.</w:t>
      </w:r>
    </w:p>
    <w:p w14:paraId="0B7875AA" w14:textId="1EABB0D7" w:rsidR="002E6587" w:rsidRPr="009A478A" w:rsidRDefault="00B65E60" w:rsidP="009A478A">
      <w:r w:rsidRPr="009A478A">
        <w:t xml:space="preserve">Sammenliknet med tilsvarende resultater for primærkommunene </w:t>
      </w:r>
      <w:r w:rsidR="00CE61C2" w:rsidRPr="009A478A">
        <w:t>tenderer korrelasjonsmønstrene å være sterkere med like fortegn</w:t>
      </w:r>
      <w:r w:rsidR="002E6587" w:rsidRPr="009A478A">
        <w:t xml:space="preserve">, jamfør </w:t>
      </w:r>
      <w:r w:rsidR="002E6587" w:rsidRPr="009A478A">
        <w:fldChar w:fldCharType="begin"/>
      </w:r>
      <w:r w:rsidR="002E6587" w:rsidRPr="009A478A">
        <w:instrText xml:space="preserve"> REF _Ref168519948 \h </w:instrText>
      </w:r>
      <w:r w:rsidR="002E6587" w:rsidRPr="009A478A">
        <w:fldChar w:fldCharType="separate"/>
      </w:r>
      <w:r w:rsidR="009B1DA8" w:rsidRPr="0055149C">
        <w:t xml:space="preserve">Tabell </w:t>
      </w:r>
      <w:r w:rsidR="009B1DA8">
        <w:rPr>
          <w:noProof/>
        </w:rPr>
        <w:t>4</w:t>
      </w:r>
      <w:r w:rsidR="009B1DA8" w:rsidRPr="0055149C">
        <w:t>.</w:t>
      </w:r>
      <w:r w:rsidR="009B1DA8">
        <w:rPr>
          <w:noProof/>
        </w:rPr>
        <w:t>11</w:t>
      </w:r>
      <w:r w:rsidR="002E6587" w:rsidRPr="009A478A">
        <w:fldChar w:fldCharType="end"/>
      </w:r>
      <w:r w:rsidR="00CE61C2" w:rsidRPr="009A478A">
        <w:t xml:space="preserve">. De eneste kovariatene fortegnene har snudd helt for er sysselsatte ved arbeidssted over sysselsetting over bosted og Herfindahl-indeksen for næringskonsentrasjon. I tillegg </w:t>
      </w:r>
      <w:r w:rsidR="00413245" w:rsidRPr="009A478A">
        <w:t xml:space="preserve">er </w:t>
      </w:r>
      <w:r w:rsidR="00CE61C2" w:rsidRPr="009A478A">
        <w:t>korrelasjonskoeffisientene for sysselsettingsandelen innenfor ikke-markedsrettede tjenester og sysselsettingsgraden henholdsvis entydig positiv og entydig negativ for fylkeskommunene.</w:t>
      </w:r>
      <w:r w:rsidR="002E6587" w:rsidRPr="009A478A">
        <w:t xml:space="preserve"> </w:t>
      </w:r>
      <w:r w:rsidR="00CE61C2" w:rsidRPr="009A478A">
        <w:t xml:space="preserve">Igjen </w:t>
      </w:r>
      <w:r w:rsidR="002E6587" w:rsidRPr="009A478A">
        <w:t>tenderer</w:t>
      </w:r>
      <w:r w:rsidR="00CE61C2" w:rsidRPr="009A478A">
        <w:t xml:space="preserve"> korrelasjons</w:t>
      </w:r>
      <w:r w:rsidR="002E6587" w:rsidRPr="009A478A">
        <w:t>koeffisientene med kovariatene høyere for bruttodriftsutgifter enn for kapitalkostnads</w:t>
      </w:r>
      <w:r w:rsidR="00413245" w:rsidRPr="009A478A">
        <w:softHyphen/>
      </w:r>
      <w:r w:rsidR="002E6587" w:rsidRPr="009A478A">
        <w:t>målene, riktignok med sysselsettingsandel i vareproduksjonen som et markant unntak.</w:t>
      </w:r>
    </w:p>
    <w:p w14:paraId="7E121B68" w14:textId="1EAA9009" w:rsidR="002E6587" w:rsidRDefault="002E6587" w:rsidP="00DF6496">
      <w:pPr>
        <w:rPr>
          <w:lang w:eastAsia="nb-NO"/>
        </w:rPr>
      </w:pPr>
      <w:r>
        <w:rPr>
          <w:lang w:eastAsia="nb-NO"/>
        </w:rPr>
        <w:t xml:space="preserve">Når vi tar ut Oslo fra korrelasjonsanalysen, blir de fleste korrelasjonsmønstrene noe svakere, jamfør </w:t>
      </w:r>
      <w:r w:rsidRPr="0055149C">
        <w:rPr>
          <w:lang w:eastAsia="nb-NO"/>
        </w:rPr>
        <w:fldChar w:fldCharType="begin"/>
      </w:r>
      <w:r w:rsidRPr="0055149C">
        <w:rPr>
          <w:lang w:eastAsia="nb-NO"/>
        </w:rPr>
        <w:instrText xml:space="preserve"> REF _Ref168519950 \h </w:instrText>
      </w:r>
      <w:r w:rsidRPr="0055149C">
        <w:rPr>
          <w:lang w:eastAsia="nb-NO"/>
        </w:rPr>
      </w:r>
      <w:r w:rsidRPr="0055149C">
        <w:rPr>
          <w:lang w:eastAsia="nb-NO"/>
        </w:rPr>
        <w:fldChar w:fldCharType="separate"/>
      </w:r>
      <w:r w:rsidR="009B1DA8" w:rsidRPr="0055149C">
        <w:t xml:space="preserve">Tabell </w:t>
      </w:r>
      <w:r w:rsidR="009B1DA8">
        <w:rPr>
          <w:noProof/>
        </w:rPr>
        <w:t>4</w:t>
      </w:r>
      <w:r w:rsidR="009B1DA8" w:rsidRPr="0055149C">
        <w:t>.</w:t>
      </w:r>
      <w:r w:rsidR="009B1DA8">
        <w:rPr>
          <w:noProof/>
        </w:rPr>
        <w:t>12</w:t>
      </w:r>
      <w:r w:rsidRPr="0055149C">
        <w:rPr>
          <w:lang w:eastAsia="nb-NO"/>
        </w:rPr>
        <w:fldChar w:fldCharType="end"/>
      </w:r>
      <w:r w:rsidR="00650150">
        <w:rPr>
          <w:lang w:eastAsia="nb-NO"/>
        </w:rPr>
        <w:t>. Unntakene er Herfindahl-indeksen for næringskonsentrasjon, sysselsetting på arbeidstedet over sysselsetting på bostedet og s</w:t>
      </w:r>
      <w:r w:rsidR="00650150" w:rsidRPr="00650150">
        <w:rPr>
          <w:lang w:eastAsia="nb-NO"/>
        </w:rPr>
        <w:t>ysselsetting per innbygger</w:t>
      </w:r>
      <w:r w:rsidR="00650150">
        <w:rPr>
          <w:lang w:eastAsia="nb-NO"/>
        </w:rPr>
        <w:t>. Resultatene knyttet til de to sistnevnte variablene skifter også fortegn når Oslo holdes utenfor.</w:t>
      </w:r>
      <w:r w:rsidR="00215EF9">
        <w:rPr>
          <w:lang w:eastAsia="nb-NO"/>
        </w:rPr>
        <w:t xml:space="preserve"> Det gjør også korrelasjonen mellom gjennomsnittlig personinntekt og i</w:t>
      </w:r>
      <w:r w:rsidR="00215EF9" w:rsidRPr="00215EF9">
        <w:rPr>
          <w:lang w:eastAsia="nb-NO"/>
        </w:rPr>
        <w:t>ntern reiseavstandsproxy</w:t>
      </w:r>
      <w:r w:rsidR="00215EF9">
        <w:rPr>
          <w:lang w:eastAsia="nb-NO"/>
        </w:rPr>
        <w:t xml:space="preserve"> på den ene siden og kapitalkostnadsmålene på den andre siden, men ikke tilsvarende korrelasjoner mellom bruttodrift</w:t>
      </w:r>
      <w:r w:rsidR="0055757C">
        <w:rPr>
          <w:lang w:eastAsia="nb-NO"/>
        </w:rPr>
        <w:t>s</w:t>
      </w:r>
      <w:r w:rsidR="00215EF9">
        <w:rPr>
          <w:lang w:eastAsia="nb-NO"/>
        </w:rPr>
        <w:t>utgiftene og kovariatene.</w:t>
      </w:r>
      <w:r w:rsidR="00C149E9">
        <w:rPr>
          <w:lang w:eastAsia="nb-NO"/>
        </w:rPr>
        <w:t xml:space="preserve"> </w:t>
      </w:r>
      <w:r w:rsidR="00215EF9">
        <w:rPr>
          <w:lang w:eastAsia="nb-NO"/>
        </w:rPr>
        <w:t>Videre</w:t>
      </w:r>
      <w:r w:rsidR="00650150">
        <w:rPr>
          <w:lang w:eastAsia="nb-NO"/>
        </w:rPr>
        <w:t xml:space="preserve"> blir korrelasjonen</w:t>
      </w:r>
      <w:r w:rsidR="00215EF9">
        <w:rPr>
          <w:lang w:eastAsia="nb-NO"/>
        </w:rPr>
        <w:t>e</w:t>
      </w:r>
      <w:r w:rsidR="00650150">
        <w:rPr>
          <w:lang w:eastAsia="nb-NO"/>
        </w:rPr>
        <w:t xml:space="preserve"> mellom investeringsvariablene og sysselsettingsandelen innenfor ikke-markedsrettede tjenester negativ</w:t>
      </w:r>
      <w:r w:rsidR="00215EF9">
        <w:rPr>
          <w:lang w:eastAsia="nb-NO"/>
        </w:rPr>
        <w:t>, og</w:t>
      </w:r>
      <w:r w:rsidR="00650150">
        <w:rPr>
          <w:lang w:eastAsia="nb-NO"/>
        </w:rPr>
        <w:t xml:space="preserve"> mellom bruttodriftsutgifter</w:t>
      </w:r>
      <w:r w:rsidR="00215EF9">
        <w:rPr>
          <w:lang w:eastAsia="nb-NO"/>
        </w:rPr>
        <w:t xml:space="preserve"> og </w:t>
      </w:r>
      <w:r w:rsidR="00650150">
        <w:rPr>
          <w:lang w:eastAsia="nb-NO"/>
        </w:rPr>
        <w:t>sysselsettingsandelen innenfor</w:t>
      </w:r>
      <w:r w:rsidR="00215EF9">
        <w:rPr>
          <w:lang w:eastAsia="nb-NO"/>
        </w:rPr>
        <w:t xml:space="preserve"> vareproduksjon, negative.</w:t>
      </w:r>
    </w:p>
    <w:p w14:paraId="607414C4" w14:textId="3B8A9FC3" w:rsidR="002E6587" w:rsidRPr="0055149C" w:rsidRDefault="002E6587" w:rsidP="00DF6496">
      <w:pPr>
        <w:rPr>
          <w:lang w:eastAsia="nb-NO"/>
        </w:rPr>
        <w:sectPr w:rsidR="002E6587" w:rsidRPr="0055149C" w:rsidSect="008F3BB9">
          <w:pgSz w:w="11906" w:h="16838" w:code="9"/>
          <w:pgMar w:top="1418" w:right="1418" w:bottom="1418" w:left="1985" w:header="567" w:footer="284" w:gutter="0"/>
          <w:cols w:space="708"/>
          <w:docGrid w:linePitch="360"/>
        </w:sectPr>
      </w:pPr>
    </w:p>
    <w:p w14:paraId="16AE97D5" w14:textId="5BF9EFD3" w:rsidR="004A6C41" w:rsidRPr="0055149C" w:rsidRDefault="004A6C41" w:rsidP="004A6C41">
      <w:pPr>
        <w:pStyle w:val="Bildetekst"/>
      </w:pPr>
      <w:bookmarkStart w:id="137" w:name="_Ref168519948"/>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11</w:t>
        </w:r>
      </w:fldSimple>
      <w:bookmarkEnd w:id="137"/>
      <w:r w:rsidRPr="0055149C">
        <w:tab/>
      </w:r>
      <w:r w:rsidR="001574EB" w:rsidRPr="0055149C">
        <w:t>Korrelasjon mellom realkapitalkostnadsestimater per innbygger og kontekstuelle variabler i fylkeskommunene i 2022</w:t>
      </w:r>
    </w:p>
    <w:tbl>
      <w:tblPr>
        <w:tblW w:w="12980" w:type="dxa"/>
        <w:tblCellMar>
          <w:left w:w="70" w:type="dxa"/>
          <w:right w:w="70" w:type="dxa"/>
        </w:tblCellMar>
        <w:tblLook w:val="04A0" w:firstRow="1" w:lastRow="0" w:firstColumn="1" w:lastColumn="0" w:noHBand="0" w:noVBand="1"/>
      </w:tblPr>
      <w:tblGrid>
        <w:gridCol w:w="3600"/>
        <w:gridCol w:w="740"/>
        <w:gridCol w:w="720"/>
        <w:gridCol w:w="720"/>
        <w:gridCol w:w="720"/>
        <w:gridCol w:w="720"/>
        <w:gridCol w:w="720"/>
        <w:gridCol w:w="720"/>
        <w:gridCol w:w="720"/>
        <w:gridCol w:w="720"/>
        <w:gridCol w:w="720"/>
        <w:gridCol w:w="720"/>
        <w:gridCol w:w="720"/>
        <w:gridCol w:w="720"/>
      </w:tblGrid>
      <w:tr w:rsidR="00B25AB6" w:rsidRPr="00B25AB6" w14:paraId="60D8C915" w14:textId="77777777" w:rsidTr="00B25AB6">
        <w:trPr>
          <w:trHeight w:val="288"/>
        </w:trPr>
        <w:tc>
          <w:tcPr>
            <w:tcW w:w="3600" w:type="dxa"/>
            <w:tcBorders>
              <w:top w:val="single" w:sz="4" w:space="0" w:color="auto"/>
              <w:left w:val="single" w:sz="4" w:space="0" w:color="auto"/>
              <w:bottom w:val="nil"/>
              <w:right w:val="nil"/>
            </w:tcBorders>
            <w:shd w:val="clear" w:color="000000" w:fill="3672B0"/>
            <w:noWrap/>
            <w:vAlign w:val="center"/>
            <w:hideMark/>
          </w:tcPr>
          <w:p w14:paraId="6CBFA763" w14:textId="77777777" w:rsidR="00B25AB6" w:rsidRPr="00B25AB6" w:rsidRDefault="00B25AB6" w:rsidP="00B25AB6">
            <w:pPr>
              <w:spacing w:before="0" w:line="240" w:lineRule="auto"/>
              <w:jc w:val="left"/>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Variabler</w:t>
            </w:r>
          </w:p>
        </w:tc>
        <w:tc>
          <w:tcPr>
            <w:tcW w:w="740" w:type="dxa"/>
            <w:tcBorders>
              <w:top w:val="single" w:sz="4" w:space="0" w:color="auto"/>
              <w:left w:val="nil"/>
              <w:bottom w:val="single" w:sz="4" w:space="0" w:color="auto"/>
              <w:right w:val="nil"/>
            </w:tcBorders>
            <w:shd w:val="clear" w:color="000000" w:fill="3672B0"/>
            <w:noWrap/>
            <w:vAlign w:val="center"/>
            <w:hideMark/>
          </w:tcPr>
          <w:p w14:paraId="0F8562C0"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Bdrutg.</w:t>
            </w:r>
          </w:p>
        </w:tc>
        <w:tc>
          <w:tcPr>
            <w:tcW w:w="720" w:type="dxa"/>
            <w:tcBorders>
              <w:top w:val="single" w:sz="4" w:space="0" w:color="auto"/>
              <w:left w:val="nil"/>
              <w:bottom w:val="single" w:sz="4" w:space="0" w:color="auto"/>
              <w:right w:val="nil"/>
            </w:tcBorders>
            <w:shd w:val="clear" w:color="000000" w:fill="3672B0"/>
            <w:noWrap/>
            <w:vAlign w:val="center"/>
            <w:hideMark/>
          </w:tcPr>
          <w:p w14:paraId="0B2A14E1"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686FA6E5"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1E629103"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4661D032"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317CD92B"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1DA419A5"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3B788C4F"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1AAB8379"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40DF8B74"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5AF5BA74"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1FFEE1C3"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1027C5B7"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(12)</w:t>
            </w:r>
          </w:p>
        </w:tc>
      </w:tr>
      <w:tr w:rsidR="00B25AB6" w:rsidRPr="00B25AB6" w14:paraId="74FD2379" w14:textId="77777777" w:rsidTr="00B25AB6">
        <w:trPr>
          <w:trHeight w:val="288"/>
        </w:trPr>
        <w:tc>
          <w:tcPr>
            <w:tcW w:w="3600" w:type="dxa"/>
            <w:tcBorders>
              <w:top w:val="single" w:sz="4" w:space="0" w:color="auto"/>
              <w:left w:val="single" w:sz="4" w:space="0" w:color="auto"/>
              <w:bottom w:val="nil"/>
              <w:right w:val="nil"/>
            </w:tcBorders>
            <w:shd w:val="clear" w:color="000000" w:fill="A9C6E4"/>
            <w:vAlign w:val="center"/>
            <w:hideMark/>
          </w:tcPr>
          <w:p w14:paraId="77A70F08"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Befolkning</w:t>
            </w:r>
          </w:p>
        </w:tc>
        <w:tc>
          <w:tcPr>
            <w:tcW w:w="740" w:type="dxa"/>
            <w:tcBorders>
              <w:top w:val="single" w:sz="4" w:space="0" w:color="auto"/>
              <w:left w:val="single" w:sz="4" w:space="0" w:color="auto"/>
              <w:bottom w:val="nil"/>
              <w:right w:val="nil"/>
            </w:tcBorders>
            <w:shd w:val="clear" w:color="000000" w:fill="F48594"/>
            <w:noWrap/>
            <w:vAlign w:val="center"/>
            <w:hideMark/>
          </w:tcPr>
          <w:p w14:paraId="5EF88F0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-0.619</w:t>
            </w:r>
          </w:p>
        </w:tc>
        <w:tc>
          <w:tcPr>
            <w:tcW w:w="720" w:type="dxa"/>
            <w:tcBorders>
              <w:top w:val="single" w:sz="4" w:space="0" w:color="auto"/>
              <w:left w:val="nil"/>
              <w:bottom w:val="nil"/>
              <w:right w:val="nil"/>
            </w:tcBorders>
            <w:shd w:val="clear" w:color="000000" w:fill="FAC2C9"/>
            <w:noWrap/>
            <w:vAlign w:val="center"/>
            <w:hideMark/>
          </w:tcPr>
          <w:p w14:paraId="0093F9C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-0.338</w:t>
            </w:r>
          </w:p>
        </w:tc>
        <w:tc>
          <w:tcPr>
            <w:tcW w:w="720" w:type="dxa"/>
            <w:tcBorders>
              <w:top w:val="single" w:sz="4" w:space="0" w:color="auto"/>
              <w:left w:val="nil"/>
              <w:bottom w:val="nil"/>
              <w:right w:val="nil"/>
            </w:tcBorders>
            <w:shd w:val="clear" w:color="000000" w:fill="FAC2C9"/>
            <w:noWrap/>
            <w:vAlign w:val="center"/>
            <w:hideMark/>
          </w:tcPr>
          <w:p w14:paraId="47E11E6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-0.403</w:t>
            </w:r>
          </w:p>
        </w:tc>
        <w:tc>
          <w:tcPr>
            <w:tcW w:w="720" w:type="dxa"/>
            <w:tcBorders>
              <w:top w:val="single" w:sz="4" w:space="0" w:color="auto"/>
              <w:left w:val="nil"/>
              <w:bottom w:val="nil"/>
              <w:right w:val="nil"/>
            </w:tcBorders>
            <w:shd w:val="clear" w:color="000000" w:fill="FAC2C9"/>
            <w:noWrap/>
            <w:vAlign w:val="center"/>
            <w:hideMark/>
          </w:tcPr>
          <w:p w14:paraId="2258459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-0.488</w:t>
            </w:r>
          </w:p>
        </w:tc>
        <w:tc>
          <w:tcPr>
            <w:tcW w:w="720" w:type="dxa"/>
            <w:tcBorders>
              <w:top w:val="single" w:sz="4" w:space="0" w:color="auto"/>
              <w:left w:val="nil"/>
              <w:bottom w:val="nil"/>
              <w:right w:val="nil"/>
            </w:tcBorders>
            <w:shd w:val="clear" w:color="000000" w:fill="FAC2C9"/>
            <w:noWrap/>
            <w:vAlign w:val="center"/>
            <w:hideMark/>
          </w:tcPr>
          <w:p w14:paraId="2F726D9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-0.427</w:t>
            </w:r>
          </w:p>
        </w:tc>
        <w:tc>
          <w:tcPr>
            <w:tcW w:w="720" w:type="dxa"/>
            <w:tcBorders>
              <w:top w:val="single" w:sz="4" w:space="0" w:color="auto"/>
              <w:left w:val="nil"/>
              <w:bottom w:val="nil"/>
              <w:right w:val="nil"/>
            </w:tcBorders>
            <w:shd w:val="clear" w:color="000000" w:fill="FAC2C9"/>
            <w:noWrap/>
            <w:vAlign w:val="center"/>
            <w:hideMark/>
          </w:tcPr>
          <w:p w14:paraId="53E2715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-0.349</w:t>
            </w:r>
          </w:p>
        </w:tc>
        <w:tc>
          <w:tcPr>
            <w:tcW w:w="720" w:type="dxa"/>
            <w:tcBorders>
              <w:top w:val="single" w:sz="4" w:space="0" w:color="auto"/>
              <w:left w:val="nil"/>
              <w:bottom w:val="nil"/>
              <w:right w:val="nil"/>
            </w:tcBorders>
            <w:shd w:val="clear" w:color="000000" w:fill="FAC2C9"/>
            <w:noWrap/>
            <w:vAlign w:val="center"/>
            <w:hideMark/>
          </w:tcPr>
          <w:p w14:paraId="31225D9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-0.365</w:t>
            </w:r>
          </w:p>
        </w:tc>
        <w:tc>
          <w:tcPr>
            <w:tcW w:w="720" w:type="dxa"/>
            <w:tcBorders>
              <w:top w:val="single" w:sz="4" w:space="0" w:color="auto"/>
              <w:left w:val="nil"/>
              <w:bottom w:val="nil"/>
              <w:right w:val="nil"/>
            </w:tcBorders>
            <w:shd w:val="clear" w:color="000000" w:fill="FAC2C9"/>
            <w:noWrap/>
            <w:vAlign w:val="center"/>
            <w:hideMark/>
          </w:tcPr>
          <w:p w14:paraId="0E6D149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-0.391</w:t>
            </w:r>
          </w:p>
        </w:tc>
        <w:tc>
          <w:tcPr>
            <w:tcW w:w="720" w:type="dxa"/>
            <w:tcBorders>
              <w:top w:val="single" w:sz="4" w:space="0" w:color="auto"/>
              <w:left w:val="nil"/>
              <w:bottom w:val="nil"/>
              <w:right w:val="nil"/>
            </w:tcBorders>
            <w:shd w:val="clear" w:color="000000" w:fill="FAC2C9"/>
            <w:noWrap/>
            <w:vAlign w:val="center"/>
            <w:hideMark/>
          </w:tcPr>
          <w:p w14:paraId="09BAC6A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-0.412</w:t>
            </w:r>
          </w:p>
        </w:tc>
        <w:tc>
          <w:tcPr>
            <w:tcW w:w="720" w:type="dxa"/>
            <w:tcBorders>
              <w:top w:val="single" w:sz="4" w:space="0" w:color="auto"/>
              <w:left w:val="nil"/>
              <w:bottom w:val="nil"/>
              <w:right w:val="nil"/>
            </w:tcBorders>
            <w:shd w:val="clear" w:color="000000" w:fill="FAC2C9"/>
            <w:noWrap/>
            <w:vAlign w:val="center"/>
            <w:hideMark/>
          </w:tcPr>
          <w:p w14:paraId="5D64F06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-0.435</w:t>
            </w:r>
          </w:p>
        </w:tc>
        <w:tc>
          <w:tcPr>
            <w:tcW w:w="720" w:type="dxa"/>
            <w:tcBorders>
              <w:top w:val="single" w:sz="4" w:space="0" w:color="auto"/>
              <w:left w:val="nil"/>
              <w:bottom w:val="nil"/>
              <w:right w:val="nil"/>
            </w:tcBorders>
            <w:shd w:val="clear" w:color="000000" w:fill="FAC2C9"/>
            <w:noWrap/>
            <w:vAlign w:val="center"/>
            <w:hideMark/>
          </w:tcPr>
          <w:p w14:paraId="04678E8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-0.369</w:t>
            </w:r>
          </w:p>
        </w:tc>
        <w:tc>
          <w:tcPr>
            <w:tcW w:w="720" w:type="dxa"/>
            <w:tcBorders>
              <w:top w:val="single" w:sz="4" w:space="0" w:color="auto"/>
              <w:left w:val="nil"/>
              <w:bottom w:val="nil"/>
              <w:right w:val="nil"/>
            </w:tcBorders>
            <w:shd w:val="clear" w:color="000000" w:fill="FAC2C9"/>
            <w:noWrap/>
            <w:vAlign w:val="center"/>
            <w:hideMark/>
          </w:tcPr>
          <w:p w14:paraId="13D405E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-0.368</w:t>
            </w:r>
          </w:p>
        </w:tc>
        <w:tc>
          <w:tcPr>
            <w:tcW w:w="720" w:type="dxa"/>
            <w:tcBorders>
              <w:top w:val="single" w:sz="4" w:space="0" w:color="auto"/>
              <w:left w:val="nil"/>
              <w:bottom w:val="nil"/>
              <w:right w:val="single" w:sz="4" w:space="0" w:color="auto"/>
            </w:tcBorders>
            <w:shd w:val="clear" w:color="000000" w:fill="FAC2C9"/>
            <w:noWrap/>
            <w:vAlign w:val="center"/>
            <w:hideMark/>
          </w:tcPr>
          <w:p w14:paraId="47F3F4A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-0.374</w:t>
            </w:r>
          </w:p>
        </w:tc>
      </w:tr>
      <w:tr w:rsidR="00B25AB6" w:rsidRPr="00B25AB6" w14:paraId="023491B0" w14:textId="77777777" w:rsidTr="00B25AB6">
        <w:trPr>
          <w:trHeight w:val="288"/>
        </w:trPr>
        <w:tc>
          <w:tcPr>
            <w:tcW w:w="3600" w:type="dxa"/>
            <w:tcBorders>
              <w:top w:val="nil"/>
              <w:left w:val="single" w:sz="4" w:space="0" w:color="auto"/>
              <w:bottom w:val="nil"/>
              <w:right w:val="nil"/>
            </w:tcBorders>
            <w:shd w:val="clear" w:color="000000" w:fill="A9C6E4"/>
            <w:vAlign w:val="center"/>
            <w:hideMark/>
          </w:tcPr>
          <w:p w14:paraId="2E46C860"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Intern reiseavstandsproxy</w:t>
            </w:r>
          </w:p>
        </w:tc>
        <w:tc>
          <w:tcPr>
            <w:tcW w:w="740" w:type="dxa"/>
            <w:tcBorders>
              <w:top w:val="nil"/>
              <w:left w:val="single" w:sz="4" w:space="0" w:color="auto"/>
              <w:bottom w:val="nil"/>
              <w:right w:val="nil"/>
            </w:tcBorders>
            <w:shd w:val="clear" w:color="000000" w:fill="AFD7BB"/>
            <w:noWrap/>
            <w:vAlign w:val="center"/>
            <w:hideMark/>
          </w:tcPr>
          <w:p w14:paraId="6C81E89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0.589</w:t>
            </w:r>
          </w:p>
        </w:tc>
        <w:tc>
          <w:tcPr>
            <w:tcW w:w="720" w:type="dxa"/>
            <w:tcBorders>
              <w:top w:val="nil"/>
              <w:left w:val="nil"/>
              <w:bottom w:val="nil"/>
              <w:right w:val="nil"/>
            </w:tcBorders>
            <w:shd w:val="clear" w:color="000000" w:fill="FFFF99"/>
            <w:noWrap/>
            <w:vAlign w:val="center"/>
            <w:hideMark/>
          </w:tcPr>
          <w:p w14:paraId="4EC58B6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0.174</w:t>
            </w:r>
          </w:p>
        </w:tc>
        <w:tc>
          <w:tcPr>
            <w:tcW w:w="720" w:type="dxa"/>
            <w:tcBorders>
              <w:top w:val="nil"/>
              <w:left w:val="nil"/>
              <w:bottom w:val="nil"/>
              <w:right w:val="nil"/>
            </w:tcBorders>
            <w:shd w:val="clear" w:color="000000" w:fill="FFFF99"/>
            <w:noWrap/>
            <w:vAlign w:val="center"/>
            <w:hideMark/>
          </w:tcPr>
          <w:p w14:paraId="0B82BE0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0.190</w:t>
            </w:r>
          </w:p>
        </w:tc>
        <w:tc>
          <w:tcPr>
            <w:tcW w:w="720" w:type="dxa"/>
            <w:tcBorders>
              <w:top w:val="nil"/>
              <w:left w:val="nil"/>
              <w:bottom w:val="nil"/>
              <w:right w:val="nil"/>
            </w:tcBorders>
            <w:shd w:val="clear" w:color="000000" w:fill="D7EBDD"/>
            <w:noWrap/>
            <w:vAlign w:val="center"/>
            <w:hideMark/>
          </w:tcPr>
          <w:p w14:paraId="31C0B57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c>
          <w:tcPr>
            <w:tcW w:w="720" w:type="dxa"/>
            <w:tcBorders>
              <w:top w:val="nil"/>
              <w:left w:val="nil"/>
              <w:bottom w:val="nil"/>
              <w:right w:val="nil"/>
            </w:tcBorders>
            <w:shd w:val="clear" w:color="000000" w:fill="D7EBDD"/>
            <w:noWrap/>
            <w:vAlign w:val="center"/>
            <w:hideMark/>
          </w:tcPr>
          <w:p w14:paraId="48FE3C1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0.421</w:t>
            </w:r>
          </w:p>
        </w:tc>
        <w:tc>
          <w:tcPr>
            <w:tcW w:w="720" w:type="dxa"/>
            <w:tcBorders>
              <w:top w:val="nil"/>
              <w:left w:val="nil"/>
              <w:bottom w:val="nil"/>
              <w:right w:val="nil"/>
            </w:tcBorders>
            <w:shd w:val="clear" w:color="000000" w:fill="D7EBDD"/>
            <w:noWrap/>
            <w:vAlign w:val="center"/>
            <w:hideMark/>
          </w:tcPr>
          <w:p w14:paraId="5C534DF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D7EBDD"/>
            <w:noWrap/>
            <w:vAlign w:val="center"/>
            <w:hideMark/>
          </w:tcPr>
          <w:p w14:paraId="02E2C4E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0.281</w:t>
            </w:r>
          </w:p>
        </w:tc>
        <w:tc>
          <w:tcPr>
            <w:tcW w:w="720" w:type="dxa"/>
            <w:tcBorders>
              <w:top w:val="nil"/>
              <w:left w:val="nil"/>
              <w:bottom w:val="nil"/>
              <w:right w:val="nil"/>
            </w:tcBorders>
            <w:shd w:val="clear" w:color="000000" w:fill="D7EBDD"/>
            <w:noWrap/>
            <w:vAlign w:val="center"/>
            <w:hideMark/>
          </w:tcPr>
          <w:p w14:paraId="50A80F3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0.352</w:t>
            </w:r>
          </w:p>
        </w:tc>
        <w:tc>
          <w:tcPr>
            <w:tcW w:w="720" w:type="dxa"/>
            <w:tcBorders>
              <w:top w:val="nil"/>
              <w:left w:val="nil"/>
              <w:bottom w:val="nil"/>
              <w:right w:val="nil"/>
            </w:tcBorders>
            <w:shd w:val="clear" w:color="000000" w:fill="D7EBDD"/>
            <w:noWrap/>
            <w:vAlign w:val="center"/>
            <w:hideMark/>
          </w:tcPr>
          <w:p w14:paraId="5A5D315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0.325</w:t>
            </w:r>
          </w:p>
        </w:tc>
        <w:tc>
          <w:tcPr>
            <w:tcW w:w="720" w:type="dxa"/>
            <w:tcBorders>
              <w:top w:val="nil"/>
              <w:left w:val="nil"/>
              <w:bottom w:val="nil"/>
              <w:right w:val="nil"/>
            </w:tcBorders>
            <w:shd w:val="clear" w:color="000000" w:fill="D7EBDD"/>
            <w:noWrap/>
            <w:vAlign w:val="center"/>
            <w:hideMark/>
          </w:tcPr>
          <w:p w14:paraId="4439A39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0.450</w:t>
            </w:r>
          </w:p>
        </w:tc>
        <w:tc>
          <w:tcPr>
            <w:tcW w:w="720" w:type="dxa"/>
            <w:tcBorders>
              <w:top w:val="nil"/>
              <w:left w:val="nil"/>
              <w:bottom w:val="nil"/>
              <w:right w:val="nil"/>
            </w:tcBorders>
            <w:shd w:val="clear" w:color="000000" w:fill="D7EBDD"/>
            <w:noWrap/>
            <w:vAlign w:val="center"/>
            <w:hideMark/>
          </w:tcPr>
          <w:p w14:paraId="7246271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0.312</w:t>
            </w:r>
          </w:p>
        </w:tc>
        <w:tc>
          <w:tcPr>
            <w:tcW w:w="720" w:type="dxa"/>
            <w:tcBorders>
              <w:top w:val="nil"/>
              <w:left w:val="nil"/>
              <w:bottom w:val="nil"/>
              <w:right w:val="nil"/>
            </w:tcBorders>
            <w:shd w:val="clear" w:color="000000" w:fill="D7EBDD"/>
            <w:noWrap/>
            <w:vAlign w:val="center"/>
            <w:hideMark/>
          </w:tcPr>
          <w:p w14:paraId="085720B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0.311</w:t>
            </w:r>
          </w:p>
        </w:tc>
        <w:tc>
          <w:tcPr>
            <w:tcW w:w="720" w:type="dxa"/>
            <w:tcBorders>
              <w:top w:val="nil"/>
              <w:left w:val="nil"/>
              <w:bottom w:val="nil"/>
              <w:right w:val="single" w:sz="4" w:space="0" w:color="auto"/>
            </w:tcBorders>
            <w:shd w:val="clear" w:color="000000" w:fill="D7EBDD"/>
            <w:noWrap/>
            <w:vAlign w:val="center"/>
            <w:hideMark/>
          </w:tcPr>
          <w:p w14:paraId="118DA66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0.300</w:t>
            </w:r>
          </w:p>
        </w:tc>
      </w:tr>
      <w:tr w:rsidR="00B25AB6" w:rsidRPr="00B25AB6" w14:paraId="4C0F1EA1"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5C5B420"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befolkningsvekst de siste ti årene</w:t>
            </w:r>
          </w:p>
        </w:tc>
        <w:tc>
          <w:tcPr>
            <w:tcW w:w="740" w:type="dxa"/>
            <w:tcBorders>
              <w:top w:val="nil"/>
              <w:left w:val="single" w:sz="4" w:space="0" w:color="auto"/>
              <w:bottom w:val="nil"/>
              <w:right w:val="nil"/>
            </w:tcBorders>
            <w:shd w:val="clear" w:color="000000" w:fill="F48594"/>
            <w:noWrap/>
            <w:vAlign w:val="center"/>
            <w:hideMark/>
          </w:tcPr>
          <w:p w14:paraId="7C9C096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-0.554</w:t>
            </w:r>
          </w:p>
        </w:tc>
        <w:tc>
          <w:tcPr>
            <w:tcW w:w="720" w:type="dxa"/>
            <w:tcBorders>
              <w:top w:val="nil"/>
              <w:left w:val="nil"/>
              <w:bottom w:val="nil"/>
              <w:right w:val="nil"/>
            </w:tcBorders>
            <w:shd w:val="clear" w:color="000000" w:fill="FABF8F"/>
            <w:noWrap/>
            <w:vAlign w:val="center"/>
            <w:hideMark/>
          </w:tcPr>
          <w:p w14:paraId="0921230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-0.206</w:t>
            </w:r>
          </w:p>
        </w:tc>
        <w:tc>
          <w:tcPr>
            <w:tcW w:w="720" w:type="dxa"/>
            <w:tcBorders>
              <w:top w:val="nil"/>
              <w:left w:val="nil"/>
              <w:bottom w:val="nil"/>
              <w:right w:val="nil"/>
            </w:tcBorders>
            <w:shd w:val="clear" w:color="000000" w:fill="FABF8F"/>
            <w:noWrap/>
            <w:vAlign w:val="center"/>
            <w:hideMark/>
          </w:tcPr>
          <w:p w14:paraId="5749E4B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-0.223</w:t>
            </w:r>
          </w:p>
        </w:tc>
        <w:tc>
          <w:tcPr>
            <w:tcW w:w="720" w:type="dxa"/>
            <w:tcBorders>
              <w:top w:val="nil"/>
              <w:left w:val="nil"/>
              <w:bottom w:val="nil"/>
              <w:right w:val="nil"/>
            </w:tcBorders>
            <w:shd w:val="clear" w:color="000000" w:fill="F48594"/>
            <w:noWrap/>
            <w:vAlign w:val="center"/>
            <w:hideMark/>
          </w:tcPr>
          <w:p w14:paraId="48D80F2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-0.504</w:t>
            </w:r>
          </w:p>
        </w:tc>
        <w:tc>
          <w:tcPr>
            <w:tcW w:w="720" w:type="dxa"/>
            <w:tcBorders>
              <w:top w:val="nil"/>
              <w:left w:val="nil"/>
              <w:bottom w:val="nil"/>
              <w:right w:val="nil"/>
            </w:tcBorders>
            <w:shd w:val="clear" w:color="000000" w:fill="FAC2C9"/>
            <w:noWrap/>
            <w:vAlign w:val="center"/>
            <w:hideMark/>
          </w:tcPr>
          <w:p w14:paraId="23CA40B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-0.478</w:t>
            </w:r>
          </w:p>
        </w:tc>
        <w:tc>
          <w:tcPr>
            <w:tcW w:w="720" w:type="dxa"/>
            <w:tcBorders>
              <w:top w:val="nil"/>
              <w:left w:val="nil"/>
              <w:bottom w:val="nil"/>
              <w:right w:val="nil"/>
            </w:tcBorders>
            <w:shd w:val="clear" w:color="000000" w:fill="FAC2C9"/>
            <w:noWrap/>
            <w:vAlign w:val="center"/>
            <w:hideMark/>
          </w:tcPr>
          <w:p w14:paraId="21221F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-0.399</w:t>
            </w:r>
          </w:p>
        </w:tc>
        <w:tc>
          <w:tcPr>
            <w:tcW w:w="720" w:type="dxa"/>
            <w:tcBorders>
              <w:top w:val="nil"/>
              <w:left w:val="nil"/>
              <w:bottom w:val="nil"/>
              <w:right w:val="nil"/>
            </w:tcBorders>
            <w:shd w:val="clear" w:color="000000" w:fill="FAC2C9"/>
            <w:noWrap/>
            <w:vAlign w:val="center"/>
            <w:hideMark/>
          </w:tcPr>
          <w:p w14:paraId="352120F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-0.394</w:t>
            </w:r>
          </w:p>
        </w:tc>
        <w:tc>
          <w:tcPr>
            <w:tcW w:w="720" w:type="dxa"/>
            <w:tcBorders>
              <w:top w:val="nil"/>
              <w:left w:val="nil"/>
              <w:bottom w:val="nil"/>
              <w:right w:val="nil"/>
            </w:tcBorders>
            <w:shd w:val="clear" w:color="000000" w:fill="FAC2C9"/>
            <w:noWrap/>
            <w:vAlign w:val="center"/>
            <w:hideMark/>
          </w:tcPr>
          <w:p w14:paraId="52FB6FA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-0.497</w:t>
            </w:r>
          </w:p>
        </w:tc>
        <w:tc>
          <w:tcPr>
            <w:tcW w:w="720" w:type="dxa"/>
            <w:tcBorders>
              <w:top w:val="nil"/>
              <w:left w:val="nil"/>
              <w:bottom w:val="nil"/>
              <w:right w:val="nil"/>
            </w:tcBorders>
            <w:shd w:val="clear" w:color="000000" w:fill="FAC2C9"/>
            <w:noWrap/>
            <w:vAlign w:val="center"/>
            <w:hideMark/>
          </w:tcPr>
          <w:p w14:paraId="12F799D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-0.479</w:t>
            </w:r>
          </w:p>
        </w:tc>
        <w:tc>
          <w:tcPr>
            <w:tcW w:w="720" w:type="dxa"/>
            <w:tcBorders>
              <w:top w:val="nil"/>
              <w:left w:val="nil"/>
              <w:bottom w:val="nil"/>
              <w:right w:val="nil"/>
            </w:tcBorders>
            <w:shd w:val="clear" w:color="000000" w:fill="F48594"/>
            <w:noWrap/>
            <w:vAlign w:val="center"/>
            <w:hideMark/>
          </w:tcPr>
          <w:p w14:paraId="3FD6633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-0.577</w:t>
            </w:r>
          </w:p>
        </w:tc>
        <w:tc>
          <w:tcPr>
            <w:tcW w:w="720" w:type="dxa"/>
            <w:tcBorders>
              <w:top w:val="nil"/>
              <w:left w:val="nil"/>
              <w:bottom w:val="nil"/>
              <w:right w:val="nil"/>
            </w:tcBorders>
            <w:shd w:val="clear" w:color="000000" w:fill="FAC2C9"/>
            <w:noWrap/>
            <w:vAlign w:val="center"/>
            <w:hideMark/>
          </w:tcPr>
          <w:p w14:paraId="1EA9FE9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-0.428</w:t>
            </w:r>
          </w:p>
        </w:tc>
        <w:tc>
          <w:tcPr>
            <w:tcW w:w="720" w:type="dxa"/>
            <w:tcBorders>
              <w:top w:val="nil"/>
              <w:left w:val="nil"/>
              <w:bottom w:val="nil"/>
              <w:right w:val="nil"/>
            </w:tcBorders>
            <w:shd w:val="clear" w:color="000000" w:fill="FAC2C9"/>
            <w:noWrap/>
            <w:vAlign w:val="center"/>
            <w:hideMark/>
          </w:tcPr>
          <w:p w14:paraId="7A98C21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-0.426</w:t>
            </w:r>
          </w:p>
        </w:tc>
        <w:tc>
          <w:tcPr>
            <w:tcW w:w="720" w:type="dxa"/>
            <w:tcBorders>
              <w:top w:val="nil"/>
              <w:left w:val="nil"/>
              <w:bottom w:val="nil"/>
              <w:right w:val="single" w:sz="4" w:space="0" w:color="auto"/>
            </w:tcBorders>
            <w:shd w:val="clear" w:color="000000" w:fill="FAC2C9"/>
            <w:noWrap/>
            <w:vAlign w:val="center"/>
            <w:hideMark/>
          </w:tcPr>
          <w:p w14:paraId="515BDBE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-0.397</w:t>
            </w:r>
          </w:p>
        </w:tc>
      </w:tr>
      <w:tr w:rsidR="00B25AB6" w:rsidRPr="00B25AB6" w14:paraId="415AFFFE"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7B16E2C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sysselsettingsvekst de siste ti årene</w:t>
            </w:r>
          </w:p>
        </w:tc>
        <w:tc>
          <w:tcPr>
            <w:tcW w:w="740" w:type="dxa"/>
            <w:tcBorders>
              <w:top w:val="nil"/>
              <w:left w:val="single" w:sz="4" w:space="0" w:color="auto"/>
              <w:bottom w:val="nil"/>
              <w:right w:val="nil"/>
            </w:tcBorders>
            <w:shd w:val="clear" w:color="000000" w:fill="FAC2C9"/>
            <w:noWrap/>
            <w:vAlign w:val="center"/>
            <w:hideMark/>
          </w:tcPr>
          <w:p w14:paraId="3807A3E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-0.390</w:t>
            </w:r>
          </w:p>
        </w:tc>
        <w:tc>
          <w:tcPr>
            <w:tcW w:w="720" w:type="dxa"/>
            <w:tcBorders>
              <w:top w:val="nil"/>
              <w:left w:val="nil"/>
              <w:bottom w:val="nil"/>
              <w:right w:val="nil"/>
            </w:tcBorders>
            <w:shd w:val="clear" w:color="000000" w:fill="FABF8F"/>
            <w:noWrap/>
            <w:vAlign w:val="center"/>
            <w:hideMark/>
          </w:tcPr>
          <w:p w14:paraId="1828594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-0.124</w:t>
            </w:r>
          </w:p>
        </w:tc>
        <w:tc>
          <w:tcPr>
            <w:tcW w:w="720" w:type="dxa"/>
            <w:tcBorders>
              <w:top w:val="nil"/>
              <w:left w:val="nil"/>
              <w:bottom w:val="nil"/>
              <w:right w:val="nil"/>
            </w:tcBorders>
            <w:shd w:val="clear" w:color="000000" w:fill="FABF8F"/>
            <w:noWrap/>
            <w:vAlign w:val="center"/>
            <w:hideMark/>
          </w:tcPr>
          <w:p w14:paraId="5EF673C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-0.119</w:t>
            </w:r>
          </w:p>
        </w:tc>
        <w:tc>
          <w:tcPr>
            <w:tcW w:w="720" w:type="dxa"/>
            <w:tcBorders>
              <w:top w:val="nil"/>
              <w:left w:val="nil"/>
              <w:bottom w:val="nil"/>
              <w:right w:val="nil"/>
            </w:tcBorders>
            <w:shd w:val="clear" w:color="000000" w:fill="FAC2C9"/>
            <w:noWrap/>
            <w:vAlign w:val="center"/>
            <w:hideMark/>
          </w:tcPr>
          <w:p w14:paraId="2FC56C5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-0.432</w:t>
            </w:r>
          </w:p>
        </w:tc>
        <w:tc>
          <w:tcPr>
            <w:tcW w:w="720" w:type="dxa"/>
            <w:tcBorders>
              <w:top w:val="nil"/>
              <w:left w:val="nil"/>
              <w:bottom w:val="nil"/>
              <w:right w:val="nil"/>
            </w:tcBorders>
            <w:shd w:val="clear" w:color="000000" w:fill="FAC2C9"/>
            <w:noWrap/>
            <w:vAlign w:val="center"/>
            <w:hideMark/>
          </w:tcPr>
          <w:p w14:paraId="43DA42E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-0.375</w:t>
            </w:r>
          </w:p>
        </w:tc>
        <w:tc>
          <w:tcPr>
            <w:tcW w:w="720" w:type="dxa"/>
            <w:tcBorders>
              <w:top w:val="nil"/>
              <w:left w:val="nil"/>
              <w:bottom w:val="nil"/>
              <w:right w:val="nil"/>
            </w:tcBorders>
            <w:shd w:val="clear" w:color="000000" w:fill="FAC2C9"/>
            <w:noWrap/>
            <w:vAlign w:val="center"/>
            <w:hideMark/>
          </w:tcPr>
          <w:p w14:paraId="2744CCE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-0.338</w:t>
            </w:r>
          </w:p>
        </w:tc>
        <w:tc>
          <w:tcPr>
            <w:tcW w:w="720" w:type="dxa"/>
            <w:tcBorders>
              <w:top w:val="nil"/>
              <w:left w:val="nil"/>
              <w:bottom w:val="nil"/>
              <w:right w:val="nil"/>
            </w:tcBorders>
            <w:shd w:val="clear" w:color="000000" w:fill="FAC2C9"/>
            <w:noWrap/>
            <w:vAlign w:val="center"/>
            <w:hideMark/>
          </w:tcPr>
          <w:p w14:paraId="15760DA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FAC2C9"/>
            <w:noWrap/>
            <w:vAlign w:val="center"/>
            <w:hideMark/>
          </w:tcPr>
          <w:p w14:paraId="6CF718B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-0.425</w:t>
            </w:r>
          </w:p>
        </w:tc>
        <w:tc>
          <w:tcPr>
            <w:tcW w:w="720" w:type="dxa"/>
            <w:tcBorders>
              <w:top w:val="nil"/>
              <w:left w:val="nil"/>
              <w:bottom w:val="nil"/>
              <w:right w:val="nil"/>
            </w:tcBorders>
            <w:shd w:val="clear" w:color="000000" w:fill="FAC2C9"/>
            <w:noWrap/>
            <w:vAlign w:val="center"/>
            <w:hideMark/>
          </w:tcPr>
          <w:p w14:paraId="5E7CC64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-0.404</w:t>
            </w:r>
          </w:p>
        </w:tc>
        <w:tc>
          <w:tcPr>
            <w:tcW w:w="720" w:type="dxa"/>
            <w:tcBorders>
              <w:top w:val="nil"/>
              <w:left w:val="nil"/>
              <w:bottom w:val="nil"/>
              <w:right w:val="nil"/>
            </w:tcBorders>
            <w:shd w:val="clear" w:color="000000" w:fill="FAC2C9"/>
            <w:noWrap/>
            <w:vAlign w:val="center"/>
            <w:hideMark/>
          </w:tcPr>
          <w:p w14:paraId="73D0684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-0.491</w:t>
            </w:r>
          </w:p>
        </w:tc>
        <w:tc>
          <w:tcPr>
            <w:tcW w:w="720" w:type="dxa"/>
            <w:tcBorders>
              <w:top w:val="nil"/>
              <w:left w:val="nil"/>
              <w:bottom w:val="nil"/>
              <w:right w:val="nil"/>
            </w:tcBorders>
            <w:shd w:val="clear" w:color="000000" w:fill="FAC2C9"/>
            <w:noWrap/>
            <w:vAlign w:val="center"/>
            <w:hideMark/>
          </w:tcPr>
          <w:p w14:paraId="1D3DC37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-0.367</w:t>
            </w:r>
          </w:p>
        </w:tc>
        <w:tc>
          <w:tcPr>
            <w:tcW w:w="720" w:type="dxa"/>
            <w:tcBorders>
              <w:top w:val="nil"/>
              <w:left w:val="nil"/>
              <w:bottom w:val="nil"/>
              <w:right w:val="nil"/>
            </w:tcBorders>
            <w:shd w:val="clear" w:color="000000" w:fill="FAC2C9"/>
            <w:noWrap/>
            <w:vAlign w:val="center"/>
            <w:hideMark/>
          </w:tcPr>
          <w:p w14:paraId="657F708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-0.364</w:t>
            </w:r>
          </w:p>
        </w:tc>
        <w:tc>
          <w:tcPr>
            <w:tcW w:w="720" w:type="dxa"/>
            <w:tcBorders>
              <w:top w:val="nil"/>
              <w:left w:val="nil"/>
              <w:bottom w:val="nil"/>
              <w:right w:val="single" w:sz="4" w:space="0" w:color="auto"/>
            </w:tcBorders>
            <w:shd w:val="clear" w:color="000000" w:fill="FAC2C9"/>
            <w:noWrap/>
            <w:vAlign w:val="center"/>
            <w:hideMark/>
          </w:tcPr>
          <w:p w14:paraId="650D113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-0.331</w:t>
            </w:r>
          </w:p>
        </w:tc>
      </w:tr>
      <w:tr w:rsidR="00B25AB6" w:rsidRPr="00B25AB6" w14:paraId="5754E224"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B1B7AE7"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Sysselsetting per innbygger</w:t>
            </w:r>
          </w:p>
        </w:tc>
        <w:tc>
          <w:tcPr>
            <w:tcW w:w="740" w:type="dxa"/>
            <w:tcBorders>
              <w:top w:val="nil"/>
              <w:left w:val="single" w:sz="4" w:space="0" w:color="auto"/>
              <w:bottom w:val="nil"/>
              <w:right w:val="nil"/>
            </w:tcBorders>
            <w:shd w:val="clear" w:color="000000" w:fill="FAC2C9"/>
            <w:noWrap/>
            <w:vAlign w:val="center"/>
            <w:hideMark/>
          </w:tcPr>
          <w:p w14:paraId="4846E2A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-0.292</w:t>
            </w:r>
          </w:p>
        </w:tc>
        <w:tc>
          <w:tcPr>
            <w:tcW w:w="720" w:type="dxa"/>
            <w:tcBorders>
              <w:top w:val="nil"/>
              <w:left w:val="nil"/>
              <w:bottom w:val="nil"/>
              <w:right w:val="nil"/>
            </w:tcBorders>
            <w:shd w:val="clear" w:color="000000" w:fill="FABF8F"/>
            <w:noWrap/>
            <w:vAlign w:val="center"/>
            <w:hideMark/>
          </w:tcPr>
          <w:p w14:paraId="62713E3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-0.192</w:t>
            </w:r>
          </w:p>
        </w:tc>
        <w:tc>
          <w:tcPr>
            <w:tcW w:w="720" w:type="dxa"/>
            <w:tcBorders>
              <w:top w:val="nil"/>
              <w:left w:val="nil"/>
              <w:bottom w:val="nil"/>
              <w:right w:val="nil"/>
            </w:tcBorders>
            <w:shd w:val="clear" w:color="000000" w:fill="FABF8F"/>
            <w:noWrap/>
            <w:vAlign w:val="center"/>
            <w:hideMark/>
          </w:tcPr>
          <w:p w14:paraId="2D6C83E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-0.242</w:t>
            </w:r>
          </w:p>
        </w:tc>
        <w:tc>
          <w:tcPr>
            <w:tcW w:w="720" w:type="dxa"/>
            <w:tcBorders>
              <w:top w:val="nil"/>
              <w:left w:val="nil"/>
              <w:bottom w:val="nil"/>
              <w:right w:val="nil"/>
            </w:tcBorders>
            <w:shd w:val="clear" w:color="000000" w:fill="FAC2C9"/>
            <w:noWrap/>
            <w:vAlign w:val="center"/>
            <w:hideMark/>
          </w:tcPr>
          <w:p w14:paraId="370CBFB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-0.299</w:t>
            </w:r>
          </w:p>
        </w:tc>
        <w:tc>
          <w:tcPr>
            <w:tcW w:w="720" w:type="dxa"/>
            <w:tcBorders>
              <w:top w:val="nil"/>
              <w:left w:val="nil"/>
              <w:bottom w:val="nil"/>
              <w:right w:val="nil"/>
            </w:tcBorders>
            <w:shd w:val="clear" w:color="000000" w:fill="FAC2C9"/>
            <w:noWrap/>
            <w:vAlign w:val="center"/>
            <w:hideMark/>
          </w:tcPr>
          <w:p w14:paraId="7F23629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-0.366</w:t>
            </w:r>
          </w:p>
        </w:tc>
        <w:tc>
          <w:tcPr>
            <w:tcW w:w="720" w:type="dxa"/>
            <w:tcBorders>
              <w:top w:val="nil"/>
              <w:left w:val="nil"/>
              <w:bottom w:val="nil"/>
              <w:right w:val="nil"/>
            </w:tcBorders>
            <w:shd w:val="clear" w:color="000000" w:fill="FABF8F"/>
            <w:noWrap/>
            <w:vAlign w:val="center"/>
            <w:hideMark/>
          </w:tcPr>
          <w:p w14:paraId="0B89FA8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-0.139</w:t>
            </w:r>
          </w:p>
        </w:tc>
        <w:tc>
          <w:tcPr>
            <w:tcW w:w="720" w:type="dxa"/>
            <w:tcBorders>
              <w:top w:val="nil"/>
              <w:left w:val="nil"/>
              <w:bottom w:val="nil"/>
              <w:right w:val="nil"/>
            </w:tcBorders>
            <w:shd w:val="clear" w:color="000000" w:fill="FABF8F"/>
            <w:noWrap/>
            <w:vAlign w:val="center"/>
            <w:hideMark/>
          </w:tcPr>
          <w:p w14:paraId="475D8F9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-0.140</w:t>
            </w:r>
          </w:p>
        </w:tc>
        <w:tc>
          <w:tcPr>
            <w:tcW w:w="720" w:type="dxa"/>
            <w:tcBorders>
              <w:top w:val="nil"/>
              <w:left w:val="nil"/>
              <w:bottom w:val="nil"/>
              <w:right w:val="nil"/>
            </w:tcBorders>
            <w:shd w:val="clear" w:color="000000" w:fill="FABF8F"/>
            <w:noWrap/>
            <w:vAlign w:val="center"/>
            <w:hideMark/>
          </w:tcPr>
          <w:p w14:paraId="6B5B9A8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-0.218</w:t>
            </w:r>
          </w:p>
        </w:tc>
        <w:tc>
          <w:tcPr>
            <w:tcW w:w="720" w:type="dxa"/>
            <w:tcBorders>
              <w:top w:val="nil"/>
              <w:left w:val="nil"/>
              <w:bottom w:val="nil"/>
              <w:right w:val="nil"/>
            </w:tcBorders>
            <w:shd w:val="clear" w:color="000000" w:fill="FABF8F"/>
            <w:noWrap/>
            <w:vAlign w:val="center"/>
            <w:hideMark/>
          </w:tcPr>
          <w:p w14:paraId="3444301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-0.215</w:t>
            </w:r>
          </w:p>
        </w:tc>
        <w:tc>
          <w:tcPr>
            <w:tcW w:w="720" w:type="dxa"/>
            <w:tcBorders>
              <w:top w:val="nil"/>
              <w:left w:val="nil"/>
              <w:bottom w:val="nil"/>
              <w:right w:val="nil"/>
            </w:tcBorders>
            <w:shd w:val="clear" w:color="000000" w:fill="FAC2C9"/>
            <w:noWrap/>
            <w:vAlign w:val="center"/>
            <w:hideMark/>
          </w:tcPr>
          <w:p w14:paraId="36F5D6B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-0.317</w:t>
            </w:r>
          </w:p>
        </w:tc>
        <w:tc>
          <w:tcPr>
            <w:tcW w:w="720" w:type="dxa"/>
            <w:tcBorders>
              <w:top w:val="nil"/>
              <w:left w:val="nil"/>
              <w:bottom w:val="nil"/>
              <w:right w:val="nil"/>
            </w:tcBorders>
            <w:shd w:val="clear" w:color="000000" w:fill="FABF8F"/>
            <w:noWrap/>
            <w:vAlign w:val="center"/>
            <w:hideMark/>
          </w:tcPr>
          <w:p w14:paraId="103B2E0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-0.200</w:t>
            </w:r>
          </w:p>
        </w:tc>
        <w:tc>
          <w:tcPr>
            <w:tcW w:w="720" w:type="dxa"/>
            <w:tcBorders>
              <w:top w:val="nil"/>
              <w:left w:val="nil"/>
              <w:bottom w:val="nil"/>
              <w:right w:val="nil"/>
            </w:tcBorders>
            <w:shd w:val="clear" w:color="000000" w:fill="FABF8F"/>
            <w:noWrap/>
            <w:vAlign w:val="center"/>
            <w:hideMark/>
          </w:tcPr>
          <w:p w14:paraId="4962A76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-0.194</w:t>
            </w:r>
          </w:p>
        </w:tc>
        <w:tc>
          <w:tcPr>
            <w:tcW w:w="720" w:type="dxa"/>
            <w:tcBorders>
              <w:top w:val="nil"/>
              <w:left w:val="nil"/>
              <w:bottom w:val="nil"/>
              <w:right w:val="single" w:sz="4" w:space="0" w:color="auto"/>
            </w:tcBorders>
            <w:shd w:val="clear" w:color="000000" w:fill="FABF8F"/>
            <w:noWrap/>
            <w:vAlign w:val="center"/>
            <w:hideMark/>
          </w:tcPr>
          <w:p w14:paraId="68BDE05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-0.185</w:t>
            </w:r>
          </w:p>
        </w:tc>
      </w:tr>
      <w:tr w:rsidR="00B25AB6" w:rsidRPr="00B25AB6" w14:paraId="380ACBFB"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6E746C2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Gjennomsnittsalder</w:t>
            </w:r>
          </w:p>
        </w:tc>
        <w:tc>
          <w:tcPr>
            <w:tcW w:w="740" w:type="dxa"/>
            <w:tcBorders>
              <w:top w:val="nil"/>
              <w:left w:val="single" w:sz="4" w:space="0" w:color="auto"/>
              <w:bottom w:val="nil"/>
              <w:right w:val="nil"/>
            </w:tcBorders>
            <w:shd w:val="clear" w:color="000000" w:fill="D7EBDD"/>
            <w:noWrap/>
            <w:vAlign w:val="center"/>
            <w:hideMark/>
          </w:tcPr>
          <w:p w14:paraId="0366BFC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0.460</w:t>
            </w:r>
          </w:p>
        </w:tc>
        <w:tc>
          <w:tcPr>
            <w:tcW w:w="720" w:type="dxa"/>
            <w:tcBorders>
              <w:top w:val="nil"/>
              <w:left w:val="nil"/>
              <w:bottom w:val="nil"/>
              <w:right w:val="nil"/>
            </w:tcBorders>
            <w:shd w:val="clear" w:color="000000" w:fill="FFFF99"/>
            <w:noWrap/>
            <w:vAlign w:val="center"/>
            <w:hideMark/>
          </w:tcPr>
          <w:p w14:paraId="17D92A5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0.151</w:t>
            </w:r>
          </w:p>
        </w:tc>
        <w:tc>
          <w:tcPr>
            <w:tcW w:w="720" w:type="dxa"/>
            <w:tcBorders>
              <w:top w:val="nil"/>
              <w:left w:val="nil"/>
              <w:bottom w:val="nil"/>
              <w:right w:val="nil"/>
            </w:tcBorders>
            <w:shd w:val="clear" w:color="000000" w:fill="FFFF99"/>
            <w:noWrap/>
            <w:vAlign w:val="center"/>
            <w:hideMark/>
          </w:tcPr>
          <w:p w14:paraId="013AF42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0.201</w:t>
            </w:r>
          </w:p>
        </w:tc>
        <w:tc>
          <w:tcPr>
            <w:tcW w:w="720" w:type="dxa"/>
            <w:tcBorders>
              <w:top w:val="nil"/>
              <w:left w:val="nil"/>
              <w:bottom w:val="nil"/>
              <w:right w:val="nil"/>
            </w:tcBorders>
            <w:shd w:val="clear" w:color="000000" w:fill="D7EBDD"/>
            <w:noWrap/>
            <w:vAlign w:val="center"/>
            <w:hideMark/>
          </w:tcPr>
          <w:p w14:paraId="4DB6134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0.259</w:t>
            </w:r>
          </w:p>
        </w:tc>
        <w:tc>
          <w:tcPr>
            <w:tcW w:w="720" w:type="dxa"/>
            <w:tcBorders>
              <w:top w:val="nil"/>
              <w:left w:val="nil"/>
              <w:bottom w:val="nil"/>
              <w:right w:val="nil"/>
            </w:tcBorders>
            <w:shd w:val="clear" w:color="000000" w:fill="D7EBDD"/>
            <w:noWrap/>
            <w:vAlign w:val="center"/>
            <w:hideMark/>
          </w:tcPr>
          <w:p w14:paraId="5D0E55B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0.348</w:t>
            </w:r>
          </w:p>
        </w:tc>
        <w:tc>
          <w:tcPr>
            <w:tcW w:w="720" w:type="dxa"/>
            <w:tcBorders>
              <w:top w:val="nil"/>
              <w:left w:val="nil"/>
              <w:bottom w:val="nil"/>
              <w:right w:val="nil"/>
            </w:tcBorders>
            <w:shd w:val="clear" w:color="000000" w:fill="FFFF99"/>
            <w:noWrap/>
            <w:vAlign w:val="center"/>
            <w:hideMark/>
          </w:tcPr>
          <w:p w14:paraId="09FB71B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0.173</w:t>
            </w:r>
          </w:p>
        </w:tc>
        <w:tc>
          <w:tcPr>
            <w:tcW w:w="720" w:type="dxa"/>
            <w:tcBorders>
              <w:top w:val="nil"/>
              <w:left w:val="nil"/>
              <w:bottom w:val="nil"/>
              <w:right w:val="nil"/>
            </w:tcBorders>
            <w:shd w:val="clear" w:color="000000" w:fill="FFFF99"/>
            <w:noWrap/>
            <w:vAlign w:val="center"/>
            <w:hideMark/>
          </w:tcPr>
          <w:p w14:paraId="0E46A60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0.151</w:t>
            </w:r>
          </w:p>
        </w:tc>
        <w:tc>
          <w:tcPr>
            <w:tcW w:w="720" w:type="dxa"/>
            <w:tcBorders>
              <w:top w:val="nil"/>
              <w:left w:val="nil"/>
              <w:bottom w:val="nil"/>
              <w:right w:val="nil"/>
            </w:tcBorders>
            <w:shd w:val="clear" w:color="000000" w:fill="FFFF99"/>
            <w:noWrap/>
            <w:vAlign w:val="center"/>
            <w:hideMark/>
          </w:tcPr>
          <w:p w14:paraId="475CB3A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0.223</w:t>
            </w:r>
          </w:p>
        </w:tc>
        <w:tc>
          <w:tcPr>
            <w:tcW w:w="720" w:type="dxa"/>
            <w:tcBorders>
              <w:top w:val="nil"/>
              <w:left w:val="nil"/>
              <w:bottom w:val="nil"/>
              <w:right w:val="nil"/>
            </w:tcBorders>
            <w:shd w:val="clear" w:color="000000" w:fill="FFFF99"/>
            <w:noWrap/>
            <w:vAlign w:val="center"/>
            <w:hideMark/>
          </w:tcPr>
          <w:p w14:paraId="4A66298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0.189</w:t>
            </w:r>
          </w:p>
        </w:tc>
        <w:tc>
          <w:tcPr>
            <w:tcW w:w="720" w:type="dxa"/>
            <w:tcBorders>
              <w:top w:val="nil"/>
              <w:left w:val="nil"/>
              <w:bottom w:val="nil"/>
              <w:right w:val="nil"/>
            </w:tcBorders>
            <w:shd w:val="clear" w:color="000000" w:fill="D7EBDD"/>
            <w:noWrap/>
            <w:vAlign w:val="center"/>
            <w:hideMark/>
          </w:tcPr>
          <w:p w14:paraId="4C54CC0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nil"/>
            </w:tcBorders>
            <w:shd w:val="clear" w:color="000000" w:fill="FFFF99"/>
            <w:noWrap/>
            <w:vAlign w:val="center"/>
            <w:hideMark/>
          </w:tcPr>
          <w:p w14:paraId="6C251A0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0.196</w:t>
            </w:r>
          </w:p>
        </w:tc>
        <w:tc>
          <w:tcPr>
            <w:tcW w:w="720" w:type="dxa"/>
            <w:tcBorders>
              <w:top w:val="nil"/>
              <w:left w:val="nil"/>
              <w:bottom w:val="nil"/>
              <w:right w:val="nil"/>
            </w:tcBorders>
            <w:shd w:val="clear" w:color="000000" w:fill="FFFF99"/>
            <w:noWrap/>
            <w:vAlign w:val="center"/>
            <w:hideMark/>
          </w:tcPr>
          <w:p w14:paraId="6663D8A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0.194</w:t>
            </w:r>
          </w:p>
        </w:tc>
        <w:tc>
          <w:tcPr>
            <w:tcW w:w="720" w:type="dxa"/>
            <w:tcBorders>
              <w:top w:val="nil"/>
              <w:left w:val="nil"/>
              <w:bottom w:val="nil"/>
              <w:right w:val="single" w:sz="4" w:space="0" w:color="auto"/>
            </w:tcBorders>
            <w:shd w:val="clear" w:color="000000" w:fill="FFFF99"/>
            <w:noWrap/>
            <w:vAlign w:val="center"/>
            <w:hideMark/>
          </w:tcPr>
          <w:p w14:paraId="1F7A75E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0.195</w:t>
            </w:r>
          </w:p>
        </w:tc>
      </w:tr>
      <w:tr w:rsidR="00B25AB6" w:rsidRPr="00B25AB6" w14:paraId="59F1AE53"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1402F95"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Gjennomsnittlig personinntekt</w:t>
            </w:r>
          </w:p>
        </w:tc>
        <w:tc>
          <w:tcPr>
            <w:tcW w:w="740" w:type="dxa"/>
            <w:tcBorders>
              <w:top w:val="nil"/>
              <w:left w:val="single" w:sz="4" w:space="0" w:color="auto"/>
              <w:bottom w:val="nil"/>
              <w:right w:val="nil"/>
            </w:tcBorders>
            <w:shd w:val="clear" w:color="000000" w:fill="FAC2C9"/>
            <w:noWrap/>
            <w:vAlign w:val="center"/>
            <w:hideMark/>
          </w:tcPr>
          <w:p w14:paraId="666E20F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-0.450</w:t>
            </w:r>
          </w:p>
        </w:tc>
        <w:tc>
          <w:tcPr>
            <w:tcW w:w="720" w:type="dxa"/>
            <w:tcBorders>
              <w:top w:val="nil"/>
              <w:left w:val="nil"/>
              <w:bottom w:val="nil"/>
              <w:right w:val="nil"/>
            </w:tcBorders>
            <w:shd w:val="clear" w:color="000000" w:fill="FABF8F"/>
            <w:noWrap/>
            <w:vAlign w:val="center"/>
            <w:hideMark/>
          </w:tcPr>
          <w:p w14:paraId="29F3D2F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-0.191</w:t>
            </w:r>
          </w:p>
        </w:tc>
        <w:tc>
          <w:tcPr>
            <w:tcW w:w="720" w:type="dxa"/>
            <w:tcBorders>
              <w:top w:val="nil"/>
              <w:left w:val="nil"/>
              <w:bottom w:val="nil"/>
              <w:right w:val="nil"/>
            </w:tcBorders>
            <w:shd w:val="clear" w:color="000000" w:fill="FABF8F"/>
            <w:noWrap/>
            <w:vAlign w:val="center"/>
            <w:hideMark/>
          </w:tcPr>
          <w:p w14:paraId="09F2084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-0.227</w:t>
            </w:r>
          </w:p>
        </w:tc>
        <w:tc>
          <w:tcPr>
            <w:tcW w:w="720" w:type="dxa"/>
            <w:tcBorders>
              <w:top w:val="nil"/>
              <w:left w:val="nil"/>
              <w:bottom w:val="nil"/>
              <w:right w:val="nil"/>
            </w:tcBorders>
            <w:shd w:val="clear" w:color="000000" w:fill="FAC2C9"/>
            <w:noWrap/>
            <w:vAlign w:val="center"/>
            <w:hideMark/>
          </w:tcPr>
          <w:p w14:paraId="253479D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-0.349</w:t>
            </w:r>
          </w:p>
        </w:tc>
        <w:tc>
          <w:tcPr>
            <w:tcW w:w="720" w:type="dxa"/>
            <w:tcBorders>
              <w:top w:val="nil"/>
              <w:left w:val="nil"/>
              <w:bottom w:val="nil"/>
              <w:right w:val="nil"/>
            </w:tcBorders>
            <w:shd w:val="clear" w:color="000000" w:fill="FAC2C9"/>
            <w:noWrap/>
            <w:vAlign w:val="center"/>
            <w:hideMark/>
          </w:tcPr>
          <w:p w14:paraId="6933E69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-0.404</w:t>
            </w:r>
          </w:p>
        </w:tc>
        <w:tc>
          <w:tcPr>
            <w:tcW w:w="720" w:type="dxa"/>
            <w:tcBorders>
              <w:top w:val="nil"/>
              <w:left w:val="nil"/>
              <w:bottom w:val="nil"/>
              <w:right w:val="nil"/>
            </w:tcBorders>
            <w:shd w:val="clear" w:color="000000" w:fill="FABF8F"/>
            <w:noWrap/>
            <w:vAlign w:val="center"/>
            <w:hideMark/>
          </w:tcPr>
          <w:p w14:paraId="0722A1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-0.207</w:t>
            </w:r>
          </w:p>
        </w:tc>
        <w:tc>
          <w:tcPr>
            <w:tcW w:w="720" w:type="dxa"/>
            <w:tcBorders>
              <w:top w:val="nil"/>
              <w:left w:val="nil"/>
              <w:bottom w:val="nil"/>
              <w:right w:val="nil"/>
            </w:tcBorders>
            <w:shd w:val="clear" w:color="000000" w:fill="FABF8F"/>
            <w:noWrap/>
            <w:vAlign w:val="center"/>
            <w:hideMark/>
          </w:tcPr>
          <w:p w14:paraId="569C5E8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-0.195</w:t>
            </w:r>
          </w:p>
        </w:tc>
        <w:tc>
          <w:tcPr>
            <w:tcW w:w="720" w:type="dxa"/>
            <w:tcBorders>
              <w:top w:val="nil"/>
              <w:left w:val="nil"/>
              <w:bottom w:val="nil"/>
              <w:right w:val="nil"/>
            </w:tcBorders>
            <w:shd w:val="clear" w:color="000000" w:fill="FAC2C9"/>
            <w:noWrap/>
            <w:vAlign w:val="center"/>
            <w:hideMark/>
          </w:tcPr>
          <w:p w14:paraId="47E29B9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-0.264</w:t>
            </w:r>
          </w:p>
        </w:tc>
        <w:tc>
          <w:tcPr>
            <w:tcW w:w="720" w:type="dxa"/>
            <w:tcBorders>
              <w:top w:val="nil"/>
              <w:left w:val="nil"/>
              <w:bottom w:val="nil"/>
              <w:right w:val="nil"/>
            </w:tcBorders>
            <w:shd w:val="clear" w:color="000000" w:fill="FABF8F"/>
            <w:noWrap/>
            <w:vAlign w:val="center"/>
            <w:hideMark/>
          </w:tcPr>
          <w:p w14:paraId="5B7794B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-0.244</w:t>
            </w:r>
          </w:p>
        </w:tc>
        <w:tc>
          <w:tcPr>
            <w:tcW w:w="720" w:type="dxa"/>
            <w:tcBorders>
              <w:top w:val="nil"/>
              <w:left w:val="nil"/>
              <w:bottom w:val="nil"/>
              <w:right w:val="nil"/>
            </w:tcBorders>
            <w:shd w:val="clear" w:color="000000" w:fill="FAC2C9"/>
            <w:noWrap/>
            <w:vAlign w:val="center"/>
            <w:hideMark/>
          </w:tcPr>
          <w:p w14:paraId="15913EC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-0.380</w:t>
            </w:r>
          </w:p>
        </w:tc>
        <w:tc>
          <w:tcPr>
            <w:tcW w:w="720" w:type="dxa"/>
            <w:tcBorders>
              <w:top w:val="nil"/>
              <w:left w:val="nil"/>
              <w:bottom w:val="nil"/>
              <w:right w:val="nil"/>
            </w:tcBorders>
            <w:shd w:val="clear" w:color="000000" w:fill="FABF8F"/>
            <w:noWrap/>
            <w:vAlign w:val="center"/>
            <w:hideMark/>
          </w:tcPr>
          <w:p w14:paraId="0021E2F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-0.241</w:t>
            </w:r>
          </w:p>
        </w:tc>
        <w:tc>
          <w:tcPr>
            <w:tcW w:w="720" w:type="dxa"/>
            <w:tcBorders>
              <w:top w:val="nil"/>
              <w:left w:val="nil"/>
              <w:bottom w:val="nil"/>
              <w:right w:val="nil"/>
            </w:tcBorders>
            <w:shd w:val="clear" w:color="000000" w:fill="FABF8F"/>
            <w:noWrap/>
            <w:vAlign w:val="center"/>
            <w:hideMark/>
          </w:tcPr>
          <w:p w14:paraId="2F0BBCB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-0.238</w:t>
            </w:r>
          </w:p>
        </w:tc>
        <w:tc>
          <w:tcPr>
            <w:tcW w:w="720" w:type="dxa"/>
            <w:tcBorders>
              <w:top w:val="nil"/>
              <w:left w:val="nil"/>
              <w:bottom w:val="nil"/>
              <w:right w:val="single" w:sz="4" w:space="0" w:color="auto"/>
            </w:tcBorders>
            <w:shd w:val="clear" w:color="000000" w:fill="FABF8F"/>
            <w:noWrap/>
            <w:vAlign w:val="center"/>
            <w:hideMark/>
          </w:tcPr>
          <w:p w14:paraId="7053CD2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-0.241</w:t>
            </w:r>
          </w:p>
        </w:tc>
      </w:tr>
      <w:tr w:rsidR="00B25AB6" w:rsidRPr="00B25AB6" w14:paraId="1F42BA5F"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7B994A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med høyere utdanning</w:t>
            </w:r>
          </w:p>
        </w:tc>
        <w:tc>
          <w:tcPr>
            <w:tcW w:w="740" w:type="dxa"/>
            <w:tcBorders>
              <w:top w:val="nil"/>
              <w:left w:val="single" w:sz="4" w:space="0" w:color="auto"/>
              <w:bottom w:val="nil"/>
              <w:right w:val="nil"/>
            </w:tcBorders>
            <w:shd w:val="clear" w:color="000000" w:fill="F48594"/>
            <w:noWrap/>
            <w:vAlign w:val="center"/>
            <w:hideMark/>
          </w:tcPr>
          <w:p w14:paraId="1589614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-0.668</w:t>
            </w:r>
          </w:p>
        </w:tc>
        <w:tc>
          <w:tcPr>
            <w:tcW w:w="720" w:type="dxa"/>
            <w:tcBorders>
              <w:top w:val="nil"/>
              <w:left w:val="nil"/>
              <w:bottom w:val="nil"/>
              <w:right w:val="nil"/>
            </w:tcBorders>
            <w:shd w:val="clear" w:color="000000" w:fill="F48594"/>
            <w:noWrap/>
            <w:vAlign w:val="center"/>
            <w:hideMark/>
          </w:tcPr>
          <w:p w14:paraId="5264BB2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-0.509</w:t>
            </w:r>
          </w:p>
        </w:tc>
        <w:tc>
          <w:tcPr>
            <w:tcW w:w="720" w:type="dxa"/>
            <w:tcBorders>
              <w:top w:val="nil"/>
              <w:left w:val="nil"/>
              <w:bottom w:val="nil"/>
              <w:right w:val="nil"/>
            </w:tcBorders>
            <w:shd w:val="clear" w:color="000000" w:fill="F48594"/>
            <w:noWrap/>
            <w:vAlign w:val="center"/>
            <w:hideMark/>
          </w:tcPr>
          <w:p w14:paraId="7D6BA38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-0.587</w:t>
            </w:r>
          </w:p>
        </w:tc>
        <w:tc>
          <w:tcPr>
            <w:tcW w:w="720" w:type="dxa"/>
            <w:tcBorders>
              <w:top w:val="nil"/>
              <w:left w:val="nil"/>
              <w:bottom w:val="nil"/>
              <w:right w:val="nil"/>
            </w:tcBorders>
            <w:shd w:val="clear" w:color="000000" w:fill="F48594"/>
            <w:noWrap/>
            <w:vAlign w:val="center"/>
            <w:hideMark/>
          </w:tcPr>
          <w:p w14:paraId="256D30E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-0.604</w:t>
            </w:r>
          </w:p>
        </w:tc>
        <w:tc>
          <w:tcPr>
            <w:tcW w:w="720" w:type="dxa"/>
            <w:tcBorders>
              <w:top w:val="nil"/>
              <w:left w:val="nil"/>
              <w:bottom w:val="nil"/>
              <w:right w:val="nil"/>
            </w:tcBorders>
            <w:shd w:val="clear" w:color="000000" w:fill="F48594"/>
            <w:noWrap/>
            <w:vAlign w:val="center"/>
            <w:hideMark/>
          </w:tcPr>
          <w:p w14:paraId="68FA1D6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-0.639</w:t>
            </w:r>
          </w:p>
        </w:tc>
        <w:tc>
          <w:tcPr>
            <w:tcW w:w="720" w:type="dxa"/>
            <w:tcBorders>
              <w:top w:val="nil"/>
              <w:left w:val="nil"/>
              <w:bottom w:val="nil"/>
              <w:right w:val="nil"/>
            </w:tcBorders>
            <w:shd w:val="clear" w:color="000000" w:fill="FAC2C9"/>
            <w:noWrap/>
            <w:vAlign w:val="center"/>
            <w:hideMark/>
          </w:tcPr>
          <w:p w14:paraId="5E46F2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-0.447</w:t>
            </w:r>
          </w:p>
        </w:tc>
        <w:tc>
          <w:tcPr>
            <w:tcW w:w="720" w:type="dxa"/>
            <w:tcBorders>
              <w:top w:val="nil"/>
              <w:left w:val="nil"/>
              <w:bottom w:val="nil"/>
              <w:right w:val="nil"/>
            </w:tcBorders>
            <w:shd w:val="clear" w:color="000000" w:fill="FAC2C9"/>
            <w:noWrap/>
            <w:vAlign w:val="center"/>
            <w:hideMark/>
          </w:tcPr>
          <w:p w14:paraId="62D3E7E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-0.449</w:t>
            </w:r>
          </w:p>
        </w:tc>
        <w:tc>
          <w:tcPr>
            <w:tcW w:w="720" w:type="dxa"/>
            <w:tcBorders>
              <w:top w:val="nil"/>
              <w:left w:val="nil"/>
              <w:bottom w:val="nil"/>
              <w:right w:val="nil"/>
            </w:tcBorders>
            <w:shd w:val="clear" w:color="000000" w:fill="F48594"/>
            <w:noWrap/>
            <w:vAlign w:val="center"/>
            <w:hideMark/>
          </w:tcPr>
          <w:p w14:paraId="7674A39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-0.507</w:t>
            </w:r>
          </w:p>
        </w:tc>
        <w:tc>
          <w:tcPr>
            <w:tcW w:w="720" w:type="dxa"/>
            <w:tcBorders>
              <w:top w:val="nil"/>
              <w:left w:val="nil"/>
              <w:bottom w:val="nil"/>
              <w:right w:val="nil"/>
            </w:tcBorders>
            <w:shd w:val="clear" w:color="000000" w:fill="F48594"/>
            <w:noWrap/>
            <w:vAlign w:val="center"/>
            <w:hideMark/>
          </w:tcPr>
          <w:p w14:paraId="73B3EE4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-0.506</w:t>
            </w:r>
          </w:p>
        </w:tc>
        <w:tc>
          <w:tcPr>
            <w:tcW w:w="720" w:type="dxa"/>
            <w:tcBorders>
              <w:top w:val="nil"/>
              <w:left w:val="nil"/>
              <w:bottom w:val="nil"/>
              <w:right w:val="nil"/>
            </w:tcBorders>
            <w:shd w:val="clear" w:color="000000" w:fill="F48594"/>
            <w:noWrap/>
            <w:vAlign w:val="center"/>
            <w:hideMark/>
          </w:tcPr>
          <w:p w14:paraId="58C91CB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-0.608</w:t>
            </w:r>
          </w:p>
        </w:tc>
        <w:tc>
          <w:tcPr>
            <w:tcW w:w="720" w:type="dxa"/>
            <w:tcBorders>
              <w:top w:val="nil"/>
              <w:left w:val="nil"/>
              <w:bottom w:val="nil"/>
              <w:right w:val="nil"/>
            </w:tcBorders>
            <w:shd w:val="clear" w:color="000000" w:fill="FAC2C9"/>
            <w:noWrap/>
            <w:vAlign w:val="center"/>
            <w:hideMark/>
          </w:tcPr>
          <w:p w14:paraId="365E98B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-0.492</w:t>
            </w:r>
          </w:p>
        </w:tc>
        <w:tc>
          <w:tcPr>
            <w:tcW w:w="720" w:type="dxa"/>
            <w:tcBorders>
              <w:top w:val="nil"/>
              <w:left w:val="nil"/>
              <w:bottom w:val="nil"/>
              <w:right w:val="nil"/>
            </w:tcBorders>
            <w:shd w:val="clear" w:color="000000" w:fill="FAC2C9"/>
            <w:noWrap/>
            <w:vAlign w:val="center"/>
            <w:hideMark/>
          </w:tcPr>
          <w:p w14:paraId="6615FD0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-0.488</w:t>
            </w:r>
          </w:p>
        </w:tc>
        <w:tc>
          <w:tcPr>
            <w:tcW w:w="720" w:type="dxa"/>
            <w:tcBorders>
              <w:top w:val="nil"/>
              <w:left w:val="nil"/>
              <w:bottom w:val="nil"/>
              <w:right w:val="single" w:sz="4" w:space="0" w:color="auto"/>
            </w:tcBorders>
            <w:shd w:val="clear" w:color="000000" w:fill="FAC2C9"/>
            <w:noWrap/>
            <w:vAlign w:val="center"/>
            <w:hideMark/>
          </w:tcPr>
          <w:p w14:paraId="7498A6C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-0.484</w:t>
            </w:r>
          </w:p>
        </w:tc>
      </w:tr>
      <w:tr w:rsidR="00B25AB6" w:rsidRPr="00B25AB6" w14:paraId="7EF7860F"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DF48A14"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Sysselsatte arbeidssted over bosted</w:t>
            </w:r>
          </w:p>
        </w:tc>
        <w:tc>
          <w:tcPr>
            <w:tcW w:w="740" w:type="dxa"/>
            <w:tcBorders>
              <w:top w:val="nil"/>
              <w:left w:val="single" w:sz="4" w:space="0" w:color="auto"/>
              <w:bottom w:val="nil"/>
              <w:right w:val="nil"/>
            </w:tcBorders>
            <w:shd w:val="clear" w:color="000000" w:fill="FAC2C9"/>
            <w:noWrap/>
            <w:vAlign w:val="center"/>
            <w:hideMark/>
          </w:tcPr>
          <w:p w14:paraId="09620A9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-0.281</w:t>
            </w:r>
          </w:p>
        </w:tc>
        <w:tc>
          <w:tcPr>
            <w:tcW w:w="720" w:type="dxa"/>
            <w:tcBorders>
              <w:top w:val="nil"/>
              <w:left w:val="nil"/>
              <w:bottom w:val="nil"/>
              <w:right w:val="nil"/>
            </w:tcBorders>
            <w:shd w:val="clear" w:color="000000" w:fill="FAC2C9"/>
            <w:noWrap/>
            <w:vAlign w:val="center"/>
            <w:hideMark/>
          </w:tcPr>
          <w:p w14:paraId="113E11B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-0.324</w:t>
            </w:r>
          </w:p>
        </w:tc>
        <w:tc>
          <w:tcPr>
            <w:tcW w:w="720" w:type="dxa"/>
            <w:tcBorders>
              <w:top w:val="nil"/>
              <w:left w:val="nil"/>
              <w:bottom w:val="nil"/>
              <w:right w:val="nil"/>
            </w:tcBorders>
            <w:shd w:val="clear" w:color="000000" w:fill="FAC2C9"/>
            <w:noWrap/>
            <w:vAlign w:val="center"/>
            <w:hideMark/>
          </w:tcPr>
          <w:p w14:paraId="153A437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nil"/>
            </w:tcBorders>
            <w:shd w:val="clear" w:color="000000" w:fill="FAC2C9"/>
            <w:noWrap/>
            <w:vAlign w:val="center"/>
            <w:hideMark/>
          </w:tcPr>
          <w:p w14:paraId="773A151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-0.345</w:t>
            </w:r>
          </w:p>
        </w:tc>
        <w:tc>
          <w:tcPr>
            <w:tcW w:w="720" w:type="dxa"/>
            <w:tcBorders>
              <w:top w:val="nil"/>
              <w:left w:val="nil"/>
              <w:bottom w:val="nil"/>
              <w:right w:val="nil"/>
            </w:tcBorders>
            <w:shd w:val="clear" w:color="000000" w:fill="FAC2C9"/>
            <w:noWrap/>
            <w:vAlign w:val="center"/>
            <w:hideMark/>
          </w:tcPr>
          <w:p w14:paraId="0A48522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-0.449</w:t>
            </w:r>
          </w:p>
        </w:tc>
        <w:tc>
          <w:tcPr>
            <w:tcW w:w="720" w:type="dxa"/>
            <w:tcBorders>
              <w:top w:val="nil"/>
              <w:left w:val="nil"/>
              <w:bottom w:val="nil"/>
              <w:right w:val="nil"/>
            </w:tcBorders>
            <w:shd w:val="clear" w:color="000000" w:fill="FAC2C9"/>
            <w:noWrap/>
            <w:vAlign w:val="center"/>
            <w:hideMark/>
          </w:tcPr>
          <w:p w14:paraId="13835AC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-0.259</w:t>
            </w:r>
          </w:p>
        </w:tc>
        <w:tc>
          <w:tcPr>
            <w:tcW w:w="720" w:type="dxa"/>
            <w:tcBorders>
              <w:top w:val="nil"/>
              <w:left w:val="nil"/>
              <w:bottom w:val="nil"/>
              <w:right w:val="nil"/>
            </w:tcBorders>
            <w:shd w:val="clear" w:color="000000" w:fill="FABF8F"/>
            <w:noWrap/>
            <w:vAlign w:val="center"/>
            <w:hideMark/>
          </w:tcPr>
          <w:p w14:paraId="313E9D9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-0.248</w:t>
            </w:r>
          </w:p>
        </w:tc>
        <w:tc>
          <w:tcPr>
            <w:tcW w:w="720" w:type="dxa"/>
            <w:tcBorders>
              <w:top w:val="nil"/>
              <w:left w:val="nil"/>
              <w:bottom w:val="nil"/>
              <w:right w:val="nil"/>
            </w:tcBorders>
            <w:shd w:val="clear" w:color="000000" w:fill="FAC2C9"/>
            <w:noWrap/>
            <w:vAlign w:val="center"/>
            <w:hideMark/>
          </w:tcPr>
          <w:p w14:paraId="4A30C27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-0.313</w:t>
            </w:r>
          </w:p>
        </w:tc>
        <w:tc>
          <w:tcPr>
            <w:tcW w:w="720" w:type="dxa"/>
            <w:tcBorders>
              <w:top w:val="nil"/>
              <w:left w:val="nil"/>
              <w:bottom w:val="nil"/>
              <w:right w:val="nil"/>
            </w:tcBorders>
            <w:shd w:val="clear" w:color="000000" w:fill="FAC2C9"/>
            <w:noWrap/>
            <w:vAlign w:val="center"/>
            <w:hideMark/>
          </w:tcPr>
          <w:p w14:paraId="4BA1E8F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-0.294</w:t>
            </w:r>
          </w:p>
        </w:tc>
        <w:tc>
          <w:tcPr>
            <w:tcW w:w="720" w:type="dxa"/>
            <w:tcBorders>
              <w:top w:val="nil"/>
              <w:left w:val="nil"/>
              <w:bottom w:val="nil"/>
              <w:right w:val="nil"/>
            </w:tcBorders>
            <w:shd w:val="clear" w:color="000000" w:fill="FAC2C9"/>
            <w:noWrap/>
            <w:vAlign w:val="center"/>
            <w:hideMark/>
          </w:tcPr>
          <w:p w14:paraId="1D72FE0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-0.402</w:t>
            </w:r>
          </w:p>
        </w:tc>
        <w:tc>
          <w:tcPr>
            <w:tcW w:w="720" w:type="dxa"/>
            <w:tcBorders>
              <w:top w:val="nil"/>
              <w:left w:val="nil"/>
              <w:bottom w:val="nil"/>
              <w:right w:val="nil"/>
            </w:tcBorders>
            <w:shd w:val="clear" w:color="000000" w:fill="FAC2C9"/>
            <w:noWrap/>
            <w:vAlign w:val="center"/>
            <w:hideMark/>
          </w:tcPr>
          <w:p w14:paraId="5F8767F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-0.311</w:t>
            </w:r>
          </w:p>
        </w:tc>
        <w:tc>
          <w:tcPr>
            <w:tcW w:w="720" w:type="dxa"/>
            <w:tcBorders>
              <w:top w:val="nil"/>
              <w:left w:val="nil"/>
              <w:bottom w:val="nil"/>
              <w:right w:val="nil"/>
            </w:tcBorders>
            <w:shd w:val="clear" w:color="000000" w:fill="FAC2C9"/>
            <w:noWrap/>
            <w:vAlign w:val="center"/>
            <w:hideMark/>
          </w:tcPr>
          <w:p w14:paraId="68AD703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c>
          <w:tcPr>
            <w:tcW w:w="720" w:type="dxa"/>
            <w:tcBorders>
              <w:top w:val="nil"/>
              <w:left w:val="nil"/>
              <w:bottom w:val="nil"/>
              <w:right w:val="single" w:sz="4" w:space="0" w:color="auto"/>
            </w:tcBorders>
            <w:shd w:val="clear" w:color="000000" w:fill="FAC2C9"/>
            <w:noWrap/>
            <w:vAlign w:val="center"/>
            <w:hideMark/>
          </w:tcPr>
          <w:p w14:paraId="60B79C6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-0.288</w:t>
            </w:r>
          </w:p>
        </w:tc>
      </w:tr>
      <w:tr w:rsidR="00B25AB6" w:rsidRPr="00B25AB6" w14:paraId="2B82B82E" w14:textId="77777777" w:rsidTr="00215EF9">
        <w:trPr>
          <w:trHeight w:val="288"/>
        </w:trPr>
        <w:tc>
          <w:tcPr>
            <w:tcW w:w="3600" w:type="dxa"/>
            <w:tcBorders>
              <w:top w:val="nil"/>
              <w:left w:val="single" w:sz="4" w:space="0" w:color="auto"/>
              <w:bottom w:val="nil"/>
              <w:right w:val="single" w:sz="4" w:space="0" w:color="auto"/>
            </w:tcBorders>
            <w:shd w:val="clear" w:color="auto" w:fill="A9C6E4" w:themeFill="accent2" w:themeFillTint="66"/>
            <w:vAlign w:val="center"/>
            <w:hideMark/>
          </w:tcPr>
          <w:p w14:paraId="78DEF691"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Herfindahl-indeks, næringskonsentrasjon</w:t>
            </w:r>
          </w:p>
        </w:tc>
        <w:tc>
          <w:tcPr>
            <w:tcW w:w="740" w:type="dxa"/>
            <w:tcBorders>
              <w:top w:val="nil"/>
              <w:left w:val="single" w:sz="4" w:space="0" w:color="auto"/>
              <w:bottom w:val="nil"/>
              <w:right w:val="nil"/>
            </w:tcBorders>
            <w:shd w:val="clear" w:color="000000" w:fill="FABF8F"/>
            <w:noWrap/>
            <w:vAlign w:val="center"/>
            <w:hideMark/>
          </w:tcPr>
          <w:p w14:paraId="1CA6021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-0.215</w:t>
            </w:r>
          </w:p>
        </w:tc>
        <w:tc>
          <w:tcPr>
            <w:tcW w:w="720" w:type="dxa"/>
            <w:tcBorders>
              <w:top w:val="nil"/>
              <w:left w:val="nil"/>
              <w:bottom w:val="nil"/>
              <w:right w:val="nil"/>
            </w:tcBorders>
            <w:shd w:val="clear" w:color="000000" w:fill="FAC2C9"/>
            <w:noWrap/>
            <w:vAlign w:val="center"/>
            <w:hideMark/>
          </w:tcPr>
          <w:p w14:paraId="27AB68C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-0.368</w:t>
            </w:r>
          </w:p>
        </w:tc>
        <w:tc>
          <w:tcPr>
            <w:tcW w:w="720" w:type="dxa"/>
            <w:tcBorders>
              <w:top w:val="nil"/>
              <w:left w:val="nil"/>
              <w:bottom w:val="nil"/>
              <w:right w:val="nil"/>
            </w:tcBorders>
            <w:shd w:val="clear" w:color="000000" w:fill="FAC2C9"/>
            <w:noWrap/>
            <w:vAlign w:val="center"/>
            <w:hideMark/>
          </w:tcPr>
          <w:p w14:paraId="75E053A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-0.314</w:t>
            </w:r>
          </w:p>
        </w:tc>
        <w:tc>
          <w:tcPr>
            <w:tcW w:w="720" w:type="dxa"/>
            <w:tcBorders>
              <w:top w:val="nil"/>
              <w:left w:val="nil"/>
              <w:bottom w:val="nil"/>
              <w:right w:val="nil"/>
            </w:tcBorders>
            <w:shd w:val="clear" w:color="000000" w:fill="FAC2C9"/>
            <w:noWrap/>
            <w:vAlign w:val="center"/>
            <w:hideMark/>
          </w:tcPr>
          <w:p w14:paraId="39F5AC3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-0.465</w:t>
            </w:r>
          </w:p>
        </w:tc>
        <w:tc>
          <w:tcPr>
            <w:tcW w:w="720" w:type="dxa"/>
            <w:tcBorders>
              <w:top w:val="nil"/>
              <w:left w:val="nil"/>
              <w:bottom w:val="nil"/>
              <w:right w:val="nil"/>
            </w:tcBorders>
            <w:shd w:val="clear" w:color="000000" w:fill="FAC2C9"/>
            <w:noWrap/>
            <w:vAlign w:val="center"/>
            <w:hideMark/>
          </w:tcPr>
          <w:p w14:paraId="20DDB57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FAC2C9"/>
            <w:noWrap/>
            <w:vAlign w:val="center"/>
            <w:hideMark/>
          </w:tcPr>
          <w:p w14:paraId="74887CF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-0.496</w:t>
            </w:r>
          </w:p>
        </w:tc>
        <w:tc>
          <w:tcPr>
            <w:tcW w:w="720" w:type="dxa"/>
            <w:tcBorders>
              <w:top w:val="nil"/>
              <w:left w:val="nil"/>
              <w:bottom w:val="nil"/>
              <w:right w:val="nil"/>
            </w:tcBorders>
            <w:shd w:val="clear" w:color="000000" w:fill="FAC2C9"/>
            <w:noWrap/>
            <w:vAlign w:val="center"/>
            <w:hideMark/>
          </w:tcPr>
          <w:p w14:paraId="332FC41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-0.492</w:t>
            </w:r>
          </w:p>
        </w:tc>
        <w:tc>
          <w:tcPr>
            <w:tcW w:w="720" w:type="dxa"/>
            <w:tcBorders>
              <w:top w:val="nil"/>
              <w:left w:val="nil"/>
              <w:bottom w:val="nil"/>
              <w:right w:val="nil"/>
            </w:tcBorders>
            <w:shd w:val="clear" w:color="000000" w:fill="FAC2C9"/>
            <w:noWrap/>
            <w:vAlign w:val="center"/>
            <w:hideMark/>
          </w:tcPr>
          <w:p w14:paraId="4A815EA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-0.448</w:t>
            </w:r>
          </w:p>
        </w:tc>
        <w:tc>
          <w:tcPr>
            <w:tcW w:w="720" w:type="dxa"/>
            <w:tcBorders>
              <w:top w:val="nil"/>
              <w:left w:val="nil"/>
              <w:bottom w:val="nil"/>
              <w:right w:val="nil"/>
            </w:tcBorders>
            <w:shd w:val="clear" w:color="000000" w:fill="FAC2C9"/>
            <w:noWrap/>
            <w:vAlign w:val="center"/>
            <w:hideMark/>
          </w:tcPr>
          <w:p w14:paraId="6019C3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-0.442</w:t>
            </w:r>
          </w:p>
        </w:tc>
        <w:tc>
          <w:tcPr>
            <w:tcW w:w="720" w:type="dxa"/>
            <w:tcBorders>
              <w:top w:val="nil"/>
              <w:left w:val="nil"/>
              <w:bottom w:val="nil"/>
              <w:right w:val="nil"/>
            </w:tcBorders>
            <w:shd w:val="clear" w:color="000000" w:fill="FAC2C9"/>
            <w:noWrap/>
            <w:vAlign w:val="center"/>
            <w:hideMark/>
          </w:tcPr>
          <w:p w14:paraId="576FD49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-0.373</w:t>
            </w:r>
          </w:p>
        </w:tc>
        <w:tc>
          <w:tcPr>
            <w:tcW w:w="720" w:type="dxa"/>
            <w:tcBorders>
              <w:top w:val="nil"/>
              <w:left w:val="nil"/>
              <w:bottom w:val="nil"/>
              <w:right w:val="nil"/>
            </w:tcBorders>
            <w:shd w:val="clear" w:color="000000" w:fill="FAC2C9"/>
            <w:noWrap/>
            <w:vAlign w:val="center"/>
            <w:hideMark/>
          </w:tcPr>
          <w:p w14:paraId="783C3D1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-0.458</w:t>
            </w:r>
          </w:p>
        </w:tc>
        <w:tc>
          <w:tcPr>
            <w:tcW w:w="720" w:type="dxa"/>
            <w:tcBorders>
              <w:top w:val="nil"/>
              <w:left w:val="nil"/>
              <w:bottom w:val="nil"/>
              <w:right w:val="nil"/>
            </w:tcBorders>
            <w:shd w:val="clear" w:color="000000" w:fill="FAC2C9"/>
            <w:noWrap/>
            <w:vAlign w:val="center"/>
            <w:hideMark/>
          </w:tcPr>
          <w:p w14:paraId="3A005BB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-0.462</w:t>
            </w:r>
          </w:p>
        </w:tc>
        <w:tc>
          <w:tcPr>
            <w:tcW w:w="720" w:type="dxa"/>
            <w:tcBorders>
              <w:top w:val="nil"/>
              <w:left w:val="nil"/>
              <w:bottom w:val="nil"/>
              <w:right w:val="single" w:sz="4" w:space="0" w:color="auto"/>
            </w:tcBorders>
            <w:shd w:val="clear" w:color="000000" w:fill="FAC2C9"/>
            <w:noWrap/>
            <w:vAlign w:val="center"/>
            <w:hideMark/>
          </w:tcPr>
          <w:p w14:paraId="3ACB7CE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-0.474</w:t>
            </w:r>
          </w:p>
        </w:tc>
      </w:tr>
      <w:tr w:rsidR="00B25AB6" w:rsidRPr="00B25AB6" w14:paraId="7BA8E3C7"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0E07A87"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vareproduksjon</w:t>
            </w:r>
          </w:p>
        </w:tc>
        <w:tc>
          <w:tcPr>
            <w:tcW w:w="740" w:type="dxa"/>
            <w:tcBorders>
              <w:top w:val="nil"/>
              <w:left w:val="single" w:sz="4" w:space="0" w:color="auto"/>
              <w:bottom w:val="nil"/>
              <w:right w:val="nil"/>
            </w:tcBorders>
            <w:shd w:val="clear" w:color="000000" w:fill="D7EBDD"/>
            <w:noWrap/>
            <w:vAlign w:val="center"/>
            <w:hideMark/>
          </w:tcPr>
          <w:p w14:paraId="4EC9614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0.360</w:t>
            </w:r>
          </w:p>
        </w:tc>
        <w:tc>
          <w:tcPr>
            <w:tcW w:w="720" w:type="dxa"/>
            <w:tcBorders>
              <w:top w:val="nil"/>
              <w:left w:val="nil"/>
              <w:bottom w:val="nil"/>
              <w:right w:val="nil"/>
            </w:tcBorders>
            <w:shd w:val="clear" w:color="000000" w:fill="AFD7BB"/>
            <w:noWrap/>
            <w:vAlign w:val="center"/>
            <w:hideMark/>
          </w:tcPr>
          <w:p w14:paraId="1EA5277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0.581</w:t>
            </w:r>
          </w:p>
        </w:tc>
        <w:tc>
          <w:tcPr>
            <w:tcW w:w="720" w:type="dxa"/>
            <w:tcBorders>
              <w:top w:val="nil"/>
              <w:left w:val="nil"/>
              <w:bottom w:val="nil"/>
              <w:right w:val="nil"/>
            </w:tcBorders>
            <w:shd w:val="clear" w:color="000000" w:fill="AFD7BB"/>
            <w:noWrap/>
            <w:vAlign w:val="center"/>
            <w:hideMark/>
          </w:tcPr>
          <w:p w14:paraId="40E8288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0.631</w:t>
            </w:r>
          </w:p>
        </w:tc>
        <w:tc>
          <w:tcPr>
            <w:tcW w:w="720" w:type="dxa"/>
            <w:tcBorders>
              <w:top w:val="nil"/>
              <w:left w:val="nil"/>
              <w:bottom w:val="nil"/>
              <w:right w:val="nil"/>
            </w:tcBorders>
            <w:shd w:val="clear" w:color="000000" w:fill="AFD7BB"/>
            <w:noWrap/>
            <w:vAlign w:val="center"/>
            <w:hideMark/>
          </w:tcPr>
          <w:p w14:paraId="25674EC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0.592</w:t>
            </w:r>
          </w:p>
        </w:tc>
        <w:tc>
          <w:tcPr>
            <w:tcW w:w="720" w:type="dxa"/>
            <w:tcBorders>
              <w:top w:val="nil"/>
              <w:left w:val="nil"/>
              <w:bottom w:val="nil"/>
              <w:right w:val="nil"/>
            </w:tcBorders>
            <w:shd w:val="clear" w:color="000000" w:fill="AFD7BB"/>
            <w:noWrap/>
            <w:vAlign w:val="center"/>
            <w:hideMark/>
          </w:tcPr>
          <w:p w14:paraId="0747228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0.579</w:t>
            </w:r>
          </w:p>
        </w:tc>
        <w:tc>
          <w:tcPr>
            <w:tcW w:w="720" w:type="dxa"/>
            <w:tcBorders>
              <w:top w:val="nil"/>
              <w:left w:val="nil"/>
              <w:bottom w:val="nil"/>
              <w:right w:val="nil"/>
            </w:tcBorders>
            <w:shd w:val="clear" w:color="000000" w:fill="D7EBDD"/>
            <w:noWrap/>
            <w:vAlign w:val="center"/>
            <w:hideMark/>
          </w:tcPr>
          <w:p w14:paraId="4F04923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0.486</w:t>
            </w:r>
          </w:p>
        </w:tc>
        <w:tc>
          <w:tcPr>
            <w:tcW w:w="720" w:type="dxa"/>
            <w:tcBorders>
              <w:top w:val="nil"/>
              <w:left w:val="nil"/>
              <w:bottom w:val="nil"/>
              <w:right w:val="nil"/>
            </w:tcBorders>
            <w:shd w:val="clear" w:color="000000" w:fill="AFD7BB"/>
            <w:noWrap/>
            <w:vAlign w:val="center"/>
            <w:hideMark/>
          </w:tcPr>
          <w:p w14:paraId="7D6B68B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0.512</w:t>
            </w:r>
          </w:p>
        </w:tc>
        <w:tc>
          <w:tcPr>
            <w:tcW w:w="720" w:type="dxa"/>
            <w:tcBorders>
              <w:top w:val="nil"/>
              <w:left w:val="nil"/>
              <w:bottom w:val="nil"/>
              <w:right w:val="nil"/>
            </w:tcBorders>
            <w:shd w:val="clear" w:color="000000" w:fill="AFD7BB"/>
            <w:noWrap/>
            <w:vAlign w:val="center"/>
            <w:hideMark/>
          </w:tcPr>
          <w:p w14:paraId="1C9DB2B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0.538</w:t>
            </w:r>
          </w:p>
        </w:tc>
        <w:tc>
          <w:tcPr>
            <w:tcW w:w="720" w:type="dxa"/>
            <w:tcBorders>
              <w:top w:val="nil"/>
              <w:left w:val="nil"/>
              <w:bottom w:val="nil"/>
              <w:right w:val="nil"/>
            </w:tcBorders>
            <w:shd w:val="clear" w:color="000000" w:fill="AFD7BB"/>
            <w:noWrap/>
            <w:vAlign w:val="center"/>
            <w:hideMark/>
          </w:tcPr>
          <w:p w14:paraId="68DDD5C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0.574</w:t>
            </w:r>
          </w:p>
        </w:tc>
        <w:tc>
          <w:tcPr>
            <w:tcW w:w="720" w:type="dxa"/>
            <w:tcBorders>
              <w:top w:val="nil"/>
              <w:left w:val="nil"/>
              <w:bottom w:val="nil"/>
              <w:right w:val="nil"/>
            </w:tcBorders>
            <w:shd w:val="clear" w:color="000000" w:fill="AFD7BB"/>
            <w:noWrap/>
            <w:vAlign w:val="center"/>
            <w:hideMark/>
          </w:tcPr>
          <w:p w14:paraId="215FB93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0.536</w:t>
            </w:r>
          </w:p>
        </w:tc>
        <w:tc>
          <w:tcPr>
            <w:tcW w:w="720" w:type="dxa"/>
            <w:tcBorders>
              <w:top w:val="nil"/>
              <w:left w:val="nil"/>
              <w:bottom w:val="nil"/>
              <w:right w:val="nil"/>
            </w:tcBorders>
            <w:shd w:val="clear" w:color="000000" w:fill="AFD7BB"/>
            <w:noWrap/>
            <w:vAlign w:val="center"/>
            <w:hideMark/>
          </w:tcPr>
          <w:p w14:paraId="705259F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0.556</w:t>
            </w:r>
          </w:p>
        </w:tc>
        <w:tc>
          <w:tcPr>
            <w:tcW w:w="720" w:type="dxa"/>
            <w:tcBorders>
              <w:top w:val="nil"/>
              <w:left w:val="nil"/>
              <w:bottom w:val="nil"/>
              <w:right w:val="nil"/>
            </w:tcBorders>
            <w:shd w:val="clear" w:color="000000" w:fill="AFD7BB"/>
            <w:noWrap/>
            <w:vAlign w:val="center"/>
            <w:hideMark/>
          </w:tcPr>
          <w:p w14:paraId="2252156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0.550</w:t>
            </w:r>
          </w:p>
        </w:tc>
        <w:tc>
          <w:tcPr>
            <w:tcW w:w="720" w:type="dxa"/>
            <w:tcBorders>
              <w:top w:val="nil"/>
              <w:left w:val="nil"/>
              <w:bottom w:val="nil"/>
              <w:right w:val="single" w:sz="4" w:space="0" w:color="auto"/>
            </w:tcBorders>
            <w:shd w:val="clear" w:color="000000" w:fill="AFD7BB"/>
            <w:noWrap/>
            <w:vAlign w:val="center"/>
            <w:hideMark/>
          </w:tcPr>
          <w:p w14:paraId="420CAF2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0.535</w:t>
            </w:r>
          </w:p>
        </w:tc>
      </w:tr>
      <w:tr w:rsidR="00B25AB6" w:rsidRPr="00B25AB6" w14:paraId="0ADB2047" w14:textId="77777777" w:rsidTr="00B25AB6">
        <w:trPr>
          <w:trHeight w:val="288"/>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19373D5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ikke-markedsrettede tjenester</w:t>
            </w:r>
          </w:p>
        </w:tc>
        <w:tc>
          <w:tcPr>
            <w:tcW w:w="740" w:type="dxa"/>
            <w:tcBorders>
              <w:top w:val="nil"/>
              <w:left w:val="single" w:sz="4" w:space="0" w:color="auto"/>
              <w:bottom w:val="single" w:sz="4" w:space="0" w:color="auto"/>
              <w:right w:val="nil"/>
            </w:tcBorders>
            <w:shd w:val="clear" w:color="000000" w:fill="AFD7BB"/>
            <w:noWrap/>
            <w:vAlign w:val="center"/>
            <w:hideMark/>
          </w:tcPr>
          <w:p w14:paraId="7739B3D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0.655</w:t>
            </w:r>
          </w:p>
        </w:tc>
        <w:tc>
          <w:tcPr>
            <w:tcW w:w="720" w:type="dxa"/>
            <w:tcBorders>
              <w:top w:val="nil"/>
              <w:left w:val="nil"/>
              <w:bottom w:val="single" w:sz="4" w:space="0" w:color="auto"/>
              <w:right w:val="nil"/>
            </w:tcBorders>
            <w:shd w:val="clear" w:color="000000" w:fill="FFFF99"/>
            <w:noWrap/>
            <w:vAlign w:val="center"/>
            <w:hideMark/>
          </w:tcPr>
          <w:p w14:paraId="7BB4E22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0.165</w:t>
            </w:r>
          </w:p>
        </w:tc>
        <w:tc>
          <w:tcPr>
            <w:tcW w:w="720" w:type="dxa"/>
            <w:tcBorders>
              <w:top w:val="nil"/>
              <w:left w:val="nil"/>
              <w:bottom w:val="single" w:sz="4" w:space="0" w:color="auto"/>
              <w:right w:val="nil"/>
            </w:tcBorders>
            <w:shd w:val="clear" w:color="000000" w:fill="FFFF99"/>
            <w:noWrap/>
            <w:vAlign w:val="center"/>
            <w:hideMark/>
          </w:tcPr>
          <w:p w14:paraId="65558C1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single" w:sz="4" w:space="0" w:color="auto"/>
              <w:right w:val="nil"/>
            </w:tcBorders>
            <w:shd w:val="clear" w:color="000000" w:fill="D7EBDD"/>
            <w:noWrap/>
            <w:vAlign w:val="center"/>
            <w:hideMark/>
          </w:tcPr>
          <w:p w14:paraId="1DED6EE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0.318</w:t>
            </w:r>
          </w:p>
        </w:tc>
        <w:tc>
          <w:tcPr>
            <w:tcW w:w="720" w:type="dxa"/>
            <w:tcBorders>
              <w:top w:val="nil"/>
              <w:left w:val="nil"/>
              <w:bottom w:val="single" w:sz="4" w:space="0" w:color="auto"/>
              <w:right w:val="nil"/>
            </w:tcBorders>
            <w:shd w:val="clear" w:color="000000" w:fill="D7EBDD"/>
            <w:noWrap/>
            <w:vAlign w:val="center"/>
            <w:hideMark/>
          </w:tcPr>
          <w:p w14:paraId="38C3A3F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0.430</w:t>
            </w:r>
          </w:p>
        </w:tc>
        <w:tc>
          <w:tcPr>
            <w:tcW w:w="720" w:type="dxa"/>
            <w:tcBorders>
              <w:top w:val="nil"/>
              <w:left w:val="nil"/>
              <w:bottom w:val="single" w:sz="4" w:space="0" w:color="auto"/>
              <w:right w:val="nil"/>
            </w:tcBorders>
            <w:shd w:val="clear" w:color="000000" w:fill="D7EBDD"/>
            <w:noWrap/>
            <w:vAlign w:val="center"/>
            <w:hideMark/>
          </w:tcPr>
          <w:p w14:paraId="4476796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0.255</w:t>
            </w:r>
          </w:p>
        </w:tc>
        <w:tc>
          <w:tcPr>
            <w:tcW w:w="720" w:type="dxa"/>
            <w:tcBorders>
              <w:top w:val="nil"/>
              <w:left w:val="nil"/>
              <w:bottom w:val="single" w:sz="4" w:space="0" w:color="auto"/>
              <w:right w:val="nil"/>
            </w:tcBorders>
            <w:shd w:val="clear" w:color="000000" w:fill="FFFF99"/>
            <w:noWrap/>
            <w:vAlign w:val="center"/>
            <w:hideMark/>
          </w:tcPr>
          <w:p w14:paraId="101D08A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0.232</w:t>
            </w:r>
          </w:p>
        </w:tc>
        <w:tc>
          <w:tcPr>
            <w:tcW w:w="720" w:type="dxa"/>
            <w:tcBorders>
              <w:top w:val="nil"/>
              <w:left w:val="nil"/>
              <w:bottom w:val="single" w:sz="4" w:space="0" w:color="auto"/>
              <w:right w:val="nil"/>
            </w:tcBorders>
            <w:shd w:val="clear" w:color="000000" w:fill="D7EBDD"/>
            <w:noWrap/>
            <w:vAlign w:val="center"/>
            <w:hideMark/>
          </w:tcPr>
          <w:p w14:paraId="44E13E5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0.307</w:t>
            </w:r>
          </w:p>
        </w:tc>
        <w:tc>
          <w:tcPr>
            <w:tcW w:w="720" w:type="dxa"/>
            <w:tcBorders>
              <w:top w:val="nil"/>
              <w:left w:val="nil"/>
              <w:bottom w:val="single" w:sz="4" w:space="0" w:color="auto"/>
              <w:right w:val="nil"/>
            </w:tcBorders>
            <w:shd w:val="clear" w:color="000000" w:fill="D7EBDD"/>
            <w:noWrap/>
            <w:vAlign w:val="center"/>
            <w:hideMark/>
          </w:tcPr>
          <w:p w14:paraId="1021636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0.267</w:t>
            </w:r>
          </w:p>
        </w:tc>
        <w:tc>
          <w:tcPr>
            <w:tcW w:w="720" w:type="dxa"/>
            <w:tcBorders>
              <w:top w:val="nil"/>
              <w:left w:val="nil"/>
              <w:bottom w:val="single" w:sz="4" w:space="0" w:color="auto"/>
              <w:right w:val="nil"/>
            </w:tcBorders>
            <w:shd w:val="clear" w:color="000000" w:fill="D7EBDD"/>
            <w:noWrap/>
            <w:vAlign w:val="center"/>
            <w:hideMark/>
          </w:tcPr>
          <w:p w14:paraId="6BEE368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0.440</w:t>
            </w:r>
          </w:p>
        </w:tc>
        <w:tc>
          <w:tcPr>
            <w:tcW w:w="720" w:type="dxa"/>
            <w:tcBorders>
              <w:top w:val="nil"/>
              <w:left w:val="nil"/>
              <w:bottom w:val="single" w:sz="4" w:space="0" w:color="auto"/>
              <w:right w:val="nil"/>
            </w:tcBorders>
            <w:shd w:val="clear" w:color="000000" w:fill="D7EBDD"/>
            <w:noWrap/>
            <w:vAlign w:val="center"/>
            <w:hideMark/>
          </w:tcPr>
          <w:p w14:paraId="2CB0003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0.254</w:t>
            </w:r>
          </w:p>
        </w:tc>
        <w:tc>
          <w:tcPr>
            <w:tcW w:w="720" w:type="dxa"/>
            <w:tcBorders>
              <w:top w:val="nil"/>
              <w:left w:val="nil"/>
              <w:bottom w:val="single" w:sz="4" w:space="0" w:color="auto"/>
              <w:right w:val="nil"/>
            </w:tcBorders>
            <w:shd w:val="clear" w:color="000000" w:fill="D7EBDD"/>
            <w:noWrap/>
            <w:vAlign w:val="center"/>
            <w:hideMark/>
          </w:tcPr>
          <w:p w14:paraId="7705FA6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0.254</w:t>
            </w:r>
          </w:p>
        </w:tc>
        <w:tc>
          <w:tcPr>
            <w:tcW w:w="720" w:type="dxa"/>
            <w:tcBorders>
              <w:top w:val="nil"/>
              <w:left w:val="nil"/>
              <w:bottom w:val="single" w:sz="4" w:space="0" w:color="auto"/>
              <w:right w:val="single" w:sz="4" w:space="0" w:color="auto"/>
            </w:tcBorders>
            <w:shd w:val="clear" w:color="000000" w:fill="D7EBDD"/>
            <w:noWrap/>
            <w:vAlign w:val="center"/>
            <w:hideMark/>
          </w:tcPr>
          <w:p w14:paraId="3B641DE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r>
    </w:tbl>
    <w:p w14:paraId="7670E8DC" w14:textId="5A195505" w:rsidR="002E73B3" w:rsidRPr="0055149C" w:rsidRDefault="002B51CE" w:rsidP="002E73B3">
      <w:pPr>
        <w:pStyle w:val="Billedtekst-forklaring"/>
        <w:ind w:left="0" w:firstLine="0"/>
        <w:rPr>
          <w:shd w:val="clear" w:color="auto" w:fill="468C5C" w:themeFill="accent6"/>
          <w:lang w:eastAsia="nb-NO"/>
        </w:rPr>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F02EBE">
        <w:t>I f</w:t>
      </w:r>
      <w:r w:rsidRPr="0055149C">
        <w:t>orkortelsene dd, ad, da og aa angir første og andre bokstav om henholdsvis kapitaldeflatorene og depresieringsratene er aggregerte (a) eller disaggregerte (d). f og l som følger angir om eventuelle avkastningskrav er fast eller løpende.</w:t>
      </w:r>
      <w:r w:rsidR="00DB796C" w:rsidRPr="0055149C">
        <w:t xml:space="preserve"> </w:t>
      </w:r>
      <w:r w:rsidR="002E73B3" w:rsidRPr="0055149C">
        <w:t xml:space="preserve">Angivelse av fargekoder for korrelasjonskoeffisientene: </w:t>
      </w:r>
      <w:r w:rsidR="002E73B3" w:rsidRPr="0055149C">
        <w:rPr>
          <w:shd w:val="clear" w:color="auto" w:fill="A60E24" w:themeFill="accent5"/>
          <w:lang w:eastAsia="nb-NO"/>
        </w:rPr>
        <w:t>(-1,00)-(-0,90)</w:t>
      </w:r>
      <w:r w:rsidR="002E73B3" w:rsidRPr="0055149C">
        <w:rPr>
          <w:lang w:eastAsia="nb-NO"/>
        </w:rPr>
        <w:t xml:space="preserve">, </w:t>
      </w:r>
      <w:r w:rsidR="002E73B3" w:rsidRPr="0055149C">
        <w:rPr>
          <w:shd w:val="clear" w:color="auto" w:fill="EF485F" w:themeFill="accent5" w:themeFillTint="99"/>
          <w:lang w:eastAsia="nb-NO"/>
        </w:rPr>
        <w:t>(-0,90)-(-0,75)</w:t>
      </w:r>
      <w:r w:rsidR="002E73B3" w:rsidRPr="0055149C">
        <w:rPr>
          <w:lang w:eastAsia="nb-NO"/>
        </w:rPr>
        <w:t xml:space="preserve">, </w:t>
      </w:r>
      <w:r w:rsidR="002E73B3" w:rsidRPr="0055149C">
        <w:rPr>
          <w:shd w:val="clear" w:color="auto" w:fill="F48594" w:themeFill="accent5" w:themeFillTint="66"/>
          <w:lang w:eastAsia="nb-NO"/>
        </w:rPr>
        <w:t>(-0,75)-(-0,50)</w:t>
      </w:r>
      <w:r w:rsidR="002E73B3" w:rsidRPr="0055149C">
        <w:rPr>
          <w:lang w:eastAsia="nb-NO"/>
        </w:rPr>
        <w:t xml:space="preserve">, </w:t>
      </w:r>
      <w:r w:rsidR="002E73B3" w:rsidRPr="0055149C">
        <w:rPr>
          <w:shd w:val="clear" w:color="auto" w:fill="FAC2C9" w:themeFill="accent5" w:themeFillTint="33"/>
          <w:lang w:eastAsia="nb-NO"/>
        </w:rPr>
        <w:t>(-0,50)-(-0,25)</w:t>
      </w:r>
      <w:r w:rsidR="002E73B3" w:rsidRPr="0055149C">
        <w:rPr>
          <w:lang w:eastAsia="nb-NO"/>
        </w:rPr>
        <w:t xml:space="preserve">, </w:t>
      </w:r>
      <w:r w:rsidR="002E73B3" w:rsidRPr="0055149C">
        <w:rPr>
          <w:shd w:val="clear" w:color="auto" w:fill="FABF8F" w:themeFill="accent4" w:themeFillTint="99"/>
          <w:lang w:eastAsia="nb-NO"/>
        </w:rPr>
        <w:t>(-0,25)-(-0,10</w:t>
      </w:r>
      <w:r w:rsidR="002E73B3" w:rsidRPr="0055149C">
        <w:rPr>
          <w:shd w:val="clear" w:color="auto" w:fill="FBD4B4"/>
          <w:lang w:eastAsia="nb-NO"/>
        </w:rPr>
        <w:t>)</w:t>
      </w:r>
      <w:r w:rsidR="002E73B3" w:rsidRPr="0055149C">
        <w:rPr>
          <w:lang w:eastAsia="nb-NO"/>
        </w:rPr>
        <w:t xml:space="preserve">, </w:t>
      </w:r>
      <w:r w:rsidR="002E73B3" w:rsidRPr="0055149C">
        <w:rPr>
          <w:shd w:val="clear" w:color="auto" w:fill="FDE9D9" w:themeFill="accent4" w:themeFillTint="33"/>
          <w:lang w:eastAsia="nb-NO"/>
        </w:rPr>
        <w:t>(-0,10)-(-0,00)</w:t>
      </w:r>
      <w:r w:rsidR="002E73B3" w:rsidRPr="0055149C">
        <w:rPr>
          <w:lang w:eastAsia="nb-NO"/>
        </w:rPr>
        <w:t>,</w:t>
      </w:r>
      <w:r w:rsidR="002E73B3" w:rsidRPr="0055149C">
        <w:t xml:space="preserve"> </w:t>
      </w:r>
      <w:r w:rsidR="002E73B3" w:rsidRPr="0055149C">
        <w:rPr>
          <w:shd w:val="clear" w:color="auto" w:fill="CCCC00"/>
          <w:lang w:eastAsia="nb-NO"/>
        </w:rPr>
        <w:t>0.00-0,10</w:t>
      </w:r>
      <w:r w:rsidR="002E73B3" w:rsidRPr="0055149C">
        <w:rPr>
          <w:lang w:eastAsia="nb-NO"/>
        </w:rPr>
        <w:t xml:space="preserve">, </w:t>
      </w:r>
      <w:r w:rsidR="002E73B3" w:rsidRPr="0055149C">
        <w:rPr>
          <w:shd w:val="clear" w:color="auto" w:fill="FFFF99"/>
          <w:lang w:eastAsia="nb-NO"/>
        </w:rPr>
        <w:t>0,10-0,25</w:t>
      </w:r>
      <w:r w:rsidR="002E73B3" w:rsidRPr="0055149C">
        <w:rPr>
          <w:lang w:eastAsia="nb-NO"/>
        </w:rPr>
        <w:t xml:space="preserve">, </w:t>
      </w:r>
      <w:r w:rsidR="002E73B3" w:rsidRPr="0055149C">
        <w:rPr>
          <w:shd w:val="clear" w:color="auto" w:fill="D7EBDD" w:themeFill="accent6" w:themeFillTint="33"/>
          <w:lang w:eastAsia="nb-NO"/>
        </w:rPr>
        <w:t>0.25-0,50</w:t>
      </w:r>
      <w:r w:rsidR="002E73B3" w:rsidRPr="0055149C">
        <w:rPr>
          <w:lang w:eastAsia="nb-NO"/>
        </w:rPr>
        <w:t xml:space="preserve">, </w:t>
      </w:r>
      <w:r w:rsidR="002E73B3" w:rsidRPr="0055149C">
        <w:rPr>
          <w:shd w:val="clear" w:color="auto" w:fill="AFD7BB" w:themeFill="accent6" w:themeFillTint="66"/>
          <w:lang w:eastAsia="nb-NO"/>
        </w:rPr>
        <w:t>0,50-0,75</w:t>
      </w:r>
      <w:r w:rsidR="002E73B3" w:rsidRPr="0055149C">
        <w:rPr>
          <w:lang w:eastAsia="nb-NO"/>
        </w:rPr>
        <w:t xml:space="preserve">, </w:t>
      </w:r>
      <w:r w:rsidR="002E73B3" w:rsidRPr="0055149C">
        <w:rPr>
          <w:shd w:val="clear" w:color="auto" w:fill="87C399" w:themeFill="accent6" w:themeFillTint="99"/>
          <w:lang w:eastAsia="nb-NO"/>
        </w:rPr>
        <w:t>0,75-0,90</w:t>
      </w:r>
      <w:r w:rsidR="002E73B3" w:rsidRPr="0055149C">
        <w:rPr>
          <w:lang w:eastAsia="nb-NO"/>
        </w:rPr>
        <w:t xml:space="preserve"> og </w:t>
      </w:r>
      <w:r w:rsidR="002E73B3" w:rsidRPr="0055149C">
        <w:rPr>
          <w:shd w:val="clear" w:color="auto" w:fill="468C5C" w:themeFill="accent6"/>
          <w:lang w:eastAsia="nb-NO"/>
        </w:rPr>
        <w:t>0,90-1,00</w:t>
      </w:r>
    </w:p>
    <w:p w14:paraId="1D64311B" w14:textId="5BADC394" w:rsidR="008F3BB9" w:rsidRPr="0055149C" w:rsidRDefault="002E73B3" w:rsidP="008F3BB9">
      <w:pPr>
        <w:pStyle w:val="Source"/>
        <w:rPr>
          <w:lang w:eastAsia="nb-NO"/>
        </w:rPr>
      </w:pPr>
      <w:r w:rsidRPr="0055149C">
        <w:rPr>
          <w:lang w:eastAsia="nb-NO"/>
        </w:rPr>
        <w:t>Kilde: Vista Analyse</w:t>
      </w:r>
      <w:r w:rsidR="008F3BB9" w:rsidRPr="0055149C">
        <w:rPr>
          <w:lang w:eastAsia="nb-NO"/>
        </w:rPr>
        <w:br w:type="page"/>
      </w:r>
    </w:p>
    <w:p w14:paraId="1E6428CE" w14:textId="5599AC67" w:rsidR="003F2D8B" w:rsidRPr="0055149C" w:rsidRDefault="003F2D8B" w:rsidP="00841A79">
      <w:pPr>
        <w:pStyle w:val="Bildetekst"/>
      </w:pPr>
      <w:bookmarkStart w:id="138" w:name="_Ref168519950"/>
      <w:r w:rsidRPr="0055149C">
        <w:lastRenderedPageBreak/>
        <w:t xml:space="preserve">Tabell </w:t>
      </w:r>
      <w:fldSimple w:instr=" STYLEREF 1 \s ">
        <w:r w:rsidR="009B1DA8">
          <w:rPr>
            <w:noProof/>
          </w:rPr>
          <w:t>4</w:t>
        </w:r>
      </w:fldSimple>
      <w:r w:rsidR="00B9323E" w:rsidRPr="0055149C">
        <w:t>.</w:t>
      </w:r>
      <w:fldSimple w:instr=" SEQ Tabell \* ARABIC \s 1 ">
        <w:r w:rsidR="009B1DA8">
          <w:rPr>
            <w:noProof/>
          </w:rPr>
          <w:t>12</w:t>
        </w:r>
      </w:fldSimple>
      <w:bookmarkEnd w:id="138"/>
      <w:r w:rsidRPr="0055149C">
        <w:tab/>
        <w:t>Korrelasjon mellom realkapitalkostnadsestimater per innbygger og kontekstuelle variabler i fylkeskommunene i 2022 utenom Oslo</w:t>
      </w:r>
    </w:p>
    <w:tbl>
      <w:tblPr>
        <w:tblW w:w="12960" w:type="dxa"/>
        <w:tblCellMar>
          <w:left w:w="70" w:type="dxa"/>
          <w:right w:w="70" w:type="dxa"/>
        </w:tblCellMar>
        <w:tblLook w:val="04A0" w:firstRow="1" w:lastRow="0" w:firstColumn="1" w:lastColumn="0" w:noHBand="0" w:noVBand="1"/>
      </w:tblPr>
      <w:tblGrid>
        <w:gridCol w:w="3600"/>
        <w:gridCol w:w="740"/>
        <w:gridCol w:w="720"/>
        <w:gridCol w:w="720"/>
        <w:gridCol w:w="720"/>
        <w:gridCol w:w="720"/>
        <w:gridCol w:w="720"/>
        <w:gridCol w:w="720"/>
        <w:gridCol w:w="720"/>
        <w:gridCol w:w="720"/>
        <w:gridCol w:w="720"/>
        <w:gridCol w:w="720"/>
        <w:gridCol w:w="720"/>
        <w:gridCol w:w="720"/>
      </w:tblGrid>
      <w:tr w:rsidR="008A7CC8" w:rsidRPr="008A7CC8" w14:paraId="2A861BD0" w14:textId="77777777" w:rsidTr="008A7CC8">
        <w:trPr>
          <w:trHeight w:val="288"/>
        </w:trPr>
        <w:tc>
          <w:tcPr>
            <w:tcW w:w="3600" w:type="dxa"/>
            <w:tcBorders>
              <w:top w:val="single" w:sz="4" w:space="0" w:color="auto"/>
              <w:left w:val="single" w:sz="4" w:space="0" w:color="auto"/>
              <w:bottom w:val="nil"/>
              <w:right w:val="nil"/>
            </w:tcBorders>
            <w:shd w:val="clear" w:color="000000" w:fill="3672B0"/>
            <w:noWrap/>
            <w:vAlign w:val="center"/>
            <w:hideMark/>
          </w:tcPr>
          <w:p w14:paraId="73612443" w14:textId="77777777" w:rsidR="008A7CC8" w:rsidRPr="008A7CC8" w:rsidRDefault="008A7CC8" w:rsidP="008A7CC8">
            <w:pPr>
              <w:spacing w:before="0" w:line="240" w:lineRule="auto"/>
              <w:jc w:val="left"/>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Variabler</w:t>
            </w:r>
          </w:p>
        </w:tc>
        <w:tc>
          <w:tcPr>
            <w:tcW w:w="720" w:type="dxa"/>
            <w:tcBorders>
              <w:top w:val="single" w:sz="4" w:space="0" w:color="auto"/>
              <w:left w:val="nil"/>
              <w:bottom w:val="single" w:sz="4" w:space="0" w:color="auto"/>
              <w:right w:val="nil"/>
            </w:tcBorders>
            <w:shd w:val="clear" w:color="000000" w:fill="3672B0"/>
            <w:noWrap/>
            <w:vAlign w:val="center"/>
            <w:hideMark/>
          </w:tcPr>
          <w:p w14:paraId="70B926DB"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Bdrutg.</w:t>
            </w:r>
          </w:p>
        </w:tc>
        <w:tc>
          <w:tcPr>
            <w:tcW w:w="720" w:type="dxa"/>
            <w:tcBorders>
              <w:top w:val="single" w:sz="4" w:space="0" w:color="auto"/>
              <w:left w:val="nil"/>
              <w:bottom w:val="single" w:sz="4" w:space="0" w:color="auto"/>
              <w:right w:val="nil"/>
            </w:tcBorders>
            <w:shd w:val="clear" w:color="000000" w:fill="3672B0"/>
            <w:noWrap/>
            <w:vAlign w:val="center"/>
            <w:hideMark/>
          </w:tcPr>
          <w:p w14:paraId="0A149DF7"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53FCD0B1"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24DEE67A"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163C9770"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2D8A513F"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2E5BA226"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0C68517E"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190AFF68"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55F4E7D6"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2F6ED948"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4A925F25"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6C58ECEC"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(12)</w:t>
            </w:r>
          </w:p>
        </w:tc>
      </w:tr>
      <w:tr w:rsidR="008A7CC8" w:rsidRPr="008A7CC8" w14:paraId="6CD646F2" w14:textId="77777777" w:rsidTr="008A7CC8">
        <w:trPr>
          <w:trHeight w:val="288"/>
        </w:trPr>
        <w:tc>
          <w:tcPr>
            <w:tcW w:w="3600" w:type="dxa"/>
            <w:tcBorders>
              <w:top w:val="single" w:sz="4" w:space="0" w:color="auto"/>
              <w:left w:val="single" w:sz="4" w:space="0" w:color="auto"/>
              <w:bottom w:val="nil"/>
              <w:right w:val="nil"/>
            </w:tcBorders>
            <w:shd w:val="clear" w:color="000000" w:fill="A9C6E4"/>
            <w:vAlign w:val="center"/>
            <w:hideMark/>
          </w:tcPr>
          <w:p w14:paraId="75E5BAA0"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Befolkning</w:t>
            </w:r>
          </w:p>
        </w:tc>
        <w:tc>
          <w:tcPr>
            <w:tcW w:w="720" w:type="dxa"/>
            <w:tcBorders>
              <w:top w:val="single" w:sz="4" w:space="0" w:color="auto"/>
              <w:left w:val="single" w:sz="4" w:space="0" w:color="auto"/>
              <w:bottom w:val="nil"/>
              <w:right w:val="nil"/>
            </w:tcBorders>
            <w:shd w:val="clear" w:color="000000" w:fill="F48594"/>
            <w:noWrap/>
            <w:vAlign w:val="center"/>
            <w:hideMark/>
          </w:tcPr>
          <w:p w14:paraId="0935719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-0.597</w:t>
            </w:r>
          </w:p>
        </w:tc>
        <w:tc>
          <w:tcPr>
            <w:tcW w:w="720" w:type="dxa"/>
            <w:tcBorders>
              <w:top w:val="single" w:sz="4" w:space="0" w:color="auto"/>
              <w:left w:val="nil"/>
              <w:bottom w:val="nil"/>
              <w:right w:val="nil"/>
            </w:tcBorders>
            <w:shd w:val="clear" w:color="000000" w:fill="FAC2C9"/>
            <w:noWrap/>
            <w:vAlign w:val="center"/>
            <w:hideMark/>
          </w:tcPr>
          <w:p w14:paraId="6253128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-0.263</w:t>
            </w:r>
          </w:p>
        </w:tc>
        <w:tc>
          <w:tcPr>
            <w:tcW w:w="720" w:type="dxa"/>
            <w:tcBorders>
              <w:top w:val="single" w:sz="4" w:space="0" w:color="auto"/>
              <w:left w:val="nil"/>
              <w:bottom w:val="nil"/>
              <w:right w:val="nil"/>
            </w:tcBorders>
            <w:shd w:val="clear" w:color="000000" w:fill="FAC2C9"/>
            <w:noWrap/>
            <w:vAlign w:val="center"/>
            <w:hideMark/>
          </w:tcPr>
          <w:p w14:paraId="27F9D39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-0.341</w:t>
            </w:r>
          </w:p>
        </w:tc>
        <w:tc>
          <w:tcPr>
            <w:tcW w:w="720" w:type="dxa"/>
            <w:tcBorders>
              <w:top w:val="single" w:sz="4" w:space="0" w:color="auto"/>
              <w:left w:val="nil"/>
              <w:bottom w:val="nil"/>
              <w:right w:val="nil"/>
            </w:tcBorders>
            <w:shd w:val="clear" w:color="000000" w:fill="FAC2C9"/>
            <w:noWrap/>
            <w:vAlign w:val="center"/>
            <w:hideMark/>
          </w:tcPr>
          <w:p w14:paraId="363794A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-0.449</w:t>
            </w:r>
          </w:p>
        </w:tc>
        <w:tc>
          <w:tcPr>
            <w:tcW w:w="720" w:type="dxa"/>
            <w:tcBorders>
              <w:top w:val="single" w:sz="4" w:space="0" w:color="auto"/>
              <w:left w:val="nil"/>
              <w:bottom w:val="nil"/>
              <w:right w:val="nil"/>
            </w:tcBorders>
            <w:shd w:val="clear" w:color="000000" w:fill="FAC2C9"/>
            <w:noWrap/>
            <w:vAlign w:val="center"/>
            <w:hideMark/>
          </w:tcPr>
          <w:p w14:paraId="0D4DF4F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-0.380</w:t>
            </w:r>
          </w:p>
        </w:tc>
        <w:tc>
          <w:tcPr>
            <w:tcW w:w="720" w:type="dxa"/>
            <w:tcBorders>
              <w:top w:val="single" w:sz="4" w:space="0" w:color="auto"/>
              <w:left w:val="nil"/>
              <w:bottom w:val="nil"/>
              <w:right w:val="nil"/>
            </w:tcBorders>
            <w:shd w:val="clear" w:color="000000" w:fill="FAC2C9"/>
            <w:noWrap/>
            <w:vAlign w:val="center"/>
            <w:hideMark/>
          </w:tcPr>
          <w:p w14:paraId="02BAEFE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-0.279</w:t>
            </w:r>
          </w:p>
        </w:tc>
        <w:tc>
          <w:tcPr>
            <w:tcW w:w="720" w:type="dxa"/>
            <w:tcBorders>
              <w:top w:val="single" w:sz="4" w:space="0" w:color="auto"/>
              <w:left w:val="nil"/>
              <w:bottom w:val="nil"/>
              <w:right w:val="nil"/>
            </w:tcBorders>
            <w:shd w:val="clear" w:color="000000" w:fill="FAC2C9"/>
            <w:noWrap/>
            <w:vAlign w:val="center"/>
            <w:hideMark/>
          </w:tcPr>
          <w:p w14:paraId="58928B1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-0.299</w:t>
            </w:r>
          </w:p>
        </w:tc>
        <w:tc>
          <w:tcPr>
            <w:tcW w:w="720" w:type="dxa"/>
            <w:tcBorders>
              <w:top w:val="single" w:sz="4" w:space="0" w:color="auto"/>
              <w:left w:val="nil"/>
              <w:bottom w:val="nil"/>
              <w:right w:val="nil"/>
            </w:tcBorders>
            <w:shd w:val="clear" w:color="000000" w:fill="FAC2C9"/>
            <w:noWrap/>
            <w:vAlign w:val="center"/>
            <w:hideMark/>
          </w:tcPr>
          <w:p w14:paraId="08EFF71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-0.326</w:t>
            </w:r>
          </w:p>
        </w:tc>
        <w:tc>
          <w:tcPr>
            <w:tcW w:w="720" w:type="dxa"/>
            <w:tcBorders>
              <w:top w:val="single" w:sz="4" w:space="0" w:color="auto"/>
              <w:left w:val="nil"/>
              <w:bottom w:val="nil"/>
              <w:right w:val="nil"/>
            </w:tcBorders>
            <w:shd w:val="clear" w:color="000000" w:fill="FAC2C9"/>
            <w:noWrap/>
            <w:vAlign w:val="center"/>
            <w:hideMark/>
          </w:tcPr>
          <w:p w14:paraId="78E5E04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-0.353</w:t>
            </w:r>
          </w:p>
        </w:tc>
        <w:tc>
          <w:tcPr>
            <w:tcW w:w="720" w:type="dxa"/>
            <w:tcBorders>
              <w:top w:val="single" w:sz="4" w:space="0" w:color="auto"/>
              <w:left w:val="nil"/>
              <w:bottom w:val="nil"/>
              <w:right w:val="nil"/>
            </w:tcBorders>
            <w:shd w:val="clear" w:color="000000" w:fill="FAC2C9"/>
            <w:noWrap/>
            <w:vAlign w:val="center"/>
            <w:hideMark/>
          </w:tcPr>
          <w:p w14:paraId="25D9D7D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-0.386</w:t>
            </w:r>
          </w:p>
        </w:tc>
        <w:tc>
          <w:tcPr>
            <w:tcW w:w="720" w:type="dxa"/>
            <w:tcBorders>
              <w:top w:val="single" w:sz="4" w:space="0" w:color="auto"/>
              <w:left w:val="nil"/>
              <w:bottom w:val="nil"/>
              <w:right w:val="nil"/>
            </w:tcBorders>
            <w:shd w:val="clear" w:color="000000" w:fill="FAC2C9"/>
            <w:noWrap/>
            <w:vAlign w:val="center"/>
            <w:hideMark/>
          </w:tcPr>
          <w:p w14:paraId="313B0BA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-0.300</w:t>
            </w:r>
          </w:p>
        </w:tc>
        <w:tc>
          <w:tcPr>
            <w:tcW w:w="720" w:type="dxa"/>
            <w:tcBorders>
              <w:top w:val="single" w:sz="4" w:space="0" w:color="auto"/>
              <w:left w:val="nil"/>
              <w:bottom w:val="nil"/>
              <w:right w:val="nil"/>
            </w:tcBorders>
            <w:shd w:val="clear" w:color="000000" w:fill="FAC2C9"/>
            <w:noWrap/>
            <w:vAlign w:val="center"/>
            <w:hideMark/>
          </w:tcPr>
          <w:p w14:paraId="413A113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-0.298</w:t>
            </w:r>
          </w:p>
        </w:tc>
        <w:tc>
          <w:tcPr>
            <w:tcW w:w="720" w:type="dxa"/>
            <w:tcBorders>
              <w:top w:val="single" w:sz="4" w:space="0" w:color="auto"/>
              <w:left w:val="nil"/>
              <w:bottom w:val="nil"/>
              <w:right w:val="single" w:sz="4" w:space="0" w:color="auto"/>
            </w:tcBorders>
            <w:shd w:val="clear" w:color="000000" w:fill="FAC2C9"/>
            <w:noWrap/>
            <w:vAlign w:val="center"/>
            <w:hideMark/>
          </w:tcPr>
          <w:p w14:paraId="6BB3D3E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r>
      <w:tr w:rsidR="008A7CC8" w:rsidRPr="008A7CC8" w14:paraId="6CDA5EEF" w14:textId="77777777" w:rsidTr="008A7CC8">
        <w:trPr>
          <w:trHeight w:val="288"/>
        </w:trPr>
        <w:tc>
          <w:tcPr>
            <w:tcW w:w="3600" w:type="dxa"/>
            <w:tcBorders>
              <w:top w:val="nil"/>
              <w:left w:val="single" w:sz="4" w:space="0" w:color="auto"/>
              <w:bottom w:val="nil"/>
              <w:right w:val="nil"/>
            </w:tcBorders>
            <w:shd w:val="clear" w:color="000000" w:fill="A9C6E4"/>
            <w:vAlign w:val="center"/>
            <w:hideMark/>
          </w:tcPr>
          <w:p w14:paraId="736CAAEC"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Intern reiseavstandsproxy</w:t>
            </w:r>
          </w:p>
        </w:tc>
        <w:tc>
          <w:tcPr>
            <w:tcW w:w="720" w:type="dxa"/>
            <w:tcBorders>
              <w:top w:val="nil"/>
              <w:left w:val="single" w:sz="4" w:space="0" w:color="auto"/>
              <w:bottom w:val="nil"/>
              <w:right w:val="nil"/>
            </w:tcBorders>
            <w:shd w:val="clear" w:color="000000" w:fill="AFD7BB"/>
            <w:noWrap/>
            <w:vAlign w:val="center"/>
            <w:hideMark/>
          </w:tcPr>
          <w:p w14:paraId="2AE6071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0.513</w:t>
            </w:r>
          </w:p>
        </w:tc>
        <w:tc>
          <w:tcPr>
            <w:tcW w:w="720" w:type="dxa"/>
            <w:tcBorders>
              <w:top w:val="nil"/>
              <w:left w:val="nil"/>
              <w:bottom w:val="nil"/>
              <w:right w:val="nil"/>
            </w:tcBorders>
            <w:shd w:val="clear" w:color="000000" w:fill="FBD4B4"/>
            <w:noWrap/>
            <w:vAlign w:val="center"/>
            <w:hideMark/>
          </w:tcPr>
          <w:p w14:paraId="55A9B6D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-0.012</w:t>
            </w:r>
          </w:p>
        </w:tc>
        <w:tc>
          <w:tcPr>
            <w:tcW w:w="720" w:type="dxa"/>
            <w:tcBorders>
              <w:top w:val="nil"/>
              <w:left w:val="nil"/>
              <w:bottom w:val="nil"/>
              <w:right w:val="nil"/>
            </w:tcBorders>
            <w:shd w:val="clear" w:color="000000" w:fill="FBD4B4"/>
            <w:noWrap/>
            <w:vAlign w:val="center"/>
            <w:hideMark/>
          </w:tcPr>
          <w:p w14:paraId="6AD95C7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-0.004</w:t>
            </w:r>
          </w:p>
        </w:tc>
        <w:tc>
          <w:tcPr>
            <w:tcW w:w="720" w:type="dxa"/>
            <w:tcBorders>
              <w:top w:val="nil"/>
              <w:left w:val="nil"/>
              <w:bottom w:val="nil"/>
              <w:right w:val="nil"/>
            </w:tcBorders>
            <w:shd w:val="clear" w:color="000000" w:fill="FFFF99"/>
            <w:noWrap/>
            <w:vAlign w:val="center"/>
            <w:hideMark/>
          </w:tcPr>
          <w:p w14:paraId="2FBDC1D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0.133</w:t>
            </w:r>
          </w:p>
        </w:tc>
        <w:tc>
          <w:tcPr>
            <w:tcW w:w="720" w:type="dxa"/>
            <w:tcBorders>
              <w:top w:val="nil"/>
              <w:left w:val="nil"/>
              <w:bottom w:val="nil"/>
              <w:right w:val="nil"/>
            </w:tcBorders>
            <w:shd w:val="clear" w:color="000000" w:fill="D7EBDD"/>
            <w:noWrap/>
            <w:vAlign w:val="center"/>
            <w:hideMark/>
          </w:tcPr>
          <w:p w14:paraId="1DC2F36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0.271</w:t>
            </w:r>
          </w:p>
        </w:tc>
        <w:tc>
          <w:tcPr>
            <w:tcW w:w="720" w:type="dxa"/>
            <w:tcBorders>
              <w:top w:val="nil"/>
              <w:left w:val="nil"/>
              <w:bottom w:val="nil"/>
              <w:right w:val="nil"/>
            </w:tcBorders>
            <w:shd w:val="clear" w:color="000000" w:fill="FFFF99"/>
            <w:noWrap/>
            <w:vAlign w:val="center"/>
            <w:hideMark/>
          </w:tcPr>
          <w:p w14:paraId="5B00B87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0.153</w:t>
            </w:r>
          </w:p>
        </w:tc>
        <w:tc>
          <w:tcPr>
            <w:tcW w:w="720" w:type="dxa"/>
            <w:tcBorders>
              <w:top w:val="nil"/>
              <w:left w:val="nil"/>
              <w:bottom w:val="nil"/>
              <w:right w:val="nil"/>
            </w:tcBorders>
            <w:shd w:val="clear" w:color="000000" w:fill="FFFF99"/>
            <w:noWrap/>
            <w:vAlign w:val="center"/>
            <w:hideMark/>
          </w:tcPr>
          <w:p w14:paraId="45B2A03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0.135</w:t>
            </w:r>
          </w:p>
        </w:tc>
        <w:tc>
          <w:tcPr>
            <w:tcW w:w="720" w:type="dxa"/>
            <w:tcBorders>
              <w:top w:val="nil"/>
              <w:left w:val="nil"/>
              <w:bottom w:val="nil"/>
              <w:right w:val="nil"/>
            </w:tcBorders>
            <w:shd w:val="clear" w:color="000000" w:fill="FFFF99"/>
            <w:noWrap/>
            <w:vAlign w:val="center"/>
            <w:hideMark/>
          </w:tcPr>
          <w:p w14:paraId="70B8A9F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0.202</w:t>
            </w:r>
          </w:p>
        </w:tc>
        <w:tc>
          <w:tcPr>
            <w:tcW w:w="720" w:type="dxa"/>
            <w:tcBorders>
              <w:top w:val="nil"/>
              <w:left w:val="nil"/>
              <w:bottom w:val="nil"/>
              <w:right w:val="nil"/>
            </w:tcBorders>
            <w:shd w:val="clear" w:color="000000" w:fill="FFFF99"/>
            <w:noWrap/>
            <w:vAlign w:val="center"/>
            <w:hideMark/>
          </w:tcPr>
          <w:p w14:paraId="775DD9C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0.168</w:t>
            </w:r>
          </w:p>
        </w:tc>
        <w:tc>
          <w:tcPr>
            <w:tcW w:w="720" w:type="dxa"/>
            <w:tcBorders>
              <w:top w:val="nil"/>
              <w:left w:val="nil"/>
              <w:bottom w:val="nil"/>
              <w:right w:val="nil"/>
            </w:tcBorders>
            <w:shd w:val="clear" w:color="000000" w:fill="D7EBDD"/>
            <w:noWrap/>
            <w:vAlign w:val="center"/>
            <w:hideMark/>
          </w:tcPr>
          <w:p w14:paraId="667867C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0.316</w:t>
            </w:r>
          </w:p>
        </w:tc>
        <w:tc>
          <w:tcPr>
            <w:tcW w:w="720" w:type="dxa"/>
            <w:tcBorders>
              <w:top w:val="nil"/>
              <w:left w:val="nil"/>
              <w:bottom w:val="nil"/>
              <w:right w:val="nil"/>
            </w:tcBorders>
            <w:shd w:val="clear" w:color="000000" w:fill="FFFF99"/>
            <w:noWrap/>
            <w:vAlign w:val="center"/>
            <w:hideMark/>
          </w:tcPr>
          <w:p w14:paraId="343332D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0.152</w:t>
            </w:r>
          </w:p>
        </w:tc>
        <w:tc>
          <w:tcPr>
            <w:tcW w:w="720" w:type="dxa"/>
            <w:tcBorders>
              <w:top w:val="nil"/>
              <w:left w:val="nil"/>
              <w:bottom w:val="nil"/>
              <w:right w:val="nil"/>
            </w:tcBorders>
            <w:shd w:val="clear" w:color="000000" w:fill="FFFF99"/>
            <w:noWrap/>
            <w:vAlign w:val="center"/>
            <w:hideMark/>
          </w:tcPr>
          <w:p w14:paraId="2B311B6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0.152</w:t>
            </w:r>
          </w:p>
        </w:tc>
        <w:tc>
          <w:tcPr>
            <w:tcW w:w="720" w:type="dxa"/>
            <w:tcBorders>
              <w:top w:val="nil"/>
              <w:left w:val="nil"/>
              <w:bottom w:val="nil"/>
              <w:right w:val="single" w:sz="4" w:space="0" w:color="auto"/>
            </w:tcBorders>
            <w:shd w:val="clear" w:color="000000" w:fill="FFFF99"/>
            <w:noWrap/>
            <w:vAlign w:val="center"/>
            <w:hideMark/>
          </w:tcPr>
          <w:p w14:paraId="15F4D69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0.147</w:t>
            </w:r>
          </w:p>
        </w:tc>
      </w:tr>
      <w:tr w:rsidR="008A7CC8" w:rsidRPr="008A7CC8" w14:paraId="35271B5A"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078FA7A"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befolkningsvekst de siste ti årene</w:t>
            </w:r>
          </w:p>
        </w:tc>
        <w:tc>
          <w:tcPr>
            <w:tcW w:w="720" w:type="dxa"/>
            <w:tcBorders>
              <w:top w:val="nil"/>
              <w:left w:val="single" w:sz="4" w:space="0" w:color="auto"/>
              <w:bottom w:val="nil"/>
              <w:right w:val="nil"/>
            </w:tcBorders>
            <w:shd w:val="clear" w:color="000000" w:fill="F48594"/>
            <w:noWrap/>
            <w:vAlign w:val="center"/>
            <w:hideMark/>
          </w:tcPr>
          <w:p w14:paraId="0C2DD35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-0.516</w:t>
            </w:r>
          </w:p>
        </w:tc>
        <w:tc>
          <w:tcPr>
            <w:tcW w:w="720" w:type="dxa"/>
            <w:tcBorders>
              <w:top w:val="nil"/>
              <w:left w:val="nil"/>
              <w:bottom w:val="nil"/>
              <w:right w:val="nil"/>
            </w:tcBorders>
            <w:shd w:val="clear" w:color="000000" w:fill="FBD4B4"/>
            <w:noWrap/>
            <w:vAlign w:val="center"/>
            <w:hideMark/>
          </w:tcPr>
          <w:p w14:paraId="5511933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-0.098</w:t>
            </w:r>
          </w:p>
        </w:tc>
        <w:tc>
          <w:tcPr>
            <w:tcW w:w="720" w:type="dxa"/>
            <w:tcBorders>
              <w:top w:val="nil"/>
              <w:left w:val="nil"/>
              <w:bottom w:val="nil"/>
              <w:right w:val="nil"/>
            </w:tcBorders>
            <w:shd w:val="clear" w:color="000000" w:fill="FABF8F"/>
            <w:noWrap/>
            <w:vAlign w:val="center"/>
            <w:hideMark/>
          </w:tcPr>
          <w:p w14:paraId="1E4959F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-0.114</w:t>
            </w:r>
          </w:p>
        </w:tc>
        <w:tc>
          <w:tcPr>
            <w:tcW w:w="720" w:type="dxa"/>
            <w:tcBorders>
              <w:top w:val="nil"/>
              <w:left w:val="nil"/>
              <w:bottom w:val="nil"/>
              <w:right w:val="nil"/>
            </w:tcBorders>
            <w:shd w:val="clear" w:color="000000" w:fill="FAC2C9"/>
            <w:noWrap/>
            <w:vAlign w:val="center"/>
            <w:hideMark/>
          </w:tcPr>
          <w:p w14:paraId="7F0CCF9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-0.465</w:t>
            </w:r>
          </w:p>
        </w:tc>
        <w:tc>
          <w:tcPr>
            <w:tcW w:w="720" w:type="dxa"/>
            <w:tcBorders>
              <w:top w:val="nil"/>
              <w:left w:val="nil"/>
              <w:bottom w:val="nil"/>
              <w:right w:val="nil"/>
            </w:tcBorders>
            <w:shd w:val="clear" w:color="000000" w:fill="FAC2C9"/>
            <w:noWrap/>
            <w:vAlign w:val="center"/>
            <w:hideMark/>
          </w:tcPr>
          <w:p w14:paraId="2984A7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-0.444</w:t>
            </w:r>
          </w:p>
        </w:tc>
        <w:tc>
          <w:tcPr>
            <w:tcW w:w="720" w:type="dxa"/>
            <w:tcBorders>
              <w:top w:val="nil"/>
              <w:left w:val="nil"/>
              <w:bottom w:val="nil"/>
              <w:right w:val="nil"/>
            </w:tcBorders>
            <w:shd w:val="clear" w:color="000000" w:fill="FAC2C9"/>
            <w:noWrap/>
            <w:vAlign w:val="center"/>
            <w:hideMark/>
          </w:tcPr>
          <w:p w14:paraId="611CA20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-0.334</w:t>
            </w:r>
          </w:p>
        </w:tc>
        <w:tc>
          <w:tcPr>
            <w:tcW w:w="720" w:type="dxa"/>
            <w:tcBorders>
              <w:top w:val="nil"/>
              <w:left w:val="nil"/>
              <w:bottom w:val="nil"/>
              <w:right w:val="nil"/>
            </w:tcBorders>
            <w:shd w:val="clear" w:color="000000" w:fill="FAC2C9"/>
            <w:noWrap/>
            <w:vAlign w:val="center"/>
            <w:hideMark/>
          </w:tcPr>
          <w:p w14:paraId="22804C7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-0.328</w:t>
            </w:r>
          </w:p>
        </w:tc>
        <w:tc>
          <w:tcPr>
            <w:tcW w:w="720" w:type="dxa"/>
            <w:tcBorders>
              <w:top w:val="nil"/>
              <w:left w:val="nil"/>
              <w:bottom w:val="nil"/>
              <w:right w:val="nil"/>
            </w:tcBorders>
            <w:shd w:val="clear" w:color="000000" w:fill="FAC2C9"/>
            <w:noWrap/>
            <w:vAlign w:val="center"/>
            <w:hideMark/>
          </w:tcPr>
          <w:p w14:paraId="2F02695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-0.453</w:t>
            </w:r>
          </w:p>
        </w:tc>
        <w:tc>
          <w:tcPr>
            <w:tcW w:w="720" w:type="dxa"/>
            <w:tcBorders>
              <w:top w:val="nil"/>
              <w:left w:val="nil"/>
              <w:bottom w:val="nil"/>
              <w:right w:val="nil"/>
            </w:tcBorders>
            <w:shd w:val="clear" w:color="000000" w:fill="FAC2C9"/>
            <w:noWrap/>
            <w:vAlign w:val="center"/>
            <w:hideMark/>
          </w:tcPr>
          <w:p w14:paraId="0A900EF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-0.431</w:t>
            </w:r>
          </w:p>
        </w:tc>
        <w:tc>
          <w:tcPr>
            <w:tcW w:w="720" w:type="dxa"/>
            <w:tcBorders>
              <w:top w:val="nil"/>
              <w:left w:val="nil"/>
              <w:bottom w:val="nil"/>
              <w:right w:val="nil"/>
            </w:tcBorders>
            <w:shd w:val="clear" w:color="000000" w:fill="F48594"/>
            <w:noWrap/>
            <w:vAlign w:val="center"/>
            <w:hideMark/>
          </w:tcPr>
          <w:p w14:paraId="539AE3D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-0.570</w:t>
            </w:r>
          </w:p>
        </w:tc>
        <w:tc>
          <w:tcPr>
            <w:tcW w:w="720" w:type="dxa"/>
            <w:tcBorders>
              <w:top w:val="nil"/>
              <w:left w:val="nil"/>
              <w:bottom w:val="nil"/>
              <w:right w:val="nil"/>
            </w:tcBorders>
            <w:shd w:val="clear" w:color="000000" w:fill="FAC2C9"/>
            <w:noWrap/>
            <w:vAlign w:val="center"/>
            <w:hideMark/>
          </w:tcPr>
          <w:p w14:paraId="782354D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-0.368</w:t>
            </w:r>
          </w:p>
        </w:tc>
        <w:tc>
          <w:tcPr>
            <w:tcW w:w="720" w:type="dxa"/>
            <w:tcBorders>
              <w:top w:val="nil"/>
              <w:left w:val="nil"/>
              <w:bottom w:val="nil"/>
              <w:right w:val="nil"/>
            </w:tcBorders>
            <w:shd w:val="clear" w:color="000000" w:fill="FAC2C9"/>
            <w:noWrap/>
            <w:vAlign w:val="center"/>
            <w:hideMark/>
          </w:tcPr>
          <w:p w14:paraId="7E7BB77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-0.364</w:t>
            </w:r>
          </w:p>
        </w:tc>
        <w:tc>
          <w:tcPr>
            <w:tcW w:w="720" w:type="dxa"/>
            <w:tcBorders>
              <w:top w:val="nil"/>
              <w:left w:val="nil"/>
              <w:bottom w:val="nil"/>
              <w:right w:val="single" w:sz="4" w:space="0" w:color="auto"/>
            </w:tcBorders>
            <w:shd w:val="clear" w:color="000000" w:fill="FAC2C9"/>
            <w:noWrap/>
            <w:vAlign w:val="center"/>
            <w:hideMark/>
          </w:tcPr>
          <w:p w14:paraId="6B3A42F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-0.330</w:t>
            </w:r>
          </w:p>
        </w:tc>
      </w:tr>
      <w:tr w:rsidR="008A7CC8" w:rsidRPr="008A7CC8" w14:paraId="628EF0C6"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85112A7"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sysselsettingsvekst de siste ti årene</w:t>
            </w:r>
          </w:p>
        </w:tc>
        <w:tc>
          <w:tcPr>
            <w:tcW w:w="720" w:type="dxa"/>
            <w:tcBorders>
              <w:top w:val="nil"/>
              <w:left w:val="single" w:sz="4" w:space="0" w:color="auto"/>
              <w:bottom w:val="nil"/>
              <w:right w:val="nil"/>
            </w:tcBorders>
            <w:shd w:val="clear" w:color="000000" w:fill="FAC2C9"/>
            <w:noWrap/>
            <w:vAlign w:val="center"/>
            <w:hideMark/>
          </w:tcPr>
          <w:p w14:paraId="19456B0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-0.354</w:t>
            </w:r>
          </w:p>
        </w:tc>
        <w:tc>
          <w:tcPr>
            <w:tcW w:w="720" w:type="dxa"/>
            <w:tcBorders>
              <w:top w:val="nil"/>
              <w:left w:val="nil"/>
              <w:bottom w:val="nil"/>
              <w:right w:val="nil"/>
            </w:tcBorders>
            <w:shd w:val="clear" w:color="000000" w:fill="FBD4B4"/>
            <w:noWrap/>
            <w:vAlign w:val="center"/>
            <w:hideMark/>
          </w:tcPr>
          <w:p w14:paraId="1727EDF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-0.036</w:t>
            </w:r>
          </w:p>
        </w:tc>
        <w:tc>
          <w:tcPr>
            <w:tcW w:w="720" w:type="dxa"/>
            <w:tcBorders>
              <w:top w:val="nil"/>
              <w:left w:val="nil"/>
              <w:bottom w:val="nil"/>
              <w:right w:val="nil"/>
            </w:tcBorders>
            <w:shd w:val="clear" w:color="000000" w:fill="FBD4B4"/>
            <w:noWrap/>
            <w:vAlign w:val="center"/>
            <w:hideMark/>
          </w:tcPr>
          <w:p w14:paraId="71E20C2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-0.026</w:t>
            </w:r>
          </w:p>
        </w:tc>
        <w:tc>
          <w:tcPr>
            <w:tcW w:w="720" w:type="dxa"/>
            <w:tcBorders>
              <w:top w:val="nil"/>
              <w:left w:val="nil"/>
              <w:bottom w:val="nil"/>
              <w:right w:val="nil"/>
            </w:tcBorders>
            <w:shd w:val="clear" w:color="000000" w:fill="FAC2C9"/>
            <w:noWrap/>
            <w:vAlign w:val="center"/>
            <w:hideMark/>
          </w:tcPr>
          <w:p w14:paraId="07FA119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-0.413</w:t>
            </w:r>
          </w:p>
        </w:tc>
        <w:tc>
          <w:tcPr>
            <w:tcW w:w="720" w:type="dxa"/>
            <w:tcBorders>
              <w:top w:val="nil"/>
              <w:left w:val="nil"/>
              <w:bottom w:val="nil"/>
              <w:right w:val="nil"/>
            </w:tcBorders>
            <w:shd w:val="clear" w:color="000000" w:fill="FAC2C9"/>
            <w:noWrap/>
            <w:vAlign w:val="center"/>
            <w:hideMark/>
          </w:tcPr>
          <w:p w14:paraId="1F80747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-0.353</w:t>
            </w:r>
          </w:p>
        </w:tc>
        <w:tc>
          <w:tcPr>
            <w:tcW w:w="720" w:type="dxa"/>
            <w:tcBorders>
              <w:top w:val="nil"/>
              <w:left w:val="nil"/>
              <w:bottom w:val="nil"/>
              <w:right w:val="nil"/>
            </w:tcBorders>
            <w:shd w:val="clear" w:color="000000" w:fill="FAC2C9"/>
            <w:noWrap/>
            <w:vAlign w:val="center"/>
            <w:hideMark/>
          </w:tcPr>
          <w:p w14:paraId="1E01BB9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-0.293</w:t>
            </w:r>
          </w:p>
        </w:tc>
        <w:tc>
          <w:tcPr>
            <w:tcW w:w="720" w:type="dxa"/>
            <w:tcBorders>
              <w:top w:val="nil"/>
              <w:left w:val="nil"/>
              <w:bottom w:val="nil"/>
              <w:right w:val="nil"/>
            </w:tcBorders>
            <w:shd w:val="clear" w:color="000000" w:fill="FAC2C9"/>
            <w:noWrap/>
            <w:vAlign w:val="center"/>
            <w:hideMark/>
          </w:tcPr>
          <w:p w14:paraId="4385B9E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-0.283</w:t>
            </w:r>
          </w:p>
        </w:tc>
        <w:tc>
          <w:tcPr>
            <w:tcW w:w="720" w:type="dxa"/>
            <w:tcBorders>
              <w:top w:val="nil"/>
              <w:left w:val="nil"/>
              <w:bottom w:val="nil"/>
              <w:right w:val="nil"/>
            </w:tcBorders>
            <w:shd w:val="clear" w:color="000000" w:fill="FAC2C9"/>
            <w:noWrap/>
            <w:vAlign w:val="center"/>
            <w:hideMark/>
          </w:tcPr>
          <w:p w14:paraId="7C3A12B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-0.401</w:t>
            </w:r>
          </w:p>
        </w:tc>
        <w:tc>
          <w:tcPr>
            <w:tcW w:w="720" w:type="dxa"/>
            <w:tcBorders>
              <w:top w:val="nil"/>
              <w:left w:val="nil"/>
              <w:bottom w:val="nil"/>
              <w:right w:val="nil"/>
            </w:tcBorders>
            <w:shd w:val="clear" w:color="000000" w:fill="FAC2C9"/>
            <w:noWrap/>
            <w:vAlign w:val="center"/>
            <w:hideMark/>
          </w:tcPr>
          <w:p w14:paraId="5AED902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-0.375</w:t>
            </w:r>
          </w:p>
        </w:tc>
        <w:tc>
          <w:tcPr>
            <w:tcW w:w="720" w:type="dxa"/>
            <w:tcBorders>
              <w:top w:val="nil"/>
              <w:left w:val="nil"/>
              <w:bottom w:val="nil"/>
              <w:right w:val="nil"/>
            </w:tcBorders>
            <w:shd w:val="clear" w:color="000000" w:fill="FAC2C9"/>
            <w:noWrap/>
            <w:vAlign w:val="center"/>
            <w:hideMark/>
          </w:tcPr>
          <w:p w14:paraId="66BF607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-0.499</w:t>
            </w:r>
          </w:p>
        </w:tc>
        <w:tc>
          <w:tcPr>
            <w:tcW w:w="720" w:type="dxa"/>
            <w:tcBorders>
              <w:top w:val="nil"/>
              <w:left w:val="nil"/>
              <w:bottom w:val="nil"/>
              <w:right w:val="nil"/>
            </w:tcBorders>
            <w:shd w:val="clear" w:color="000000" w:fill="FAC2C9"/>
            <w:noWrap/>
            <w:vAlign w:val="center"/>
            <w:hideMark/>
          </w:tcPr>
          <w:p w14:paraId="56E46F3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FAC2C9"/>
            <w:noWrap/>
            <w:vAlign w:val="center"/>
            <w:hideMark/>
          </w:tcPr>
          <w:p w14:paraId="148BCE2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-0.325</w:t>
            </w:r>
          </w:p>
        </w:tc>
        <w:tc>
          <w:tcPr>
            <w:tcW w:w="720" w:type="dxa"/>
            <w:tcBorders>
              <w:top w:val="nil"/>
              <w:left w:val="nil"/>
              <w:bottom w:val="nil"/>
              <w:right w:val="single" w:sz="4" w:space="0" w:color="auto"/>
            </w:tcBorders>
            <w:shd w:val="clear" w:color="000000" w:fill="FAC2C9"/>
            <w:noWrap/>
            <w:vAlign w:val="center"/>
            <w:hideMark/>
          </w:tcPr>
          <w:p w14:paraId="5271607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-0.285</w:t>
            </w:r>
          </w:p>
        </w:tc>
      </w:tr>
      <w:tr w:rsidR="008A7CC8" w:rsidRPr="008A7CC8" w14:paraId="5C39F49C"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0B7CE92"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Sysselsetting per innbygger</w:t>
            </w:r>
          </w:p>
        </w:tc>
        <w:tc>
          <w:tcPr>
            <w:tcW w:w="720" w:type="dxa"/>
            <w:tcBorders>
              <w:top w:val="nil"/>
              <w:left w:val="single" w:sz="4" w:space="0" w:color="auto"/>
              <w:bottom w:val="nil"/>
              <w:right w:val="nil"/>
            </w:tcBorders>
            <w:shd w:val="clear" w:color="000000" w:fill="FFFF99"/>
            <w:noWrap/>
            <w:vAlign w:val="center"/>
            <w:hideMark/>
          </w:tcPr>
          <w:p w14:paraId="467C8D6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0.226</w:t>
            </w:r>
          </w:p>
        </w:tc>
        <w:tc>
          <w:tcPr>
            <w:tcW w:w="720" w:type="dxa"/>
            <w:tcBorders>
              <w:top w:val="nil"/>
              <w:left w:val="nil"/>
              <w:bottom w:val="nil"/>
              <w:right w:val="nil"/>
            </w:tcBorders>
            <w:shd w:val="clear" w:color="000000" w:fill="AFD7BB"/>
            <w:noWrap/>
            <w:vAlign w:val="center"/>
            <w:hideMark/>
          </w:tcPr>
          <w:p w14:paraId="334A9F5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0.525</w:t>
            </w:r>
          </w:p>
        </w:tc>
        <w:tc>
          <w:tcPr>
            <w:tcW w:w="720" w:type="dxa"/>
            <w:tcBorders>
              <w:top w:val="nil"/>
              <w:left w:val="nil"/>
              <w:bottom w:val="nil"/>
              <w:right w:val="nil"/>
            </w:tcBorders>
            <w:shd w:val="clear" w:color="000000" w:fill="D7EBDD"/>
            <w:noWrap/>
            <w:vAlign w:val="center"/>
            <w:hideMark/>
          </w:tcPr>
          <w:p w14:paraId="50D0639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0.474</w:t>
            </w:r>
          </w:p>
        </w:tc>
        <w:tc>
          <w:tcPr>
            <w:tcW w:w="720" w:type="dxa"/>
            <w:tcBorders>
              <w:top w:val="nil"/>
              <w:left w:val="nil"/>
              <w:bottom w:val="nil"/>
              <w:right w:val="nil"/>
            </w:tcBorders>
            <w:shd w:val="clear" w:color="000000" w:fill="D7EBDD"/>
            <w:noWrap/>
            <w:vAlign w:val="center"/>
            <w:hideMark/>
          </w:tcPr>
          <w:p w14:paraId="65886EA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0.429</w:t>
            </w:r>
          </w:p>
        </w:tc>
        <w:tc>
          <w:tcPr>
            <w:tcW w:w="720" w:type="dxa"/>
            <w:tcBorders>
              <w:top w:val="nil"/>
              <w:left w:val="nil"/>
              <w:bottom w:val="nil"/>
              <w:right w:val="nil"/>
            </w:tcBorders>
            <w:shd w:val="clear" w:color="000000" w:fill="D7EBDD"/>
            <w:noWrap/>
            <w:vAlign w:val="center"/>
            <w:hideMark/>
          </w:tcPr>
          <w:p w14:paraId="3E0A6A6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0.471</w:t>
            </w:r>
          </w:p>
        </w:tc>
        <w:tc>
          <w:tcPr>
            <w:tcW w:w="720" w:type="dxa"/>
            <w:tcBorders>
              <w:top w:val="nil"/>
              <w:left w:val="nil"/>
              <w:bottom w:val="nil"/>
              <w:right w:val="nil"/>
            </w:tcBorders>
            <w:shd w:val="clear" w:color="000000" w:fill="AFD7BB"/>
            <w:noWrap/>
            <w:vAlign w:val="center"/>
            <w:hideMark/>
          </w:tcPr>
          <w:p w14:paraId="30A14B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0.554</w:t>
            </w:r>
          </w:p>
        </w:tc>
        <w:tc>
          <w:tcPr>
            <w:tcW w:w="720" w:type="dxa"/>
            <w:tcBorders>
              <w:top w:val="nil"/>
              <w:left w:val="nil"/>
              <w:bottom w:val="nil"/>
              <w:right w:val="nil"/>
            </w:tcBorders>
            <w:shd w:val="clear" w:color="000000" w:fill="AFD7BB"/>
            <w:noWrap/>
            <w:vAlign w:val="center"/>
            <w:hideMark/>
          </w:tcPr>
          <w:p w14:paraId="36DE771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0.552</w:t>
            </w:r>
          </w:p>
        </w:tc>
        <w:tc>
          <w:tcPr>
            <w:tcW w:w="720" w:type="dxa"/>
            <w:tcBorders>
              <w:top w:val="nil"/>
              <w:left w:val="nil"/>
              <w:bottom w:val="nil"/>
              <w:right w:val="nil"/>
            </w:tcBorders>
            <w:shd w:val="clear" w:color="000000" w:fill="AFD7BB"/>
            <w:noWrap/>
            <w:vAlign w:val="center"/>
            <w:hideMark/>
          </w:tcPr>
          <w:p w14:paraId="0F8C6C6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0.546</w:t>
            </w:r>
          </w:p>
        </w:tc>
        <w:tc>
          <w:tcPr>
            <w:tcW w:w="720" w:type="dxa"/>
            <w:tcBorders>
              <w:top w:val="nil"/>
              <w:left w:val="nil"/>
              <w:bottom w:val="nil"/>
              <w:right w:val="nil"/>
            </w:tcBorders>
            <w:shd w:val="clear" w:color="000000" w:fill="AFD7BB"/>
            <w:noWrap/>
            <w:vAlign w:val="center"/>
            <w:hideMark/>
          </w:tcPr>
          <w:p w14:paraId="19276F3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0.540</w:t>
            </w:r>
          </w:p>
        </w:tc>
        <w:tc>
          <w:tcPr>
            <w:tcW w:w="720" w:type="dxa"/>
            <w:tcBorders>
              <w:top w:val="nil"/>
              <w:left w:val="nil"/>
              <w:bottom w:val="nil"/>
              <w:right w:val="nil"/>
            </w:tcBorders>
            <w:shd w:val="clear" w:color="000000" w:fill="D7EBDD"/>
            <w:noWrap/>
            <w:vAlign w:val="center"/>
            <w:hideMark/>
          </w:tcPr>
          <w:p w14:paraId="18E2ECA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0.495</w:t>
            </w:r>
          </w:p>
        </w:tc>
        <w:tc>
          <w:tcPr>
            <w:tcW w:w="720" w:type="dxa"/>
            <w:tcBorders>
              <w:top w:val="nil"/>
              <w:left w:val="nil"/>
              <w:bottom w:val="nil"/>
              <w:right w:val="nil"/>
            </w:tcBorders>
            <w:shd w:val="clear" w:color="000000" w:fill="AFD7BB"/>
            <w:noWrap/>
            <w:vAlign w:val="center"/>
            <w:hideMark/>
          </w:tcPr>
          <w:p w14:paraId="549E4BD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0.570</w:t>
            </w:r>
          </w:p>
        </w:tc>
        <w:tc>
          <w:tcPr>
            <w:tcW w:w="720" w:type="dxa"/>
            <w:tcBorders>
              <w:top w:val="nil"/>
              <w:left w:val="nil"/>
              <w:bottom w:val="nil"/>
              <w:right w:val="nil"/>
            </w:tcBorders>
            <w:shd w:val="clear" w:color="000000" w:fill="AFD7BB"/>
            <w:noWrap/>
            <w:vAlign w:val="center"/>
            <w:hideMark/>
          </w:tcPr>
          <w:p w14:paraId="57D04A4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0.568</w:t>
            </w:r>
          </w:p>
        </w:tc>
        <w:tc>
          <w:tcPr>
            <w:tcW w:w="720" w:type="dxa"/>
            <w:tcBorders>
              <w:top w:val="nil"/>
              <w:left w:val="nil"/>
              <w:bottom w:val="nil"/>
              <w:right w:val="single" w:sz="4" w:space="0" w:color="auto"/>
            </w:tcBorders>
            <w:shd w:val="clear" w:color="000000" w:fill="AFD7BB"/>
            <w:noWrap/>
            <w:vAlign w:val="center"/>
            <w:hideMark/>
          </w:tcPr>
          <w:p w14:paraId="6CBE511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0.534</w:t>
            </w:r>
          </w:p>
        </w:tc>
      </w:tr>
      <w:tr w:rsidR="008A7CC8" w:rsidRPr="008A7CC8" w14:paraId="33E2849F"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669FE48"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Gjennomsnittsalder</w:t>
            </w:r>
          </w:p>
        </w:tc>
        <w:tc>
          <w:tcPr>
            <w:tcW w:w="720" w:type="dxa"/>
            <w:tcBorders>
              <w:top w:val="nil"/>
              <w:left w:val="single" w:sz="4" w:space="0" w:color="auto"/>
              <w:bottom w:val="nil"/>
              <w:right w:val="nil"/>
            </w:tcBorders>
            <w:shd w:val="clear" w:color="000000" w:fill="FFFF99"/>
            <w:noWrap/>
            <w:vAlign w:val="center"/>
            <w:hideMark/>
          </w:tcPr>
          <w:p w14:paraId="1B4CE26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0.240</w:t>
            </w:r>
          </w:p>
        </w:tc>
        <w:tc>
          <w:tcPr>
            <w:tcW w:w="720" w:type="dxa"/>
            <w:tcBorders>
              <w:top w:val="nil"/>
              <w:left w:val="nil"/>
              <w:bottom w:val="nil"/>
              <w:right w:val="nil"/>
            </w:tcBorders>
            <w:shd w:val="clear" w:color="000000" w:fill="FAC2C9"/>
            <w:noWrap/>
            <w:vAlign w:val="center"/>
            <w:hideMark/>
          </w:tcPr>
          <w:p w14:paraId="6F975A5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-0.250</w:t>
            </w:r>
          </w:p>
        </w:tc>
        <w:tc>
          <w:tcPr>
            <w:tcW w:w="720" w:type="dxa"/>
            <w:tcBorders>
              <w:top w:val="nil"/>
              <w:left w:val="nil"/>
              <w:bottom w:val="nil"/>
              <w:right w:val="nil"/>
            </w:tcBorders>
            <w:shd w:val="clear" w:color="000000" w:fill="FABF8F"/>
            <w:noWrap/>
            <w:vAlign w:val="center"/>
            <w:hideMark/>
          </w:tcPr>
          <w:p w14:paraId="1C72C22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-0.203</w:t>
            </w:r>
          </w:p>
        </w:tc>
        <w:tc>
          <w:tcPr>
            <w:tcW w:w="720" w:type="dxa"/>
            <w:tcBorders>
              <w:top w:val="nil"/>
              <w:left w:val="nil"/>
              <w:bottom w:val="nil"/>
              <w:right w:val="nil"/>
            </w:tcBorders>
            <w:shd w:val="clear" w:color="000000" w:fill="FABF8F"/>
            <w:noWrap/>
            <w:vAlign w:val="center"/>
            <w:hideMark/>
          </w:tcPr>
          <w:p w14:paraId="798E611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-0.153</w:t>
            </w:r>
          </w:p>
        </w:tc>
        <w:tc>
          <w:tcPr>
            <w:tcW w:w="720" w:type="dxa"/>
            <w:tcBorders>
              <w:top w:val="nil"/>
              <w:left w:val="nil"/>
              <w:bottom w:val="nil"/>
              <w:right w:val="nil"/>
            </w:tcBorders>
            <w:shd w:val="clear" w:color="000000" w:fill="FABF8F"/>
            <w:noWrap/>
            <w:vAlign w:val="center"/>
            <w:hideMark/>
          </w:tcPr>
          <w:p w14:paraId="662FF8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-0.101</w:t>
            </w:r>
          </w:p>
        </w:tc>
        <w:tc>
          <w:tcPr>
            <w:tcW w:w="720" w:type="dxa"/>
            <w:tcBorders>
              <w:top w:val="nil"/>
              <w:left w:val="nil"/>
              <w:bottom w:val="nil"/>
              <w:right w:val="nil"/>
            </w:tcBorders>
            <w:shd w:val="clear" w:color="000000" w:fill="FABF8F"/>
            <w:noWrap/>
            <w:vAlign w:val="center"/>
            <w:hideMark/>
          </w:tcPr>
          <w:p w14:paraId="596174A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nil"/>
              <w:right w:val="nil"/>
            </w:tcBorders>
            <w:shd w:val="clear" w:color="000000" w:fill="FABF8F"/>
            <w:noWrap/>
            <w:vAlign w:val="center"/>
            <w:hideMark/>
          </w:tcPr>
          <w:p w14:paraId="0AC6024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-0.210</w:t>
            </w:r>
          </w:p>
        </w:tc>
        <w:tc>
          <w:tcPr>
            <w:tcW w:w="720" w:type="dxa"/>
            <w:tcBorders>
              <w:top w:val="nil"/>
              <w:left w:val="nil"/>
              <w:bottom w:val="nil"/>
              <w:right w:val="nil"/>
            </w:tcBorders>
            <w:shd w:val="clear" w:color="000000" w:fill="FABF8F"/>
            <w:noWrap/>
            <w:vAlign w:val="center"/>
            <w:hideMark/>
          </w:tcPr>
          <w:p w14:paraId="6952AAD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nil"/>
              <w:right w:val="nil"/>
            </w:tcBorders>
            <w:shd w:val="clear" w:color="000000" w:fill="FABF8F"/>
            <w:noWrap/>
            <w:vAlign w:val="center"/>
            <w:hideMark/>
          </w:tcPr>
          <w:p w14:paraId="23720C9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-0.226</w:t>
            </w:r>
          </w:p>
        </w:tc>
        <w:tc>
          <w:tcPr>
            <w:tcW w:w="720" w:type="dxa"/>
            <w:tcBorders>
              <w:top w:val="nil"/>
              <w:left w:val="nil"/>
              <w:bottom w:val="nil"/>
              <w:right w:val="nil"/>
            </w:tcBorders>
            <w:shd w:val="clear" w:color="000000" w:fill="FBD4B4"/>
            <w:noWrap/>
            <w:vAlign w:val="center"/>
            <w:hideMark/>
          </w:tcPr>
          <w:p w14:paraId="695B00E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-0.061</w:t>
            </w:r>
          </w:p>
        </w:tc>
        <w:tc>
          <w:tcPr>
            <w:tcW w:w="720" w:type="dxa"/>
            <w:tcBorders>
              <w:top w:val="nil"/>
              <w:left w:val="nil"/>
              <w:bottom w:val="nil"/>
              <w:right w:val="nil"/>
            </w:tcBorders>
            <w:shd w:val="clear" w:color="000000" w:fill="FABF8F"/>
            <w:noWrap/>
            <w:vAlign w:val="center"/>
            <w:hideMark/>
          </w:tcPr>
          <w:p w14:paraId="633EB99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-0.213</w:t>
            </w:r>
          </w:p>
        </w:tc>
        <w:tc>
          <w:tcPr>
            <w:tcW w:w="720" w:type="dxa"/>
            <w:tcBorders>
              <w:top w:val="nil"/>
              <w:left w:val="nil"/>
              <w:bottom w:val="nil"/>
              <w:right w:val="nil"/>
            </w:tcBorders>
            <w:shd w:val="clear" w:color="000000" w:fill="FABF8F"/>
            <w:noWrap/>
            <w:vAlign w:val="center"/>
            <w:hideMark/>
          </w:tcPr>
          <w:p w14:paraId="7863CD7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-0.209</w:t>
            </w:r>
          </w:p>
        </w:tc>
        <w:tc>
          <w:tcPr>
            <w:tcW w:w="720" w:type="dxa"/>
            <w:tcBorders>
              <w:top w:val="nil"/>
              <w:left w:val="nil"/>
              <w:bottom w:val="nil"/>
              <w:right w:val="single" w:sz="4" w:space="0" w:color="auto"/>
            </w:tcBorders>
            <w:shd w:val="clear" w:color="000000" w:fill="FABF8F"/>
            <w:noWrap/>
            <w:vAlign w:val="center"/>
            <w:hideMark/>
          </w:tcPr>
          <w:p w14:paraId="27CE641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-0.182</w:t>
            </w:r>
          </w:p>
        </w:tc>
      </w:tr>
      <w:tr w:rsidR="008A7CC8" w:rsidRPr="008A7CC8" w14:paraId="18923B34"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4069F6E"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Gjennomsnittlig personinntekt</w:t>
            </w:r>
          </w:p>
        </w:tc>
        <w:tc>
          <w:tcPr>
            <w:tcW w:w="720" w:type="dxa"/>
            <w:tcBorders>
              <w:top w:val="nil"/>
              <w:left w:val="single" w:sz="4" w:space="0" w:color="auto"/>
              <w:bottom w:val="nil"/>
              <w:right w:val="nil"/>
            </w:tcBorders>
            <w:shd w:val="clear" w:color="000000" w:fill="FABF8F"/>
            <w:noWrap/>
            <w:vAlign w:val="center"/>
            <w:hideMark/>
          </w:tcPr>
          <w:p w14:paraId="5D1F065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nil"/>
              <w:right w:val="nil"/>
            </w:tcBorders>
            <w:shd w:val="clear" w:color="000000" w:fill="D7EBDD"/>
            <w:noWrap/>
            <w:vAlign w:val="center"/>
            <w:hideMark/>
          </w:tcPr>
          <w:p w14:paraId="0A4421F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D7EBDD"/>
            <w:noWrap/>
            <w:vAlign w:val="center"/>
            <w:hideMark/>
          </w:tcPr>
          <w:p w14:paraId="72D79DB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0.270</w:t>
            </w:r>
          </w:p>
        </w:tc>
        <w:tc>
          <w:tcPr>
            <w:tcW w:w="720" w:type="dxa"/>
            <w:tcBorders>
              <w:top w:val="nil"/>
              <w:left w:val="nil"/>
              <w:bottom w:val="nil"/>
              <w:right w:val="nil"/>
            </w:tcBorders>
            <w:shd w:val="clear" w:color="000000" w:fill="FFFF99"/>
            <w:noWrap/>
            <w:vAlign w:val="center"/>
            <w:hideMark/>
          </w:tcPr>
          <w:p w14:paraId="54CACDB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0.112</w:t>
            </w:r>
          </w:p>
        </w:tc>
        <w:tc>
          <w:tcPr>
            <w:tcW w:w="720" w:type="dxa"/>
            <w:tcBorders>
              <w:top w:val="nil"/>
              <w:left w:val="nil"/>
              <w:bottom w:val="nil"/>
              <w:right w:val="nil"/>
            </w:tcBorders>
            <w:shd w:val="clear" w:color="000000" w:fill="FFFF99"/>
            <w:noWrap/>
            <w:vAlign w:val="center"/>
            <w:hideMark/>
          </w:tcPr>
          <w:p w14:paraId="0343147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0.127</w:t>
            </w:r>
          </w:p>
        </w:tc>
        <w:tc>
          <w:tcPr>
            <w:tcW w:w="720" w:type="dxa"/>
            <w:tcBorders>
              <w:top w:val="nil"/>
              <w:left w:val="nil"/>
              <w:bottom w:val="nil"/>
              <w:right w:val="nil"/>
            </w:tcBorders>
            <w:shd w:val="clear" w:color="000000" w:fill="FFFF99"/>
            <w:noWrap/>
            <w:vAlign w:val="center"/>
            <w:hideMark/>
          </w:tcPr>
          <w:p w14:paraId="3F73EB8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0.219</w:t>
            </w:r>
          </w:p>
        </w:tc>
        <w:tc>
          <w:tcPr>
            <w:tcW w:w="720" w:type="dxa"/>
            <w:tcBorders>
              <w:top w:val="nil"/>
              <w:left w:val="nil"/>
              <w:bottom w:val="nil"/>
              <w:right w:val="nil"/>
            </w:tcBorders>
            <w:shd w:val="clear" w:color="000000" w:fill="FFFF99"/>
            <w:noWrap/>
            <w:vAlign w:val="center"/>
            <w:hideMark/>
          </w:tcPr>
          <w:p w14:paraId="5D20320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0.238</w:t>
            </w:r>
          </w:p>
        </w:tc>
        <w:tc>
          <w:tcPr>
            <w:tcW w:w="720" w:type="dxa"/>
            <w:tcBorders>
              <w:top w:val="nil"/>
              <w:left w:val="nil"/>
              <w:bottom w:val="nil"/>
              <w:right w:val="nil"/>
            </w:tcBorders>
            <w:shd w:val="clear" w:color="000000" w:fill="FFFF99"/>
            <w:noWrap/>
            <w:vAlign w:val="center"/>
            <w:hideMark/>
          </w:tcPr>
          <w:p w14:paraId="372D058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0.220</w:t>
            </w:r>
          </w:p>
        </w:tc>
        <w:tc>
          <w:tcPr>
            <w:tcW w:w="720" w:type="dxa"/>
            <w:tcBorders>
              <w:top w:val="nil"/>
              <w:left w:val="nil"/>
              <w:bottom w:val="nil"/>
              <w:right w:val="nil"/>
            </w:tcBorders>
            <w:shd w:val="clear" w:color="000000" w:fill="FFFF99"/>
            <w:noWrap/>
            <w:vAlign w:val="center"/>
            <w:hideMark/>
          </w:tcPr>
          <w:p w14:paraId="553AAA1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0.249</w:t>
            </w:r>
          </w:p>
        </w:tc>
        <w:tc>
          <w:tcPr>
            <w:tcW w:w="720" w:type="dxa"/>
            <w:tcBorders>
              <w:top w:val="nil"/>
              <w:left w:val="nil"/>
              <w:bottom w:val="nil"/>
              <w:right w:val="nil"/>
            </w:tcBorders>
            <w:shd w:val="clear" w:color="000000" w:fill="FFFF99"/>
            <w:noWrap/>
            <w:vAlign w:val="center"/>
            <w:hideMark/>
          </w:tcPr>
          <w:p w14:paraId="469D2E1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0.118</w:t>
            </w:r>
          </w:p>
        </w:tc>
        <w:tc>
          <w:tcPr>
            <w:tcW w:w="720" w:type="dxa"/>
            <w:tcBorders>
              <w:top w:val="nil"/>
              <w:left w:val="nil"/>
              <w:bottom w:val="nil"/>
              <w:right w:val="nil"/>
            </w:tcBorders>
            <w:shd w:val="clear" w:color="000000" w:fill="D7EBDD"/>
            <w:noWrap/>
            <w:vAlign w:val="center"/>
            <w:hideMark/>
          </w:tcPr>
          <w:p w14:paraId="16FD34F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c>
          <w:tcPr>
            <w:tcW w:w="720" w:type="dxa"/>
            <w:tcBorders>
              <w:top w:val="nil"/>
              <w:left w:val="nil"/>
              <w:bottom w:val="nil"/>
              <w:right w:val="nil"/>
            </w:tcBorders>
            <w:shd w:val="clear" w:color="000000" w:fill="FFFF99"/>
            <w:noWrap/>
            <w:vAlign w:val="center"/>
            <w:hideMark/>
          </w:tcPr>
          <w:p w14:paraId="0AE5CC1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0.248</w:t>
            </w:r>
          </w:p>
        </w:tc>
        <w:tc>
          <w:tcPr>
            <w:tcW w:w="720" w:type="dxa"/>
            <w:tcBorders>
              <w:top w:val="nil"/>
              <w:left w:val="nil"/>
              <w:bottom w:val="nil"/>
              <w:right w:val="single" w:sz="4" w:space="0" w:color="auto"/>
            </w:tcBorders>
            <w:shd w:val="clear" w:color="000000" w:fill="FFFF99"/>
            <w:noWrap/>
            <w:vAlign w:val="center"/>
            <w:hideMark/>
          </w:tcPr>
          <w:p w14:paraId="2CD23D9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0.209</w:t>
            </w:r>
          </w:p>
        </w:tc>
      </w:tr>
      <w:tr w:rsidR="008A7CC8" w:rsidRPr="008A7CC8" w14:paraId="3DE4BF64"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CF5EFD7"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med høyere utdanning</w:t>
            </w:r>
          </w:p>
        </w:tc>
        <w:tc>
          <w:tcPr>
            <w:tcW w:w="720" w:type="dxa"/>
            <w:tcBorders>
              <w:top w:val="nil"/>
              <w:left w:val="single" w:sz="4" w:space="0" w:color="auto"/>
              <w:bottom w:val="nil"/>
              <w:right w:val="nil"/>
            </w:tcBorders>
            <w:shd w:val="clear" w:color="000000" w:fill="F48594"/>
            <w:noWrap/>
            <w:vAlign w:val="center"/>
            <w:hideMark/>
          </w:tcPr>
          <w:p w14:paraId="41FEDC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-0.565</w:t>
            </w:r>
          </w:p>
        </w:tc>
        <w:tc>
          <w:tcPr>
            <w:tcW w:w="720" w:type="dxa"/>
            <w:tcBorders>
              <w:top w:val="nil"/>
              <w:left w:val="nil"/>
              <w:bottom w:val="nil"/>
              <w:right w:val="nil"/>
            </w:tcBorders>
            <w:shd w:val="clear" w:color="000000" w:fill="FABF8F"/>
            <w:noWrap/>
            <w:vAlign w:val="center"/>
            <w:hideMark/>
          </w:tcPr>
          <w:p w14:paraId="695FF81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-0.121</w:t>
            </w:r>
          </w:p>
        </w:tc>
        <w:tc>
          <w:tcPr>
            <w:tcW w:w="720" w:type="dxa"/>
            <w:tcBorders>
              <w:top w:val="nil"/>
              <w:left w:val="nil"/>
              <w:bottom w:val="nil"/>
              <w:right w:val="nil"/>
            </w:tcBorders>
            <w:shd w:val="clear" w:color="000000" w:fill="FAC2C9"/>
            <w:noWrap/>
            <w:vAlign w:val="center"/>
            <w:hideMark/>
          </w:tcPr>
          <w:p w14:paraId="21BCA52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-0.255</w:t>
            </w:r>
          </w:p>
        </w:tc>
        <w:tc>
          <w:tcPr>
            <w:tcW w:w="720" w:type="dxa"/>
            <w:tcBorders>
              <w:top w:val="nil"/>
              <w:left w:val="nil"/>
              <w:bottom w:val="nil"/>
              <w:right w:val="nil"/>
            </w:tcBorders>
            <w:shd w:val="clear" w:color="000000" w:fill="FABF8F"/>
            <w:noWrap/>
            <w:vAlign w:val="center"/>
            <w:hideMark/>
          </w:tcPr>
          <w:p w14:paraId="5D17AD9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-0.228</w:t>
            </w:r>
          </w:p>
        </w:tc>
        <w:tc>
          <w:tcPr>
            <w:tcW w:w="720" w:type="dxa"/>
            <w:tcBorders>
              <w:top w:val="nil"/>
              <w:left w:val="nil"/>
              <w:bottom w:val="nil"/>
              <w:right w:val="nil"/>
            </w:tcBorders>
            <w:shd w:val="clear" w:color="000000" w:fill="FABF8F"/>
            <w:noWrap/>
            <w:vAlign w:val="center"/>
            <w:hideMark/>
          </w:tcPr>
          <w:p w14:paraId="706C5CF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-0.154</w:t>
            </w:r>
          </w:p>
        </w:tc>
        <w:tc>
          <w:tcPr>
            <w:tcW w:w="720" w:type="dxa"/>
            <w:tcBorders>
              <w:top w:val="nil"/>
              <w:left w:val="nil"/>
              <w:bottom w:val="nil"/>
              <w:right w:val="nil"/>
            </w:tcBorders>
            <w:shd w:val="clear" w:color="000000" w:fill="FBD4B4"/>
            <w:noWrap/>
            <w:vAlign w:val="center"/>
            <w:hideMark/>
          </w:tcPr>
          <w:p w14:paraId="08365B8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-0.054</w:t>
            </w:r>
          </w:p>
        </w:tc>
        <w:tc>
          <w:tcPr>
            <w:tcW w:w="720" w:type="dxa"/>
            <w:tcBorders>
              <w:top w:val="nil"/>
              <w:left w:val="nil"/>
              <w:bottom w:val="nil"/>
              <w:right w:val="nil"/>
            </w:tcBorders>
            <w:shd w:val="clear" w:color="000000" w:fill="FBD4B4"/>
            <w:noWrap/>
            <w:vAlign w:val="center"/>
            <w:hideMark/>
          </w:tcPr>
          <w:p w14:paraId="2861F2B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-0.057</w:t>
            </w:r>
          </w:p>
        </w:tc>
        <w:tc>
          <w:tcPr>
            <w:tcW w:w="720" w:type="dxa"/>
            <w:tcBorders>
              <w:top w:val="nil"/>
              <w:left w:val="nil"/>
              <w:bottom w:val="nil"/>
              <w:right w:val="nil"/>
            </w:tcBorders>
            <w:shd w:val="clear" w:color="000000" w:fill="FBD4B4"/>
            <w:noWrap/>
            <w:vAlign w:val="center"/>
            <w:hideMark/>
          </w:tcPr>
          <w:p w14:paraId="50A9BB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-0.048</w:t>
            </w:r>
          </w:p>
        </w:tc>
        <w:tc>
          <w:tcPr>
            <w:tcW w:w="720" w:type="dxa"/>
            <w:tcBorders>
              <w:top w:val="nil"/>
              <w:left w:val="nil"/>
              <w:bottom w:val="nil"/>
              <w:right w:val="nil"/>
            </w:tcBorders>
            <w:shd w:val="clear" w:color="000000" w:fill="FBD4B4"/>
            <w:noWrap/>
            <w:vAlign w:val="center"/>
            <w:hideMark/>
          </w:tcPr>
          <w:p w14:paraId="1A8F3B0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720" w:type="dxa"/>
            <w:tcBorders>
              <w:top w:val="nil"/>
              <w:left w:val="nil"/>
              <w:bottom w:val="nil"/>
              <w:right w:val="nil"/>
            </w:tcBorders>
            <w:shd w:val="clear" w:color="000000" w:fill="FABF8F"/>
            <w:noWrap/>
            <w:vAlign w:val="center"/>
            <w:hideMark/>
          </w:tcPr>
          <w:p w14:paraId="03D8FA0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-0.151</w:t>
            </w:r>
          </w:p>
        </w:tc>
        <w:tc>
          <w:tcPr>
            <w:tcW w:w="720" w:type="dxa"/>
            <w:tcBorders>
              <w:top w:val="nil"/>
              <w:left w:val="nil"/>
              <w:bottom w:val="nil"/>
              <w:right w:val="nil"/>
            </w:tcBorders>
            <w:shd w:val="clear" w:color="000000" w:fill="FBD4B4"/>
            <w:noWrap/>
            <w:vAlign w:val="center"/>
            <w:hideMark/>
          </w:tcPr>
          <w:p w14:paraId="35FBA62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-0.025</w:t>
            </w:r>
          </w:p>
        </w:tc>
        <w:tc>
          <w:tcPr>
            <w:tcW w:w="720" w:type="dxa"/>
            <w:tcBorders>
              <w:top w:val="nil"/>
              <w:left w:val="nil"/>
              <w:bottom w:val="nil"/>
              <w:right w:val="nil"/>
            </w:tcBorders>
            <w:shd w:val="clear" w:color="000000" w:fill="FBD4B4"/>
            <w:noWrap/>
            <w:vAlign w:val="center"/>
            <w:hideMark/>
          </w:tcPr>
          <w:p w14:paraId="1221B2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-0.028</w:t>
            </w:r>
          </w:p>
        </w:tc>
        <w:tc>
          <w:tcPr>
            <w:tcW w:w="720" w:type="dxa"/>
            <w:tcBorders>
              <w:top w:val="nil"/>
              <w:left w:val="nil"/>
              <w:bottom w:val="nil"/>
              <w:right w:val="single" w:sz="4" w:space="0" w:color="auto"/>
            </w:tcBorders>
            <w:shd w:val="clear" w:color="000000" w:fill="FBD4B4"/>
            <w:noWrap/>
            <w:vAlign w:val="center"/>
            <w:hideMark/>
          </w:tcPr>
          <w:p w14:paraId="31CDC3F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-0.068</w:t>
            </w:r>
          </w:p>
        </w:tc>
      </w:tr>
      <w:tr w:rsidR="008A7CC8" w:rsidRPr="008A7CC8" w14:paraId="5952F3E1"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0B8F2A2F"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Sysselsatte arbeidssted over bosted</w:t>
            </w:r>
          </w:p>
        </w:tc>
        <w:tc>
          <w:tcPr>
            <w:tcW w:w="720" w:type="dxa"/>
            <w:tcBorders>
              <w:top w:val="nil"/>
              <w:left w:val="single" w:sz="4" w:space="0" w:color="auto"/>
              <w:bottom w:val="nil"/>
              <w:right w:val="nil"/>
            </w:tcBorders>
            <w:shd w:val="clear" w:color="000000" w:fill="AFD7BB"/>
            <w:noWrap/>
            <w:vAlign w:val="center"/>
            <w:hideMark/>
          </w:tcPr>
          <w:p w14:paraId="0E52122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0.522</w:t>
            </w:r>
          </w:p>
        </w:tc>
        <w:tc>
          <w:tcPr>
            <w:tcW w:w="720" w:type="dxa"/>
            <w:tcBorders>
              <w:top w:val="nil"/>
              <w:left w:val="nil"/>
              <w:bottom w:val="nil"/>
              <w:right w:val="nil"/>
            </w:tcBorders>
            <w:shd w:val="clear" w:color="000000" w:fill="AFD7BB"/>
            <w:noWrap/>
            <w:vAlign w:val="center"/>
            <w:hideMark/>
          </w:tcPr>
          <w:p w14:paraId="7D8F748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0.539</w:t>
            </w:r>
          </w:p>
        </w:tc>
        <w:tc>
          <w:tcPr>
            <w:tcW w:w="720" w:type="dxa"/>
            <w:tcBorders>
              <w:top w:val="nil"/>
              <w:left w:val="nil"/>
              <w:bottom w:val="nil"/>
              <w:right w:val="nil"/>
            </w:tcBorders>
            <w:shd w:val="clear" w:color="000000" w:fill="AFD7BB"/>
            <w:noWrap/>
            <w:vAlign w:val="center"/>
            <w:hideMark/>
          </w:tcPr>
          <w:p w14:paraId="037548E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0.549</w:t>
            </w:r>
          </w:p>
        </w:tc>
        <w:tc>
          <w:tcPr>
            <w:tcW w:w="720" w:type="dxa"/>
            <w:tcBorders>
              <w:top w:val="nil"/>
              <w:left w:val="nil"/>
              <w:bottom w:val="nil"/>
              <w:right w:val="nil"/>
            </w:tcBorders>
            <w:shd w:val="clear" w:color="000000" w:fill="AFD7BB"/>
            <w:noWrap/>
            <w:vAlign w:val="center"/>
            <w:hideMark/>
          </w:tcPr>
          <w:p w14:paraId="457A060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0.688</w:t>
            </w:r>
          </w:p>
        </w:tc>
        <w:tc>
          <w:tcPr>
            <w:tcW w:w="720" w:type="dxa"/>
            <w:tcBorders>
              <w:top w:val="nil"/>
              <w:left w:val="nil"/>
              <w:bottom w:val="nil"/>
              <w:right w:val="nil"/>
            </w:tcBorders>
            <w:shd w:val="clear" w:color="000000" w:fill="AFD7BB"/>
            <w:noWrap/>
            <w:vAlign w:val="center"/>
            <w:hideMark/>
          </w:tcPr>
          <w:p w14:paraId="7545308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0.650</w:t>
            </w:r>
          </w:p>
        </w:tc>
        <w:tc>
          <w:tcPr>
            <w:tcW w:w="720" w:type="dxa"/>
            <w:tcBorders>
              <w:top w:val="nil"/>
              <w:left w:val="nil"/>
              <w:bottom w:val="nil"/>
              <w:right w:val="nil"/>
            </w:tcBorders>
            <w:shd w:val="clear" w:color="000000" w:fill="AFD7BB"/>
            <w:noWrap/>
            <w:vAlign w:val="center"/>
            <w:hideMark/>
          </w:tcPr>
          <w:p w14:paraId="7A636E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0.614</w:t>
            </w:r>
          </w:p>
        </w:tc>
        <w:tc>
          <w:tcPr>
            <w:tcW w:w="720" w:type="dxa"/>
            <w:tcBorders>
              <w:top w:val="nil"/>
              <w:left w:val="nil"/>
              <w:bottom w:val="nil"/>
              <w:right w:val="nil"/>
            </w:tcBorders>
            <w:shd w:val="clear" w:color="000000" w:fill="AFD7BB"/>
            <w:noWrap/>
            <w:vAlign w:val="center"/>
            <w:hideMark/>
          </w:tcPr>
          <w:p w14:paraId="53950A6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0.649</w:t>
            </w:r>
          </w:p>
        </w:tc>
        <w:tc>
          <w:tcPr>
            <w:tcW w:w="720" w:type="dxa"/>
            <w:tcBorders>
              <w:top w:val="nil"/>
              <w:left w:val="nil"/>
              <w:bottom w:val="nil"/>
              <w:right w:val="nil"/>
            </w:tcBorders>
            <w:shd w:val="clear" w:color="000000" w:fill="AFD7BB"/>
            <w:noWrap/>
            <w:vAlign w:val="center"/>
            <w:hideMark/>
          </w:tcPr>
          <w:p w14:paraId="17BC58D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0.691</w:t>
            </w:r>
          </w:p>
        </w:tc>
        <w:tc>
          <w:tcPr>
            <w:tcW w:w="720" w:type="dxa"/>
            <w:tcBorders>
              <w:top w:val="nil"/>
              <w:left w:val="nil"/>
              <w:bottom w:val="nil"/>
              <w:right w:val="nil"/>
            </w:tcBorders>
            <w:shd w:val="clear" w:color="000000" w:fill="AFD7BB"/>
            <w:noWrap/>
            <w:vAlign w:val="center"/>
            <w:hideMark/>
          </w:tcPr>
          <w:p w14:paraId="2FA9515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0.737</w:t>
            </w:r>
          </w:p>
        </w:tc>
        <w:tc>
          <w:tcPr>
            <w:tcW w:w="720" w:type="dxa"/>
            <w:tcBorders>
              <w:top w:val="nil"/>
              <w:left w:val="nil"/>
              <w:bottom w:val="nil"/>
              <w:right w:val="nil"/>
            </w:tcBorders>
            <w:shd w:val="clear" w:color="000000" w:fill="AFD7BB"/>
            <w:noWrap/>
            <w:vAlign w:val="center"/>
            <w:hideMark/>
          </w:tcPr>
          <w:p w14:paraId="0DA2BF5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0.667</w:t>
            </w:r>
          </w:p>
        </w:tc>
        <w:tc>
          <w:tcPr>
            <w:tcW w:w="720" w:type="dxa"/>
            <w:tcBorders>
              <w:top w:val="nil"/>
              <w:left w:val="nil"/>
              <w:bottom w:val="nil"/>
              <w:right w:val="nil"/>
            </w:tcBorders>
            <w:shd w:val="clear" w:color="000000" w:fill="AFD7BB"/>
            <w:noWrap/>
            <w:vAlign w:val="center"/>
            <w:hideMark/>
          </w:tcPr>
          <w:p w14:paraId="379337A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0.676</w:t>
            </w:r>
          </w:p>
        </w:tc>
        <w:tc>
          <w:tcPr>
            <w:tcW w:w="720" w:type="dxa"/>
            <w:tcBorders>
              <w:top w:val="nil"/>
              <w:left w:val="nil"/>
              <w:bottom w:val="nil"/>
              <w:right w:val="nil"/>
            </w:tcBorders>
            <w:shd w:val="clear" w:color="000000" w:fill="AFD7BB"/>
            <w:noWrap/>
            <w:vAlign w:val="center"/>
            <w:hideMark/>
          </w:tcPr>
          <w:p w14:paraId="25CC0E9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0.670</w:t>
            </w:r>
          </w:p>
        </w:tc>
        <w:tc>
          <w:tcPr>
            <w:tcW w:w="720" w:type="dxa"/>
            <w:tcBorders>
              <w:top w:val="nil"/>
              <w:left w:val="nil"/>
              <w:bottom w:val="nil"/>
              <w:right w:val="single" w:sz="4" w:space="0" w:color="auto"/>
            </w:tcBorders>
            <w:shd w:val="clear" w:color="000000" w:fill="AFD7BB"/>
            <w:noWrap/>
            <w:vAlign w:val="center"/>
            <w:hideMark/>
          </w:tcPr>
          <w:p w14:paraId="205789E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0.640</w:t>
            </w:r>
          </w:p>
        </w:tc>
      </w:tr>
      <w:tr w:rsidR="008A7CC8" w:rsidRPr="008A7CC8" w14:paraId="06F92662"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E62F413"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Herfindahl-indeks, næringskonsentrasjon</w:t>
            </w:r>
          </w:p>
        </w:tc>
        <w:tc>
          <w:tcPr>
            <w:tcW w:w="720" w:type="dxa"/>
            <w:tcBorders>
              <w:top w:val="nil"/>
              <w:left w:val="single" w:sz="4" w:space="0" w:color="auto"/>
              <w:bottom w:val="nil"/>
              <w:right w:val="nil"/>
            </w:tcBorders>
            <w:shd w:val="clear" w:color="000000" w:fill="FAC2C9"/>
            <w:noWrap/>
            <w:vAlign w:val="center"/>
            <w:hideMark/>
          </w:tcPr>
          <w:p w14:paraId="153A67F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-0.399</w:t>
            </w:r>
          </w:p>
        </w:tc>
        <w:tc>
          <w:tcPr>
            <w:tcW w:w="720" w:type="dxa"/>
            <w:tcBorders>
              <w:top w:val="nil"/>
              <w:left w:val="nil"/>
              <w:bottom w:val="nil"/>
              <w:right w:val="nil"/>
            </w:tcBorders>
            <w:shd w:val="clear" w:color="000000" w:fill="F48594"/>
            <w:noWrap/>
            <w:vAlign w:val="center"/>
            <w:hideMark/>
          </w:tcPr>
          <w:p w14:paraId="7CB3AAF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-0.611</w:t>
            </w:r>
          </w:p>
        </w:tc>
        <w:tc>
          <w:tcPr>
            <w:tcW w:w="720" w:type="dxa"/>
            <w:tcBorders>
              <w:top w:val="nil"/>
              <w:left w:val="nil"/>
              <w:bottom w:val="nil"/>
              <w:right w:val="nil"/>
            </w:tcBorders>
            <w:shd w:val="clear" w:color="000000" w:fill="F48594"/>
            <w:noWrap/>
            <w:vAlign w:val="center"/>
            <w:hideMark/>
          </w:tcPr>
          <w:p w14:paraId="13B210E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-0.564</w:t>
            </w:r>
          </w:p>
        </w:tc>
        <w:tc>
          <w:tcPr>
            <w:tcW w:w="720" w:type="dxa"/>
            <w:tcBorders>
              <w:top w:val="nil"/>
              <w:left w:val="nil"/>
              <w:bottom w:val="nil"/>
              <w:right w:val="nil"/>
            </w:tcBorders>
            <w:shd w:val="clear" w:color="000000" w:fill="EF485F"/>
            <w:noWrap/>
            <w:vAlign w:val="center"/>
            <w:hideMark/>
          </w:tcPr>
          <w:p w14:paraId="313F6C0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-0.788</w:t>
            </w:r>
          </w:p>
        </w:tc>
        <w:tc>
          <w:tcPr>
            <w:tcW w:w="720" w:type="dxa"/>
            <w:tcBorders>
              <w:top w:val="nil"/>
              <w:left w:val="nil"/>
              <w:bottom w:val="nil"/>
              <w:right w:val="nil"/>
            </w:tcBorders>
            <w:shd w:val="clear" w:color="000000" w:fill="F48594"/>
            <w:noWrap/>
            <w:vAlign w:val="center"/>
            <w:hideMark/>
          </w:tcPr>
          <w:p w14:paraId="691FF0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-0.653</w:t>
            </w:r>
          </w:p>
        </w:tc>
        <w:tc>
          <w:tcPr>
            <w:tcW w:w="720" w:type="dxa"/>
            <w:tcBorders>
              <w:top w:val="nil"/>
              <w:left w:val="nil"/>
              <w:bottom w:val="nil"/>
              <w:right w:val="nil"/>
            </w:tcBorders>
            <w:shd w:val="clear" w:color="000000" w:fill="F48594"/>
            <w:noWrap/>
            <w:vAlign w:val="center"/>
            <w:hideMark/>
          </w:tcPr>
          <w:p w14:paraId="095C514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-0.736</w:t>
            </w:r>
          </w:p>
        </w:tc>
        <w:tc>
          <w:tcPr>
            <w:tcW w:w="720" w:type="dxa"/>
            <w:tcBorders>
              <w:top w:val="nil"/>
              <w:left w:val="nil"/>
              <w:bottom w:val="nil"/>
              <w:right w:val="nil"/>
            </w:tcBorders>
            <w:shd w:val="clear" w:color="000000" w:fill="F48594"/>
            <w:noWrap/>
            <w:vAlign w:val="center"/>
            <w:hideMark/>
          </w:tcPr>
          <w:p w14:paraId="35A6D48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-0.732</w:t>
            </w:r>
          </w:p>
        </w:tc>
        <w:tc>
          <w:tcPr>
            <w:tcW w:w="720" w:type="dxa"/>
            <w:tcBorders>
              <w:top w:val="nil"/>
              <w:left w:val="nil"/>
              <w:bottom w:val="nil"/>
              <w:right w:val="nil"/>
            </w:tcBorders>
            <w:shd w:val="clear" w:color="000000" w:fill="F48594"/>
            <w:noWrap/>
            <w:vAlign w:val="center"/>
            <w:hideMark/>
          </w:tcPr>
          <w:p w14:paraId="5C3420A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-0.739</w:t>
            </w:r>
          </w:p>
        </w:tc>
        <w:tc>
          <w:tcPr>
            <w:tcW w:w="720" w:type="dxa"/>
            <w:tcBorders>
              <w:top w:val="nil"/>
              <w:left w:val="nil"/>
              <w:bottom w:val="nil"/>
              <w:right w:val="nil"/>
            </w:tcBorders>
            <w:shd w:val="clear" w:color="000000" w:fill="F48594"/>
            <w:noWrap/>
            <w:vAlign w:val="center"/>
            <w:hideMark/>
          </w:tcPr>
          <w:p w14:paraId="56D65A5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-0.727</w:t>
            </w:r>
          </w:p>
        </w:tc>
        <w:tc>
          <w:tcPr>
            <w:tcW w:w="720" w:type="dxa"/>
            <w:tcBorders>
              <w:top w:val="nil"/>
              <w:left w:val="nil"/>
              <w:bottom w:val="nil"/>
              <w:right w:val="nil"/>
            </w:tcBorders>
            <w:shd w:val="clear" w:color="000000" w:fill="F48594"/>
            <w:noWrap/>
            <w:vAlign w:val="center"/>
            <w:hideMark/>
          </w:tcPr>
          <w:p w14:paraId="7853F4F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-0.716</w:t>
            </w:r>
          </w:p>
        </w:tc>
        <w:tc>
          <w:tcPr>
            <w:tcW w:w="720" w:type="dxa"/>
            <w:tcBorders>
              <w:top w:val="nil"/>
              <w:left w:val="nil"/>
              <w:bottom w:val="nil"/>
              <w:right w:val="nil"/>
            </w:tcBorders>
            <w:shd w:val="clear" w:color="000000" w:fill="F48594"/>
            <w:noWrap/>
            <w:vAlign w:val="center"/>
            <w:hideMark/>
          </w:tcPr>
          <w:p w14:paraId="47E8DD1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-0.746</w:t>
            </w:r>
          </w:p>
        </w:tc>
        <w:tc>
          <w:tcPr>
            <w:tcW w:w="720" w:type="dxa"/>
            <w:tcBorders>
              <w:top w:val="nil"/>
              <w:left w:val="nil"/>
              <w:bottom w:val="nil"/>
              <w:right w:val="nil"/>
            </w:tcBorders>
            <w:shd w:val="clear" w:color="000000" w:fill="F48594"/>
            <w:noWrap/>
            <w:vAlign w:val="center"/>
            <w:hideMark/>
          </w:tcPr>
          <w:p w14:paraId="4B770B9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-0.745</w:t>
            </w:r>
          </w:p>
        </w:tc>
        <w:tc>
          <w:tcPr>
            <w:tcW w:w="720" w:type="dxa"/>
            <w:tcBorders>
              <w:top w:val="nil"/>
              <w:left w:val="nil"/>
              <w:bottom w:val="nil"/>
              <w:right w:val="single" w:sz="4" w:space="0" w:color="auto"/>
            </w:tcBorders>
            <w:shd w:val="clear" w:color="000000" w:fill="F48594"/>
            <w:noWrap/>
            <w:vAlign w:val="center"/>
            <w:hideMark/>
          </w:tcPr>
          <w:p w14:paraId="3104248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-0.738</w:t>
            </w:r>
          </w:p>
        </w:tc>
      </w:tr>
      <w:tr w:rsidR="008A7CC8" w:rsidRPr="008A7CC8" w14:paraId="722924FF"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F4235F3"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vareproduksjon</w:t>
            </w:r>
          </w:p>
        </w:tc>
        <w:tc>
          <w:tcPr>
            <w:tcW w:w="720" w:type="dxa"/>
            <w:tcBorders>
              <w:top w:val="nil"/>
              <w:left w:val="single" w:sz="4" w:space="0" w:color="auto"/>
              <w:bottom w:val="nil"/>
              <w:right w:val="nil"/>
            </w:tcBorders>
            <w:shd w:val="clear" w:color="000000" w:fill="FBD4B4"/>
            <w:noWrap/>
            <w:vAlign w:val="center"/>
            <w:hideMark/>
          </w:tcPr>
          <w:p w14:paraId="4A1C758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-0.035</w:t>
            </w:r>
          </w:p>
        </w:tc>
        <w:tc>
          <w:tcPr>
            <w:tcW w:w="720" w:type="dxa"/>
            <w:tcBorders>
              <w:top w:val="nil"/>
              <w:left w:val="nil"/>
              <w:bottom w:val="nil"/>
              <w:right w:val="nil"/>
            </w:tcBorders>
            <w:shd w:val="clear" w:color="000000" w:fill="D7EBDD"/>
            <w:noWrap/>
            <w:vAlign w:val="center"/>
            <w:hideMark/>
          </w:tcPr>
          <w:p w14:paraId="40D5BC7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0.314</w:t>
            </w:r>
          </w:p>
        </w:tc>
        <w:tc>
          <w:tcPr>
            <w:tcW w:w="720" w:type="dxa"/>
            <w:tcBorders>
              <w:top w:val="nil"/>
              <w:left w:val="nil"/>
              <w:bottom w:val="nil"/>
              <w:right w:val="nil"/>
            </w:tcBorders>
            <w:shd w:val="clear" w:color="000000" w:fill="D7EBDD"/>
            <w:noWrap/>
            <w:vAlign w:val="center"/>
            <w:hideMark/>
          </w:tcPr>
          <w:p w14:paraId="62AC2E2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0.380</w:t>
            </w:r>
          </w:p>
        </w:tc>
        <w:tc>
          <w:tcPr>
            <w:tcW w:w="720" w:type="dxa"/>
            <w:tcBorders>
              <w:top w:val="nil"/>
              <w:left w:val="nil"/>
              <w:bottom w:val="nil"/>
              <w:right w:val="nil"/>
            </w:tcBorders>
            <w:shd w:val="clear" w:color="000000" w:fill="D7EBDD"/>
            <w:noWrap/>
            <w:vAlign w:val="center"/>
            <w:hideMark/>
          </w:tcPr>
          <w:p w14:paraId="02741B0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0.257</w:t>
            </w:r>
          </w:p>
        </w:tc>
        <w:tc>
          <w:tcPr>
            <w:tcW w:w="720" w:type="dxa"/>
            <w:tcBorders>
              <w:top w:val="nil"/>
              <w:left w:val="nil"/>
              <w:bottom w:val="nil"/>
              <w:right w:val="nil"/>
            </w:tcBorders>
            <w:shd w:val="clear" w:color="000000" w:fill="FFFF99"/>
            <w:noWrap/>
            <w:vAlign w:val="center"/>
            <w:hideMark/>
          </w:tcPr>
          <w:p w14:paraId="3B3D117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0.112</w:t>
            </w:r>
          </w:p>
        </w:tc>
        <w:tc>
          <w:tcPr>
            <w:tcW w:w="720" w:type="dxa"/>
            <w:tcBorders>
              <w:top w:val="nil"/>
              <w:left w:val="nil"/>
              <w:bottom w:val="nil"/>
              <w:right w:val="nil"/>
            </w:tcBorders>
            <w:shd w:val="clear" w:color="000000" w:fill="FFFF99"/>
            <w:noWrap/>
            <w:vAlign w:val="center"/>
            <w:hideMark/>
          </w:tcPr>
          <w:p w14:paraId="30D2DD3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nil"/>
            </w:tcBorders>
            <w:shd w:val="clear" w:color="000000" w:fill="FFFF99"/>
            <w:noWrap/>
            <w:vAlign w:val="center"/>
            <w:hideMark/>
          </w:tcPr>
          <w:p w14:paraId="247E5F0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0.235</w:t>
            </w:r>
          </w:p>
        </w:tc>
        <w:tc>
          <w:tcPr>
            <w:tcW w:w="720" w:type="dxa"/>
            <w:tcBorders>
              <w:top w:val="nil"/>
              <w:left w:val="nil"/>
              <w:bottom w:val="nil"/>
              <w:right w:val="nil"/>
            </w:tcBorders>
            <w:shd w:val="clear" w:color="000000" w:fill="FFFF99"/>
            <w:noWrap/>
            <w:vAlign w:val="center"/>
            <w:hideMark/>
          </w:tcPr>
          <w:p w14:paraId="1F11532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nil"/>
            </w:tcBorders>
            <w:shd w:val="clear" w:color="000000" w:fill="D7EBDD"/>
            <w:noWrap/>
            <w:vAlign w:val="center"/>
            <w:hideMark/>
          </w:tcPr>
          <w:p w14:paraId="76B012C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0.264</w:t>
            </w:r>
          </w:p>
        </w:tc>
        <w:tc>
          <w:tcPr>
            <w:tcW w:w="720" w:type="dxa"/>
            <w:tcBorders>
              <w:top w:val="nil"/>
              <w:left w:val="nil"/>
              <w:bottom w:val="nil"/>
              <w:right w:val="nil"/>
            </w:tcBorders>
            <w:shd w:val="clear" w:color="000000" w:fill="CCCC00"/>
            <w:noWrap/>
            <w:vAlign w:val="center"/>
            <w:hideMark/>
          </w:tcPr>
          <w:p w14:paraId="5BCD2FB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0.078</w:t>
            </w:r>
          </w:p>
        </w:tc>
        <w:tc>
          <w:tcPr>
            <w:tcW w:w="720" w:type="dxa"/>
            <w:tcBorders>
              <w:top w:val="nil"/>
              <w:left w:val="nil"/>
              <w:bottom w:val="nil"/>
              <w:right w:val="nil"/>
            </w:tcBorders>
            <w:shd w:val="clear" w:color="000000" w:fill="FFFF99"/>
            <w:noWrap/>
            <w:vAlign w:val="center"/>
            <w:hideMark/>
          </w:tcPr>
          <w:p w14:paraId="69AB533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0.232</w:t>
            </w:r>
          </w:p>
        </w:tc>
        <w:tc>
          <w:tcPr>
            <w:tcW w:w="720" w:type="dxa"/>
            <w:tcBorders>
              <w:top w:val="nil"/>
              <w:left w:val="nil"/>
              <w:bottom w:val="nil"/>
              <w:right w:val="nil"/>
            </w:tcBorders>
            <w:shd w:val="clear" w:color="000000" w:fill="FFFF99"/>
            <w:noWrap/>
            <w:vAlign w:val="center"/>
            <w:hideMark/>
          </w:tcPr>
          <w:p w14:paraId="6CA474D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0.228</w:t>
            </w:r>
          </w:p>
        </w:tc>
        <w:tc>
          <w:tcPr>
            <w:tcW w:w="720" w:type="dxa"/>
            <w:tcBorders>
              <w:top w:val="nil"/>
              <w:left w:val="nil"/>
              <w:bottom w:val="nil"/>
              <w:right w:val="single" w:sz="4" w:space="0" w:color="auto"/>
            </w:tcBorders>
            <w:shd w:val="clear" w:color="000000" w:fill="FFFF99"/>
            <w:noWrap/>
            <w:vAlign w:val="center"/>
            <w:hideMark/>
          </w:tcPr>
          <w:p w14:paraId="7C2352B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0.232</w:t>
            </w:r>
          </w:p>
        </w:tc>
      </w:tr>
      <w:tr w:rsidR="008A7CC8" w:rsidRPr="008A7CC8" w14:paraId="482E170A" w14:textId="77777777" w:rsidTr="008A7CC8">
        <w:trPr>
          <w:trHeight w:val="288"/>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2F7D47D8"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ikke-markedsrettede tjenester</w:t>
            </w:r>
          </w:p>
        </w:tc>
        <w:tc>
          <w:tcPr>
            <w:tcW w:w="720" w:type="dxa"/>
            <w:tcBorders>
              <w:top w:val="nil"/>
              <w:left w:val="single" w:sz="4" w:space="0" w:color="auto"/>
              <w:bottom w:val="single" w:sz="4" w:space="0" w:color="auto"/>
              <w:right w:val="nil"/>
            </w:tcBorders>
            <w:shd w:val="clear" w:color="000000" w:fill="AFD7BB"/>
            <w:noWrap/>
            <w:vAlign w:val="center"/>
            <w:hideMark/>
          </w:tcPr>
          <w:p w14:paraId="7439F10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0.582</w:t>
            </w:r>
          </w:p>
        </w:tc>
        <w:tc>
          <w:tcPr>
            <w:tcW w:w="720" w:type="dxa"/>
            <w:tcBorders>
              <w:top w:val="nil"/>
              <w:left w:val="nil"/>
              <w:bottom w:val="single" w:sz="4" w:space="0" w:color="auto"/>
              <w:right w:val="nil"/>
            </w:tcBorders>
            <w:shd w:val="clear" w:color="000000" w:fill="FBD4B4"/>
            <w:noWrap/>
            <w:vAlign w:val="center"/>
            <w:hideMark/>
          </w:tcPr>
          <w:p w14:paraId="6DE05EE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-0.047</w:t>
            </w:r>
          </w:p>
        </w:tc>
        <w:tc>
          <w:tcPr>
            <w:tcW w:w="720" w:type="dxa"/>
            <w:tcBorders>
              <w:top w:val="nil"/>
              <w:left w:val="nil"/>
              <w:bottom w:val="single" w:sz="4" w:space="0" w:color="auto"/>
              <w:right w:val="nil"/>
            </w:tcBorders>
            <w:shd w:val="clear" w:color="000000" w:fill="FBD4B4"/>
            <w:noWrap/>
            <w:vAlign w:val="center"/>
            <w:hideMark/>
          </w:tcPr>
          <w:p w14:paraId="53A68BB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-0.042</w:t>
            </w:r>
          </w:p>
        </w:tc>
        <w:tc>
          <w:tcPr>
            <w:tcW w:w="720" w:type="dxa"/>
            <w:tcBorders>
              <w:top w:val="nil"/>
              <w:left w:val="nil"/>
              <w:bottom w:val="single" w:sz="4" w:space="0" w:color="auto"/>
              <w:right w:val="nil"/>
            </w:tcBorders>
            <w:shd w:val="clear" w:color="000000" w:fill="FFFF99"/>
            <w:noWrap/>
            <w:vAlign w:val="center"/>
            <w:hideMark/>
          </w:tcPr>
          <w:p w14:paraId="374B527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0.124</w:t>
            </w:r>
          </w:p>
        </w:tc>
        <w:tc>
          <w:tcPr>
            <w:tcW w:w="720" w:type="dxa"/>
            <w:tcBorders>
              <w:top w:val="nil"/>
              <w:left w:val="nil"/>
              <w:bottom w:val="single" w:sz="4" w:space="0" w:color="auto"/>
              <w:right w:val="nil"/>
            </w:tcBorders>
            <w:shd w:val="clear" w:color="000000" w:fill="D7EBDD"/>
            <w:noWrap/>
            <w:vAlign w:val="center"/>
            <w:hideMark/>
          </w:tcPr>
          <w:p w14:paraId="5FA838C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0.254</w:t>
            </w:r>
          </w:p>
        </w:tc>
        <w:tc>
          <w:tcPr>
            <w:tcW w:w="720" w:type="dxa"/>
            <w:tcBorders>
              <w:top w:val="nil"/>
              <w:left w:val="nil"/>
              <w:bottom w:val="single" w:sz="4" w:space="0" w:color="auto"/>
              <w:right w:val="nil"/>
            </w:tcBorders>
            <w:shd w:val="clear" w:color="000000" w:fill="CCCC00"/>
            <w:noWrap/>
            <w:vAlign w:val="center"/>
            <w:hideMark/>
          </w:tcPr>
          <w:p w14:paraId="53984E4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0.084</w:t>
            </w:r>
          </w:p>
        </w:tc>
        <w:tc>
          <w:tcPr>
            <w:tcW w:w="720" w:type="dxa"/>
            <w:tcBorders>
              <w:top w:val="nil"/>
              <w:left w:val="nil"/>
              <w:bottom w:val="single" w:sz="4" w:space="0" w:color="auto"/>
              <w:right w:val="nil"/>
            </w:tcBorders>
            <w:shd w:val="clear" w:color="000000" w:fill="CCCC00"/>
            <w:noWrap/>
            <w:vAlign w:val="center"/>
            <w:hideMark/>
          </w:tcPr>
          <w:p w14:paraId="14FF643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0.056</w:t>
            </w:r>
          </w:p>
        </w:tc>
        <w:tc>
          <w:tcPr>
            <w:tcW w:w="720" w:type="dxa"/>
            <w:tcBorders>
              <w:top w:val="nil"/>
              <w:left w:val="nil"/>
              <w:bottom w:val="single" w:sz="4" w:space="0" w:color="auto"/>
              <w:right w:val="nil"/>
            </w:tcBorders>
            <w:shd w:val="clear" w:color="000000" w:fill="FFFF99"/>
            <w:noWrap/>
            <w:vAlign w:val="center"/>
            <w:hideMark/>
          </w:tcPr>
          <w:p w14:paraId="24B45FD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0.121</w:t>
            </w:r>
          </w:p>
        </w:tc>
        <w:tc>
          <w:tcPr>
            <w:tcW w:w="720" w:type="dxa"/>
            <w:tcBorders>
              <w:top w:val="nil"/>
              <w:left w:val="nil"/>
              <w:bottom w:val="single" w:sz="4" w:space="0" w:color="auto"/>
              <w:right w:val="nil"/>
            </w:tcBorders>
            <w:shd w:val="clear" w:color="000000" w:fill="CCCC00"/>
            <w:noWrap/>
            <w:vAlign w:val="center"/>
            <w:hideMark/>
          </w:tcPr>
          <w:p w14:paraId="36CD3DA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0.071</w:t>
            </w:r>
          </w:p>
        </w:tc>
        <w:tc>
          <w:tcPr>
            <w:tcW w:w="720" w:type="dxa"/>
            <w:tcBorders>
              <w:top w:val="nil"/>
              <w:left w:val="nil"/>
              <w:bottom w:val="single" w:sz="4" w:space="0" w:color="auto"/>
              <w:right w:val="nil"/>
            </w:tcBorders>
            <w:shd w:val="clear" w:color="000000" w:fill="D7EBDD"/>
            <w:noWrap/>
            <w:vAlign w:val="center"/>
            <w:hideMark/>
          </w:tcPr>
          <w:p w14:paraId="7AC3103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0.277</w:t>
            </w:r>
          </w:p>
        </w:tc>
        <w:tc>
          <w:tcPr>
            <w:tcW w:w="720" w:type="dxa"/>
            <w:tcBorders>
              <w:top w:val="nil"/>
              <w:left w:val="nil"/>
              <w:bottom w:val="single" w:sz="4" w:space="0" w:color="auto"/>
              <w:right w:val="nil"/>
            </w:tcBorders>
            <w:shd w:val="clear" w:color="000000" w:fill="CCCC00"/>
            <w:noWrap/>
            <w:vAlign w:val="center"/>
            <w:hideMark/>
          </w:tcPr>
          <w:p w14:paraId="2853464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720" w:type="dxa"/>
            <w:tcBorders>
              <w:top w:val="nil"/>
              <w:left w:val="nil"/>
              <w:bottom w:val="single" w:sz="4" w:space="0" w:color="auto"/>
              <w:right w:val="nil"/>
            </w:tcBorders>
            <w:shd w:val="clear" w:color="000000" w:fill="CCCC00"/>
            <w:noWrap/>
            <w:vAlign w:val="center"/>
            <w:hideMark/>
          </w:tcPr>
          <w:p w14:paraId="1DBB381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0.058</w:t>
            </w:r>
          </w:p>
        </w:tc>
        <w:tc>
          <w:tcPr>
            <w:tcW w:w="720" w:type="dxa"/>
            <w:tcBorders>
              <w:top w:val="nil"/>
              <w:left w:val="nil"/>
              <w:bottom w:val="single" w:sz="4" w:space="0" w:color="auto"/>
              <w:right w:val="single" w:sz="4" w:space="0" w:color="auto"/>
            </w:tcBorders>
            <w:shd w:val="clear" w:color="000000" w:fill="CCCC00"/>
            <w:noWrap/>
            <w:vAlign w:val="center"/>
            <w:hideMark/>
          </w:tcPr>
          <w:p w14:paraId="32642D6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0.064</w:t>
            </w:r>
          </w:p>
        </w:tc>
      </w:tr>
    </w:tbl>
    <w:p w14:paraId="759739F7" w14:textId="54ABAD3D" w:rsidR="003F2D8B" w:rsidRPr="0055149C" w:rsidRDefault="002B51CE" w:rsidP="003F2D8B">
      <w:pPr>
        <w:pStyle w:val="Billedtekst-forklaring"/>
        <w:ind w:left="0" w:firstLine="0"/>
        <w:rPr>
          <w:shd w:val="clear" w:color="auto" w:fill="468C5C" w:themeFill="accent6"/>
          <w:lang w:eastAsia="nb-NO"/>
        </w:rPr>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F02EBE">
        <w:t>I f</w:t>
      </w:r>
      <w:r w:rsidRPr="0055149C">
        <w:t>orkortelsene dd, ad, da og aa angir første og andre bokstav om henholdsvis kapitaldeflatorene og depresieringsratene er aggregerte (a) eller disaggregerte (d). f og l som følger angir om eventuelle avkastningskrav er fast eller løpende.</w:t>
      </w:r>
      <w:r w:rsidR="003F2D8B" w:rsidRPr="0055149C">
        <w:t xml:space="preserve"> Angivelse av fargekoder for korrelasjonskoeffisientene: </w:t>
      </w:r>
      <w:r w:rsidR="003F2D8B" w:rsidRPr="0055149C">
        <w:rPr>
          <w:shd w:val="clear" w:color="auto" w:fill="A60E24" w:themeFill="accent5"/>
          <w:lang w:eastAsia="nb-NO"/>
        </w:rPr>
        <w:t>(-1,00)-(-0,90)</w:t>
      </w:r>
      <w:r w:rsidR="003F2D8B" w:rsidRPr="0055149C">
        <w:rPr>
          <w:lang w:eastAsia="nb-NO"/>
        </w:rPr>
        <w:t xml:space="preserve">, </w:t>
      </w:r>
      <w:r w:rsidR="003F2D8B" w:rsidRPr="0055149C">
        <w:rPr>
          <w:shd w:val="clear" w:color="auto" w:fill="EF485F" w:themeFill="accent5" w:themeFillTint="99"/>
          <w:lang w:eastAsia="nb-NO"/>
        </w:rPr>
        <w:t>(-0,90)-(-0,75)</w:t>
      </w:r>
      <w:r w:rsidR="003F2D8B" w:rsidRPr="0055149C">
        <w:rPr>
          <w:lang w:eastAsia="nb-NO"/>
        </w:rPr>
        <w:t xml:space="preserve">, </w:t>
      </w:r>
      <w:r w:rsidR="003F2D8B" w:rsidRPr="0055149C">
        <w:rPr>
          <w:shd w:val="clear" w:color="auto" w:fill="F48594" w:themeFill="accent5" w:themeFillTint="66"/>
          <w:lang w:eastAsia="nb-NO"/>
        </w:rPr>
        <w:t>(-0,75)-(-0,50)</w:t>
      </w:r>
      <w:r w:rsidR="003F2D8B" w:rsidRPr="0055149C">
        <w:rPr>
          <w:lang w:eastAsia="nb-NO"/>
        </w:rPr>
        <w:t xml:space="preserve">, </w:t>
      </w:r>
      <w:r w:rsidR="003F2D8B" w:rsidRPr="0055149C">
        <w:rPr>
          <w:shd w:val="clear" w:color="auto" w:fill="FAC2C9" w:themeFill="accent5" w:themeFillTint="33"/>
          <w:lang w:eastAsia="nb-NO"/>
        </w:rPr>
        <w:t>(-0,50)-(-0,25)</w:t>
      </w:r>
      <w:r w:rsidR="003F2D8B" w:rsidRPr="0055149C">
        <w:rPr>
          <w:lang w:eastAsia="nb-NO"/>
        </w:rPr>
        <w:t xml:space="preserve">, </w:t>
      </w:r>
      <w:r w:rsidR="003F2D8B" w:rsidRPr="0055149C">
        <w:rPr>
          <w:shd w:val="clear" w:color="auto" w:fill="FABF8F" w:themeFill="accent4" w:themeFillTint="99"/>
          <w:lang w:eastAsia="nb-NO"/>
        </w:rPr>
        <w:t>(-0,25)-(-0,10</w:t>
      </w:r>
      <w:r w:rsidR="003F2D8B" w:rsidRPr="0055149C">
        <w:rPr>
          <w:shd w:val="clear" w:color="auto" w:fill="FBD4B4"/>
          <w:lang w:eastAsia="nb-NO"/>
        </w:rPr>
        <w:t>)</w:t>
      </w:r>
      <w:r w:rsidR="003F2D8B" w:rsidRPr="0055149C">
        <w:rPr>
          <w:lang w:eastAsia="nb-NO"/>
        </w:rPr>
        <w:t xml:space="preserve">, </w:t>
      </w:r>
      <w:r w:rsidR="003F2D8B" w:rsidRPr="0055149C">
        <w:rPr>
          <w:shd w:val="clear" w:color="auto" w:fill="FDE9D9" w:themeFill="accent4" w:themeFillTint="33"/>
          <w:lang w:eastAsia="nb-NO"/>
        </w:rPr>
        <w:t>(-0,10)-(-0,00)</w:t>
      </w:r>
      <w:r w:rsidR="003F2D8B" w:rsidRPr="0055149C">
        <w:rPr>
          <w:lang w:eastAsia="nb-NO"/>
        </w:rPr>
        <w:t>,</w:t>
      </w:r>
      <w:r w:rsidR="003F2D8B" w:rsidRPr="0055149C">
        <w:t xml:space="preserve"> </w:t>
      </w:r>
      <w:r w:rsidR="003F2D8B" w:rsidRPr="0055149C">
        <w:rPr>
          <w:shd w:val="clear" w:color="auto" w:fill="CCCC00"/>
          <w:lang w:eastAsia="nb-NO"/>
        </w:rPr>
        <w:t>0.00-0,10</w:t>
      </w:r>
      <w:r w:rsidR="003F2D8B" w:rsidRPr="0055149C">
        <w:rPr>
          <w:lang w:eastAsia="nb-NO"/>
        </w:rPr>
        <w:t xml:space="preserve">, </w:t>
      </w:r>
      <w:r w:rsidR="003F2D8B" w:rsidRPr="0055149C">
        <w:rPr>
          <w:shd w:val="clear" w:color="auto" w:fill="FFFF99"/>
          <w:lang w:eastAsia="nb-NO"/>
        </w:rPr>
        <w:t>0,10-0,25</w:t>
      </w:r>
      <w:r w:rsidR="003F2D8B" w:rsidRPr="0055149C">
        <w:rPr>
          <w:lang w:eastAsia="nb-NO"/>
        </w:rPr>
        <w:t xml:space="preserve">, </w:t>
      </w:r>
      <w:r w:rsidR="003F2D8B" w:rsidRPr="0055149C">
        <w:rPr>
          <w:shd w:val="clear" w:color="auto" w:fill="D7EBDD" w:themeFill="accent6" w:themeFillTint="33"/>
          <w:lang w:eastAsia="nb-NO"/>
        </w:rPr>
        <w:t>0.25-0,50</w:t>
      </w:r>
      <w:r w:rsidR="003F2D8B" w:rsidRPr="0055149C">
        <w:rPr>
          <w:lang w:eastAsia="nb-NO"/>
        </w:rPr>
        <w:t xml:space="preserve">, </w:t>
      </w:r>
      <w:r w:rsidR="003F2D8B" w:rsidRPr="0055149C">
        <w:rPr>
          <w:shd w:val="clear" w:color="auto" w:fill="AFD7BB" w:themeFill="accent6" w:themeFillTint="66"/>
          <w:lang w:eastAsia="nb-NO"/>
        </w:rPr>
        <w:t>0,50-0,75</w:t>
      </w:r>
      <w:r w:rsidR="003F2D8B" w:rsidRPr="0055149C">
        <w:rPr>
          <w:lang w:eastAsia="nb-NO"/>
        </w:rPr>
        <w:t xml:space="preserve">, </w:t>
      </w:r>
      <w:r w:rsidR="003F2D8B" w:rsidRPr="0055149C">
        <w:rPr>
          <w:shd w:val="clear" w:color="auto" w:fill="87C399" w:themeFill="accent6" w:themeFillTint="99"/>
          <w:lang w:eastAsia="nb-NO"/>
        </w:rPr>
        <w:t>0,75-0,90</w:t>
      </w:r>
      <w:r w:rsidR="003F2D8B" w:rsidRPr="0055149C">
        <w:rPr>
          <w:lang w:eastAsia="nb-NO"/>
        </w:rPr>
        <w:t xml:space="preserve"> og </w:t>
      </w:r>
      <w:r w:rsidR="003F2D8B" w:rsidRPr="0055149C">
        <w:rPr>
          <w:shd w:val="clear" w:color="auto" w:fill="468C5C" w:themeFill="accent6"/>
          <w:lang w:eastAsia="nb-NO"/>
        </w:rPr>
        <w:t>0,90-1,00</w:t>
      </w:r>
    </w:p>
    <w:p w14:paraId="45979FFB" w14:textId="77777777" w:rsidR="003F2D8B" w:rsidRPr="0055149C" w:rsidRDefault="003F2D8B" w:rsidP="003F2D8B">
      <w:pPr>
        <w:pStyle w:val="Source"/>
        <w:rPr>
          <w:lang w:eastAsia="nb-NO"/>
        </w:rPr>
      </w:pPr>
      <w:r w:rsidRPr="0055149C">
        <w:rPr>
          <w:lang w:eastAsia="nb-NO"/>
        </w:rPr>
        <w:t>Kilde: Vista Analyse</w:t>
      </w:r>
    </w:p>
    <w:p w14:paraId="43CD865F" w14:textId="4C92D66D" w:rsidR="003F2D8B" w:rsidRPr="0055149C" w:rsidRDefault="003F2D8B" w:rsidP="003F2D8B">
      <w:pPr>
        <w:rPr>
          <w:lang w:eastAsia="nb-NO"/>
        </w:rPr>
        <w:sectPr w:rsidR="003F2D8B" w:rsidRPr="0055149C" w:rsidSect="004A6C41">
          <w:pgSz w:w="16838" w:h="11906" w:orient="landscape" w:code="9"/>
          <w:pgMar w:top="1985" w:right="1418" w:bottom="1418" w:left="1418" w:header="567" w:footer="284" w:gutter="0"/>
          <w:cols w:space="708"/>
          <w:docGrid w:linePitch="360"/>
        </w:sectPr>
      </w:pPr>
    </w:p>
    <w:p w14:paraId="00DD0F4C" w14:textId="53085289" w:rsidR="001574EB" w:rsidRPr="0055149C" w:rsidRDefault="001574EB" w:rsidP="001574EB">
      <w:pPr>
        <w:pStyle w:val="Overskrift3"/>
      </w:pPr>
      <w:r w:rsidRPr="0055149C">
        <w:lastRenderedPageBreak/>
        <w:t>Kapitalkostnader og inntektssystemet</w:t>
      </w:r>
    </w:p>
    <w:p w14:paraId="676CD26F" w14:textId="219F447E" w:rsidR="007F51CD" w:rsidRPr="0055149C" w:rsidRDefault="007F51CD" w:rsidP="001574EB">
      <w:pPr>
        <w:rPr>
          <w:lang w:eastAsia="nb-NO"/>
        </w:rPr>
      </w:pPr>
      <w:r w:rsidRPr="0055149C">
        <w:rPr>
          <w:lang w:eastAsia="nb-NO"/>
        </w:rPr>
        <w:t xml:space="preserve">Vi vil nå adressere hvordan </w:t>
      </w:r>
      <w:r w:rsidR="007B2872">
        <w:rPr>
          <w:lang w:eastAsia="nb-NO"/>
        </w:rPr>
        <w:t>utgiftsutjevningen i</w:t>
      </w:r>
      <w:r w:rsidRPr="0055149C">
        <w:rPr>
          <w:lang w:eastAsia="nb-NO"/>
        </w:rPr>
        <w:t xml:space="preserve"> inntektssystemet påvirkes, dersom kapitalkostnadene inkluderes i utregningene av systemets kriterievekter. Dette inkluderer regresjonsanalyser av kriterievektene i funksjonene i inntektssystemet til primærkommunene og en enklere korrelasjons</w:t>
      </w:r>
      <w:r w:rsidR="00413245">
        <w:rPr>
          <w:lang w:eastAsia="nb-NO"/>
        </w:rPr>
        <w:softHyphen/>
      </w:r>
      <w:r w:rsidRPr="0055149C">
        <w:rPr>
          <w:lang w:eastAsia="nb-NO"/>
        </w:rPr>
        <w:t>analyse av funksjonene i inntektssystemet til fylkeskommunene.</w:t>
      </w:r>
    </w:p>
    <w:p w14:paraId="2285C639" w14:textId="77777777" w:rsidR="000C35AF" w:rsidRPr="0055149C" w:rsidRDefault="000C35AF" w:rsidP="000C35AF">
      <w:pPr>
        <w:pStyle w:val="Overskrift4"/>
        <w:numPr>
          <w:ilvl w:val="0"/>
          <w:numId w:val="0"/>
        </w:numPr>
      </w:pPr>
      <w:r w:rsidRPr="0055149C">
        <w:t>Primærkommunene</w:t>
      </w:r>
    </w:p>
    <w:p w14:paraId="01122C90" w14:textId="605FB4F2" w:rsidR="000C35AF" w:rsidRDefault="000C35AF" w:rsidP="000C35AF">
      <w:pPr>
        <w:rPr>
          <w:lang w:eastAsia="nb-NO"/>
        </w:rPr>
      </w:pPr>
      <w:r w:rsidRPr="0055149C">
        <w:rPr>
          <w:lang w:eastAsia="nb-NO"/>
        </w:rPr>
        <w:t xml:space="preserve">Inntektssystemutvalget (NOU 2022:10) rapporterer i sitt andre vedlegg regresjonsanalyser for </w:t>
      </w:r>
      <w:r w:rsidR="00EC1F7F" w:rsidRPr="00EC1F7F">
        <w:rPr>
          <w:lang w:eastAsia="nb-NO"/>
        </w:rPr>
        <w:t>tjeneste</w:t>
      </w:r>
      <w:r w:rsidR="0078056B">
        <w:rPr>
          <w:lang w:eastAsia="nb-NO"/>
        </w:rPr>
        <w:t>områdene</w:t>
      </w:r>
      <w:r w:rsidR="00EC1F7F" w:rsidRPr="00EC1F7F">
        <w:rPr>
          <w:lang w:eastAsia="nb-NO"/>
        </w:rPr>
        <w:t xml:space="preserve"> i utgiftsutjevningen </w:t>
      </w:r>
      <w:r w:rsidRPr="0055149C">
        <w:rPr>
          <w:lang w:eastAsia="nb-NO"/>
        </w:rPr>
        <w:t>i det kommunale inntektssystemet</w:t>
      </w:r>
      <w:r w:rsidR="00883459">
        <w:rPr>
          <w:lang w:eastAsia="nb-NO"/>
        </w:rPr>
        <w:t xml:space="preserve"> gjeldende</w:t>
      </w:r>
      <w:r w:rsidRPr="0055149C">
        <w:rPr>
          <w:lang w:eastAsia="nb-NO"/>
        </w:rPr>
        <w:t xml:space="preserve"> </w:t>
      </w:r>
      <w:r w:rsidR="009B793A">
        <w:rPr>
          <w:lang w:eastAsia="nb-NO"/>
        </w:rPr>
        <w:t>fra 202</w:t>
      </w:r>
      <w:r w:rsidR="00883459">
        <w:rPr>
          <w:lang w:eastAsia="nb-NO"/>
        </w:rPr>
        <w:t>0 til 202</w:t>
      </w:r>
      <w:r w:rsidR="009B793A">
        <w:rPr>
          <w:lang w:eastAsia="nb-NO"/>
        </w:rPr>
        <w:t xml:space="preserve">2 </w:t>
      </w:r>
      <w:r w:rsidRPr="0055149C">
        <w:rPr>
          <w:lang w:eastAsia="nb-NO"/>
        </w:rPr>
        <w:t>på tvers av funksjoner i primærkommunene med bruttodriftsutgifter som utfallsvariabel. Tilsvare</w:t>
      </w:r>
      <w:r>
        <w:rPr>
          <w:lang w:eastAsia="nb-NO"/>
        </w:rPr>
        <w:t>nde</w:t>
      </w:r>
      <w:r w:rsidRPr="0055149C">
        <w:rPr>
          <w:lang w:eastAsia="nb-NO"/>
        </w:rPr>
        <w:t xml:space="preserve"> regresjoner ligger også til grunn for kriterievektene i </w:t>
      </w:r>
      <w:r w:rsidR="0078056B">
        <w:rPr>
          <w:lang w:eastAsia="nb-NO"/>
        </w:rPr>
        <w:t>utgiftsutjevningen</w:t>
      </w:r>
      <w:r w:rsidR="00EE3664">
        <w:rPr>
          <w:lang w:eastAsia="nb-NO"/>
        </w:rPr>
        <w:t xml:space="preserve"> innenfor hvert tjenesteområde</w:t>
      </w:r>
      <w:r w:rsidRPr="0055149C">
        <w:rPr>
          <w:lang w:eastAsia="nb-NO"/>
        </w:rPr>
        <w:t xml:space="preserve">. </w:t>
      </w:r>
      <w:r>
        <w:rPr>
          <w:lang w:eastAsia="nb-NO"/>
        </w:rPr>
        <w:t xml:space="preserve">Alle variablene i disse regresjonene er normalisert per innbygger. </w:t>
      </w:r>
      <w:r w:rsidRPr="0055149C">
        <w:rPr>
          <w:lang w:eastAsia="nb-NO"/>
        </w:rPr>
        <w:t>I det følgende har vi bygd ut disse analysene ved å undersøke betydningen av å inkludere kapitalkostnader i regresjonene.</w:t>
      </w:r>
    </w:p>
    <w:p w14:paraId="3144381A" w14:textId="6520E72A" w:rsidR="000C35AF" w:rsidRPr="0055149C" w:rsidRDefault="000C35AF" w:rsidP="000C35AF">
      <w:pPr>
        <w:rPr>
          <w:lang w:eastAsia="nb-NO"/>
        </w:rPr>
      </w:pPr>
      <w:r w:rsidRPr="0055149C">
        <w:rPr>
          <w:lang w:eastAsia="nb-NO"/>
        </w:rPr>
        <w:t xml:space="preserve">Funksjonene </w:t>
      </w:r>
      <w:r w:rsidR="00651F18">
        <w:rPr>
          <w:lang w:eastAsia="nb-NO"/>
        </w:rPr>
        <w:t xml:space="preserve">som vi har </w:t>
      </w:r>
      <w:r w:rsidRPr="0055149C">
        <w:rPr>
          <w:lang w:eastAsia="nb-NO"/>
        </w:rPr>
        <w:t>analysert</w:t>
      </w:r>
      <w:r w:rsidR="00651F18">
        <w:rPr>
          <w:lang w:eastAsia="nb-NO"/>
        </w:rPr>
        <w:t>,</w:t>
      </w:r>
      <w:r w:rsidRPr="0055149C">
        <w:rPr>
          <w:lang w:eastAsia="nb-NO"/>
        </w:rPr>
        <w:t xml:space="preserve"> gjenspeiler i hovedsak funksjonene i inntektssystemet med noen nyanseforskjeller som følge av imperfekt korrespondanse mellom funksjonsinndelingene i våre kapitalberegninger og</w:t>
      </w:r>
      <w:r w:rsidR="006413AA" w:rsidRPr="006413AA">
        <w:t xml:space="preserve"> </w:t>
      </w:r>
      <w:r w:rsidR="006413AA" w:rsidRPr="006413AA">
        <w:rPr>
          <w:lang w:eastAsia="nb-NO"/>
        </w:rPr>
        <w:t>utgiftsutjevningen</w:t>
      </w:r>
      <w:r w:rsidR="006413AA">
        <w:rPr>
          <w:lang w:eastAsia="nb-NO"/>
        </w:rPr>
        <w:t xml:space="preserve"> i</w:t>
      </w:r>
      <w:r w:rsidRPr="0055149C">
        <w:rPr>
          <w:lang w:eastAsia="nb-NO"/>
        </w:rPr>
        <w:t xml:space="preserve"> inntektssystemet. De inkluderer grunnskolen, barnehagene, helse og omsorg, barnevernet, sosialsektoren og administrasjon, styring og fellesutgifter. Funksjoner som i hovedsak finansieres ved selvkostprinsipper eller </w:t>
      </w:r>
      <w:r w:rsidR="001B006D">
        <w:rPr>
          <w:lang w:eastAsia="nb-NO"/>
        </w:rPr>
        <w:t xml:space="preserve">som </w:t>
      </w:r>
      <w:r w:rsidRPr="0055149C">
        <w:rPr>
          <w:lang w:eastAsia="nb-NO"/>
        </w:rPr>
        <w:t xml:space="preserve">langt på vei </w:t>
      </w:r>
      <w:r w:rsidR="001B006D">
        <w:rPr>
          <w:lang w:eastAsia="nb-NO"/>
        </w:rPr>
        <w:t xml:space="preserve">er </w:t>
      </w:r>
      <w:r w:rsidRPr="0055149C">
        <w:rPr>
          <w:lang w:eastAsia="nb-NO"/>
        </w:rPr>
        <w:t xml:space="preserve">selvvalgte </w:t>
      </w:r>
      <w:r w:rsidR="007551F9">
        <w:rPr>
          <w:lang w:eastAsia="nb-NO"/>
        </w:rPr>
        <w:t>snarere enn</w:t>
      </w:r>
      <w:r w:rsidRPr="0055149C">
        <w:rPr>
          <w:lang w:eastAsia="nb-NO"/>
        </w:rPr>
        <w:t xml:space="preserve"> lovpålagte</w:t>
      </w:r>
      <w:r w:rsidR="001B006D">
        <w:rPr>
          <w:lang w:eastAsia="nb-NO"/>
        </w:rPr>
        <w:t>,</w:t>
      </w:r>
      <w:r w:rsidRPr="0055149C">
        <w:rPr>
          <w:lang w:eastAsia="nb-NO"/>
        </w:rPr>
        <w:t xml:space="preserve"> inngår ikke i analysene</w:t>
      </w:r>
      <w:r>
        <w:rPr>
          <w:lang w:eastAsia="nb-NO"/>
        </w:rPr>
        <w:t>.</w:t>
      </w:r>
    </w:p>
    <w:p w14:paraId="2129023C" w14:textId="296BE349" w:rsidR="000C35AF" w:rsidRPr="0055149C" w:rsidRDefault="000C35AF" w:rsidP="000C35AF">
      <w:pPr>
        <w:rPr>
          <w:lang w:eastAsia="nb-NO"/>
        </w:rPr>
      </w:pPr>
      <w:r w:rsidRPr="0055149C">
        <w:rPr>
          <w:lang w:eastAsia="nb-NO"/>
        </w:rPr>
        <w:t xml:space="preserve">I våre empiriske undersøkelser for funksjonene i primærkommunene benytter vi i tillegg tre alternative utfallsvariabler, der </w:t>
      </w:r>
      <w:r w:rsidR="00C1355F" w:rsidRPr="0055149C">
        <w:rPr>
          <w:lang w:eastAsia="nb-NO"/>
        </w:rPr>
        <w:t>alternative kapitalkostnad</w:t>
      </w:r>
      <w:r w:rsidR="00C1355F">
        <w:rPr>
          <w:lang w:eastAsia="nb-NO"/>
        </w:rPr>
        <w:t>s</w:t>
      </w:r>
      <w:r w:rsidR="00C1355F" w:rsidRPr="0055149C">
        <w:rPr>
          <w:lang w:eastAsia="nb-NO"/>
        </w:rPr>
        <w:t xml:space="preserve">mål </w:t>
      </w:r>
      <w:r w:rsidR="00C1355F">
        <w:rPr>
          <w:lang w:eastAsia="nb-NO"/>
        </w:rPr>
        <w:t xml:space="preserve">legges til </w:t>
      </w:r>
      <w:r w:rsidRPr="0055149C">
        <w:rPr>
          <w:lang w:eastAsia="nb-NO"/>
        </w:rPr>
        <w:t>bruttodriftsutgiftene. Disse er kapitalslitet målt ved DM og kapitalslitet målt ved PIM på funksjonsnivå med disaggregerte parametere med og uten løpende rentekostnader. For å belyse resultatenes robusthet rapporterer vi regresjonsresultater for både 2020 og 2022</w:t>
      </w:r>
      <w:r w:rsidR="004A28B4">
        <w:rPr>
          <w:lang w:eastAsia="nb-NO"/>
        </w:rPr>
        <w:t>. Vi</w:t>
      </w:r>
      <w:r w:rsidR="00B33F84">
        <w:rPr>
          <w:lang w:eastAsia="nb-NO"/>
        </w:rPr>
        <w:t xml:space="preserve"> benytter oss av </w:t>
      </w:r>
      <w:r w:rsidR="009D6725" w:rsidRPr="009D6725">
        <w:rPr>
          <w:lang w:eastAsia="nb-NO"/>
        </w:rPr>
        <w:t xml:space="preserve">tverrsnittregresjoner </w:t>
      </w:r>
      <w:r w:rsidR="00D86538">
        <w:rPr>
          <w:lang w:eastAsia="nb-NO"/>
        </w:rPr>
        <w:t xml:space="preserve">i et enkelt år om gangen </w:t>
      </w:r>
      <w:r w:rsidR="00C2193E">
        <w:rPr>
          <w:lang w:eastAsia="nb-NO"/>
        </w:rPr>
        <w:t xml:space="preserve">og </w:t>
      </w:r>
      <w:r w:rsidR="00DF002E">
        <w:rPr>
          <w:lang w:eastAsia="nb-NO"/>
        </w:rPr>
        <w:t xml:space="preserve">ikke </w:t>
      </w:r>
      <w:r w:rsidR="00C2193E">
        <w:rPr>
          <w:lang w:eastAsia="nb-NO"/>
        </w:rPr>
        <w:t>paneldataregresjoner over tid</w:t>
      </w:r>
      <w:r w:rsidR="00774204">
        <w:rPr>
          <w:lang w:eastAsia="nb-NO"/>
        </w:rPr>
        <w:t xml:space="preserve">, </w:t>
      </w:r>
      <w:r w:rsidR="00DE1A4C">
        <w:rPr>
          <w:lang w:eastAsia="nb-NO"/>
        </w:rPr>
        <w:t xml:space="preserve">siden </w:t>
      </w:r>
      <w:r w:rsidR="002549D6">
        <w:rPr>
          <w:lang w:eastAsia="nb-NO"/>
        </w:rPr>
        <w:t>det</w:t>
      </w:r>
      <w:r w:rsidR="0010478F">
        <w:rPr>
          <w:lang w:eastAsia="nb-NO"/>
        </w:rPr>
        <w:t xml:space="preserve"> er</w:t>
      </w:r>
      <w:r w:rsidR="002549D6">
        <w:rPr>
          <w:lang w:eastAsia="nb-NO"/>
        </w:rPr>
        <w:t xml:space="preserve"> </w:t>
      </w:r>
      <w:r w:rsidR="009D6725" w:rsidRPr="009D6725">
        <w:rPr>
          <w:lang w:eastAsia="nb-NO"/>
        </w:rPr>
        <w:t xml:space="preserve">tverrsnittregresjoner </w:t>
      </w:r>
      <w:r w:rsidR="002549D6">
        <w:rPr>
          <w:lang w:eastAsia="nb-NO"/>
        </w:rPr>
        <w:t>som ligger til grunn for fastsettelsen av kriterievektene i inntektssystemet</w:t>
      </w:r>
      <w:r w:rsidRPr="0055149C">
        <w:rPr>
          <w:lang w:eastAsia="nb-NO"/>
        </w:rPr>
        <w:t>.</w:t>
      </w:r>
    </w:p>
    <w:p w14:paraId="7D5B8DC2" w14:textId="7DD35AE9" w:rsidR="005A250C" w:rsidRDefault="000C35AF" w:rsidP="005A250C">
      <w:pPr>
        <w:rPr>
          <w:lang w:eastAsia="nb-NO"/>
        </w:rPr>
      </w:pPr>
      <w:r>
        <w:rPr>
          <w:lang w:eastAsia="nb-NO"/>
        </w:rPr>
        <w:t xml:space="preserve">Regresjonene med alternative utfallsvariabler er gitt i tabellene med oddetallsnummer fra </w:t>
      </w:r>
      <w:r>
        <w:rPr>
          <w:lang w:eastAsia="nb-NO"/>
        </w:rPr>
        <w:fldChar w:fldCharType="begin"/>
      </w:r>
      <w:r>
        <w:rPr>
          <w:lang w:eastAsia="nb-NO"/>
        </w:rPr>
        <w:instrText xml:space="preserve"> REF _Ref178358794 \h </w:instrText>
      </w:r>
      <w:r>
        <w:rPr>
          <w:lang w:eastAsia="nb-NO"/>
        </w:rPr>
      </w:r>
      <w:r>
        <w:rPr>
          <w:lang w:eastAsia="nb-NO"/>
        </w:rPr>
        <w:fldChar w:fldCharType="separate"/>
      </w:r>
      <w:r w:rsidR="009B1DA8" w:rsidRPr="0055149C">
        <w:t xml:space="preserve">Tabell </w:t>
      </w:r>
      <w:r w:rsidR="009B1DA8">
        <w:rPr>
          <w:noProof/>
        </w:rPr>
        <w:t>4</w:t>
      </w:r>
      <w:r w:rsidR="009B1DA8" w:rsidRPr="0055149C">
        <w:t>.</w:t>
      </w:r>
      <w:r w:rsidR="009B1DA8">
        <w:rPr>
          <w:noProof/>
        </w:rPr>
        <w:t>13</w:t>
      </w:r>
      <w:r>
        <w:rPr>
          <w:lang w:eastAsia="nb-NO"/>
        </w:rPr>
        <w:fldChar w:fldCharType="end"/>
      </w:r>
      <w:r>
        <w:rPr>
          <w:lang w:eastAsia="nb-NO"/>
        </w:rPr>
        <w:t xml:space="preserve"> til </w:t>
      </w:r>
      <w:r>
        <w:rPr>
          <w:lang w:eastAsia="nb-NO"/>
        </w:rPr>
        <w:fldChar w:fldCharType="begin"/>
      </w:r>
      <w:r>
        <w:rPr>
          <w:lang w:eastAsia="nb-NO"/>
        </w:rPr>
        <w:instrText xml:space="preserve"> REF _Ref178358833 \h </w:instrText>
      </w:r>
      <w:r>
        <w:rPr>
          <w:lang w:eastAsia="nb-NO"/>
        </w:rPr>
      </w:r>
      <w:r>
        <w:rPr>
          <w:lang w:eastAsia="nb-NO"/>
        </w:rPr>
        <w:fldChar w:fldCharType="separate"/>
      </w:r>
      <w:r w:rsidR="009B1DA8" w:rsidRPr="0055149C">
        <w:t xml:space="preserve">Tabell </w:t>
      </w:r>
      <w:r w:rsidR="009B1DA8">
        <w:rPr>
          <w:noProof/>
        </w:rPr>
        <w:t>4</w:t>
      </w:r>
      <w:r w:rsidR="009B1DA8" w:rsidRPr="0055149C">
        <w:t>.</w:t>
      </w:r>
      <w:r w:rsidR="009B1DA8">
        <w:rPr>
          <w:noProof/>
        </w:rPr>
        <w:t>24</w:t>
      </w:r>
      <w:r>
        <w:rPr>
          <w:lang w:eastAsia="nb-NO"/>
        </w:rPr>
        <w:fldChar w:fldCharType="end"/>
      </w:r>
      <w:r>
        <w:rPr>
          <w:lang w:eastAsia="nb-NO"/>
        </w:rPr>
        <w:t>.</w:t>
      </w:r>
      <w:r w:rsidR="005A250C" w:rsidRPr="005A250C">
        <w:rPr>
          <w:lang w:eastAsia="nb-NO"/>
        </w:rPr>
        <w:t xml:space="preserve"> </w:t>
      </w:r>
      <w:r w:rsidR="005A250C">
        <w:rPr>
          <w:lang w:eastAsia="nb-NO"/>
        </w:rPr>
        <w:t xml:space="preserve">Noen hovedtrekk går igjen i disse regresjonsresultatene. For det første tenderer </w:t>
      </w:r>
      <w:r w:rsidR="0010478F">
        <w:rPr>
          <w:lang w:eastAsia="nb-NO"/>
        </w:rPr>
        <w:t xml:space="preserve">regresjonsresultatene å </w:t>
      </w:r>
      <w:r w:rsidR="005A250C">
        <w:rPr>
          <w:lang w:eastAsia="nb-NO"/>
        </w:rPr>
        <w:t xml:space="preserve">være hakket mer signifikant med bruttodriftsutgifter som utfallsvariabler enn med </w:t>
      </w:r>
      <w:r w:rsidR="00BD105C">
        <w:rPr>
          <w:lang w:eastAsia="nb-NO"/>
        </w:rPr>
        <w:t xml:space="preserve">målene som i tillegg inkluderer </w:t>
      </w:r>
      <w:r w:rsidR="005A250C">
        <w:rPr>
          <w:lang w:eastAsia="nb-NO"/>
        </w:rPr>
        <w:t>kapitalkostnad</w:t>
      </w:r>
      <w:r w:rsidR="00BD105C">
        <w:rPr>
          <w:lang w:eastAsia="nb-NO"/>
        </w:rPr>
        <w:t>er</w:t>
      </w:r>
      <w:r w:rsidR="005A250C">
        <w:rPr>
          <w:lang w:eastAsia="nb-NO"/>
        </w:rPr>
        <w:t>, uten at det er store forskjeller. For det andre er regresjonsresultatene relativt like på tvers av utfallsvariabler med kun små til moderate forskjeller, uten at forskjellene er signifikante. For det tredje slår valg av analyseår gjennomgående mer ut på resultatene enn valg av utfallsvariabel.</w:t>
      </w:r>
      <w:r w:rsidR="003111CD">
        <w:rPr>
          <w:lang w:eastAsia="nb-NO"/>
        </w:rPr>
        <w:t xml:space="preserve"> Oftest drar DM- og PIM-målene de samlede </w:t>
      </w:r>
      <w:r w:rsidR="00126646">
        <w:rPr>
          <w:lang w:eastAsia="nb-NO"/>
        </w:rPr>
        <w:t>koeffisien</w:t>
      </w:r>
      <w:r w:rsidR="00D2387E">
        <w:rPr>
          <w:lang w:eastAsia="nb-NO"/>
        </w:rPr>
        <w:t xml:space="preserve">tene </w:t>
      </w:r>
      <w:r w:rsidR="004F2AA4">
        <w:rPr>
          <w:lang w:eastAsia="nb-NO"/>
        </w:rPr>
        <w:t xml:space="preserve">for kovariatenes innvirkning på kostnadene </w:t>
      </w:r>
      <w:r w:rsidR="003111CD">
        <w:rPr>
          <w:lang w:eastAsia="nb-NO"/>
        </w:rPr>
        <w:t>i samme retning</w:t>
      </w:r>
      <w:r w:rsidR="0017517C">
        <w:rPr>
          <w:lang w:eastAsia="nb-NO"/>
        </w:rPr>
        <w:t>. R</w:t>
      </w:r>
      <w:r w:rsidR="004F2AA4">
        <w:rPr>
          <w:lang w:eastAsia="nb-NO"/>
        </w:rPr>
        <w:t>esultatene er ikke entydige</w:t>
      </w:r>
      <w:r w:rsidR="0017517C">
        <w:rPr>
          <w:lang w:eastAsia="nb-NO"/>
        </w:rPr>
        <w:t>, men forskjellene er i all hovedsak ikke signifikante</w:t>
      </w:r>
      <w:r w:rsidR="006A53AF">
        <w:rPr>
          <w:lang w:eastAsia="nb-NO"/>
        </w:rPr>
        <w:t>.</w:t>
      </w:r>
    </w:p>
    <w:p w14:paraId="2F25B4E4" w14:textId="6249252A" w:rsidR="00701BB3" w:rsidRDefault="00701BB3" w:rsidP="005A250C">
      <w:pPr>
        <w:rPr>
          <w:lang w:eastAsia="nb-NO"/>
        </w:rPr>
      </w:pPr>
      <w:r>
        <w:rPr>
          <w:lang w:eastAsia="nb-NO"/>
        </w:rPr>
        <w:t xml:space="preserve">Videre dekomponerer vi kostnadene i ulike komponenter. Vi benytter disse som alternative utfallsvariabler for å klargjøre hvilke komponenter i kostnadsmålene som driver resultatene. For det første dekomponerer vi driftsutgiftene i </w:t>
      </w:r>
      <w:r w:rsidRPr="0062722C">
        <w:rPr>
          <w:lang w:eastAsia="nb-NO"/>
        </w:rPr>
        <w:t>lønnsutgifter</w:t>
      </w:r>
      <w:r>
        <w:rPr>
          <w:lang w:eastAsia="nb-NO"/>
        </w:rPr>
        <w:t xml:space="preserve"> og</w:t>
      </w:r>
      <w:r w:rsidRPr="0062722C">
        <w:rPr>
          <w:lang w:eastAsia="nb-NO"/>
        </w:rPr>
        <w:t xml:space="preserve"> </w:t>
      </w:r>
      <w:r>
        <w:rPr>
          <w:lang w:eastAsia="nb-NO"/>
        </w:rPr>
        <w:t xml:space="preserve">produktinnsatsutgifter </w:t>
      </w:r>
      <w:r w:rsidRPr="0062722C">
        <w:rPr>
          <w:lang w:eastAsia="nb-NO"/>
        </w:rPr>
        <w:t>og fordringstap</w:t>
      </w:r>
      <w:r>
        <w:rPr>
          <w:lang w:eastAsia="nb-NO"/>
        </w:rPr>
        <w:t xml:space="preserve">. For det andre undersøker vi tre kapitalkostnadsmål alene, nærmere bestemt </w:t>
      </w:r>
      <w:r w:rsidRPr="00E31D64">
        <w:rPr>
          <w:lang w:eastAsia="nb-NO"/>
        </w:rPr>
        <w:lastRenderedPageBreak/>
        <w:t>kapitalslit målt ved DM,</w:t>
      </w:r>
      <w:r>
        <w:rPr>
          <w:lang w:eastAsia="nb-NO"/>
        </w:rPr>
        <w:t xml:space="preserve"> </w:t>
      </w:r>
      <w:r w:rsidRPr="00E31D64">
        <w:rPr>
          <w:lang w:eastAsia="nb-NO"/>
        </w:rPr>
        <w:t xml:space="preserve">kapitalslit målt ved PIM på funksjonsnivå med disaggregerte parametere, </w:t>
      </w:r>
      <w:r>
        <w:rPr>
          <w:lang w:eastAsia="nb-NO"/>
        </w:rPr>
        <w:t>og</w:t>
      </w:r>
      <w:r w:rsidRPr="00E31D64">
        <w:rPr>
          <w:lang w:eastAsia="nb-NO"/>
        </w:rPr>
        <w:t xml:space="preserve"> løpende rentekostnader målt ved PIM på funksjonsnivå med disaggregerte parametere</w:t>
      </w:r>
      <w:r>
        <w:rPr>
          <w:lang w:eastAsia="nb-NO"/>
        </w:rPr>
        <w:t>.</w:t>
      </w:r>
    </w:p>
    <w:p w14:paraId="166D9329" w14:textId="4998B936" w:rsidR="004A77F9" w:rsidRDefault="000C35AF" w:rsidP="000C35AF">
      <w:pPr>
        <w:rPr>
          <w:lang w:eastAsia="nb-NO"/>
        </w:rPr>
      </w:pPr>
      <w:r>
        <w:rPr>
          <w:lang w:eastAsia="nb-NO"/>
        </w:rPr>
        <w:t xml:space="preserve">Regresjonene med alternative utfallsvariabler er gitt i tabellene med partallsnummer fra </w:t>
      </w:r>
      <w:r>
        <w:rPr>
          <w:lang w:eastAsia="nb-NO"/>
        </w:rPr>
        <w:fldChar w:fldCharType="begin"/>
      </w:r>
      <w:r>
        <w:rPr>
          <w:lang w:eastAsia="nb-NO"/>
        </w:rPr>
        <w:instrText xml:space="preserve"> REF _Ref178358794 \h </w:instrText>
      </w:r>
      <w:r>
        <w:rPr>
          <w:lang w:eastAsia="nb-NO"/>
        </w:rPr>
      </w:r>
      <w:r>
        <w:rPr>
          <w:lang w:eastAsia="nb-NO"/>
        </w:rPr>
        <w:fldChar w:fldCharType="separate"/>
      </w:r>
      <w:r w:rsidR="009B1DA8" w:rsidRPr="0055149C">
        <w:t xml:space="preserve">Tabell </w:t>
      </w:r>
      <w:r w:rsidR="009B1DA8">
        <w:rPr>
          <w:noProof/>
        </w:rPr>
        <w:t>4</w:t>
      </w:r>
      <w:r w:rsidR="009B1DA8" w:rsidRPr="0055149C">
        <w:t>.</w:t>
      </w:r>
      <w:r w:rsidR="009B1DA8">
        <w:rPr>
          <w:noProof/>
        </w:rPr>
        <w:t>13</w:t>
      </w:r>
      <w:r>
        <w:rPr>
          <w:lang w:eastAsia="nb-NO"/>
        </w:rPr>
        <w:fldChar w:fldCharType="end"/>
      </w:r>
      <w:r>
        <w:rPr>
          <w:lang w:eastAsia="nb-NO"/>
        </w:rPr>
        <w:t xml:space="preserve"> til </w:t>
      </w:r>
      <w:r>
        <w:rPr>
          <w:lang w:eastAsia="nb-NO"/>
        </w:rPr>
        <w:fldChar w:fldCharType="begin"/>
      </w:r>
      <w:r>
        <w:rPr>
          <w:lang w:eastAsia="nb-NO"/>
        </w:rPr>
        <w:instrText xml:space="preserve"> REF _Ref178358833 \h </w:instrText>
      </w:r>
      <w:r>
        <w:rPr>
          <w:lang w:eastAsia="nb-NO"/>
        </w:rPr>
      </w:r>
      <w:r>
        <w:rPr>
          <w:lang w:eastAsia="nb-NO"/>
        </w:rPr>
        <w:fldChar w:fldCharType="separate"/>
      </w:r>
      <w:r w:rsidR="009B1DA8" w:rsidRPr="0055149C">
        <w:t xml:space="preserve">Tabell </w:t>
      </w:r>
      <w:r w:rsidR="009B1DA8">
        <w:rPr>
          <w:noProof/>
        </w:rPr>
        <w:t>4</w:t>
      </w:r>
      <w:r w:rsidR="009B1DA8" w:rsidRPr="0055149C">
        <w:t>.</w:t>
      </w:r>
      <w:r w:rsidR="009B1DA8">
        <w:rPr>
          <w:noProof/>
        </w:rPr>
        <w:t>24</w:t>
      </w:r>
      <w:r>
        <w:rPr>
          <w:lang w:eastAsia="nb-NO"/>
        </w:rPr>
        <w:fldChar w:fldCharType="end"/>
      </w:r>
      <w:r>
        <w:rPr>
          <w:lang w:eastAsia="nb-NO"/>
        </w:rPr>
        <w:t>.</w:t>
      </w:r>
      <w:r w:rsidR="00BD105C">
        <w:rPr>
          <w:lang w:eastAsia="nb-NO"/>
        </w:rPr>
        <w:t xml:space="preserve"> </w:t>
      </w:r>
      <w:r w:rsidR="004A77F9">
        <w:rPr>
          <w:lang w:eastAsia="nb-NO"/>
        </w:rPr>
        <w:t xml:space="preserve">De signifikante resultatene for bruttodriftsutgifter drives både av </w:t>
      </w:r>
      <w:r w:rsidR="004A77F9" w:rsidRPr="004A77F9">
        <w:rPr>
          <w:lang w:eastAsia="nb-NO"/>
        </w:rPr>
        <w:t>produktinnsatsutgifter og fordringstap</w:t>
      </w:r>
      <w:r w:rsidR="004A77F9">
        <w:rPr>
          <w:lang w:eastAsia="nb-NO"/>
        </w:rPr>
        <w:t xml:space="preserve">, og </w:t>
      </w:r>
      <w:r w:rsidR="00405FB0">
        <w:rPr>
          <w:lang w:eastAsia="nb-NO"/>
        </w:rPr>
        <w:t xml:space="preserve">av </w:t>
      </w:r>
      <w:r w:rsidR="004A77F9">
        <w:rPr>
          <w:lang w:eastAsia="nb-NO"/>
        </w:rPr>
        <w:t xml:space="preserve">lønnsutgifter, litt avhengig av hvilken regresjon og hvilket systemkriterium </w:t>
      </w:r>
      <w:r w:rsidR="00BD105C">
        <w:rPr>
          <w:lang w:eastAsia="nb-NO"/>
        </w:rPr>
        <w:t>det er snakk om.</w:t>
      </w:r>
      <w:r w:rsidR="00B75BCE">
        <w:rPr>
          <w:lang w:eastAsia="nb-NO"/>
        </w:rPr>
        <w:t xml:space="preserve"> </w:t>
      </w:r>
      <w:r w:rsidR="00BD105C">
        <w:rPr>
          <w:lang w:eastAsia="nb-NO"/>
        </w:rPr>
        <w:t>For kapital</w:t>
      </w:r>
      <w:r w:rsidR="00B75BCE">
        <w:rPr>
          <w:lang w:eastAsia="nb-NO"/>
        </w:rPr>
        <w:t>kostnadsmålene er det enkelte signifikante resultater, men langt færre enn for bruttodrift</w:t>
      </w:r>
      <w:r w:rsidR="00C77367">
        <w:rPr>
          <w:lang w:eastAsia="nb-NO"/>
        </w:rPr>
        <w:t>s</w:t>
      </w:r>
      <w:r w:rsidR="00B75BCE">
        <w:rPr>
          <w:lang w:eastAsia="nb-NO"/>
        </w:rPr>
        <w:t>utgiftene med tilhørende komponenter.</w:t>
      </w:r>
    </w:p>
    <w:p w14:paraId="12291E35" w14:textId="641B8C1A" w:rsidR="00B75BCE" w:rsidRDefault="00B75BCE" w:rsidP="005A250C">
      <w:pPr>
        <w:rPr>
          <w:lang w:eastAsia="nb-NO"/>
        </w:rPr>
      </w:pPr>
      <w:r>
        <w:rPr>
          <w:lang w:eastAsia="nb-NO"/>
        </w:rPr>
        <w:t>Samlet sett gir ikke regresjonsresultatene i seg selv sterke argumenter for å inkludere kapitalk</w:t>
      </w:r>
      <w:r w:rsidR="00C77367">
        <w:rPr>
          <w:lang w:eastAsia="nb-NO"/>
        </w:rPr>
        <w:t>ostnader</w:t>
      </w:r>
      <w:r>
        <w:rPr>
          <w:lang w:eastAsia="nb-NO"/>
        </w:rPr>
        <w:t xml:space="preserve"> i </w:t>
      </w:r>
      <w:r w:rsidR="00272CC8" w:rsidRPr="00272CC8">
        <w:rPr>
          <w:lang w:eastAsia="nb-NO"/>
        </w:rPr>
        <w:t xml:space="preserve">utgiftsutjevningen </w:t>
      </w:r>
      <w:r w:rsidR="00272CC8">
        <w:rPr>
          <w:lang w:eastAsia="nb-NO"/>
        </w:rPr>
        <w:t xml:space="preserve">i </w:t>
      </w:r>
      <w:r>
        <w:rPr>
          <w:lang w:eastAsia="nb-NO"/>
        </w:rPr>
        <w:t xml:space="preserve">inntektssystemet for primærkommunene. Resultatene tyder på at kriterienes innvirkning </w:t>
      </w:r>
      <w:r w:rsidR="00405FB0">
        <w:rPr>
          <w:lang w:eastAsia="nb-NO"/>
        </w:rPr>
        <w:t xml:space="preserve">på </w:t>
      </w:r>
      <w:r>
        <w:rPr>
          <w:lang w:eastAsia="nb-NO"/>
        </w:rPr>
        <w:t>kapitalkostnader er relativt svake. Det gir heller ikke store utslag</w:t>
      </w:r>
      <w:r w:rsidR="00AB4119">
        <w:rPr>
          <w:lang w:eastAsia="nb-NO"/>
        </w:rPr>
        <w:t xml:space="preserve"> </w:t>
      </w:r>
      <w:r>
        <w:rPr>
          <w:lang w:eastAsia="nb-NO"/>
        </w:rPr>
        <w:t>å legge dem til bruttodriftsutgiftene, sammenliknet med å bruke bruttodriftsutgifter som utfallsvariabel alene.</w:t>
      </w:r>
      <w:r w:rsidR="006C7E92">
        <w:rPr>
          <w:lang w:eastAsia="nb-NO"/>
        </w:rPr>
        <w:t xml:space="preserve"> </w:t>
      </w:r>
      <w:r>
        <w:rPr>
          <w:lang w:eastAsia="nb-NO"/>
        </w:rPr>
        <w:t xml:space="preserve">Det er imidlertid grunn til ikke å overtolke disse resultatene. Prinsipielt er det de samlede kostnadene som er relevante for kommunenes kostnadsbelastning. Små til moderate forskjeller i kriteriene bør derfor ideelt sett også tas hensyn til i primærkommunenes </w:t>
      </w:r>
      <w:r w:rsidR="009F5860" w:rsidRPr="00272CC8">
        <w:rPr>
          <w:lang w:eastAsia="nb-NO"/>
        </w:rPr>
        <w:t>utgiftsutjevning</w:t>
      </w:r>
      <w:r>
        <w:rPr>
          <w:lang w:eastAsia="nb-NO"/>
        </w:rPr>
        <w:t xml:space="preserve">. Videre </w:t>
      </w:r>
      <w:r w:rsidR="005A250C">
        <w:rPr>
          <w:lang w:eastAsia="nb-NO"/>
        </w:rPr>
        <w:t xml:space="preserve">bør det nevnes at kriteriene </w:t>
      </w:r>
      <w:r w:rsidR="00793EB6">
        <w:rPr>
          <w:lang w:eastAsia="nb-NO"/>
        </w:rPr>
        <w:t xml:space="preserve">i regresjonene i utgiftsutjevningen </w:t>
      </w:r>
      <w:r w:rsidR="005A250C">
        <w:rPr>
          <w:lang w:eastAsia="nb-NO"/>
        </w:rPr>
        <w:t>er valgt ut</w:t>
      </w:r>
      <w:r w:rsidR="003B7BA7">
        <w:rPr>
          <w:lang w:eastAsia="nb-NO"/>
        </w:rPr>
        <w:t>,</w:t>
      </w:r>
      <w:r w:rsidR="005A250C">
        <w:rPr>
          <w:lang w:eastAsia="nb-NO"/>
        </w:rPr>
        <w:t xml:space="preserve"> fordi </w:t>
      </w:r>
      <w:r w:rsidR="00EB6BF5">
        <w:rPr>
          <w:lang w:eastAsia="nb-NO"/>
        </w:rPr>
        <w:t xml:space="preserve">de </w:t>
      </w:r>
      <w:r w:rsidR="005A250C">
        <w:rPr>
          <w:lang w:eastAsia="nb-NO"/>
        </w:rPr>
        <w:t xml:space="preserve">har signifikant effekt bruttodriftsutgifter, </w:t>
      </w:r>
      <w:r w:rsidR="00583DC9">
        <w:rPr>
          <w:lang w:eastAsia="nb-NO"/>
        </w:rPr>
        <w:t>med</w:t>
      </w:r>
      <w:r w:rsidR="00220F32">
        <w:rPr>
          <w:lang w:eastAsia="nb-NO"/>
        </w:rPr>
        <w:t xml:space="preserve"> </w:t>
      </w:r>
      <w:r w:rsidR="005A250C">
        <w:rPr>
          <w:lang w:eastAsia="nb-NO"/>
        </w:rPr>
        <w:t>mindre de er valgt ut på grunn av at de vurderes til å være spesielt sektorrelevante.</w:t>
      </w:r>
      <w:r w:rsidR="00A16422">
        <w:rPr>
          <w:lang w:eastAsia="nb-NO"/>
        </w:rPr>
        <w:t xml:space="preserve"> En annen grunn til at kapitalkostnadene </w:t>
      </w:r>
      <w:r w:rsidR="000E4569">
        <w:rPr>
          <w:lang w:eastAsia="nb-NO"/>
        </w:rPr>
        <w:t xml:space="preserve">generelt </w:t>
      </w:r>
      <w:r w:rsidR="00A16422">
        <w:rPr>
          <w:lang w:eastAsia="nb-NO"/>
        </w:rPr>
        <w:t xml:space="preserve">korrelerer svakere med </w:t>
      </w:r>
      <w:r w:rsidR="00405FB0">
        <w:rPr>
          <w:lang w:eastAsia="nb-NO"/>
        </w:rPr>
        <w:softHyphen/>
      </w:r>
      <w:r w:rsidR="00A16422">
        <w:rPr>
          <w:lang w:eastAsia="nb-NO"/>
        </w:rPr>
        <w:t xml:space="preserve">kriteriene </w:t>
      </w:r>
      <w:r w:rsidR="009F5860">
        <w:rPr>
          <w:lang w:eastAsia="nb-NO"/>
        </w:rPr>
        <w:t xml:space="preserve">i utgiftsutjevningen </w:t>
      </w:r>
      <w:r w:rsidR="00A16422">
        <w:rPr>
          <w:lang w:eastAsia="nb-NO"/>
        </w:rPr>
        <w:t xml:space="preserve">enn bruttodriftsutgifter kan være at de i relativt stor grad henger sammen med historiske beslutninger </w:t>
      </w:r>
      <w:r w:rsidR="00C50D3F">
        <w:rPr>
          <w:lang w:eastAsia="nb-NO"/>
        </w:rPr>
        <w:t xml:space="preserve">og vurderinger av framtidsutsikter </w:t>
      </w:r>
      <w:r w:rsidR="00A16422">
        <w:rPr>
          <w:lang w:eastAsia="nb-NO"/>
        </w:rPr>
        <w:t xml:space="preserve">med tilhørende bakenforliggende forhold. </w:t>
      </w:r>
      <w:r>
        <w:rPr>
          <w:lang w:eastAsia="nb-NO"/>
        </w:rPr>
        <w:t xml:space="preserve">I tillegg </w:t>
      </w:r>
      <w:r w:rsidR="00D81844">
        <w:rPr>
          <w:lang w:eastAsia="nb-NO"/>
        </w:rPr>
        <w:t>vil kapitalkostnader og bruttodriftsutgifter i enkelte tilfeller kunne fungere som substitutter, for eksempel når leie av kapital er utbredt. Utelatte kontroller av relevans kan også bidra til å forklare svake resultater for kapitalkostnadene.</w:t>
      </w:r>
    </w:p>
    <w:p w14:paraId="7D0D6F69" w14:textId="48169DB7" w:rsidR="00D81844" w:rsidRDefault="00D81844" w:rsidP="005A250C">
      <w:pPr>
        <w:rPr>
          <w:lang w:eastAsia="nb-NO"/>
        </w:rPr>
      </w:pPr>
      <w:r>
        <w:rPr>
          <w:lang w:eastAsia="nb-NO"/>
        </w:rPr>
        <w:t xml:space="preserve">I delkapittel </w:t>
      </w:r>
      <w:r>
        <w:rPr>
          <w:lang w:eastAsia="nb-NO"/>
        </w:rPr>
        <w:fldChar w:fldCharType="begin"/>
      </w:r>
      <w:r>
        <w:rPr>
          <w:lang w:eastAsia="nb-NO"/>
        </w:rPr>
        <w:instrText xml:space="preserve"> REF _Ref178371184 \r \h </w:instrText>
      </w:r>
      <w:r>
        <w:rPr>
          <w:lang w:eastAsia="nb-NO"/>
        </w:rPr>
      </w:r>
      <w:r>
        <w:rPr>
          <w:lang w:eastAsia="nb-NO"/>
        </w:rPr>
        <w:fldChar w:fldCharType="separate"/>
      </w:r>
      <w:r w:rsidR="009B1DA8">
        <w:rPr>
          <w:lang w:eastAsia="nb-NO"/>
        </w:rPr>
        <w:t>4.1</w:t>
      </w:r>
      <w:r>
        <w:rPr>
          <w:lang w:eastAsia="nb-NO"/>
        </w:rPr>
        <w:fldChar w:fldCharType="end"/>
      </w:r>
      <w:r>
        <w:rPr>
          <w:lang w:eastAsia="nb-NO"/>
        </w:rPr>
        <w:t xml:space="preserve"> viste vi at selv om kapitalkostnader kan måles på nokså forskjellige måter, er målene typisk tett korrelerte og av relativt lik størrelsesorden for samme type mål.</w:t>
      </w:r>
      <w:r w:rsidR="00A159CE">
        <w:rPr>
          <w:lang w:eastAsia="nb-NO"/>
        </w:rPr>
        <w:t xml:space="preserve"> Videre har vi vist i seksjon </w:t>
      </w:r>
      <w:r w:rsidR="00A159CE">
        <w:rPr>
          <w:lang w:eastAsia="nb-NO"/>
        </w:rPr>
        <w:fldChar w:fldCharType="begin"/>
      </w:r>
      <w:r w:rsidR="00A159CE">
        <w:rPr>
          <w:lang w:eastAsia="nb-NO"/>
        </w:rPr>
        <w:instrText xml:space="preserve"> REF _Ref178371258 \r \h </w:instrText>
      </w:r>
      <w:r w:rsidR="00A159CE">
        <w:rPr>
          <w:lang w:eastAsia="nb-NO"/>
        </w:rPr>
      </w:r>
      <w:r w:rsidR="00A159CE">
        <w:rPr>
          <w:lang w:eastAsia="nb-NO"/>
        </w:rPr>
        <w:fldChar w:fldCharType="separate"/>
      </w:r>
      <w:r w:rsidR="009B1DA8">
        <w:rPr>
          <w:lang w:eastAsia="nb-NO"/>
        </w:rPr>
        <w:t>4.2.1</w:t>
      </w:r>
      <w:r w:rsidR="00A159CE">
        <w:rPr>
          <w:lang w:eastAsia="nb-NO"/>
        </w:rPr>
        <w:fldChar w:fldCharType="end"/>
      </w:r>
      <w:r w:rsidR="00A159CE">
        <w:rPr>
          <w:lang w:eastAsia="nb-NO"/>
        </w:rPr>
        <w:t xml:space="preserve"> at bruttodriftsutgiftene </w:t>
      </w:r>
      <w:r w:rsidR="00405FB0">
        <w:rPr>
          <w:lang w:eastAsia="nb-NO"/>
        </w:rPr>
        <w:t xml:space="preserve">er </w:t>
      </w:r>
      <w:r w:rsidR="00A159CE">
        <w:rPr>
          <w:lang w:eastAsia="nb-NO"/>
        </w:rPr>
        <w:t>langt fra en fullgod proxy for kapitalkostnadene.</w:t>
      </w:r>
      <w:r w:rsidR="00BD3F30">
        <w:rPr>
          <w:lang w:eastAsia="nb-NO"/>
        </w:rPr>
        <w:t xml:space="preserve"> I</w:t>
      </w:r>
      <w:r w:rsidR="0042747F">
        <w:rPr>
          <w:lang w:eastAsia="nb-NO"/>
        </w:rPr>
        <w:t xml:space="preserve"> </w:t>
      </w:r>
      <w:r>
        <w:rPr>
          <w:lang w:eastAsia="nb-NO"/>
        </w:rPr>
        <w:t xml:space="preserve">seksjon </w:t>
      </w:r>
      <w:r>
        <w:rPr>
          <w:lang w:eastAsia="nb-NO"/>
        </w:rPr>
        <w:fldChar w:fldCharType="begin"/>
      </w:r>
      <w:r>
        <w:rPr>
          <w:lang w:eastAsia="nb-NO"/>
        </w:rPr>
        <w:instrText xml:space="preserve"> REF _Ref178371260 \r \h </w:instrText>
      </w:r>
      <w:r>
        <w:rPr>
          <w:lang w:eastAsia="nb-NO"/>
        </w:rPr>
      </w:r>
      <w:r>
        <w:rPr>
          <w:lang w:eastAsia="nb-NO"/>
        </w:rPr>
        <w:fldChar w:fldCharType="separate"/>
      </w:r>
      <w:r w:rsidR="009B1DA8">
        <w:rPr>
          <w:lang w:eastAsia="nb-NO"/>
        </w:rPr>
        <w:t>4.2.2</w:t>
      </w:r>
      <w:r>
        <w:rPr>
          <w:lang w:eastAsia="nb-NO"/>
        </w:rPr>
        <w:fldChar w:fldCharType="end"/>
      </w:r>
      <w:r w:rsidR="00A159CE">
        <w:rPr>
          <w:lang w:eastAsia="nb-NO"/>
        </w:rPr>
        <w:t xml:space="preserve"> </w:t>
      </w:r>
      <w:r w:rsidR="00BD3F30">
        <w:rPr>
          <w:lang w:eastAsia="nb-NO"/>
        </w:rPr>
        <w:t xml:space="preserve">har vi </w:t>
      </w:r>
      <w:r w:rsidR="00A159CE">
        <w:rPr>
          <w:lang w:eastAsia="nb-NO"/>
        </w:rPr>
        <w:t xml:space="preserve">vist at kapitalkostnadsmålene henger tett sammen med flere kovariater, også når man </w:t>
      </w:r>
      <w:r w:rsidR="00BD3F30">
        <w:rPr>
          <w:lang w:eastAsia="nb-NO"/>
        </w:rPr>
        <w:t xml:space="preserve">på ulike måter justerer for korrelasjonen mellom bruttodriftsutgifter og kovariatene. Det er også slik at inkludering av kapitalkostnader vil ha innvirkning på </w:t>
      </w:r>
      <w:r w:rsidR="002A2B49">
        <w:rPr>
          <w:lang w:eastAsia="nb-NO"/>
        </w:rPr>
        <w:t>utgiftsutjevningen for</w:t>
      </w:r>
      <w:r w:rsidR="00BD3F30">
        <w:rPr>
          <w:lang w:eastAsia="nb-NO"/>
        </w:rPr>
        <w:t xml:space="preserve"> primærkommunene ved like regresjonsresultater og dermed like kriterievekter, fordi det vil innebære en skalering av </w:t>
      </w:r>
      <w:r>
        <w:rPr>
          <w:lang w:eastAsia="nb-NO"/>
        </w:rPr>
        <w:t>kompensasjonen</w:t>
      </w:r>
      <w:r w:rsidR="00BD3F30">
        <w:rPr>
          <w:lang w:eastAsia="nb-NO"/>
        </w:rPr>
        <w:t>.</w:t>
      </w:r>
    </w:p>
    <w:p w14:paraId="5382A7E5" w14:textId="5C229B49" w:rsidR="00D50475" w:rsidRPr="0055149C" w:rsidRDefault="00BD3F30" w:rsidP="000C35AF">
      <w:pPr>
        <w:rPr>
          <w:lang w:eastAsia="nb-NO"/>
        </w:rPr>
        <w:sectPr w:rsidR="00D50475" w:rsidRPr="0055149C" w:rsidSect="000C35AF">
          <w:pgSz w:w="11906" w:h="16838" w:code="9"/>
          <w:pgMar w:top="1418" w:right="1418" w:bottom="1418" w:left="1985" w:header="567" w:footer="284" w:gutter="0"/>
          <w:cols w:space="708"/>
          <w:docGrid w:linePitch="360"/>
        </w:sectPr>
      </w:pPr>
      <w:r>
        <w:rPr>
          <w:lang w:eastAsia="nb-NO"/>
        </w:rPr>
        <w:t xml:space="preserve">Dette taler for at man bør forsøke å inkludere kapitalkostnader i </w:t>
      </w:r>
      <w:r w:rsidR="002A2B49">
        <w:rPr>
          <w:lang w:eastAsia="nb-NO"/>
        </w:rPr>
        <w:t>utgiftsutjevningen</w:t>
      </w:r>
      <w:r>
        <w:rPr>
          <w:lang w:eastAsia="nb-NO"/>
        </w:rPr>
        <w:t xml:space="preserve"> for primærkommunene, men er ikke i seg selv tilstrekkelig for å konkludere med at det bør gjøres. I første omgang bør man forsøke å se om de sektorielle kapitalkostnadene kan forklares ved andre potensielle kriterier</w:t>
      </w:r>
      <w:r w:rsidR="008A4488">
        <w:rPr>
          <w:lang w:eastAsia="nb-NO"/>
        </w:rPr>
        <w:t xml:space="preserve"> i utgiftsutjevningen</w:t>
      </w:r>
      <w:r>
        <w:rPr>
          <w:lang w:eastAsia="nb-NO"/>
        </w:rPr>
        <w:t>, enten sammen med bruttodriftsutgiftene eller alene.</w:t>
      </w:r>
      <w:r w:rsidR="00C50D3F">
        <w:rPr>
          <w:lang w:eastAsia="nb-NO"/>
        </w:rPr>
        <w:t xml:space="preserve"> </w:t>
      </w:r>
      <w:r w:rsidR="00A16422">
        <w:rPr>
          <w:lang w:eastAsia="nb-NO"/>
        </w:rPr>
        <w:t>I og med at dagens kapitalkostnader i større utstrekning enn bruttodriftsutgiftene skyldes</w:t>
      </w:r>
      <w:r w:rsidR="00C50D3F">
        <w:rPr>
          <w:lang w:eastAsia="nb-NO"/>
        </w:rPr>
        <w:t xml:space="preserve"> historiske forhold og forhold knyttet til framtiden, kan </w:t>
      </w:r>
      <w:r w:rsidR="00F01038">
        <w:rPr>
          <w:lang w:eastAsia="nb-NO"/>
        </w:rPr>
        <w:t xml:space="preserve">utprøving av </w:t>
      </w:r>
      <w:r w:rsidR="00C50D3F">
        <w:rPr>
          <w:lang w:eastAsia="nb-NO"/>
        </w:rPr>
        <w:t>bruk</w:t>
      </w:r>
      <w:r w:rsidR="00F01038">
        <w:rPr>
          <w:lang w:eastAsia="nb-NO"/>
        </w:rPr>
        <w:t xml:space="preserve"> av </w:t>
      </w:r>
      <w:r w:rsidR="00C50D3F">
        <w:rPr>
          <w:lang w:eastAsia="nb-NO"/>
        </w:rPr>
        <w:t>kovariater fra andre tidsperioder som kriteriekandidater også være verdt å prøve ut.</w:t>
      </w:r>
      <w:r w:rsidR="00450B57">
        <w:rPr>
          <w:lang w:eastAsia="nb-NO"/>
        </w:rPr>
        <w:t xml:space="preserve"> </w:t>
      </w:r>
      <w:r w:rsidR="009C7BA6">
        <w:rPr>
          <w:lang w:eastAsia="nb-NO"/>
        </w:rPr>
        <w:t>En mulighet er også å benytte bruttoinvesteringsstrømmer som utfallsvariabel i kriteriefunksjonene. I så fall anbefaler vi å ta i bruk paneldatametodikk over flere år</w:t>
      </w:r>
      <w:r w:rsidR="00450B57">
        <w:rPr>
          <w:lang w:eastAsia="nb-NO"/>
        </w:rPr>
        <w:t>,</w:t>
      </w:r>
      <w:r w:rsidR="009C7BA6">
        <w:rPr>
          <w:lang w:eastAsia="nb-NO"/>
        </w:rPr>
        <w:t xml:space="preserve"> framfor tversnittanalyser</w:t>
      </w:r>
      <w:r w:rsidR="00450B57">
        <w:rPr>
          <w:lang w:eastAsia="nb-NO"/>
        </w:rPr>
        <w:t>,</w:t>
      </w:r>
      <w:r w:rsidR="009C7BA6">
        <w:rPr>
          <w:lang w:eastAsia="nb-NO"/>
        </w:rPr>
        <w:t xml:space="preserve"> for å bøte for at bruttoinvesteringsstrømmene varierer betydelig år for år.</w:t>
      </w:r>
      <w:r w:rsidR="00450B57">
        <w:rPr>
          <w:lang w:eastAsia="nb-NO"/>
        </w:rPr>
        <w:t xml:space="preserve"> </w:t>
      </w:r>
      <w:r>
        <w:rPr>
          <w:lang w:eastAsia="nb-NO"/>
        </w:rPr>
        <w:t>Dersom det</w:t>
      </w:r>
      <w:r w:rsidR="00A16422">
        <w:rPr>
          <w:lang w:eastAsia="nb-NO"/>
        </w:rPr>
        <w:t>te</w:t>
      </w:r>
      <w:r>
        <w:rPr>
          <w:lang w:eastAsia="nb-NO"/>
        </w:rPr>
        <w:t xml:space="preserve"> ikke gir resultater som begrunner sektoriell behandling, kan man undersøke om det er </w:t>
      </w:r>
      <w:r w:rsidR="00740122">
        <w:rPr>
          <w:lang w:eastAsia="nb-NO"/>
        </w:rPr>
        <w:t xml:space="preserve">grunnlag for en aggregert kompensasjon. Først hvis dette ikke leder til resultater, bør inkludering av kapitalkostnader i </w:t>
      </w:r>
      <w:r w:rsidR="00BB25DF">
        <w:rPr>
          <w:lang w:eastAsia="nb-NO"/>
        </w:rPr>
        <w:t>utgiftsutjevningen</w:t>
      </w:r>
      <w:r w:rsidR="00740122">
        <w:rPr>
          <w:lang w:eastAsia="nb-NO"/>
        </w:rPr>
        <w:t xml:space="preserve"> legges til side for denne gang. Det er på ingen måte gitt at man lykkes med å finne hensiktsmessige måter å inkludere kapitalkostnadene i </w:t>
      </w:r>
      <w:r w:rsidR="00BB25DF">
        <w:rPr>
          <w:lang w:eastAsia="nb-NO"/>
        </w:rPr>
        <w:t xml:space="preserve">utgiftsutjevningen </w:t>
      </w:r>
      <w:r w:rsidR="00740122">
        <w:rPr>
          <w:lang w:eastAsia="nb-NO"/>
        </w:rPr>
        <w:t xml:space="preserve">på, men </w:t>
      </w:r>
      <w:r w:rsidR="00405FB0">
        <w:rPr>
          <w:lang w:eastAsia="nb-NO"/>
        </w:rPr>
        <w:t xml:space="preserve">det </w:t>
      </w:r>
      <w:r w:rsidR="00740122">
        <w:rPr>
          <w:lang w:eastAsia="nb-NO"/>
        </w:rPr>
        <w:t>bør i hvert fall undersøkes nærmere.</w:t>
      </w:r>
    </w:p>
    <w:p w14:paraId="566FE2D8" w14:textId="60D9748D" w:rsidR="000C35AF" w:rsidRPr="0055149C" w:rsidRDefault="000C35AF" w:rsidP="000C35AF">
      <w:pPr>
        <w:pStyle w:val="Bildetekst"/>
      </w:pPr>
      <w:bookmarkStart w:id="139" w:name="_Ref178358794"/>
      <w:r w:rsidRPr="0055149C">
        <w:lastRenderedPageBreak/>
        <w:t xml:space="preserve">Tabell </w:t>
      </w:r>
      <w:fldSimple w:instr=" STYLEREF 1 \s ">
        <w:r w:rsidR="009B1DA8">
          <w:rPr>
            <w:noProof/>
          </w:rPr>
          <w:t>4</w:t>
        </w:r>
      </w:fldSimple>
      <w:r w:rsidRPr="0055149C">
        <w:t>.</w:t>
      </w:r>
      <w:fldSimple w:instr=" SEQ Tabell \* ARABIC \s 1 ">
        <w:r w:rsidR="009B1DA8">
          <w:rPr>
            <w:noProof/>
          </w:rPr>
          <w:t>13</w:t>
        </w:r>
      </w:fldSimple>
      <w:bookmarkEnd w:id="139"/>
      <w:r w:rsidRPr="0055149C">
        <w:tab/>
        <w:t>Regresjoner ved minste kvadraters metode, der kostnadene innen grunnskolen i primærkommunene forklares ved kriteriene i</w:t>
      </w:r>
      <w:r w:rsidR="00287E78">
        <w:t xml:space="preserve"> utgiftsutjevningen i</w:t>
      </w:r>
      <w:r w:rsidRPr="0055149C">
        <w:t xml:space="preserve"> det kommunale inntektssystemet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331"/>
      </w:tblGrid>
      <w:tr w:rsidR="000C35AF" w:rsidRPr="0055149C" w14:paraId="74B8202A" w14:textId="77777777" w:rsidTr="009238AE">
        <w:tc>
          <w:tcPr>
            <w:tcW w:w="2798" w:type="dxa"/>
            <w:tcBorders>
              <w:top w:val="single" w:sz="4" w:space="0" w:color="auto"/>
              <w:left w:val="single" w:sz="4" w:space="0" w:color="auto"/>
              <w:bottom w:val="nil"/>
              <w:right w:val="nil"/>
            </w:tcBorders>
            <w:shd w:val="clear" w:color="auto" w:fill="3672B0" w:themeFill="accent2"/>
          </w:tcPr>
          <w:p w14:paraId="1D5E4C77"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45A83C7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2243C6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232F1F5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61D1AB6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43A9C97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3A1B5E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4DCC9EE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31" w:type="dxa"/>
            <w:tcBorders>
              <w:top w:val="single" w:sz="4" w:space="0" w:color="auto"/>
              <w:left w:val="nil"/>
              <w:bottom w:val="nil"/>
              <w:right w:val="single" w:sz="4" w:space="0" w:color="auto"/>
            </w:tcBorders>
            <w:shd w:val="clear" w:color="auto" w:fill="3672B0" w:themeFill="accent2"/>
          </w:tcPr>
          <w:p w14:paraId="3DF82BE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459B74FE" w14:textId="77777777" w:rsidTr="009238AE">
        <w:tc>
          <w:tcPr>
            <w:tcW w:w="2798" w:type="dxa"/>
            <w:tcBorders>
              <w:top w:val="nil"/>
              <w:left w:val="single" w:sz="4" w:space="0" w:color="auto"/>
              <w:bottom w:val="single" w:sz="4" w:space="0" w:color="auto"/>
              <w:right w:val="nil"/>
            </w:tcBorders>
            <w:shd w:val="clear" w:color="auto" w:fill="3672B0" w:themeFill="accent2"/>
          </w:tcPr>
          <w:p w14:paraId="56B6EBC2"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427F5F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B7011F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056DAF9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BF6B1B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20C7C3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54072A4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31EE5BE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31" w:type="dxa"/>
            <w:tcBorders>
              <w:top w:val="nil"/>
              <w:left w:val="nil"/>
              <w:bottom w:val="single" w:sz="4" w:space="0" w:color="auto"/>
              <w:right w:val="single" w:sz="4" w:space="0" w:color="auto"/>
            </w:tcBorders>
            <w:shd w:val="clear" w:color="auto" w:fill="3672B0" w:themeFill="accent2"/>
          </w:tcPr>
          <w:p w14:paraId="2049ADC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6BDB388C"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77E410BB" w14:textId="77777777" w:rsidR="000C35AF" w:rsidRPr="00F75927" w:rsidRDefault="000C35AF" w:rsidP="009238AE">
            <w:pPr>
              <w:pStyle w:val="Regresjonstabell"/>
              <w:rPr>
                <w:color w:val="000000"/>
                <w:sz w:val="20"/>
                <w:szCs w:val="20"/>
              </w:rPr>
            </w:pPr>
            <w:r w:rsidRPr="00F75927">
              <w:rPr>
                <w:color w:val="000000"/>
                <w:sz w:val="20"/>
                <w:szCs w:val="20"/>
              </w:rPr>
              <w:t>Innbyggere 6 til 15 år</w:t>
            </w:r>
          </w:p>
        </w:tc>
        <w:tc>
          <w:tcPr>
            <w:tcW w:w="1399" w:type="dxa"/>
            <w:tcBorders>
              <w:top w:val="single" w:sz="4" w:space="0" w:color="auto"/>
              <w:left w:val="single" w:sz="4" w:space="0" w:color="auto"/>
              <w:bottom w:val="nil"/>
              <w:right w:val="nil"/>
            </w:tcBorders>
          </w:tcPr>
          <w:p w14:paraId="0362DBAF" w14:textId="77777777" w:rsidR="000C35AF" w:rsidRPr="00F75927" w:rsidRDefault="000C35AF" w:rsidP="009238AE">
            <w:pPr>
              <w:pStyle w:val="Regresjonstabell"/>
              <w:jc w:val="right"/>
              <w:rPr>
                <w:color w:val="000000"/>
                <w:sz w:val="20"/>
                <w:szCs w:val="20"/>
              </w:rPr>
            </w:pPr>
            <w:r w:rsidRPr="00F75927">
              <w:rPr>
                <w:color w:val="000000"/>
                <w:sz w:val="20"/>
                <w:szCs w:val="20"/>
              </w:rPr>
              <w:t>97.602***</w:t>
            </w:r>
          </w:p>
        </w:tc>
        <w:tc>
          <w:tcPr>
            <w:tcW w:w="1399" w:type="dxa"/>
            <w:tcBorders>
              <w:top w:val="single" w:sz="4" w:space="0" w:color="auto"/>
              <w:left w:val="nil"/>
              <w:bottom w:val="nil"/>
              <w:right w:val="nil"/>
            </w:tcBorders>
          </w:tcPr>
          <w:p w14:paraId="029284E5" w14:textId="77777777" w:rsidR="000C35AF" w:rsidRPr="00F75927" w:rsidRDefault="000C35AF" w:rsidP="009238AE">
            <w:pPr>
              <w:pStyle w:val="Regresjonstabell"/>
              <w:jc w:val="right"/>
              <w:rPr>
                <w:color w:val="000000"/>
                <w:sz w:val="20"/>
                <w:szCs w:val="20"/>
              </w:rPr>
            </w:pPr>
            <w:r w:rsidRPr="00F75927">
              <w:rPr>
                <w:color w:val="000000"/>
                <w:sz w:val="20"/>
                <w:szCs w:val="20"/>
              </w:rPr>
              <w:t>102.161***</w:t>
            </w:r>
          </w:p>
        </w:tc>
        <w:tc>
          <w:tcPr>
            <w:tcW w:w="1399" w:type="dxa"/>
            <w:tcBorders>
              <w:top w:val="single" w:sz="4" w:space="0" w:color="auto"/>
              <w:left w:val="nil"/>
              <w:bottom w:val="nil"/>
              <w:right w:val="nil"/>
            </w:tcBorders>
          </w:tcPr>
          <w:p w14:paraId="4A010122" w14:textId="77777777" w:rsidR="000C35AF" w:rsidRPr="00F75927" w:rsidRDefault="000C35AF" w:rsidP="009238AE">
            <w:pPr>
              <w:pStyle w:val="Regresjonstabell"/>
              <w:jc w:val="right"/>
              <w:rPr>
                <w:color w:val="000000"/>
                <w:sz w:val="20"/>
                <w:szCs w:val="20"/>
              </w:rPr>
            </w:pPr>
            <w:r w:rsidRPr="00F75927">
              <w:rPr>
                <w:color w:val="000000"/>
                <w:sz w:val="20"/>
                <w:szCs w:val="20"/>
              </w:rPr>
              <w:t>98.822***</w:t>
            </w:r>
          </w:p>
        </w:tc>
        <w:tc>
          <w:tcPr>
            <w:tcW w:w="1399" w:type="dxa"/>
            <w:tcBorders>
              <w:top w:val="single" w:sz="4" w:space="0" w:color="auto"/>
              <w:left w:val="nil"/>
              <w:bottom w:val="nil"/>
              <w:right w:val="nil"/>
            </w:tcBorders>
          </w:tcPr>
          <w:p w14:paraId="23955B2F" w14:textId="77777777" w:rsidR="000C35AF" w:rsidRPr="00F75927" w:rsidRDefault="000C35AF" w:rsidP="009238AE">
            <w:pPr>
              <w:pStyle w:val="Regresjonstabell"/>
              <w:jc w:val="right"/>
              <w:rPr>
                <w:color w:val="000000"/>
                <w:sz w:val="20"/>
                <w:szCs w:val="20"/>
              </w:rPr>
            </w:pPr>
            <w:r w:rsidRPr="00F75927">
              <w:rPr>
                <w:color w:val="000000"/>
                <w:sz w:val="20"/>
                <w:szCs w:val="20"/>
              </w:rPr>
              <w:t>100.516***</w:t>
            </w:r>
          </w:p>
        </w:tc>
        <w:tc>
          <w:tcPr>
            <w:tcW w:w="1399" w:type="dxa"/>
            <w:tcBorders>
              <w:top w:val="single" w:sz="4" w:space="0" w:color="auto"/>
              <w:left w:val="nil"/>
              <w:bottom w:val="nil"/>
              <w:right w:val="nil"/>
            </w:tcBorders>
          </w:tcPr>
          <w:p w14:paraId="33D7DEC9" w14:textId="77777777" w:rsidR="000C35AF" w:rsidRPr="00F75927" w:rsidRDefault="000C35AF" w:rsidP="009238AE">
            <w:pPr>
              <w:pStyle w:val="Regresjonstabell"/>
              <w:jc w:val="right"/>
              <w:rPr>
                <w:color w:val="000000"/>
                <w:sz w:val="20"/>
                <w:szCs w:val="20"/>
              </w:rPr>
            </w:pPr>
            <w:r w:rsidRPr="00F75927">
              <w:rPr>
                <w:color w:val="000000"/>
                <w:sz w:val="20"/>
                <w:szCs w:val="20"/>
              </w:rPr>
              <w:t>115.152***</w:t>
            </w:r>
          </w:p>
        </w:tc>
        <w:tc>
          <w:tcPr>
            <w:tcW w:w="1399" w:type="dxa"/>
            <w:tcBorders>
              <w:top w:val="single" w:sz="4" w:space="0" w:color="auto"/>
              <w:left w:val="nil"/>
              <w:bottom w:val="nil"/>
              <w:right w:val="nil"/>
            </w:tcBorders>
          </w:tcPr>
          <w:p w14:paraId="7B8A8E25" w14:textId="77777777" w:rsidR="000C35AF" w:rsidRPr="00F75927" w:rsidRDefault="000C35AF" w:rsidP="009238AE">
            <w:pPr>
              <w:pStyle w:val="Regresjonstabell"/>
              <w:jc w:val="right"/>
              <w:rPr>
                <w:color w:val="000000"/>
                <w:sz w:val="20"/>
                <w:szCs w:val="20"/>
              </w:rPr>
            </w:pPr>
            <w:r w:rsidRPr="00F75927">
              <w:rPr>
                <w:color w:val="000000"/>
                <w:sz w:val="20"/>
                <w:szCs w:val="20"/>
              </w:rPr>
              <w:t>117.561***</w:t>
            </w:r>
          </w:p>
        </w:tc>
        <w:tc>
          <w:tcPr>
            <w:tcW w:w="1400" w:type="dxa"/>
            <w:tcBorders>
              <w:top w:val="single" w:sz="4" w:space="0" w:color="auto"/>
              <w:left w:val="nil"/>
              <w:bottom w:val="nil"/>
              <w:right w:val="nil"/>
            </w:tcBorders>
          </w:tcPr>
          <w:p w14:paraId="0D7C2C70" w14:textId="77777777" w:rsidR="000C35AF" w:rsidRPr="00F75927" w:rsidRDefault="000C35AF" w:rsidP="009238AE">
            <w:pPr>
              <w:pStyle w:val="Regresjonstabell"/>
              <w:jc w:val="right"/>
              <w:rPr>
                <w:color w:val="000000"/>
                <w:sz w:val="20"/>
                <w:szCs w:val="20"/>
              </w:rPr>
            </w:pPr>
            <w:r w:rsidRPr="00F75927">
              <w:rPr>
                <w:color w:val="000000"/>
                <w:sz w:val="20"/>
                <w:szCs w:val="20"/>
              </w:rPr>
              <w:t>114.795***</w:t>
            </w:r>
          </w:p>
        </w:tc>
        <w:tc>
          <w:tcPr>
            <w:tcW w:w="1331" w:type="dxa"/>
            <w:tcBorders>
              <w:top w:val="single" w:sz="4" w:space="0" w:color="auto"/>
              <w:left w:val="nil"/>
              <w:bottom w:val="nil"/>
              <w:right w:val="single" w:sz="4" w:space="0" w:color="auto"/>
            </w:tcBorders>
          </w:tcPr>
          <w:p w14:paraId="6FC17610" w14:textId="77777777" w:rsidR="000C35AF" w:rsidRPr="00F75927" w:rsidRDefault="000C35AF" w:rsidP="009238AE">
            <w:pPr>
              <w:pStyle w:val="Regresjonstabell"/>
              <w:jc w:val="right"/>
              <w:rPr>
                <w:color w:val="000000"/>
                <w:sz w:val="20"/>
                <w:szCs w:val="20"/>
              </w:rPr>
            </w:pPr>
            <w:r w:rsidRPr="00F75927">
              <w:rPr>
                <w:color w:val="000000"/>
                <w:sz w:val="20"/>
                <w:szCs w:val="20"/>
              </w:rPr>
              <w:t>113.759***</w:t>
            </w:r>
          </w:p>
        </w:tc>
      </w:tr>
      <w:tr w:rsidR="000C35AF" w:rsidRPr="0055149C" w14:paraId="6BE6494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4155310" w14:textId="77777777" w:rsidR="000C35AF" w:rsidRPr="00F75927" w:rsidRDefault="000C35AF" w:rsidP="009238AE">
            <w:pPr>
              <w:pStyle w:val="Regresjonstabell"/>
              <w:rPr>
                <w:color w:val="000000"/>
                <w:sz w:val="20"/>
                <w:szCs w:val="20"/>
              </w:rPr>
            </w:pPr>
            <w:r w:rsidRPr="00F75927">
              <w:rPr>
                <w:color w:val="000000"/>
                <w:sz w:val="20"/>
                <w:szCs w:val="20"/>
              </w:rPr>
              <w:t>(Kriterium 5)</w:t>
            </w:r>
          </w:p>
        </w:tc>
        <w:tc>
          <w:tcPr>
            <w:tcW w:w="1399" w:type="dxa"/>
            <w:tcBorders>
              <w:top w:val="nil"/>
              <w:left w:val="single" w:sz="4" w:space="0" w:color="auto"/>
              <w:bottom w:val="nil"/>
              <w:right w:val="nil"/>
            </w:tcBorders>
          </w:tcPr>
          <w:p w14:paraId="51205E8F" w14:textId="77777777" w:rsidR="000C35AF" w:rsidRPr="00F75927" w:rsidRDefault="000C35AF" w:rsidP="009238AE">
            <w:pPr>
              <w:pStyle w:val="Regresjonstabell"/>
              <w:jc w:val="right"/>
              <w:rPr>
                <w:color w:val="000000"/>
                <w:sz w:val="20"/>
                <w:szCs w:val="20"/>
              </w:rPr>
            </w:pPr>
            <w:r w:rsidRPr="00F75927">
              <w:rPr>
                <w:color w:val="000000"/>
                <w:sz w:val="20"/>
                <w:szCs w:val="20"/>
              </w:rPr>
              <w:t>(7.190)</w:t>
            </w:r>
          </w:p>
        </w:tc>
        <w:tc>
          <w:tcPr>
            <w:tcW w:w="1399" w:type="dxa"/>
            <w:tcBorders>
              <w:top w:val="nil"/>
              <w:left w:val="nil"/>
              <w:bottom w:val="nil"/>
              <w:right w:val="nil"/>
            </w:tcBorders>
          </w:tcPr>
          <w:p w14:paraId="61D8744E" w14:textId="77777777" w:rsidR="000C35AF" w:rsidRPr="00F75927" w:rsidRDefault="000C35AF" w:rsidP="009238AE">
            <w:pPr>
              <w:pStyle w:val="Regresjonstabell"/>
              <w:jc w:val="right"/>
              <w:rPr>
                <w:color w:val="000000"/>
                <w:sz w:val="20"/>
                <w:szCs w:val="20"/>
              </w:rPr>
            </w:pPr>
            <w:r w:rsidRPr="00F75927">
              <w:rPr>
                <w:color w:val="000000"/>
                <w:sz w:val="20"/>
                <w:szCs w:val="20"/>
              </w:rPr>
              <w:t>(8.612)</w:t>
            </w:r>
          </w:p>
        </w:tc>
        <w:tc>
          <w:tcPr>
            <w:tcW w:w="1399" w:type="dxa"/>
            <w:tcBorders>
              <w:top w:val="nil"/>
              <w:left w:val="nil"/>
              <w:bottom w:val="nil"/>
              <w:right w:val="nil"/>
            </w:tcBorders>
          </w:tcPr>
          <w:p w14:paraId="47F2C4CE" w14:textId="77777777" w:rsidR="000C35AF" w:rsidRPr="00F75927" w:rsidRDefault="000C35AF" w:rsidP="009238AE">
            <w:pPr>
              <w:pStyle w:val="Regresjonstabell"/>
              <w:jc w:val="right"/>
              <w:rPr>
                <w:color w:val="000000"/>
                <w:sz w:val="20"/>
                <w:szCs w:val="20"/>
              </w:rPr>
            </w:pPr>
            <w:r w:rsidRPr="00F75927">
              <w:rPr>
                <w:color w:val="000000"/>
                <w:sz w:val="20"/>
                <w:szCs w:val="20"/>
              </w:rPr>
              <w:t>(8.492)</w:t>
            </w:r>
          </w:p>
        </w:tc>
        <w:tc>
          <w:tcPr>
            <w:tcW w:w="1399" w:type="dxa"/>
            <w:tcBorders>
              <w:top w:val="nil"/>
              <w:left w:val="nil"/>
              <w:bottom w:val="nil"/>
              <w:right w:val="nil"/>
            </w:tcBorders>
          </w:tcPr>
          <w:p w14:paraId="4774DEF7" w14:textId="77777777" w:rsidR="000C35AF" w:rsidRPr="00F75927" w:rsidRDefault="000C35AF" w:rsidP="009238AE">
            <w:pPr>
              <w:pStyle w:val="Regresjonstabell"/>
              <w:jc w:val="right"/>
              <w:rPr>
                <w:color w:val="000000"/>
                <w:sz w:val="20"/>
                <w:szCs w:val="20"/>
              </w:rPr>
            </w:pPr>
            <w:r w:rsidRPr="00F75927">
              <w:rPr>
                <w:color w:val="000000"/>
                <w:sz w:val="20"/>
                <w:szCs w:val="20"/>
              </w:rPr>
              <w:t>(10.959)</w:t>
            </w:r>
          </w:p>
        </w:tc>
        <w:tc>
          <w:tcPr>
            <w:tcW w:w="1399" w:type="dxa"/>
            <w:tcBorders>
              <w:top w:val="nil"/>
              <w:left w:val="nil"/>
              <w:bottom w:val="nil"/>
              <w:right w:val="nil"/>
            </w:tcBorders>
          </w:tcPr>
          <w:p w14:paraId="699A722F" w14:textId="77777777" w:rsidR="000C35AF" w:rsidRPr="00F75927" w:rsidRDefault="000C35AF" w:rsidP="009238AE">
            <w:pPr>
              <w:pStyle w:val="Regresjonstabell"/>
              <w:jc w:val="right"/>
              <w:rPr>
                <w:color w:val="000000"/>
                <w:sz w:val="20"/>
                <w:szCs w:val="20"/>
              </w:rPr>
            </w:pPr>
            <w:r w:rsidRPr="00F75927">
              <w:rPr>
                <w:color w:val="000000"/>
                <w:sz w:val="20"/>
                <w:szCs w:val="20"/>
              </w:rPr>
              <w:t>(7.993)</w:t>
            </w:r>
          </w:p>
        </w:tc>
        <w:tc>
          <w:tcPr>
            <w:tcW w:w="1399" w:type="dxa"/>
            <w:tcBorders>
              <w:top w:val="nil"/>
              <w:left w:val="nil"/>
              <w:bottom w:val="nil"/>
              <w:right w:val="nil"/>
            </w:tcBorders>
          </w:tcPr>
          <w:p w14:paraId="651B67B6" w14:textId="77777777" w:rsidR="000C35AF" w:rsidRPr="00F75927" w:rsidRDefault="000C35AF" w:rsidP="009238AE">
            <w:pPr>
              <w:pStyle w:val="Regresjonstabell"/>
              <w:jc w:val="right"/>
              <w:rPr>
                <w:color w:val="000000"/>
                <w:sz w:val="20"/>
                <w:szCs w:val="20"/>
              </w:rPr>
            </w:pPr>
            <w:r w:rsidRPr="00F75927">
              <w:rPr>
                <w:color w:val="000000"/>
                <w:sz w:val="20"/>
                <w:szCs w:val="20"/>
              </w:rPr>
              <w:t>(9.765)</w:t>
            </w:r>
          </w:p>
        </w:tc>
        <w:tc>
          <w:tcPr>
            <w:tcW w:w="1400" w:type="dxa"/>
            <w:tcBorders>
              <w:top w:val="nil"/>
              <w:left w:val="nil"/>
              <w:bottom w:val="nil"/>
              <w:right w:val="nil"/>
            </w:tcBorders>
          </w:tcPr>
          <w:p w14:paraId="6766ADDF" w14:textId="77777777" w:rsidR="000C35AF" w:rsidRPr="00F75927" w:rsidRDefault="000C35AF" w:rsidP="009238AE">
            <w:pPr>
              <w:pStyle w:val="Regresjonstabell"/>
              <w:jc w:val="right"/>
              <w:rPr>
                <w:color w:val="000000"/>
                <w:sz w:val="20"/>
                <w:szCs w:val="20"/>
              </w:rPr>
            </w:pPr>
            <w:r w:rsidRPr="00F75927">
              <w:rPr>
                <w:color w:val="000000"/>
                <w:sz w:val="20"/>
                <w:szCs w:val="20"/>
              </w:rPr>
              <w:t>(9.768)</w:t>
            </w:r>
          </w:p>
        </w:tc>
        <w:tc>
          <w:tcPr>
            <w:tcW w:w="1331" w:type="dxa"/>
            <w:tcBorders>
              <w:top w:val="nil"/>
              <w:left w:val="nil"/>
              <w:bottom w:val="nil"/>
              <w:right w:val="single" w:sz="4" w:space="0" w:color="auto"/>
            </w:tcBorders>
          </w:tcPr>
          <w:p w14:paraId="69292E68" w14:textId="77777777" w:rsidR="000C35AF" w:rsidRPr="00F75927" w:rsidRDefault="000C35AF" w:rsidP="009238AE">
            <w:pPr>
              <w:pStyle w:val="Regresjonstabell"/>
              <w:jc w:val="right"/>
              <w:rPr>
                <w:color w:val="000000"/>
                <w:sz w:val="20"/>
                <w:szCs w:val="20"/>
              </w:rPr>
            </w:pPr>
            <w:r w:rsidRPr="00F75927">
              <w:rPr>
                <w:color w:val="000000"/>
                <w:sz w:val="20"/>
                <w:szCs w:val="20"/>
              </w:rPr>
              <w:t>(15.609)</w:t>
            </w:r>
          </w:p>
        </w:tc>
      </w:tr>
      <w:tr w:rsidR="000C35AF" w:rsidRPr="0055149C" w14:paraId="790A74D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C9658DF" w14:textId="77777777" w:rsidR="000C35AF" w:rsidRPr="00F75927" w:rsidRDefault="000C35AF" w:rsidP="009238AE">
            <w:pPr>
              <w:pStyle w:val="Regresjonstabell"/>
              <w:rPr>
                <w:color w:val="000000"/>
                <w:sz w:val="20"/>
                <w:szCs w:val="20"/>
              </w:rPr>
            </w:pPr>
            <w:r w:rsidRPr="00F75927">
              <w:rPr>
                <w:color w:val="000000"/>
                <w:sz w:val="20"/>
                <w:szCs w:val="20"/>
              </w:rPr>
              <w:t>Gradert basiskriterium</w:t>
            </w:r>
          </w:p>
        </w:tc>
        <w:tc>
          <w:tcPr>
            <w:tcW w:w="1399" w:type="dxa"/>
            <w:tcBorders>
              <w:top w:val="nil"/>
              <w:left w:val="single" w:sz="4" w:space="0" w:color="auto"/>
              <w:bottom w:val="nil"/>
              <w:right w:val="nil"/>
            </w:tcBorders>
          </w:tcPr>
          <w:p w14:paraId="2EDC5DD2" w14:textId="77777777" w:rsidR="000C35AF" w:rsidRPr="00F75927" w:rsidRDefault="000C35AF" w:rsidP="009238AE">
            <w:pPr>
              <w:pStyle w:val="Regresjonstabell"/>
              <w:jc w:val="right"/>
              <w:rPr>
                <w:color w:val="000000"/>
                <w:sz w:val="20"/>
                <w:szCs w:val="20"/>
              </w:rPr>
            </w:pPr>
            <w:r w:rsidRPr="00F75927">
              <w:rPr>
                <w:color w:val="000000"/>
                <w:sz w:val="20"/>
                <w:szCs w:val="20"/>
              </w:rPr>
              <w:t>1,258.115**</w:t>
            </w:r>
          </w:p>
        </w:tc>
        <w:tc>
          <w:tcPr>
            <w:tcW w:w="1399" w:type="dxa"/>
            <w:tcBorders>
              <w:top w:val="nil"/>
              <w:left w:val="nil"/>
              <w:bottom w:val="nil"/>
              <w:right w:val="nil"/>
            </w:tcBorders>
          </w:tcPr>
          <w:p w14:paraId="5708100A" w14:textId="77777777" w:rsidR="000C35AF" w:rsidRPr="00F75927" w:rsidRDefault="000C35AF" w:rsidP="009238AE">
            <w:pPr>
              <w:pStyle w:val="Regresjonstabell"/>
              <w:jc w:val="right"/>
              <w:rPr>
                <w:color w:val="000000"/>
                <w:sz w:val="20"/>
                <w:szCs w:val="20"/>
              </w:rPr>
            </w:pPr>
            <w:r w:rsidRPr="00F75927">
              <w:rPr>
                <w:color w:val="000000"/>
                <w:sz w:val="20"/>
                <w:szCs w:val="20"/>
              </w:rPr>
              <w:t>1,020.969*</w:t>
            </w:r>
          </w:p>
        </w:tc>
        <w:tc>
          <w:tcPr>
            <w:tcW w:w="1399" w:type="dxa"/>
            <w:tcBorders>
              <w:top w:val="nil"/>
              <w:left w:val="nil"/>
              <w:bottom w:val="nil"/>
              <w:right w:val="nil"/>
            </w:tcBorders>
          </w:tcPr>
          <w:p w14:paraId="6B5C25CC" w14:textId="77777777" w:rsidR="000C35AF" w:rsidRPr="00F75927" w:rsidRDefault="000C35AF" w:rsidP="009238AE">
            <w:pPr>
              <w:pStyle w:val="Regresjonstabell"/>
              <w:jc w:val="right"/>
              <w:rPr>
                <w:color w:val="000000"/>
                <w:sz w:val="20"/>
                <w:szCs w:val="20"/>
              </w:rPr>
            </w:pPr>
            <w:r w:rsidRPr="00F75927">
              <w:rPr>
                <w:color w:val="000000"/>
                <w:sz w:val="20"/>
                <w:szCs w:val="20"/>
              </w:rPr>
              <w:t>1,210.671**</w:t>
            </w:r>
          </w:p>
        </w:tc>
        <w:tc>
          <w:tcPr>
            <w:tcW w:w="1399" w:type="dxa"/>
            <w:tcBorders>
              <w:top w:val="nil"/>
              <w:left w:val="nil"/>
              <w:bottom w:val="nil"/>
              <w:right w:val="nil"/>
            </w:tcBorders>
          </w:tcPr>
          <w:p w14:paraId="4922FEF7" w14:textId="77777777" w:rsidR="000C35AF" w:rsidRPr="00F75927" w:rsidRDefault="000C35AF" w:rsidP="009238AE">
            <w:pPr>
              <w:pStyle w:val="Regresjonstabell"/>
              <w:jc w:val="right"/>
              <w:rPr>
                <w:color w:val="000000"/>
                <w:sz w:val="20"/>
                <w:szCs w:val="20"/>
              </w:rPr>
            </w:pPr>
            <w:r w:rsidRPr="00F75927">
              <w:rPr>
                <w:color w:val="000000"/>
                <w:sz w:val="20"/>
                <w:szCs w:val="20"/>
              </w:rPr>
              <w:t>1,150.885</w:t>
            </w:r>
          </w:p>
        </w:tc>
        <w:tc>
          <w:tcPr>
            <w:tcW w:w="1399" w:type="dxa"/>
            <w:tcBorders>
              <w:top w:val="nil"/>
              <w:left w:val="nil"/>
              <w:bottom w:val="nil"/>
              <w:right w:val="nil"/>
            </w:tcBorders>
          </w:tcPr>
          <w:p w14:paraId="5E9C2D4F" w14:textId="77777777" w:rsidR="000C35AF" w:rsidRPr="00F75927" w:rsidRDefault="000C35AF" w:rsidP="009238AE">
            <w:pPr>
              <w:pStyle w:val="Regresjonstabell"/>
              <w:jc w:val="right"/>
              <w:rPr>
                <w:color w:val="000000"/>
                <w:sz w:val="20"/>
                <w:szCs w:val="20"/>
              </w:rPr>
            </w:pPr>
            <w:r w:rsidRPr="00F75927">
              <w:rPr>
                <w:color w:val="000000"/>
                <w:sz w:val="20"/>
                <w:szCs w:val="20"/>
              </w:rPr>
              <w:t>1,875.641**</w:t>
            </w:r>
          </w:p>
        </w:tc>
        <w:tc>
          <w:tcPr>
            <w:tcW w:w="1399" w:type="dxa"/>
            <w:tcBorders>
              <w:top w:val="nil"/>
              <w:left w:val="nil"/>
              <w:bottom w:val="nil"/>
              <w:right w:val="nil"/>
            </w:tcBorders>
          </w:tcPr>
          <w:p w14:paraId="288318E6" w14:textId="77777777" w:rsidR="000C35AF" w:rsidRPr="00F75927" w:rsidRDefault="000C35AF" w:rsidP="009238AE">
            <w:pPr>
              <w:pStyle w:val="Regresjonstabell"/>
              <w:jc w:val="right"/>
              <w:rPr>
                <w:color w:val="000000"/>
                <w:sz w:val="20"/>
                <w:szCs w:val="20"/>
              </w:rPr>
            </w:pPr>
            <w:r w:rsidRPr="00F75927">
              <w:rPr>
                <w:color w:val="000000"/>
                <w:sz w:val="20"/>
                <w:szCs w:val="20"/>
              </w:rPr>
              <w:t>1,913.976**</w:t>
            </w:r>
          </w:p>
        </w:tc>
        <w:tc>
          <w:tcPr>
            <w:tcW w:w="1400" w:type="dxa"/>
            <w:tcBorders>
              <w:top w:val="nil"/>
              <w:left w:val="nil"/>
              <w:bottom w:val="nil"/>
              <w:right w:val="nil"/>
            </w:tcBorders>
          </w:tcPr>
          <w:p w14:paraId="485F0A4B" w14:textId="77777777" w:rsidR="000C35AF" w:rsidRPr="00F75927" w:rsidRDefault="000C35AF" w:rsidP="009238AE">
            <w:pPr>
              <w:pStyle w:val="Regresjonstabell"/>
              <w:jc w:val="right"/>
              <w:rPr>
                <w:color w:val="000000"/>
                <w:sz w:val="20"/>
                <w:szCs w:val="20"/>
              </w:rPr>
            </w:pPr>
            <w:r w:rsidRPr="00F75927">
              <w:rPr>
                <w:color w:val="000000"/>
                <w:sz w:val="20"/>
                <w:szCs w:val="20"/>
              </w:rPr>
              <w:t>2,118.314**</w:t>
            </w:r>
          </w:p>
        </w:tc>
        <w:tc>
          <w:tcPr>
            <w:tcW w:w="1331" w:type="dxa"/>
            <w:tcBorders>
              <w:top w:val="nil"/>
              <w:left w:val="nil"/>
              <w:bottom w:val="nil"/>
              <w:right w:val="single" w:sz="4" w:space="0" w:color="auto"/>
            </w:tcBorders>
          </w:tcPr>
          <w:p w14:paraId="011AB7D1" w14:textId="77777777" w:rsidR="000C35AF" w:rsidRPr="00F75927" w:rsidRDefault="000C35AF" w:rsidP="009238AE">
            <w:pPr>
              <w:pStyle w:val="Regresjonstabell"/>
              <w:jc w:val="right"/>
              <w:rPr>
                <w:color w:val="000000"/>
                <w:sz w:val="20"/>
                <w:szCs w:val="20"/>
              </w:rPr>
            </w:pPr>
            <w:r w:rsidRPr="00F75927">
              <w:rPr>
                <w:color w:val="000000"/>
                <w:sz w:val="20"/>
                <w:szCs w:val="20"/>
              </w:rPr>
              <w:t>2,672.912**</w:t>
            </w:r>
          </w:p>
        </w:tc>
      </w:tr>
      <w:tr w:rsidR="000C35AF" w:rsidRPr="0055149C" w14:paraId="7B886AF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1321502" w14:textId="77777777" w:rsidR="000C35AF" w:rsidRPr="00F75927" w:rsidRDefault="000C35AF" w:rsidP="009238AE">
            <w:pPr>
              <w:pStyle w:val="Regresjonstabell"/>
              <w:rPr>
                <w:color w:val="000000"/>
                <w:sz w:val="20"/>
                <w:szCs w:val="20"/>
              </w:rPr>
            </w:pPr>
            <w:r w:rsidRPr="00F75927">
              <w:rPr>
                <w:color w:val="000000"/>
                <w:sz w:val="20"/>
                <w:szCs w:val="20"/>
              </w:rPr>
              <w:t>(Kriterium 12)</w:t>
            </w:r>
          </w:p>
        </w:tc>
        <w:tc>
          <w:tcPr>
            <w:tcW w:w="1399" w:type="dxa"/>
            <w:tcBorders>
              <w:top w:val="nil"/>
              <w:left w:val="single" w:sz="4" w:space="0" w:color="auto"/>
              <w:bottom w:val="nil"/>
              <w:right w:val="nil"/>
            </w:tcBorders>
          </w:tcPr>
          <w:p w14:paraId="195CC120" w14:textId="77777777" w:rsidR="000C35AF" w:rsidRPr="00F75927" w:rsidRDefault="000C35AF" w:rsidP="009238AE">
            <w:pPr>
              <w:pStyle w:val="Regresjonstabell"/>
              <w:jc w:val="right"/>
              <w:rPr>
                <w:color w:val="000000"/>
                <w:sz w:val="20"/>
                <w:szCs w:val="20"/>
              </w:rPr>
            </w:pPr>
            <w:r w:rsidRPr="00F75927">
              <w:rPr>
                <w:color w:val="000000"/>
                <w:sz w:val="20"/>
                <w:szCs w:val="20"/>
              </w:rPr>
              <w:t>(507.759)</w:t>
            </w:r>
          </w:p>
        </w:tc>
        <w:tc>
          <w:tcPr>
            <w:tcW w:w="1399" w:type="dxa"/>
            <w:tcBorders>
              <w:top w:val="nil"/>
              <w:left w:val="nil"/>
              <w:bottom w:val="nil"/>
              <w:right w:val="nil"/>
            </w:tcBorders>
          </w:tcPr>
          <w:p w14:paraId="1669A279" w14:textId="77777777" w:rsidR="000C35AF" w:rsidRPr="00F75927" w:rsidRDefault="000C35AF" w:rsidP="009238AE">
            <w:pPr>
              <w:pStyle w:val="Regresjonstabell"/>
              <w:jc w:val="right"/>
              <w:rPr>
                <w:color w:val="000000"/>
                <w:sz w:val="20"/>
                <w:szCs w:val="20"/>
              </w:rPr>
            </w:pPr>
            <w:r w:rsidRPr="00F75927">
              <w:rPr>
                <w:color w:val="000000"/>
                <w:sz w:val="20"/>
                <w:szCs w:val="20"/>
              </w:rPr>
              <w:t>(585.042)</w:t>
            </w:r>
          </w:p>
        </w:tc>
        <w:tc>
          <w:tcPr>
            <w:tcW w:w="1399" w:type="dxa"/>
            <w:tcBorders>
              <w:top w:val="nil"/>
              <w:left w:val="nil"/>
              <w:bottom w:val="nil"/>
              <w:right w:val="nil"/>
            </w:tcBorders>
          </w:tcPr>
          <w:p w14:paraId="6D8AB81F" w14:textId="77777777" w:rsidR="000C35AF" w:rsidRPr="00F75927" w:rsidRDefault="000C35AF" w:rsidP="009238AE">
            <w:pPr>
              <w:pStyle w:val="Regresjonstabell"/>
              <w:jc w:val="right"/>
              <w:rPr>
                <w:color w:val="000000"/>
                <w:sz w:val="20"/>
                <w:szCs w:val="20"/>
              </w:rPr>
            </w:pPr>
            <w:r w:rsidRPr="00F75927">
              <w:rPr>
                <w:color w:val="000000"/>
                <w:sz w:val="20"/>
                <w:szCs w:val="20"/>
              </w:rPr>
              <w:t>(602.410)</w:t>
            </w:r>
          </w:p>
        </w:tc>
        <w:tc>
          <w:tcPr>
            <w:tcW w:w="1399" w:type="dxa"/>
            <w:tcBorders>
              <w:top w:val="nil"/>
              <w:left w:val="nil"/>
              <w:bottom w:val="nil"/>
              <w:right w:val="nil"/>
            </w:tcBorders>
          </w:tcPr>
          <w:p w14:paraId="7DC677FE" w14:textId="77777777" w:rsidR="000C35AF" w:rsidRPr="00F75927" w:rsidRDefault="000C35AF" w:rsidP="009238AE">
            <w:pPr>
              <w:pStyle w:val="Regresjonstabell"/>
              <w:jc w:val="right"/>
              <w:rPr>
                <w:color w:val="000000"/>
                <w:sz w:val="20"/>
                <w:szCs w:val="20"/>
              </w:rPr>
            </w:pPr>
            <w:r w:rsidRPr="00F75927">
              <w:rPr>
                <w:color w:val="000000"/>
                <w:sz w:val="20"/>
                <w:szCs w:val="20"/>
              </w:rPr>
              <w:t>(848.427)</w:t>
            </w:r>
          </w:p>
        </w:tc>
        <w:tc>
          <w:tcPr>
            <w:tcW w:w="1399" w:type="dxa"/>
            <w:tcBorders>
              <w:top w:val="nil"/>
              <w:left w:val="nil"/>
              <w:bottom w:val="nil"/>
              <w:right w:val="nil"/>
            </w:tcBorders>
          </w:tcPr>
          <w:p w14:paraId="41F6397E" w14:textId="77777777" w:rsidR="000C35AF" w:rsidRPr="00F75927" w:rsidRDefault="000C35AF" w:rsidP="009238AE">
            <w:pPr>
              <w:pStyle w:val="Regresjonstabell"/>
              <w:jc w:val="right"/>
              <w:rPr>
                <w:color w:val="000000"/>
                <w:sz w:val="20"/>
                <w:szCs w:val="20"/>
              </w:rPr>
            </w:pPr>
            <w:r w:rsidRPr="00F75927">
              <w:rPr>
                <w:color w:val="000000"/>
                <w:sz w:val="20"/>
                <w:szCs w:val="20"/>
              </w:rPr>
              <w:t>(794.066)</w:t>
            </w:r>
          </w:p>
        </w:tc>
        <w:tc>
          <w:tcPr>
            <w:tcW w:w="1399" w:type="dxa"/>
            <w:tcBorders>
              <w:top w:val="nil"/>
              <w:left w:val="nil"/>
              <w:bottom w:val="nil"/>
              <w:right w:val="nil"/>
            </w:tcBorders>
          </w:tcPr>
          <w:p w14:paraId="1E08781C" w14:textId="77777777" w:rsidR="000C35AF" w:rsidRPr="00F75927" w:rsidRDefault="000C35AF" w:rsidP="009238AE">
            <w:pPr>
              <w:pStyle w:val="Regresjonstabell"/>
              <w:jc w:val="right"/>
              <w:rPr>
                <w:color w:val="000000"/>
                <w:sz w:val="20"/>
                <w:szCs w:val="20"/>
              </w:rPr>
            </w:pPr>
            <w:r w:rsidRPr="00F75927">
              <w:rPr>
                <w:color w:val="000000"/>
                <w:sz w:val="20"/>
                <w:szCs w:val="20"/>
              </w:rPr>
              <w:t>(905.226)</w:t>
            </w:r>
          </w:p>
        </w:tc>
        <w:tc>
          <w:tcPr>
            <w:tcW w:w="1400" w:type="dxa"/>
            <w:tcBorders>
              <w:top w:val="nil"/>
              <w:left w:val="nil"/>
              <w:bottom w:val="nil"/>
              <w:right w:val="nil"/>
            </w:tcBorders>
          </w:tcPr>
          <w:p w14:paraId="45F47BC6" w14:textId="77777777" w:rsidR="000C35AF" w:rsidRPr="00F75927" w:rsidRDefault="000C35AF" w:rsidP="009238AE">
            <w:pPr>
              <w:pStyle w:val="Regresjonstabell"/>
              <w:jc w:val="right"/>
              <w:rPr>
                <w:color w:val="000000"/>
                <w:sz w:val="20"/>
                <w:szCs w:val="20"/>
              </w:rPr>
            </w:pPr>
            <w:r w:rsidRPr="00F75927">
              <w:rPr>
                <w:color w:val="000000"/>
                <w:sz w:val="20"/>
                <w:szCs w:val="20"/>
              </w:rPr>
              <w:t>(858.871)</w:t>
            </w:r>
          </w:p>
        </w:tc>
        <w:tc>
          <w:tcPr>
            <w:tcW w:w="1331" w:type="dxa"/>
            <w:tcBorders>
              <w:top w:val="nil"/>
              <w:left w:val="nil"/>
              <w:bottom w:val="nil"/>
              <w:right w:val="single" w:sz="4" w:space="0" w:color="auto"/>
            </w:tcBorders>
          </w:tcPr>
          <w:p w14:paraId="4F3D3E36" w14:textId="77777777" w:rsidR="000C35AF" w:rsidRPr="00F75927" w:rsidRDefault="000C35AF" w:rsidP="009238AE">
            <w:pPr>
              <w:pStyle w:val="Regresjonstabell"/>
              <w:jc w:val="right"/>
              <w:rPr>
                <w:color w:val="000000"/>
                <w:sz w:val="20"/>
                <w:szCs w:val="20"/>
              </w:rPr>
            </w:pPr>
            <w:r w:rsidRPr="00F75927">
              <w:rPr>
                <w:color w:val="000000"/>
                <w:sz w:val="20"/>
                <w:szCs w:val="20"/>
              </w:rPr>
              <w:t>(1,256.060)</w:t>
            </w:r>
          </w:p>
        </w:tc>
      </w:tr>
      <w:tr w:rsidR="000C35AF" w:rsidRPr="0055149C" w14:paraId="27562E9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B7B8AC6" w14:textId="77777777" w:rsidR="000C35AF" w:rsidRPr="00F75927" w:rsidRDefault="000C35AF" w:rsidP="009238AE">
            <w:pPr>
              <w:pStyle w:val="Regresjonstabell"/>
              <w:rPr>
                <w:color w:val="000000"/>
                <w:sz w:val="20"/>
                <w:szCs w:val="20"/>
              </w:rPr>
            </w:pPr>
            <w:r w:rsidRPr="00F75927">
              <w:rPr>
                <w:color w:val="000000"/>
                <w:sz w:val="20"/>
                <w:szCs w:val="20"/>
              </w:rPr>
              <w:t>Reiseavstand innad i sone</w:t>
            </w:r>
          </w:p>
        </w:tc>
        <w:tc>
          <w:tcPr>
            <w:tcW w:w="1399" w:type="dxa"/>
            <w:tcBorders>
              <w:top w:val="nil"/>
              <w:left w:val="single" w:sz="4" w:space="0" w:color="auto"/>
              <w:bottom w:val="nil"/>
              <w:right w:val="nil"/>
            </w:tcBorders>
          </w:tcPr>
          <w:p w14:paraId="0D87A513" w14:textId="77777777" w:rsidR="000C35AF" w:rsidRPr="00F75927" w:rsidRDefault="000C35AF" w:rsidP="009238AE">
            <w:pPr>
              <w:pStyle w:val="Regresjonstabell"/>
              <w:jc w:val="right"/>
              <w:rPr>
                <w:color w:val="000000"/>
                <w:sz w:val="20"/>
                <w:szCs w:val="20"/>
              </w:rPr>
            </w:pPr>
            <w:r w:rsidRPr="00F75927">
              <w:rPr>
                <w:color w:val="000000"/>
                <w:sz w:val="20"/>
                <w:szCs w:val="20"/>
              </w:rPr>
              <w:t>0.054**</w:t>
            </w:r>
          </w:p>
        </w:tc>
        <w:tc>
          <w:tcPr>
            <w:tcW w:w="1399" w:type="dxa"/>
            <w:tcBorders>
              <w:top w:val="nil"/>
              <w:left w:val="nil"/>
              <w:bottom w:val="nil"/>
              <w:right w:val="nil"/>
            </w:tcBorders>
          </w:tcPr>
          <w:p w14:paraId="27D486E5" w14:textId="77777777" w:rsidR="000C35AF" w:rsidRPr="00F75927" w:rsidRDefault="000C35AF" w:rsidP="009238AE">
            <w:pPr>
              <w:pStyle w:val="Regresjonstabell"/>
              <w:jc w:val="right"/>
              <w:rPr>
                <w:color w:val="000000"/>
                <w:sz w:val="20"/>
                <w:szCs w:val="20"/>
              </w:rPr>
            </w:pPr>
            <w:r w:rsidRPr="00F75927">
              <w:rPr>
                <w:color w:val="000000"/>
                <w:sz w:val="20"/>
                <w:szCs w:val="20"/>
              </w:rPr>
              <w:t>0.042</w:t>
            </w:r>
          </w:p>
        </w:tc>
        <w:tc>
          <w:tcPr>
            <w:tcW w:w="1399" w:type="dxa"/>
            <w:tcBorders>
              <w:top w:val="nil"/>
              <w:left w:val="nil"/>
              <w:bottom w:val="nil"/>
              <w:right w:val="nil"/>
            </w:tcBorders>
          </w:tcPr>
          <w:p w14:paraId="1F47D37D" w14:textId="77777777" w:rsidR="000C35AF" w:rsidRPr="00F75927" w:rsidRDefault="000C35AF" w:rsidP="009238AE">
            <w:pPr>
              <w:pStyle w:val="Regresjonstabell"/>
              <w:jc w:val="right"/>
              <w:rPr>
                <w:color w:val="000000"/>
                <w:sz w:val="20"/>
                <w:szCs w:val="20"/>
              </w:rPr>
            </w:pPr>
            <w:r w:rsidRPr="00F75927">
              <w:rPr>
                <w:color w:val="000000"/>
                <w:sz w:val="20"/>
                <w:szCs w:val="20"/>
              </w:rPr>
              <w:t>0.045</w:t>
            </w:r>
          </w:p>
        </w:tc>
        <w:tc>
          <w:tcPr>
            <w:tcW w:w="1399" w:type="dxa"/>
            <w:tcBorders>
              <w:top w:val="nil"/>
              <w:left w:val="nil"/>
              <w:bottom w:val="nil"/>
              <w:right w:val="nil"/>
            </w:tcBorders>
          </w:tcPr>
          <w:p w14:paraId="21892326"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399" w:type="dxa"/>
            <w:tcBorders>
              <w:top w:val="nil"/>
              <w:left w:val="nil"/>
              <w:bottom w:val="nil"/>
              <w:right w:val="nil"/>
            </w:tcBorders>
          </w:tcPr>
          <w:p w14:paraId="2516403F" w14:textId="77777777" w:rsidR="000C35AF" w:rsidRPr="00F75927" w:rsidRDefault="000C35AF" w:rsidP="009238AE">
            <w:pPr>
              <w:pStyle w:val="Regresjonstabell"/>
              <w:jc w:val="right"/>
              <w:rPr>
                <w:color w:val="000000"/>
                <w:sz w:val="20"/>
                <w:szCs w:val="20"/>
              </w:rPr>
            </w:pPr>
            <w:r w:rsidRPr="00F75927">
              <w:rPr>
                <w:color w:val="000000"/>
                <w:sz w:val="20"/>
                <w:szCs w:val="20"/>
              </w:rPr>
              <w:t>0.065**</w:t>
            </w:r>
          </w:p>
        </w:tc>
        <w:tc>
          <w:tcPr>
            <w:tcW w:w="1399" w:type="dxa"/>
            <w:tcBorders>
              <w:top w:val="nil"/>
              <w:left w:val="nil"/>
              <w:bottom w:val="nil"/>
              <w:right w:val="nil"/>
            </w:tcBorders>
          </w:tcPr>
          <w:p w14:paraId="61AB89C0" w14:textId="77777777" w:rsidR="000C35AF" w:rsidRPr="00F75927" w:rsidRDefault="000C35AF" w:rsidP="009238AE">
            <w:pPr>
              <w:pStyle w:val="Regresjonstabell"/>
              <w:jc w:val="right"/>
              <w:rPr>
                <w:color w:val="000000"/>
                <w:sz w:val="20"/>
                <w:szCs w:val="20"/>
              </w:rPr>
            </w:pPr>
            <w:r w:rsidRPr="00F75927">
              <w:rPr>
                <w:color w:val="000000"/>
                <w:sz w:val="20"/>
                <w:szCs w:val="20"/>
              </w:rPr>
              <w:t>0.056*</w:t>
            </w:r>
          </w:p>
        </w:tc>
        <w:tc>
          <w:tcPr>
            <w:tcW w:w="1400" w:type="dxa"/>
            <w:tcBorders>
              <w:top w:val="nil"/>
              <w:left w:val="nil"/>
              <w:bottom w:val="nil"/>
              <w:right w:val="nil"/>
            </w:tcBorders>
          </w:tcPr>
          <w:p w14:paraId="0CD074ED" w14:textId="77777777" w:rsidR="000C35AF" w:rsidRPr="00F75927" w:rsidRDefault="000C35AF" w:rsidP="009238AE">
            <w:pPr>
              <w:pStyle w:val="Regresjonstabell"/>
              <w:jc w:val="right"/>
              <w:rPr>
                <w:color w:val="000000"/>
                <w:sz w:val="20"/>
                <w:szCs w:val="20"/>
              </w:rPr>
            </w:pPr>
            <w:r w:rsidRPr="00F75927">
              <w:rPr>
                <w:color w:val="000000"/>
                <w:sz w:val="20"/>
                <w:szCs w:val="20"/>
              </w:rPr>
              <w:t>0.056*</w:t>
            </w:r>
          </w:p>
        </w:tc>
        <w:tc>
          <w:tcPr>
            <w:tcW w:w="1331" w:type="dxa"/>
            <w:tcBorders>
              <w:top w:val="nil"/>
              <w:left w:val="nil"/>
              <w:bottom w:val="nil"/>
              <w:right w:val="single" w:sz="4" w:space="0" w:color="auto"/>
            </w:tcBorders>
          </w:tcPr>
          <w:p w14:paraId="34226A56" w14:textId="77777777" w:rsidR="000C35AF" w:rsidRPr="00F75927" w:rsidRDefault="000C35AF" w:rsidP="009238AE">
            <w:pPr>
              <w:pStyle w:val="Regresjonstabell"/>
              <w:jc w:val="right"/>
              <w:rPr>
                <w:color w:val="000000"/>
                <w:sz w:val="20"/>
                <w:szCs w:val="20"/>
              </w:rPr>
            </w:pPr>
            <w:r w:rsidRPr="00F75927">
              <w:rPr>
                <w:color w:val="000000"/>
                <w:sz w:val="20"/>
                <w:szCs w:val="20"/>
              </w:rPr>
              <w:t>0.035</w:t>
            </w:r>
          </w:p>
        </w:tc>
      </w:tr>
      <w:tr w:rsidR="000C35AF" w:rsidRPr="0055149C" w14:paraId="243B9C4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04676C1" w14:textId="77777777" w:rsidR="000C35AF" w:rsidRPr="00F75927" w:rsidRDefault="000C35AF" w:rsidP="009238AE">
            <w:pPr>
              <w:pStyle w:val="Regresjonstabell"/>
              <w:rPr>
                <w:color w:val="000000"/>
                <w:sz w:val="20"/>
                <w:szCs w:val="20"/>
              </w:rPr>
            </w:pPr>
            <w:r w:rsidRPr="00F75927">
              <w:rPr>
                <w:color w:val="000000"/>
                <w:sz w:val="20"/>
                <w:szCs w:val="20"/>
              </w:rPr>
              <w:t>(Kriterium 13)</w:t>
            </w:r>
          </w:p>
        </w:tc>
        <w:tc>
          <w:tcPr>
            <w:tcW w:w="1399" w:type="dxa"/>
            <w:tcBorders>
              <w:top w:val="nil"/>
              <w:left w:val="single" w:sz="4" w:space="0" w:color="auto"/>
              <w:bottom w:val="nil"/>
              <w:right w:val="nil"/>
            </w:tcBorders>
          </w:tcPr>
          <w:p w14:paraId="1A46956B" w14:textId="77777777" w:rsidR="000C35AF" w:rsidRPr="00F75927" w:rsidRDefault="000C35AF" w:rsidP="009238AE">
            <w:pPr>
              <w:pStyle w:val="Regresjonstabell"/>
              <w:jc w:val="right"/>
              <w:rPr>
                <w:color w:val="000000"/>
                <w:sz w:val="20"/>
                <w:szCs w:val="20"/>
              </w:rPr>
            </w:pPr>
            <w:r w:rsidRPr="00F75927">
              <w:rPr>
                <w:color w:val="000000"/>
                <w:sz w:val="20"/>
                <w:szCs w:val="20"/>
              </w:rPr>
              <w:t>(0.026)</w:t>
            </w:r>
          </w:p>
        </w:tc>
        <w:tc>
          <w:tcPr>
            <w:tcW w:w="1399" w:type="dxa"/>
            <w:tcBorders>
              <w:top w:val="nil"/>
              <w:left w:val="nil"/>
              <w:bottom w:val="nil"/>
              <w:right w:val="nil"/>
            </w:tcBorders>
          </w:tcPr>
          <w:p w14:paraId="20DEF267" w14:textId="77777777" w:rsidR="000C35AF" w:rsidRPr="00F75927" w:rsidRDefault="000C35AF" w:rsidP="009238AE">
            <w:pPr>
              <w:pStyle w:val="Regresjonstabell"/>
              <w:jc w:val="right"/>
              <w:rPr>
                <w:color w:val="000000"/>
                <w:sz w:val="20"/>
                <w:szCs w:val="20"/>
              </w:rPr>
            </w:pPr>
            <w:r w:rsidRPr="00F75927">
              <w:rPr>
                <w:color w:val="000000"/>
                <w:sz w:val="20"/>
                <w:szCs w:val="20"/>
              </w:rPr>
              <w:t>(0.027)</w:t>
            </w:r>
          </w:p>
        </w:tc>
        <w:tc>
          <w:tcPr>
            <w:tcW w:w="1399" w:type="dxa"/>
            <w:tcBorders>
              <w:top w:val="nil"/>
              <w:left w:val="nil"/>
              <w:bottom w:val="nil"/>
              <w:right w:val="nil"/>
            </w:tcBorders>
          </w:tcPr>
          <w:p w14:paraId="24062CAA" w14:textId="77777777" w:rsidR="000C35AF" w:rsidRPr="00F75927" w:rsidRDefault="000C35AF" w:rsidP="009238AE">
            <w:pPr>
              <w:pStyle w:val="Regresjonstabell"/>
              <w:jc w:val="right"/>
              <w:rPr>
                <w:color w:val="000000"/>
                <w:sz w:val="20"/>
                <w:szCs w:val="20"/>
              </w:rPr>
            </w:pPr>
            <w:r w:rsidRPr="00F75927">
              <w:rPr>
                <w:color w:val="000000"/>
                <w:sz w:val="20"/>
                <w:szCs w:val="20"/>
              </w:rPr>
              <w:t>(0.028)</w:t>
            </w:r>
          </w:p>
        </w:tc>
        <w:tc>
          <w:tcPr>
            <w:tcW w:w="1399" w:type="dxa"/>
            <w:tcBorders>
              <w:top w:val="nil"/>
              <w:left w:val="nil"/>
              <w:bottom w:val="nil"/>
              <w:right w:val="nil"/>
            </w:tcBorders>
          </w:tcPr>
          <w:p w14:paraId="1BEC4808"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399" w:type="dxa"/>
            <w:tcBorders>
              <w:top w:val="nil"/>
              <w:left w:val="nil"/>
              <w:bottom w:val="nil"/>
              <w:right w:val="nil"/>
            </w:tcBorders>
          </w:tcPr>
          <w:p w14:paraId="52941F51" w14:textId="77777777" w:rsidR="000C35AF" w:rsidRPr="00F75927" w:rsidRDefault="000C35AF" w:rsidP="009238AE">
            <w:pPr>
              <w:pStyle w:val="Regresjonstabell"/>
              <w:jc w:val="right"/>
              <w:rPr>
                <w:color w:val="000000"/>
                <w:sz w:val="20"/>
                <w:szCs w:val="20"/>
              </w:rPr>
            </w:pPr>
            <w:r w:rsidRPr="00F75927">
              <w:rPr>
                <w:color w:val="000000"/>
                <w:sz w:val="20"/>
                <w:szCs w:val="20"/>
              </w:rPr>
              <w:t>(0.030)</w:t>
            </w:r>
          </w:p>
        </w:tc>
        <w:tc>
          <w:tcPr>
            <w:tcW w:w="1399" w:type="dxa"/>
            <w:tcBorders>
              <w:top w:val="nil"/>
              <w:left w:val="nil"/>
              <w:bottom w:val="nil"/>
              <w:right w:val="nil"/>
            </w:tcBorders>
          </w:tcPr>
          <w:p w14:paraId="17823A0C"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400" w:type="dxa"/>
            <w:tcBorders>
              <w:top w:val="nil"/>
              <w:left w:val="nil"/>
              <w:bottom w:val="nil"/>
              <w:right w:val="nil"/>
            </w:tcBorders>
          </w:tcPr>
          <w:p w14:paraId="79F9AD1B"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331" w:type="dxa"/>
            <w:tcBorders>
              <w:top w:val="nil"/>
              <w:left w:val="nil"/>
              <w:bottom w:val="nil"/>
              <w:right w:val="single" w:sz="4" w:space="0" w:color="auto"/>
            </w:tcBorders>
          </w:tcPr>
          <w:p w14:paraId="7A72E156" w14:textId="77777777" w:rsidR="000C35AF" w:rsidRPr="00F75927" w:rsidRDefault="000C35AF" w:rsidP="009238AE">
            <w:pPr>
              <w:pStyle w:val="Regresjonstabell"/>
              <w:jc w:val="right"/>
              <w:rPr>
                <w:color w:val="000000"/>
                <w:sz w:val="20"/>
                <w:szCs w:val="20"/>
              </w:rPr>
            </w:pPr>
            <w:r w:rsidRPr="00F75927">
              <w:rPr>
                <w:color w:val="000000"/>
                <w:sz w:val="20"/>
                <w:szCs w:val="20"/>
              </w:rPr>
              <w:t>(0.043)</w:t>
            </w:r>
          </w:p>
        </w:tc>
      </w:tr>
      <w:tr w:rsidR="000C35AF" w:rsidRPr="0055149C" w14:paraId="24B4A3BA"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1DE60E68" w14:textId="77777777" w:rsidR="000C35AF" w:rsidRPr="00F75927" w:rsidRDefault="000C35AF" w:rsidP="009238AE">
            <w:pPr>
              <w:pStyle w:val="Regresjonstabell"/>
              <w:rPr>
                <w:color w:val="000000"/>
                <w:sz w:val="20"/>
                <w:szCs w:val="20"/>
              </w:rPr>
            </w:pPr>
            <w:r w:rsidRPr="00F75927">
              <w:rPr>
                <w:color w:val="000000"/>
                <w:sz w:val="20"/>
                <w:szCs w:val="20"/>
              </w:rPr>
              <w:t>Innvandrere 6 til 15 år</w:t>
            </w:r>
          </w:p>
        </w:tc>
        <w:tc>
          <w:tcPr>
            <w:tcW w:w="1399" w:type="dxa"/>
            <w:tcBorders>
              <w:top w:val="nil"/>
              <w:left w:val="single" w:sz="4" w:space="0" w:color="auto"/>
              <w:bottom w:val="nil"/>
              <w:right w:val="nil"/>
            </w:tcBorders>
          </w:tcPr>
          <w:p w14:paraId="1DC36661" w14:textId="77777777" w:rsidR="000C35AF" w:rsidRPr="00F75927" w:rsidRDefault="000C35AF" w:rsidP="009238AE">
            <w:pPr>
              <w:pStyle w:val="Regresjonstabell"/>
              <w:jc w:val="right"/>
              <w:rPr>
                <w:color w:val="000000"/>
                <w:sz w:val="20"/>
                <w:szCs w:val="20"/>
              </w:rPr>
            </w:pPr>
            <w:r w:rsidRPr="00F75927">
              <w:rPr>
                <w:color w:val="000000"/>
                <w:sz w:val="20"/>
                <w:szCs w:val="20"/>
              </w:rPr>
              <w:t>41.997</w:t>
            </w:r>
          </w:p>
        </w:tc>
        <w:tc>
          <w:tcPr>
            <w:tcW w:w="1399" w:type="dxa"/>
            <w:tcBorders>
              <w:top w:val="nil"/>
              <w:left w:val="nil"/>
              <w:bottom w:val="nil"/>
              <w:right w:val="nil"/>
            </w:tcBorders>
          </w:tcPr>
          <w:p w14:paraId="6C3B4C5C" w14:textId="77777777" w:rsidR="000C35AF" w:rsidRPr="00F75927" w:rsidRDefault="000C35AF" w:rsidP="009238AE">
            <w:pPr>
              <w:pStyle w:val="Regresjonstabell"/>
              <w:jc w:val="right"/>
              <w:rPr>
                <w:color w:val="000000"/>
                <w:sz w:val="20"/>
                <w:szCs w:val="20"/>
              </w:rPr>
            </w:pPr>
            <w:r w:rsidRPr="00F75927">
              <w:rPr>
                <w:color w:val="000000"/>
                <w:sz w:val="20"/>
                <w:szCs w:val="20"/>
              </w:rPr>
              <w:t>30.714</w:t>
            </w:r>
          </w:p>
        </w:tc>
        <w:tc>
          <w:tcPr>
            <w:tcW w:w="1399" w:type="dxa"/>
            <w:tcBorders>
              <w:top w:val="nil"/>
              <w:left w:val="nil"/>
              <w:bottom w:val="nil"/>
              <w:right w:val="nil"/>
            </w:tcBorders>
          </w:tcPr>
          <w:p w14:paraId="39ED5D4F" w14:textId="77777777" w:rsidR="000C35AF" w:rsidRPr="00F75927" w:rsidRDefault="000C35AF" w:rsidP="009238AE">
            <w:pPr>
              <w:pStyle w:val="Regresjonstabell"/>
              <w:jc w:val="right"/>
              <w:rPr>
                <w:color w:val="000000"/>
                <w:sz w:val="20"/>
                <w:szCs w:val="20"/>
              </w:rPr>
            </w:pPr>
            <w:r w:rsidRPr="00F75927">
              <w:rPr>
                <w:color w:val="000000"/>
                <w:sz w:val="20"/>
                <w:szCs w:val="20"/>
              </w:rPr>
              <w:t>25.462</w:t>
            </w:r>
          </w:p>
        </w:tc>
        <w:tc>
          <w:tcPr>
            <w:tcW w:w="1399" w:type="dxa"/>
            <w:tcBorders>
              <w:top w:val="nil"/>
              <w:left w:val="nil"/>
              <w:bottom w:val="nil"/>
              <w:right w:val="nil"/>
            </w:tcBorders>
          </w:tcPr>
          <w:p w14:paraId="62216B26" w14:textId="77777777" w:rsidR="000C35AF" w:rsidRPr="00F75927" w:rsidRDefault="000C35AF" w:rsidP="009238AE">
            <w:pPr>
              <w:pStyle w:val="Regresjonstabell"/>
              <w:jc w:val="right"/>
              <w:rPr>
                <w:color w:val="000000"/>
                <w:sz w:val="20"/>
                <w:szCs w:val="20"/>
              </w:rPr>
            </w:pPr>
            <w:r w:rsidRPr="00F75927">
              <w:rPr>
                <w:color w:val="000000"/>
                <w:sz w:val="20"/>
                <w:szCs w:val="20"/>
              </w:rPr>
              <w:t>3.993</w:t>
            </w:r>
          </w:p>
        </w:tc>
        <w:tc>
          <w:tcPr>
            <w:tcW w:w="1399" w:type="dxa"/>
            <w:tcBorders>
              <w:top w:val="nil"/>
              <w:left w:val="nil"/>
              <w:bottom w:val="nil"/>
              <w:right w:val="nil"/>
            </w:tcBorders>
          </w:tcPr>
          <w:p w14:paraId="37188DA3" w14:textId="77777777" w:rsidR="000C35AF" w:rsidRPr="00F75927" w:rsidRDefault="000C35AF" w:rsidP="009238AE">
            <w:pPr>
              <w:pStyle w:val="Regresjonstabell"/>
              <w:jc w:val="right"/>
              <w:rPr>
                <w:color w:val="000000"/>
                <w:sz w:val="20"/>
                <w:szCs w:val="20"/>
              </w:rPr>
            </w:pPr>
            <w:r w:rsidRPr="00F75927">
              <w:rPr>
                <w:color w:val="000000"/>
                <w:sz w:val="20"/>
                <w:szCs w:val="20"/>
              </w:rPr>
              <w:t>83.364**</w:t>
            </w:r>
          </w:p>
        </w:tc>
        <w:tc>
          <w:tcPr>
            <w:tcW w:w="1399" w:type="dxa"/>
            <w:tcBorders>
              <w:top w:val="nil"/>
              <w:left w:val="nil"/>
              <w:bottom w:val="nil"/>
              <w:right w:val="nil"/>
            </w:tcBorders>
          </w:tcPr>
          <w:p w14:paraId="43FE7138" w14:textId="77777777" w:rsidR="000C35AF" w:rsidRPr="00F75927" w:rsidRDefault="000C35AF" w:rsidP="009238AE">
            <w:pPr>
              <w:pStyle w:val="Regresjonstabell"/>
              <w:jc w:val="right"/>
              <w:rPr>
                <w:color w:val="000000"/>
                <w:sz w:val="20"/>
                <w:szCs w:val="20"/>
              </w:rPr>
            </w:pPr>
            <w:r w:rsidRPr="00F75927">
              <w:rPr>
                <w:color w:val="000000"/>
                <w:sz w:val="20"/>
                <w:szCs w:val="20"/>
              </w:rPr>
              <w:t>77.840*</w:t>
            </w:r>
          </w:p>
        </w:tc>
        <w:tc>
          <w:tcPr>
            <w:tcW w:w="1400" w:type="dxa"/>
            <w:tcBorders>
              <w:top w:val="nil"/>
              <w:left w:val="nil"/>
              <w:bottom w:val="nil"/>
              <w:right w:val="nil"/>
            </w:tcBorders>
          </w:tcPr>
          <w:p w14:paraId="134A445E" w14:textId="77777777" w:rsidR="000C35AF" w:rsidRPr="00F75927" w:rsidRDefault="000C35AF" w:rsidP="009238AE">
            <w:pPr>
              <w:pStyle w:val="Regresjonstabell"/>
              <w:jc w:val="right"/>
              <w:rPr>
                <w:color w:val="000000"/>
                <w:sz w:val="20"/>
                <w:szCs w:val="20"/>
              </w:rPr>
            </w:pPr>
            <w:r w:rsidRPr="00F75927">
              <w:rPr>
                <w:color w:val="000000"/>
                <w:sz w:val="20"/>
                <w:szCs w:val="20"/>
              </w:rPr>
              <w:t>70.079</w:t>
            </w:r>
          </w:p>
        </w:tc>
        <w:tc>
          <w:tcPr>
            <w:tcW w:w="1331" w:type="dxa"/>
            <w:tcBorders>
              <w:top w:val="nil"/>
              <w:left w:val="nil"/>
              <w:bottom w:val="nil"/>
              <w:right w:val="single" w:sz="4" w:space="0" w:color="auto"/>
            </w:tcBorders>
          </w:tcPr>
          <w:p w14:paraId="232D8784" w14:textId="77777777" w:rsidR="000C35AF" w:rsidRPr="00F75927" w:rsidRDefault="000C35AF" w:rsidP="009238AE">
            <w:pPr>
              <w:pStyle w:val="Regresjonstabell"/>
              <w:jc w:val="right"/>
              <w:rPr>
                <w:color w:val="000000"/>
                <w:sz w:val="20"/>
                <w:szCs w:val="20"/>
              </w:rPr>
            </w:pPr>
            <w:r w:rsidRPr="00F75927">
              <w:rPr>
                <w:color w:val="000000"/>
                <w:sz w:val="20"/>
                <w:szCs w:val="20"/>
              </w:rPr>
              <w:t>40.493</w:t>
            </w:r>
          </w:p>
        </w:tc>
      </w:tr>
      <w:tr w:rsidR="000C35AF" w:rsidRPr="0055149C" w14:paraId="1905C95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0F9E911" w14:textId="77777777" w:rsidR="000C35AF" w:rsidRPr="00F75927" w:rsidRDefault="000C35AF" w:rsidP="009238AE">
            <w:pPr>
              <w:pStyle w:val="Regresjonstabell"/>
              <w:rPr>
                <w:color w:val="000000"/>
                <w:sz w:val="20"/>
                <w:szCs w:val="20"/>
              </w:rPr>
            </w:pPr>
            <w:r w:rsidRPr="00F75927">
              <w:rPr>
                <w:color w:val="000000"/>
                <w:sz w:val="20"/>
                <w:szCs w:val="20"/>
              </w:rPr>
              <w:t>(Kriterium 17)</w:t>
            </w:r>
          </w:p>
        </w:tc>
        <w:tc>
          <w:tcPr>
            <w:tcW w:w="1399" w:type="dxa"/>
            <w:tcBorders>
              <w:top w:val="nil"/>
              <w:left w:val="single" w:sz="4" w:space="0" w:color="auto"/>
              <w:bottom w:val="nil"/>
              <w:right w:val="nil"/>
            </w:tcBorders>
          </w:tcPr>
          <w:p w14:paraId="4E6F0A7D" w14:textId="77777777" w:rsidR="000C35AF" w:rsidRPr="00F75927" w:rsidRDefault="000C35AF" w:rsidP="009238AE">
            <w:pPr>
              <w:pStyle w:val="Regresjonstabell"/>
              <w:jc w:val="right"/>
              <w:rPr>
                <w:color w:val="000000"/>
                <w:sz w:val="20"/>
                <w:szCs w:val="20"/>
              </w:rPr>
            </w:pPr>
            <w:r w:rsidRPr="00F75927">
              <w:rPr>
                <w:color w:val="000000"/>
                <w:sz w:val="20"/>
                <w:szCs w:val="20"/>
              </w:rPr>
              <w:t>(26.039)</w:t>
            </w:r>
          </w:p>
        </w:tc>
        <w:tc>
          <w:tcPr>
            <w:tcW w:w="1399" w:type="dxa"/>
            <w:tcBorders>
              <w:top w:val="nil"/>
              <w:left w:val="nil"/>
              <w:bottom w:val="nil"/>
              <w:right w:val="nil"/>
            </w:tcBorders>
          </w:tcPr>
          <w:p w14:paraId="14F24B08" w14:textId="77777777" w:rsidR="000C35AF" w:rsidRPr="00F75927" w:rsidRDefault="000C35AF" w:rsidP="009238AE">
            <w:pPr>
              <w:pStyle w:val="Regresjonstabell"/>
              <w:jc w:val="right"/>
              <w:rPr>
                <w:color w:val="000000"/>
                <w:sz w:val="20"/>
                <w:szCs w:val="20"/>
              </w:rPr>
            </w:pPr>
            <w:r w:rsidRPr="00F75927">
              <w:rPr>
                <w:color w:val="000000"/>
                <w:sz w:val="20"/>
                <w:szCs w:val="20"/>
              </w:rPr>
              <w:t>(31.874)</w:t>
            </w:r>
          </w:p>
        </w:tc>
        <w:tc>
          <w:tcPr>
            <w:tcW w:w="1399" w:type="dxa"/>
            <w:tcBorders>
              <w:top w:val="nil"/>
              <w:left w:val="nil"/>
              <w:bottom w:val="nil"/>
              <w:right w:val="nil"/>
            </w:tcBorders>
          </w:tcPr>
          <w:p w14:paraId="2E3541C8" w14:textId="77777777" w:rsidR="000C35AF" w:rsidRPr="00F75927" w:rsidRDefault="000C35AF" w:rsidP="009238AE">
            <w:pPr>
              <w:pStyle w:val="Regresjonstabell"/>
              <w:jc w:val="right"/>
              <w:rPr>
                <w:color w:val="000000"/>
                <w:sz w:val="20"/>
                <w:szCs w:val="20"/>
              </w:rPr>
            </w:pPr>
            <w:r w:rsidRPr="00F75927">
              <w:rPr>
                <w:color w:val="000000"/>
                <w:sz w:val="20"/>
                <w:szCs w:val="20"/>
              </w:rPr>
              <w:t>(31.635)</w:t>
            </w:r>
          </w:p>
        </w:tc>
        <w:tc>
          <w:tcPr>
            <w:tcW w:w="1399" w:type="dxa"/>
            <w:tcBorders>
              <w:top w:val="nil"/>
              <w:left w:val="nil"/>
              <w:bottom w:val="nil"/>
              <w:right w:val="nil"/>
            </w:tcBorders>
          </w:tcPr>
          <w:p w14:paraId="4C296142" w14:textId="77777777" w:rsidR="000C35AF" w:rsidRPr="00F75927" w:rsidRDefault="000C35AF" w:rsidP="009238AE">
            <w:pPr>
              <w:pStyle w:val="Regresjonstabell"/>
              <w:jc w:val="right"/>
              <w:rPr>
                <w:color w:val="000000"/>
                <w:sz w:val="20"/>
                <w:szCs w:val="20"/>
              </w:rPr>
            </w:pPr>
            <w:r w:rsidRPr="00F75927">
              <w:rPr>
                <w:color w:val="000000"/>
                <w:sz w:val="20"/>
                <w:szCs w:val="20"/>
              </w:rPr>
              <w:t>(41.906)</w:t>
            </w:r>
          </w:p>
        </w:tc>
        <w:tc>
          <w:tcPr>
            <w:tcW w:w="1399" w:type="dxa"/>
            <w:tcBorders>
              <w:top w:val="nil"/>
              <w:left w:val="nil"/>
              <w:bottom w:val="nil"/>
              <w:right w:val="nil"/>
            </w:tcBorders>
          </w:tcPr>
          <w:p w14:paraId="6A850561" w14:textId="77777777" w:rsidR="000C35AF" w:rsidRPr="00F75927" w:rsidRDefault="000C35AF" w:rsidP="009238AE">
            <w:pPr>
              <w:pStyle w:val="Regresjonstabell"/>
              <w:jc w:val="right"/>
              <w:rPr>
                <w:color w:val="000000"/>
                <w:sz w:val="20"/>
                <w:szCs w:val="20"/>
              </w:rPr>
            </w:pPr>
            <w:r w:rsidRPr="00F75927">
              <w:rPr>
                <w:color w:val="000000"/>
                <w:sz w:val="20"/>
                <w:szCs w:val="20"/>
              </w:rPr>
              <w:t>(39.281)</w:t>
            </w:r>
          </w:p>
        </w:tc>
        <w:tc>
          <w:tcPr>
            <w:tcW w:w="1399" w:type="dxa"/>
            <w:tcBorders>
              <w:top w:val="nil"/>
              <w:left w:val="nil"/>
              <w:bottom w:val="nil"/>
              <w:right w:val="nil"/>
            </w:tcBorders>
          </w:tcPr>
          <w:p w14:paraId="0C2C435E" w14:textId="77777777" w:rsidR="000C35AF" w:rsidRPr="00F75927" w:rsidRDefault="000C35AF" w:rsidP="009238AE">
            <w:pPr>
              <w:pStyle w:val="Regresjonstabell"/>
              <w:jc w:val="right"/>
              <w:rPr>
                <w:color w:val="000000"/>
                <w:sz w:val="20"/>
                <w:szCs w:val="20"/>
              </w:rPr>
            </w:pPr>
            <w:r w:rsidRPr="00F75927">
              <w:rPr>
                <w:color w:val="000000"/>
                <w:sz w:val="20"/>
                <w:szCs w:val="20"/>
              </w:rPr>
              <w:t>(46.937)</w:t>
            </w:r>
          </w:p>
        </w:tc>
        <w:tc>
          <w:tcPr>
            <w:tcW w:w="1400" w:type="dxa"/>
            <w:tcBorders>
              <w:top w:val="nil"/>
              <w:left w:val="nil"/>
              <w:bottom w:val="nil"/>
              <w:right w:val="nil"/>
            </w:tcBorders>
          </w:tcPr>
          <w:p w14:paraId="19211A8F" w14:textId="77777777" w:rsidR="000C35AF" w:rsidRPr="00F75927" w:rsidRDefault="000C35AF" w:rsidP="009238AE">
            <w:pPr>
              <w:pStyle w:val="Regresjonstabell"/>
              <w:jc w:val="right"/>
              <w:rPr>
                <w:color w:val="000000"/>
                <w:sz w:val="20"/>
                <w:szCs w:val="20"/>
              </w:rPr>
            </w:pPr>
            <w:r w:rsidRPr="00F75927">
              <w:rPr>
                <w:color w:val="000000"/>
                <w:sz w:val="20"/>
                <w:szCs w:val="20"/>
              </w:rPr>
              <w:t>(45.260)</w:t>
            </w:r>
          </w:p>
        </w:tc>
        <w:tc>
          <w:tcPr>
            <w:tcW w:w="1331" w:type="dxa"/>
            <w:tcBorders>
              <w:top w:val="nil"/>
              <w:left w:val="nil"/>
              <w:bottom w:val="nil"/>
              <w:right w:val="single" w:sz="4" w:space="0" w:color="auto"/>
            </w:tcBorders>
          </w:tcPr>
          <w:p w14:paraId="26049646" w14:textId="77777777" w:rsidR="000C35AF" w:rsidRPr="00F75927" w:rsidRDefault="000C35AF" w:rsidP="009238AE">
            <w:pPr>
              <w:pStyle w:val="Regresjonstabell"/>
              <w:jc w:val="right"/>
              <w:rPr>
                <w:color w:val="000000"/>
                <w:sz w:val="20"/>
                <w:szCs w:val="20"/>
              </w:rPr>
            </w:pPr>
            <w:r w:rsidRPr="00F75927">
              <w:rPr>
                <w:color w:val="000000"/>
                <w:sz w:val="20"/>
                <w:szCs w:val="20"/>
              </w:rPr>
              <w:t>(70.697)</w:t>
            </w:r>
          </w:p>
        </w:tc>
      </w:tr>
      <w:tr w:rsidR="000C35AF" w:rsidRPr="0055149C" w14:paraId="448BFB3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E0A7E4E" w14:textId="77777777" w:rsidR="000C35AF" w:rsidRPr="00F75927" w:rsidRDefault="000C35AF" w:rsidP="009238AE">
            <w:pPr>
              <w:pStyle w:val="Regresjonstabell"/>
              <w:rPr>
                <w:color w:val="000000"/>
                <w:sz w:val="20"/>
                <w:szCs w:val="20"/>
              </w:rPr>
            </w:pPr>
            <w:r w:rsidRPr="00F75927">
              <w:rPr>
                <w:color w:val="000000"/>
                <w:sz w:val="20"/>
                <w:szCs w:val="20"/>
              </w:rPr>
              <w:t>Samlede frie inntekter</w:t>
            </w:r>
          </w:p>
        </w:tc>
        <w:tc>
          <w:tcPr>
            <w:tcW w:w="1399" w:type="dxa"/>
            <w:tcBorders>
              <w:top w:val="nil"/>
              <w:left w:val="single" w:sz="4" w:space="0" w:color="auto"/>
              <w:bottom w:val="nil"/>
              <w:right w:val="nil"/>
            </w:tcBorders>
          </w:tcPr>
          <w:p w14:paraId="439C2C6F" w14:textId="77777777" w:rsidR="000C35AF" w:rsidRPr="00F75927" w:rsidRDefault="000C35AF" w:rsidP="009238AE">
            <w:pPr>
              <w:pStyle w:val="Regresjonstabell"/>
              <w:jc w:val="right"/>
              <w:rPr>
                <w:color w:val="000000"/>
                <w:sz w:val="20"/>
                <w:szCs w:val="20"/>
              </w:rPr>
            </w:pPr>
            <w:r w:rsidRPr="00F75927">
              <w:rPr>
                <w:color w:val="000000"/>
                <w:sz w:val="20"/>
                <w:szCs w:val="20"/>
              </w:rPr>
              <w:t>0.127***</w:t>
            </w:r>
          </w:p>
        </w:tc>
        <w:tc>
          <w:tcPr>
            <w:tcW w:w="1399" w:type="dxa"/>
            <w:tcBorders>
              <w:top w:val="nil"/>
              <w:left w:val="nil"/>
              <w:bottom w:val="nil"/>
              <w:right w:val="nil"/>
            </w:tcBorders>
          </w:tcPr>
          <w:p w14:paraId="59617DB5" w14:textId="77777777" w:rsidR="000C35AF" w:rsidRPr="00F75927" w:rsidRDefault="000C35AF" w:rsidP="009238AE">
            <w:pPr>
              <w:pStyle w:val="Regresjonstabell"/>
              <w:jc w:val="right"/>
              <w:rPr>
                <w:color w:val="000000"/>
                <w:sz w:val="20"/>
                <w:szCs w:val="20"/>
              </w:rPr>
            </w:pPr>
            <w:r w:rsidRPr="00F75927">
              <w:rPr>
                <w:color w:val="000000"/>
                <w:sz w:val="20"/>
                <w:szCs w:val="20"/>
              </w:rPr>
              <w:t>0.144***</w:t>
            </w:r>
          </w:p>
        </w:tc>
        <w:tc>
          <w:tcPr>
            <w:tcW w:w="1399" w:type="dxa"/>
            <w:tcBorders>
              <w:top w:val="nil"/>
              <w:left w:val="nil"/>
              <w:bottom w:val="nil"/>
              <w:right w:val="nil"/>
            </w:tcBorders>
          </w:tcPr>
          <w:p w14:paraId="0C206B5D" w14:textId="77777777" w:rsidR="000C35AF" w:rsidRPr="00F75927" w:rsidRDefault="000C35AF" w:rsidP="009238AE">
            <w:pPr>
              <w:pStyle w:val="Regresjonstabell"/>
              <w:jc w:val="right"/>
              <w:rPr>
                <w:color w:val="000000"/>
                <w:sz w:val="20"/>
                <w:szCs w:val="20"/>
              </w:rPr>
            </w:pPr>
            <w:r w:rsidRPr="00F75927">
              <w:rPr>
                <w:color w:val="000000"/>
                <w:sz w:val="20"/>
                <w:szCs w:val="20"/>
              </w:rPr>
              <w:t>0.140***</w:t>
            </w:r>
          </w:p>
        </w:tc>
        <w:tc>
          <w:tcPr>
            <w:tcW w:w="1399" w:type="dxa"/>
            <w:tcBorders>
              <w:top w:val="nil"/>
              <w:left w:val="nil"/>
              <w:bottom w:val="nil"/>
              <w:right w:val="nil"/>
            </w:tcBorders>
          </w:tcPr>
          <w:p w14:paraId="52C383C2" w14:textId="77777777" w:rsidR="000C35AF" w:rsidRPr="00F75927" w:rsidRDefault="000C35AF" w:rsidP="009238AE">
            <w:pPr>
              <w:pStyle w:val="Regresjonstabell"/>
              <w:jc w:val="right"/>
              <w:rPr>
                <w:color w:val="000000"/>
                <w:sz w:val="20"/>
                <w:szCs w:val="20"/>
              </w:rPr>
            </w:pPr>
            <w:r w:rsidRPr="00F75927">
              <w:rPr>
                <w:color w:val="000000"/>
                <w:sz w:val="20"/>
                <w:szCs w:val="20"/>
              </w:rPr>
              <w:t>0.156***</w:t>
            </w:r>
          </w:p>
        </w:tc>
        <w:tc>
          <w:tcPr>
            <w:tcW w:w="1399" w:type="dxa"/>
            <w:tcBorders>
              <w:top w:val="nil"/>
              <w:left w:val="nil"/>
              <w:bottom w:val="nil"/>
              <w:right w:val="nil"/>
            </w:tcBorders>
          </w:tcPr>
          <w:p w14:paraId="31A2936D" w14:textId="77777777" w:rsidR="000C35AF" w:rsidRPr="00F75927" w:rsidRDefault="000C35AF" w:rsidP="009238AE">
            <w:pPr>
              <w:pStyle w:val="Regresjonstabell"/>
              <w:jc w:val="right"/>
              <w:rPr>
                <w:color w:val="000000"/>
                <w:sz w:val="20"/>
                <w:szCs w:val="20"/>
              </w:rPr>
            </w:pPr>
            <w:r w:rsidRPr="00F75927">
              <w:rPr>
                <w:color w:val="000000"/>
                <w:sz w:val="20"/>
                <w:szCs w:val="20"/>
              </w:rPr>
              <w:t>0.123***</w:t>
            </w:r>
          </w:p>
        </w:tc>
        <w:tc>
          <w:tcPr>
            <w:tcW w:w="1399" w:type="dxa"/>
            <w:tcBorders>
              <w:top w:val="nil"/>
              <w:left w:val="nil"/>
              <w:bottom w:val="nil"/>
              <w:right w:val="nil"/>
            </w:tcBorders>
          </w:tcPr>
          <w:p w14:paraId="44FE904B" w14:textId="77777777" w:rsidR="000C35AF" w:rsidRPr="00F75927" w:rsidRDefault="000C35AF" w:rsidP="009238AE">
            <w:pPr>
              <w:pStyle w:val="Regresjonstabell"/>
              <w:jc w:val="right"/>
              <w:rPr>
                <w:color w:val="000000"/>
                <w:sz w:val="20"/>
                <w:szCs w:val="20"/>
              </w:rPr>
            </w:pPr>
            <w:r w:rsidRPr="00F75927">
              <w:rPr>
                <w:color w:val="000000"/>
                <w:sz w:val="20"/>
                <w:szCs w:val="20"/>
              </w:rPr>
              <w:t>0.130***</w:t>
            </w:r>
          </w:p>
        </w:tc>
        <w:tc>
          <w:tcPr>
            <w:tcW w:w="1400" w:type="dxa"/>
            <w:tcBorders>
              <w:top w:val="nil"/>
              <w:left w:val="nil"/>
              <w:bottom w:val="nil"/>
              <w:right w:val="nil"/>
            </w:tcBorders>
          </w:tcPr>
          <w:p w14:paraId="74F262F6" w14:textId="77777777" w:rsidR="000C35AF" w:rsidRPr="00F75927" w:rsidRDefault="000C35AF" w:rsidP="009238AE">
            <w:pPr>
              <w:pStyle w:val="Regresjonstabell"/>
              <w:jc w:val="right"/>
              <w:rPr>
                <w:color w:val="000000"/>
                <w:sz w:val="20"/>
                <w:szCs w:val="20"/>
              </w:rPr>
            </w:pPr>
            <w:r w:rsidRPr="00F75927">
              <w:rPr>
                <w:color w:val="000000"/>
                <w:sz w:val="20"/>
                <w:szCs w:val="20"/>
              </w:rPr>
              <w:t>0.130***</w:t>
            </w:r>
          </w:p>
        </w:tc>
        <w:tc>
          <w:tcPr>
            <w:tcW w:w="1331" w:type="dxa"/>
            <w:tcBorders>
              <w:top w:val="nil"/>
              <w:left w:val="nil"/>
              <w:bottom w:val="nil"/>
              <w:right w:val="single" w:sz="4" w:space="0" w:color="auto"/>
            </w:tcBorders>
          </w:tcPr>
          <w:p w14:paraId="11CB6FC8" w14:textId="77777777" w:rsidR="000C35AF" w:rsidRPr="00F75927" w:rsidRDefault="000C35AF" w:rsidP="009238AE">
            <w:pPr>
              <w:pStyle w:val="Regresjonstabell"/>
              <w:jc w:val="right"/>
              <w:rPr>
                <w:color w:val="000000"/>
                <w:sz w:val="20"/>
                <w:szCs w:val="20"/>
              </w:rPr>
            </w:pPr>
            <w:r w:rsidRPr="00F75927">
              <w:rPr>
                <w:color w:val="000000"/>
                <w:sz w:val="20"/>
                <w:szCs w:val="20"/>
              </w:rPr>
              <w:t>0.146***</w:t>
            </w:r>
          </w:p>
        </w:tc>
      </w:tr>
      <w:tr w:rsidR="000C35AF" w:rsidRPr="0055149C" w14:paraId="344A71A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93213C0" w14:textId="77777777" w:rsidR="000C35AF" w:rsidRPr="00F75927" w:rsidRDefault="000C35AF" w:rsidP="009238AE">
            <w:pPr>
              <w:pStyle w:val="Regresjonstabell"/>
              <w:rPr>
                <w:color w:val="000000"/>
                <w:sz w:val="20"/>
                <w:szCs w:val="20"/>
              </w:rPr>
            </w:pPr>
            <w:r w:rsidRPr="00F75927">
              <w:rPr>
                <w:color w:val="000000"/>
                <w:sz w:val="20"/>
                <w:szCs w:val="20"/>
              </w:rPr>
              <w:t>(i tusener kroner)</w:t>
            </w:r>
          </w:p>
        </w:tc>
        <w:tc>
          <w:tcPr>
            <w:tcW w:w="1399" w:type="dxa"/>
            <w:tcBorders>
              <w:top w:val="nil"/>
              <w:left w:val="single" w:sz="4" w:space="0" w:color="auto"/>
              <w:bottom w:val="nil"/>
              <w:right w:val="nil"/>
            </w:tcBorders>
          </w:tcPr>
          <w:p w14:paraId="212C7642" w14:textId="77777777" w:rsidR="000C35AF" w:rsidRPr="00F75927" w:rsidRDefault="000C35AF" w:rsidP="009238AE">
            <w:pPr>
              <w:pStyle w:val="Regresjonstabell"/>
              <w:jc w:val="right"/>
              <w:rPr>
                <w:color w:val="000000"/>
                <w:sz w:val="20"/>
                <w:szCs w:val="20"/>
              </w:rPr>
            </w:pPr>
            <w:r w:rsidRPr="00F75927">
              <w:rPr>
                <w:color w:val="000000"/>
                <w:sz w:val="20"/>
                <w:szCs w:val="20"/>
              </w:rPr>
              <w:t>(0.010)</w:t>
            </w:r>
          </w:p>
        </w:tc>
        <w:tc>
          <w:tcPr>
            <w:tcW w:w="1399" w:type="dxa"/>
            <w:tcBorders>
              <w:top w:val="nil"/>
              <w:left w:val="nil"/>
              <w:bottom w:val="nil"/>
              <w:right w:val="nil"/>
            </w:tcBorders>
          </w:tcPr>
          <w:p w14:paraId="41C17CB8" w14:textId="77777777" w:rsidR="000C35AF" w:rsidRPr="00F75927" w:rsidRDefault="000C35AF" w:rsidP="009238AE">
            <w:pPr>
              <w:pStyle w:val="Regresjonstabell"/>
              <w:jc w:val="right"/>
              <w:rPr>
                <w:color w:val="000000"/>
                <w:sz w:val="20"/>
                <w:szCs w:val="20"/>
              </w:rPr>
            </w:pPr>
            <w:r w:rsidRPr="00F75927">
              <w:rPr>
                <w:color w:val="000000"/>
                <w:sz w:val="20"/>
                <w:szCs w:val="20"/>
              </w:rPr>
              <w:t>(0.012)</w:t>
            </w:r>
          </w:p>
        </w:tc>
        <w:tc>
          <w:tcPr>
            <w:tcW w:w="1399" w:type="dxa"/>
            <w:tcBorders>
              <w:top w:val="nil"/>
              <w:left w:val="nil"/>
              <w:bottom w:val="nil"/>
              <w:right w:val="nil"/>
            </w:tcBorders>
          </w:tcPr>
          <w:p w14:paraId="36DA8845" w14:textId="77777777" w:rsidR="000C35AF" w:rsidRPr="00F75927" w:rsidRDefault="000C35AF" w:rsidP="009238AE">
            <w:pPr>
              <w:pStyle w:val="Regresjonstabell"/>
              <w:jc w:val="right"/>
              <w:rPr>
                <w:color w:val="000000"/>
                <w:sz w:val="20"/>
                <w:szCs w:val="20"/>
              </w:rPr>
            </w:pPr>
            <w:r w:rsidRPr="00F75927">
              <w:rPr>
                <w:color w:val="000000"/>
                <w:sz w:val="20"/>
                <w:szCs w:val="20"/>
              </w:rPr>
              <w:t>(0.012)</w:t>
            </w:r>
          </w:p>
        </w:tc>
        <w:tc>
          <w:tcPr>
            <w:tcW w:w="1399" w:type="dxa"/>
            <w:tcBorders>
              <w:top w:val="nil"/>
              <w:left w:val="nil"/>
              <w:bottom w:val="nil"/>
              <w:right w:val="nil"/>
            </w:tcBorders>
          </w:tcPr>
          <w:p w14:paraId="78AA8858" w14:textId="77777777" w:rsidR="000C35AF" w:rsidRPr="00F75927" w:rsidRDefault="000C35AF" w:rsidP="009238AE">
            <w:pPr>
              <w:pStyle w:val="Regresjonstabell"/>
              <w:jc w:val="right"/>
              <w:rPr>
                <w:color w:val="000000"/>
                <w:sz w:val="20"/>
                <w:szCs w:val="20"/>
              </w:rPr>
            </w:pPr>
            <w:r w:rsidRPr="00F75927">
              <w:rPr>
                <w:color w:val="000000"/>
                <w:sz w:val="20"/>
                <w:szCs w:val="20"/>
              </w:rPr>
              <w:t>(0.018)</w:t>
            </w:r>
          </w:p>
        </w:tc>
        <w:tc>
          <w:tcPr>
            <w:tcW w:w="1399" w:type="dxa"/>
            <w:tcBorders>
              <w:top w:val="nil"/>
              <w:left w:val="nil"/>
              <w:bottom w:val="nil"/>
              <w:right w:val="nil"/>
            </w:tcBorders>
          </w:tcPr>
          <w:p w14:paraId="413D8A89" w14:textId="77777777" w:rsidR="000C35AF" w:rsidRPr="00F75927" w:rsidRDefault="000C35AF" w:rsidP="009238AE">
            <w:pPr>
              <w:pStyle w:val="Regresjonstabell"/>
              <w:jc w:val="right"/>
              <w:rPr>
                <w:color w:val="000000"/>
                <w:sz w:val="20"/>
                <w:szCs w:val="20"/>
              </w:rPr>
            </w:pPr>
            <w:r w:rsidRPr="00F75927">
              <w:rPr>
                <w:color w:val="000000"/>
                <w:sz w:val="20"/>
                <w:szCs w:val="20"/>
              </w:rPr>
              <w:t>(0.015)</w:t>
            </w:r>
          </w:p>
        </w:tc>
        <w:tc>
          <w:tcPr>
            <w:tcW w:w="1399" w:type="dxa"/>
            <w:tcBorders>
              <w:top w:val="nil"/>
              <w:left w:val="nil"/>
              <w:bottom w:val="nil"/>
              <w:right w:val="nil"/>
            </w:tcBorders>
          </w:tcPr>
          <w:p w14:paraId="70F87944" w14:textId="77777777" w:rsidR="000C35AF" w:rsidRPr="00F75927" w:rsidRDefault="000C35AF" w:rsidP="009238AE">
            <w:pPr>
              <w:pStyle w:val="Regresjonstabell"/>
              <w:jc w:val="right"/>
              <w:rPr>
                <w:color w:val="000000"/>
                <w:sz w:val="20"/>
                <w:szCs w:val="20"/>
              </w:rPr>
            </w:pPr>
            <w:r w:rsidRPr="00F75927">
              <w:rPr>
                <w:color w:val="000000"/>
                <w:sz w:val="20"/>
                <w:szCs w:val="20"/>
              </w:rPr>
              <w:t>(0.017)</w:t>
            </w:r>
          </w:p>
        </w:tc>
        <w:tc>
          <w:tcPr>
            <w:tcW w:w="1400" w:type="dxa"/>
            <w:tcBorders>
              <w:top w:val="nil"/>
              <w:left w:val="nil"/>
              <w:bottom w:val="nil"/>
              <w:right w:val="nil"/>
            </w:tcBorders>
          </w:tcPr>
          <w:p w14:paraId="07511B32" w14:textId="77777777" w:rsidR="000C35AF" w:rsidRPr="00F75927" w:rsidRDefault="000C35AF" w:rsidP="009238AE">
            <w:pPr>
              <w:pStyle w:val="Regresjonstabell"/>
              <w:jc w:val="right"/>
              <w:rPr>
                <w:color w:val="000000"/>
                <w:sz w:val="20"/>
                <w:szCs w:val="20"/>
              </w:rPr>
            </w:pPr>
            <w:r w:rsidRPr="00F75927">
              <w:rPr>
                <w:color w:val="000000"/>
                <w:sz w:val="20"/>
                <w:szCs w:val="20"/>
              </w:rPr>
              <w:t>(0.016)</w:t>
            </w:r>
          </w:p>
        </w:tc>
        <w:tc>
          <w:tcPr>
            <w:tcW w:w="1331" w:type="dxa"/>
            <w:tcBorders>
              <w:top w:val="nil"/>
              <w:left w:val="nil"/>
              <w:bottom w:val="nil"/>
              <w:right w:val="single" w:sz="4" w:space="0" w:color="auto"/>
            </w:tcBorders>
          </w:tcPr>
          <w:p w14:paraId="4D8CF972" w14:textId="77777777" w:rsidR="000C35AF" w:rsidRPr="00F75927" w:rsidRDefault="000C35AF" w:rsidP="009238AE">
            <w:pPr>
              <w:pStyle w:val="Regresjonstabell"/>
              <w:jc w:val="right"/>
              <w:rPr>
                <w:color w:val="000000"/>
                <w:sz w:val="20"/>
                <w:szCs w:val="20"/>
              </w:rPr>
            </w:pPr>
            <w:r w:rsidRPr="00F75927">
              <w:rPr>
                <w:color w:val="000000"/>
                <w:sz w:val="20"/>
                <w:szCs w:val="20"/>
              </w:rPr>
              <w:t>(0.024)</w:t>
            </w:r>
          </w:p>
        </w:tc>
      </w:tr>
      <w:tr w:rsidR="000C35AF" w:rsidRPr="0055149C" w14:paraId="164A5BA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6F76C23" w14:textId="77777777" w:rsidR="000C35AF" w:rsidRPr="00F75927" w:rsidRDefault="000C35AF" w:rsidP="009238AE">
            <w:pPr>
              <w:pStyle w:val="Regresjonstabell"/>
              <w:rPr>
                <w:color w:val="000000"/>
                <w:sz w:val="20"/>
                <w:szCs w:val="20"/>
              </w:rPr>
            </w:pPr>
            <w:r w:rsidRPr="00F75927">
              <w:rPr>
                <w:color w:val="000000"/>
                <w:sz w:val="20"/>
                <w:szCs w:val="20"/>
              </w:rPr>
              <w:t>Konstantleddet</w:t>
            </w:r>
          </w:p>
        </w:tc>
        <w:tc>
          <w:tcPr>
            <w:tcW w:w="1399" w:type="dxa"/>
            <w:tcBorders>
              <w:top w:val="nil"/>
              <w:left w:val="single" w:sz="4" w:space="0" w:color="auto"/>
              <w:bottom w:val="nil"/>
              <w:right w:val="nil"/>
            </w:tcBorders>
            <w:vAlign w:val="bottom"/>
          </w:tcPr>
          <w:p w14:paraId="7CFC4B56" w14:textId="77777777" w:rsidR="000C35AF" w:rsidRPr="00F75927" w:rsidRDefault="000C35AF" w:rsidP="009238AE">
            <w:pPr>
              <w:pStyle w:val="Regresjonstabell"/>
              <w:jc w:val="right"/>
              <w:rPr>
                <w:color w:val="000000"/>
                <w:sz w:val="20"/>
                <w:szCs w:val="20"/>
              </w:rPr>
            </w:pPr>
            <w:r w:rsidRPr="00F75927">
              <w:rPr>
                <w:color w:val="000000"/>
                <w:sz w:val="20"/>
                <w:szCs w:val="20"/>
              </w:rPr>
              <w:t>-3.368***</w:t>
            </w:r>
          </w:p>
        </w:tc>
        <w:tc>
          <w:tcPr>
            <w:tcW w:w="1399" w:type="dxa"/>
            <w:tcBorders>
              <w:top w:val="nil"/>
              <w:left w:val="nil"/>
              <w:bottom w:val="nil"/>
              <w:right w:val="nil"/>
            </w:tcBorders>
            <w:vAlign w:val="bottom"/>
          </w:tcPr>
          <w:p w14:paraId="75E30D29" w14:textId="77777777" w:rsidR="000C35AF" w:rsidRPr="00F75927" w:rsidRDefault="000C35AF" w:rsidP="009238AE">
            <w:pPr>
              <w:pStyle w:val="Regresjonstabell"/>
              <w:jc w:val="right"/>
              <w:rPr>
                <w:color w:val="000000"/>
                <w:sz w:val="20"/>
                <w:szCs w:val="20"/>
              </w:rPr>
            </w:pPr>
            <w:r w:rsidRPr="00F75927">
              <w:rPr>
                <w:color w:val="000000"/>
                <w:sz w:val="20"/>
                <w:szCs w:val="20"/>
              </w:rPr>
              <w:t>-3.725***</w:t>
            </w:r>
          </w:p>
        </w:tc>
        <w:tc>
          <w:tcPr>
            <w:tcW w:w="1399" w:type="dxa"/>
            <w:tcBorders>
              <w:top w:val="nil"/>
              <w:left w:val="nil"/>
              <w:bottom w:val="nil"/>
              <w:right w:val="nil"/>
            </w:tcBorders>
            <w:vAlign w:val="bottom"/>
          </w:tcPr>
          <w:p w14:paraId="227CE5E4" w14:textId="77777777" w:rsidR="000C35AF" w:rsidRPr="00F75927" w:rsidRDefault="000C35AF" w:rsidP="009238AE">
            <w:pPr>
              <w:pStyle w:val="Regresjonstabell"/>
              <w:jc w:val="right"/>
              <w:rPr>
                <w:color w:val="000000"/>
                <w:sz w:val="20"/>
                <w:szCs w:val="20"/>
              </w:rPr>
            </w:pPr>
            <w:r w:rsidRPr="00F75927">
              <w:rPr>
                <w:color w:val="000000"/>
                <w:sz w:val="20"/>
                <w:szCs w:val="20"/>
              </w:rPr>
              <w:t>-3.137***</w:t>
            </w:r>
          </w:p>
        </w:tc>
        <w:tc>
          <w:tcPr>
            <w:tcW w:w="1399" w:type="dxa"/>
            <w:tcBorders>
              <w:top w:val="nil"/>
              <w:left w:val="nil"/>
              <w:bottom w:val="nil"/>
              <w:right w:val="nil"/>
            </w:tcBorders>
            <w:vAlign w:val="bottom"/>
          </w:tcPr>
          <w:p w14:paraId="2C8C2961" w14:textId="77777777" w:rsidR="000C35AF" w:rsidRPr="00F75927" w:rsidRDefault="000C35AF" w:rsidP="009238AE">
            <w:pPr>
              <w:pStyle w:val="Regresjonstabell"/>
              <w:jc w:val="right"/>
              <w:rPr>
                <w:color w:val="000000"/>
                <w:sz w:val="20"/>
                <w:szCs w:val="20"/>
              </w:rPr>
            </w:pPr>
            <w:r w:rsidRPr="00F75927">
              <w:rPr>
                <w:color w:val="000000"/>
                <w:sz w:val="20"/>
                <w:szCs w:val="20"/>
              </w:rPr>
              <w:t>-2.849*</w:t>
            </w:r>
          </w:p>
        </w:tc>
        <w:tc>
          <w:tcPr>
            <w:tcW w:w="1399" w:type="dxa"/>
            <w:tcBorders>
              <w:top w:val="nil"/>
              <w:left w:val="nil"/>
              <w:bottom w:val="nil"/>
              <w:right w:val="nil"/>
            </w:tcBorders>
            <w:vAlign w:val="bottom"/>
          </w:tcPr>
          <w:p w14:paraId="181C4801" w14:textId="77777777" w:rsidR="000C35AF" w:rsidRPr="00F75927" w:rsidRDefault="000C35AF" w:rsidP="009238AE">
            <w:pPr>
              <w:pStyle w:val="Regresjonstabell"/>
              <w:jc w:val="right"/>
              <w:rPr>
                <w:color w:val="000000"/>
                <w:sz w:val="20"/>
                <w:szCs w:val="20"/>
              </w:rPr>
            </w:pPr>
            <w:r w:rsidRPr="00F75927">
              <w:rPr>
                <w:color w:val="000000"/>
                <w:sz w:val="20"/>
                <w:szCs w:val="20"/>
              </w:rPr>
              <w:t>-4.539***</w:t>
            </w:r>
          </w:p>
        </w:tc>
        <w:tc>
          <w:tcPr>
            <w:tcW w:w="1399" w:type="dxa"/>
            <w:tcBorders>
              <w:top w:val="nil"/>
              <w:left w:val="nil"/>
              <w:bottom w:val="nil"/>
              <w:right w:val="nil"/>
            </w:tcBorders>
            <w:vAlign w:val="bottom"/>
          </w:tcPr>
          <w:p w14:paraId="10031912" w14:textId="77777777" w:rsidR="000C35AF" w:rsidRPr="00F75927" w:rsidRDefault="000C35AF" w:rsidP="009238AE">
            <w:pPr>
              <w:pStyle w:val="Regresjonstabell"/>
              <w:jc w:val="right"/>
              <w:rPr>
                <w:color w:val="000000"/>
                <w:sz w:val="20"/>
                <w:szCs w:val="20"/>
              </w:rPr>
            </w:pPr>
            <w:r w:rsidRPr="00F75927">
              <w:rPr>
                <w:color w:val="000000"/>
                <w:sz w:val="20"/>
                <w:szCs w:val="20"/>
              </w:rPr>
              <w:t>-4.081***</w:t>
            </w:r>
          </w:p>
        </w:tc>
        <w:tc>
          <w:tcPr>
            <w:tcW w:w="1400" w:type="dxa"/>
            <w:tcBorders>
              <w:top w:val="nil"/>
              <w:left w:val="nil"/>
              <w:bottom w:val="nil"/>
              <w:right w:val="nil"/>
            </w:tcBorders>
            <w:vAlign w:val="bottom"/>
          </w:tcPr>
          <w:p w14:paraId="61E57EAF" w14:textId="77777777" w:rsidR="000C35AF" w:rsidRPr="00F75927" w:rsidRDefault="000C35AF" w:rsidP="009238AE">
            <w:pPr>
              <w:pStyle w:val="Regresjonstabell"/>
              <w:jc w:val="right"/>
              <w:rPr>
                <w:color w:val="000000"/>
                <w:sz w:val="20"/>
                <w:szCs w:val="20"/>
              </w:rPr>
            </w:pPr>
            <w:r w:rsidRPr="00F75927">
              <w:rPr>
                <w:color w:val="000000"/>
                <w:sz w:val="20"/>
                <w:szCs w:val="20"/>
              </w:rPr>
              <w:t>-3.679***</w:t>
            </w:r>
          </w:p>
        </w:tc>
        <w:tc>
          <w:tcPr>
            <w:tcW w:w="1331" w:type="dxa"/>
            <w:tcBorders>
              <w:top w:val="nil"/>
              <w:left w:val="nil"/>
              <w:bottom w:val="nil"/>
              <w:right w:val="single" w:sz="4" w:space="0" w:color="auto"/>
            </w:tcBorders>
            <w:vAlign w:val="bottom"/>
          </w:tcPr>
          <w:p w14:paraId="3C39F3CA" w14:textId="77777777" w:rsidR="000C35AF" w:rsidRPr="00F75927" w:rsidRDefault="000C35AF" w:rsidP="009238AE">
            <w:pPr>
              <w:pStyle w:val="Regresjonstabell"/>
              <w:jc w:val="right"/>
              <w:rPr>
                <w:color w:val="000000"/>
                <w:sz w:val="20"/>
                <w:szCs w:val="20"/>
              </w:rPr>
            </w:pPr>
            <w:r w:rsidRPr="00F75927">
              <w:rPr>
                <w:color w:val="000000"/>
                <w:sz w:val="20"/>
                <w:szCs w:val="20"/>
              </w:rPr>
              <w:t>-1.709</w:t>
            </w:r>
          </w:p>
        </w:tc>
      </w:tr>
      <w:tr w:rsidR="000C35AF" w:rsidRPr="0055149C" w14:paraId="6FE004C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DAB1C9D" w14:textId="77777777" w:rsidR="000C35AF" w:rsidRPr="00F75927" w:rsidRDefault="000C35AF" w:rsidP="009238AE">
            <w:pPr>
              <w:pStyle w:val="Regresjonstabell"/>
              <w:rPr>
                <w:color w:val="000000"/>
                <w:sz w:val="20"/>
                <w:szCs w:val="20"/>
              </w:rPr>
            </w:pPr>
            <w:r w:rsidRPr="00F75927">
              <w:rPr>
                <w:color w:val="000000"/>
                <w:sz w:val="20"/>
                <w:szCs w:val="20"/>
              </w:rPr>
              <w:t>(skjæringspunktet)</w:t>
            </w:r>
          </w:p>
        </w:tc>
        <w:tc>
          <w:tcPr>
            <w:tcW w:w="1399" w:type="dxa"/>
            <w:tcBorders>
              <w:top w:val="nil"/>
              <w:left w:val="single" w:sz="4" w:space="0" w:color="auto"/>
              <w:bottom w:val="nil"/>
              <w:right w:val="nil"/>
            </w:tcBorders>
            <w:vAlign w:val="center"/>
          </w:tcPr>
          <w:p w14:paraId="6875920B" w14:textId="77777777" w:rsidR="000C35AF" w:rsidRPr="00F75927" w:rsidRDefault="000C35AF" w:rsidP="009238AE">
            <w:pPr>
              <w:pStyle w:val="Regresjonstabell"/>
              <w:jc w:val="right"/>
              <w:rPr>
                <w:color w:val="000000"/>
                <w:sz w:val="20"/>
                <w:szCs w:val="20"/>
              </w:rPr>
            </w:pPr>
            <w:r w:rsidRPr="00F75927">
              <w:rPr>
                <w:color w:val="000000"/>
                <w:sz w:val="20"/>
                <w:szCs w:val="20"/>
              </w:rPr>
              <w:t>(0.971)</w:t>
            </w:r>
          </w:p>
        </w:tc>
        <w:tc>
          <w:tcPr>
            <w:tcW w:w="1399" w:type="dxa"/>
            <w:tcBorders>
              <w:top w:val="nil"/>
              <w:left w:val="nil"/>
              <w:bottom w:val="nil"/>
              <w:right w:val="nil"/>
            </w:tcBorders>
            <w:vAlign w:val="center"/>
          </w:tcPr>
          <w:p w14:paraId="01709621" w14:textId="77777777" w:rsidR="000C35AF" w:rsidRPr="00F75927" w:rsidRDefault="000C35AF" w:rsidP="009238AE">
            <w:pPr>
              <w:pStyle w:val="Regresjonstabell"/>
              <w:jc w:val="right"/>
              <w:rPr>
                <w:color w:val="000000"/>
                <w:sz w:val="20"/>
                <w:szCs w:val="20"/>
              </w:rPr>
            </w:pPr>
            <w:r w:rsidRPr="00F75927">
              <w:rPr>
                <w:color w:val="000000"/>
                <w:sz w:val="20"/>
                <w:szCs w:val="20"/>
              </w:rPr>
              <w:t>(1.157)</w:t>
            </w:r>
          </w:p>
        </w:tc>
        <w:tc>
          <w:tcPr>
            <w:tcW w:w="1399" w:type="dxa"/>
            <w:tcBorders>
              <w:top w:val="nil"/>
              <w:left w:val="nil"/>
              <w:bottom w:val="nil"/>
              <w:right w:val="nil"/>
            </w:tcBorders>
            <w:vAlign w:val="center"/>
          </w:tcPr>
          <w:p w14:paraId="573C1334" w14:textId="77777777" w:rsidR="000C35AF" w:rsidRPr="00F75927" w:rsidRDefault="000C35AF" w:rsidP="009238AE">
            <w:pPr>
              <w:pStyle w:val="Regresjonstabell"/>
              <w:jc w:val="right"/>
              <w:rPr>
                <w:color w:val="000000"/>
                <w:sz w:val="20"/>
                <w:szCs w:val="20"/>
              </w:rPr>
            </w:pPr>
            <w:r w:rsidRPr="00F75927">
              <w:rPr>
                <w:color w:val="000000"/>
                <w:sz w:val="20"/>
                <w:szCs w:val="20"/>
              </w:rPr>
              <w:t>(1.123)</w:t>
            </w:r>
          </w:p>
        </w:tc>
        <w:tc>
          <w:tcPr>
            <w:tcW w:w="1399" w:type="dxa"/>
            <w:tcBorders>
              <w:top w:val="nil"/>
              <w:left w:val="nil"/>
              <w:bottom w:val="nil"/>
              <w:right w:val="nil"/>
            </w:tcBorders>
            <w:vAlign w:val="center"/>
          </w:tcPr>
          <w:p w14:paraId="36B999F8" w14:textId="77777777" w:rsidR="000C35AF" w:rsidRPr="00F75927" w:rsidRDefault="000C35AF" w:rsidP="009238AE">
            <w:pPr>
              <w:pStyle w:val="Regresjonstabell"/>
              <w:jc w:val="right"/>
              <w:rPr>
                <w:color w:val="000000"/>
                <w:sz w:val="20"/>
                <w:szCs w:val="20"/>
              </w:rPr>
            </w:pPr>
            <w:r w:rsidRPr="00F75927">
              <w:rPr>
                <w:color w:val="000000"/>
                <w:sz w:val="20"/>
                <w:szCs w:val="20"/>
              </w:rPr>
              <w:t>(1.535)</w:t>
            </w:r>
          </w:p>
        </w:tc>
        <w:tc>
          <w:tcPr>
            <w:tcW w:w="1399" w:type="dxa"/>
            <w:tcBorders>
              <w:top w:val="nil"/>
              <w:left w:val="nil"/>
              <w:bottom w:val="nil"/>
              <w:right w:val="nil"/>
            </w:tcBorders>
            <w:vAlign w:val="center"/>
          </w:tcPr>
          <w:p w14:paraId="09548980" w14:textId="77777777" w:rsidR="000C35AF" w:rsidRPr="00F75927" w:rsidRDefault="000C35AF" w:rsidP="009238AE">
            <w:pPr>
              <w:pStyle w:val="Regresjonstabell"/>
              <w:jc w:val="right"/>
              <w:rPr>
                <w:color w:val="000000"/>
                <w:sz w:val="20"/>
                <w:szCs w:val="20"/>
              </w:rPr>
            </w:pPr>
            <w:r w:rsidRPr="00F75927">
              <w:rPr>
                <w:color w:val="000000"/>
                <w:sz w:val="20"/>
                <w:szCs w:val="20"/>
              </w:rPr>
              <w:t>(1.224)</w:t>
            </w:r>
          </w:p>
        </w:tc>
        <w:tc>
          <w:tcPr>
            <w:tcW w:w="1399" w:type="dxa"/>
            <w:tcBorders>
              <w:top w:val="nil"/>
              <w:left w:val="nil"/>
              <w:bottom w:val="nil"/>
              <w:right w:val="nil"/>
            </w:tcBorders>
            <w:vAlign w:val="center"/>
          </w:tcPr>
          <w:p w14:paraId="0B2BB524" w14:textId="77777777" w:rsidR="000C35AF" w:rsidRPr="00F75927" w:rsidRDefault="000C35AF" w:rsidP="009238AE">
            <w:pPr>
              <w:pStyle w:val="Regresjonstabell"/>
              <w:jc w:val="right"/>
              <w:rPr>
                <w:color w:val="000000"/>
                <w:sz w:val="20"/>
                <w:szCs w:val="20"/>
              </w:rPr>
            </w:pPr>
            <w:r w:rsidRPr="00F75927">
              <w:rPr>
                <w:color w:val="000000"/>
                <w:sz w:val="20"/>
                <w:szCs w:val="20"/>
              </w:rPr>
              <w:t>(1.477)</w:t>
            </w:r>
          </w:p>
        </w:tc>
        <w:tc>
          <w:tcPr>
            <w:tcW w:w="1400" w:type="dxa"/>
            <w:tcBorders>
              <w:top w:val="nil"/>
              <w:left w:val="nil"/>
              <w:bottom w:val="nil"/>
              <w:right w:val="nil"/>
            </w:tcBorders>
            <w:vAlign w:val="center"/>
          </w:tcPr>
          <w:p w14:paraId="26D0DE0D" w14:textId="77777777" w:rsidR="000C35AF" w:rsidRPr="00F75927" w:rsidRDefault="000C35AF" w:rsidP="009238AE">
            <w:pPr>
              <w:pStyle w:val="Regresjonstabell"/>
              <w:jc w:val="right"/>
              <w:rPr>
                <w:color w:val="000000"/>
                <w:sz w:val="20"/>
                <w:szCs w:val="20"/>
              </w:rPr>
            </w:pPr>
            <w:r w:rsidRPr="00F75927">
              <w:rPr>
                <w:color w:val="000000"/>
                <w:sz w:val="20"/>
                <w:szCs w:val="20"/>
              </w:rPr>
              <w:t>(1.410)</w:t>
            </w:r>
          </w:p>
        </w:tc>
        <w:tc>
          <w:tcPr>
            <w:tcW w:w="1331" w:type="dxa"/>
            <w:tcBorders>
              <w:top w:val="nil"/>
              <w:left w:val="nil"/>
              <w:bottom w:val="nil"/>
              <w:right w:val="single" w:sz="4" w:space="0" w:color="auto"/>
            </w:tcBorders>
            <w:vAlign w:val="center"/>
          </w:tcPr>
          <w:p w14:paraId="35E36680" w14:textId="77777777" w:rsidR="000C35AF" w:rsidRPr="00F75927" w:rsidRDefault="000C35AF" w:rsidP="009238AE">
            <w:pPr>
              <w:pStyle w:val="Regresjonstabell"/>
              <w:jc w:val="right"/>
              <w:rPr>
                <w:color w:val="000000"/>
                <w:sz w:val="20"/>
                <w:szCs w:val="20"/>
              </w:rPr>
            </w:pPr>
            <w:r w:rsidRPr="00F75927">
              <w:rPr>
                <w:color w:val="000000"/>
                <w:sz w:val="20"/>
                <w:szCs w:val="20"/>
              </w:rPr>
              <w:t>(2.316)</w:t>
            </w:r>
          </w:p>
        </w:tc>
      </w:tr>
      <w:tr w:rsidR="000C35AF" w:rsidRPr="0055149C" w14:paraId="6409CBB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025378B" w14:textId="77777777" w:rsidR="000C35AF" w:rsidRPr="00F75927" w:rsidRDefault="000C35AF" w:rsidP="009238AE">
            <w:pPr>
              <w:pStyle w:val="Regresjonstabell"/>
              <w:rPr>
                <w:color w:val="000000"/>
                <w:sz w:val="20"/>
                <w:szCs w:val="20"/>
              </w:rPr>
            </w:pPr>
            <w:r w:rsidRPr="00F75927">
              <w:rPr>
                <w:color w:val="000000"/>
                <w:sz w:val="20"/>
                <w:szCs w:val="20"/>
              </w:rPr>
              <w:t>Observasjoner</w:t>
            </w:r>
          </w:p>
        </w:tc>
        <w:tc>
          <w:tcPr>
            <w:tcW w:w="1399" w:type="dxa"/>
            <w:tcBorders>
              <w:top w:val="nil"/>
              <w:left w:val="single" w:sz="4" w:space="0" w:color="auto"/>
              <w:bottom w:val="nil"/>
              <w:right w:val="nil"/>
            </w:tcBorders>
            <w:vAlign w:val="bottom"/>
          </w:tcPr>
          <w:p w14:paraId="2ED087C5"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10F553DB"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2E9EBEC5"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1B09469D"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4DE6AD9B"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c>
          <w:tcPr>
            <w:tcW w:w="1399" w:type="dxa"/>
            <w:tcBorders>
              <w:top w:val="nil"/>
              <w:left w:val="nil"/>
              <w:bottom w:val="nil"/>
              <w:right w:val="nil"/>
            </w:tcBorders>
            <w:vAlign w:val="bottom"/>
          </w:tcPr>
          <w:p w14:paraId="259EF278"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c>
          <w:tcPr>
            <w:tcW w:w="1400" w:type="dxa"/>
            <w:tcBorders>
              <w:top w:val="nil"/>
              <w:left w:val="nil"/>
              <w:bottom w:val="nil"/>
              <w:right w:val="nil"/>
            </w:tcBorders>
            <w:vAlign w:val="bottom"/>
          </w:tcPr>
          <w:p w14:paraId="5DC8B34B"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c>
          <w:tcPr>
            <w:tcW w:w="1331" w:type="dxa"/>
            <w:tcBorders>
              <w:top w:val="nil"/>
              <w:left w:val="nil"/>
              <w:bottom w:val="nil"/>
              <w:right w:val="single" w:sz="4" w:space="0" w:color="auto"/>
            </w:tcBorders>
            <w:vAlign w:val="bottom"/>
          </w:tcPr>
          <w:p w14:paraId="77932BF2"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r>
      <w:tr w:rsidR="000C35AF" w:rsidRPr="0055149C" w14:paraId="7701F5F0"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66D9EFFE" w14:textId="77777777" w:rsidR="000C35AF" w:rsidRPr="00F75927" w:rsidRDefault="000C35AF" w:rsidP="009238AE">
            <w:pPr>
              <w:pStyle w:val="Regresjonstabell"/>
              <w:rPr>
                <w:color w:val="000000"/>
                <w:sz w:val="20"/>
                <w:szCs w:val="20"/>
                <w:vertAlign w:val="superscript"/>
              </w:rPr>
            </w:pPr>
            <w:r w:rsidRPr="00F75927">
              <w:rPr>
                <w:color w:val="000000"/>
                <w:sz w:val="20"/>
                <w:szCs w:val="20"/>
              </w:rPr>
              <w:t>R</w:t>
            </w:r>
            <w:r w:rsidRPr="00F75927">
              <w:rPr>
                <w:color w:val="000000"/>
                <w:sz w:val="20"/>
                <w:szCs w:val="20"/>
                <w:vertAlign w:val="superscript"/>
              </w:rPr>
              <w:t>2</w:t>
            </w:r>
          </w:p>
        </w:tc>
        <w:tc>
          <w:tcPr>
            <w:tcW w:w="1399" w:type="dxa"/>
            <w:tcBorders>
              <w:top w:val="nil"/>
              <w:left w:val="single" w:sz="4" w:space="0" w:color="auto"/>
              <w:bottom w:val="single" w:sz="4" w:space="0" w:color="auto"/>
              <w:right w:val="nil"/>
            </w:tcBorders>
            <w:vAlign w:val="bottom"/>
          </w:tcPr>
          <w:p w14:paraId="51D8D769" w14:textId="77777777" w:rsidR="000C35AF" w:rsidRPr="00F75927" w:rsidRDefault="000C35AF" w:rsidP="009238AE">
            <w:pPr>
              <w:pStyle w:val="Regresjonstabell"/>
              <w:jc w:val="right"/>
              <w:rPr>
                <w:color w:val="000000"/>
                <w:sz w:val="20"/>
                <w:szCs w:val="20"/>
              </w:rPr>
            </w:pPr>
            <w:r w:rsidRPr="00F75927">
              <w:rPr>
                <w:color w:val="000000"/>
                <w:sz w:val="20"/>
                <w:szCs w:val="20"/>
              </w:rPr>
              <w:t>0.753</w:t>
            </w:r>
          </w:p>
        </w:tc>
        <w:tc>
          <w:tcPr>
            <w:tcW w:w="1399" w:type="dxa"/>
            <w:tcBorders>
              <w:top w:val="nil"/>
              <w:left w:val="nil"/>
              <w:bottom w:val="single" w:sz="4" w:space="0" w:color="auto"/>
              <w:right w:val="nil"/>
            </w:tcBorders>
            <w:vAlign w:val="bottom"/>
          </w:tcPr>
          <w:p w14:paraId="06CCC5D1" w14:textId="77777777" w:rsidR="000C35AF" w:rsidRPr="00F75927" w:rsidRDefault="000C35AF" w:rsidP="009238AE">
            <w:pPr>
              <w:pStyle w:val="Regresjonstabell"/>
              <w:jc w:val="right"/>
              <w:rPr>
                <w:color w:val="000000"/>
                <w:sz w:val="20"/>
                <w:szCs w:val="20"/>
              </w:rPr>
            </w:pPr>
            <w:r w:rsidRPr="00F75927">
              <w:rPr>
                <w:color w:val="000000"/>
                <w:sz w:val="20"/>
                <w:szCs w:val="20"/>
              </w:rPr>
              <w:t>0.718</w:t>
            </w:r>
          </w:p>
        </w:tc>
        <w:tc>
          <w:tcPr>
            <w:tcW w:w="1399" w:type="dxa"/>
            <w:tcBorders>
              <w:top w:val="nil"/>
              <w:left w:val="nil"/>
              <w:bottom w:val="single" w:sz="4" w:space="0" w:color="auto"/>
              <w:right w:val="nil"/>
            </w:tcBorders>
            <w:vAlign w:val="bottom"/>
          </w:tcPr>
          <w:p w14:paraId="78CDA143" w14:textId="77777777" w:rsidR="000C35AF" w:rsidRPr="00F75927" w:rsidRDefault="000C35AF" w:rsidP="009238AE">
            <w:pPr>
              <w:pStyle w:val="Regresjonstabell"/>
              <w:jc w:val="right"/>
              <w:rPr>
                <w:color w:val="000000"/>
                <w:sz w:val="20"/>
                <w:szCs w:val="20"/>
              </w:rPr>
            </w:pPr>
            <w:r w:rsidRPr="00F75927">
              <w:rPr>
                <w:color w:val="000000"/>
                <w:sz w:val="20"/>
                <w:szCs w:val="20"/>
              </w:rPr>
              <w:t>0.717</w:t>
            </w:r>
          </w:p>
        </w:tc>
        <w:tc>
          <w:tcPr>
            <w:tcW w:w="1399" w:type="dxa"/>
            <w:tcBorders>
              <w:top w:val="nil"/>
              <w:left w:val="nil"/>
              <w:bottom w:val="single" w:sz="4" w:space="0" w:color="auto"/>
              <w:right w:val="nil"/>
            </w:tcBorders>
            <w:vAlign w:val="bottom"/>
          </w:tcPr>
          <w:p w14:paraId="03B08C57" w14:textId="77777777" w:rsidR="000C35AF" w:rsidRPr="00F75927" w:rsidRDefault="000C35AF" w:rsidP="009238AE">
            <w:pPr>
              <w:pStyle w:val="Regresjonstabell"/>
              <w:jc w:val="right"/>
              <w:rPr>
                <w:color w:val="000000"/>
                <w:sz w:val="20"/>
                <w:szCs w:val="20"/>
              </w:rPr>
            </w:pPr>
            <w:r w:rsidRPr="00F75927">
              <w:rPr>
                <w:color w:val="000000"/>
                <w:sz w:val="20"/>
                <w:szCs w:val="20"/>
              </w:rPr>
              <w:t>0.645</w:t>
            </w:r>
          </w:p>
        </w:tc>
        <w:tc>
          <w:tcPr>
            <w:tcW w:w="1399" w:type="dxa"/>
            <w:tcBorders>
              <w:top w:val="nil"/>
              <w:left w:val="nil"/>
              <w:bottom w:val="single" w:sz="4" w:space="0" w:color="auto"/>
              <w:right w:val="nil"/>
            </w:tcBorders>
            <w:vAlign w:val="bottom"/>
          </w:tcPr>
          <w:p w14:paraId="2704A8F8" w14:textId="77777777" w:rsidR="000C35AF" w:rsidRPr="00F75927" w:rsidRDefault="000C35AF" w:rsidP="009238AE">
            <w:pPr>
              <w:pStyle w:val="Regresjonstabell"/>
              <w:jc w:val="right"/>
              <w:rPr>
                <w:color w:val="000000"/>
                <w:sz w:val="20"/>
                <w:szCs w:val="20"/>
              </w:rPr>
            </w:pPr>
            <w:r w:rsidRPr="00F75927">
              <w:rPr>
                <w:color w:val="000000"/>
                <w:sz w:val="20"/>
                <w:szCs w:val="20"/>
              </w:rPr>
              <w:t>0.747</w:t>
            </w:r>
          </w:p>
        </w:tc>
        <w:tc>
          <w:tcPr>
            <w:tcW w:w="1399" w:type="dxa"/>
            <w:tcBorders>
              <w:top w:val="nil"/>
              <w:left w:val="nil"/>
              <w:bottom w:val="single" w:sz="4" w:space="0" w:color="auto"/>
              <w:right w:val="nil"/>
            </w:tcBorders>
            <w:vAlign w:val="bottom"/>
          </w:tcPr>
          <w:p w14:paraId="78D2F0E1" w14:textId="77777777" w:rsidR="000C35AF" w:rsidRPr="00F75927" w:rsidRDefault="000C35AF" w:rsidP="009238AE">
            <w:pPr>
              <w:pStyle w:val="Regresjonstabell"/>
              <w:jc w:val="right"/>
              <w:rPr>
                <w:color w:val="000000"/>
                <w:sz w:val="20"/>
                <w:szCs w:val="20"/>
              </w:rPr>
            </w:pPr>
            <w:r w:rsidRPr="00F75927">
              <w:rPr>
                <w:color w:val="000000"/>
                <w:sz w:val="20"/>
                <w:szCs w:val="20"/>
              </w:rPr>
              <w:t>0.708</w:t>
            </w:r>
          </w:p>
        </w:tc>
        <w:tc>
          <w:tcPr>
            <w:tcW w:w="1400" w:type="dxa"/>
            <w:tcBorders>
              <w:top w:val="nil"/>
              <w:left w:val="nil"/>
              <w:bottom w:val="single" w:sz="4" w:space="0" w:color="auto"/>
              <w:right w:val="nil"/>
            </w:tcBorders>
            <w:vAlign w:val="bottom"/>
          </w:tcPr>
          <w:p w14:paraId="4F6FF02F" w14:textId="77777777" w:rsidR="000C35AF" w:rsidRPr="00F75927" w:rsidRDefault="000C35AF" w:rsidP="009238AE">
            <w:pPr>
              <w:pStyle w:val="Regresjonstabell"/>
              <w:jc w:val="right"/>
              <w:rPr>
                <w:color w:val="000000"/>
                <w:sz w:val="20"/>
                <w:szCs w:val="20"/>
              </w:rPr>
            </w:pPr>
            <w:r w:rsidRPr="00F75927">
              <w:rPr>
                <w:color w:val="000000"/>
                <w:sz w:val="20"/>
                <w:szCs w:val="20"/>
              </w:rPr>
              <w:t>0.715</w:t>
            </w:r>
          </w:p>
        </w:tc>
        <w:tc>
          <w:tcPr>
            <w:tcW w:w="1331" w:type="dxa"/>
            <w:tcBorders>
              <w:top w:val="nil"/>
              <w:left w:val="nil"/>
              <w:bottom w:val="single" w:sz="4" w:space="0" w:color="auto"/>
              <w:right w:val="single" w:sz="4" w:space="0" w:color="auto"/>
            </w:tcBorders>
            <w:vAlign w:val="bottom"/>
          </w:tcPr>
          <w:p w14:paraId="145E0C13" w14:textId="77777777" w:rsidR="000C35AF" w:rsidRPr="00F75927" w:rsidRDefault="000C35AF" w:rsidP="009238AE">
            <w:pPr>
              <w:pStyle w:val="Regresjonstabell"/>
              <w:jc w:val="right"/>
              <w:rPr>
                <w:color w:val="000000"/>
                <w:sz w:val="20"/>
                <w:szCs w:val="20"/>
              </w:rPr>
            </w:pPr>
            <w:r w:rsidRPr="00F75927">
              <w:rPr>
                <w:color w:val="000000"/>
                <w:sz w:val="20"/>
                <w:szCs w:val="20"/>
              </w:rPr>
              <w:t>0.578</w:t>
            </w:r>
          </w:p>
        </w:tc>
      </w:tr>
    </w:tbl>
    <w:p w14:paraId="2144EB81"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6C0B7C51" w14:textId="17F37C91"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0FAD2212" w14:textId="5AB43F61" w:rsidR="000C35AF" w:rsidRPr="0055149C" w:rsidRDefault="000C35AF" w:rsidP="000C35AF">
      <w:pPr>
        <w:pStyle w:val="Bildetekst"/>
      </w:pPr>
      <w:r w:rsidRPr="0055149C">
        <w:lastRenderedPageBreak/>
        <w:t xml:space="preserve">Tabell </w:t>
      </w:r>
      <w:fldSimple w:instr=" STYLEREF 1 \s ">
        <w:r w:rsidR="009B1DA8">
          <w:rPr>
            <w:noProof/>
          </w:rPr>
          <w:t>4</w:t>
        </w:r>
      </w:fldSimple>
      <w:r w:rsidRPr="0055149C">
        <w:t>.</w:t>
      </w:r>
      <w:fldSimple w:instr=" SEQ Tabell \* ARABIC \s 1 ">
        <w:r w:rsidR="009B1DA8">
          <w:rPr>
            <w:noProof/>
          </w:rPr>
          <w:t>14</w:t>
        </w:r>
      </w:fldSimple>
      <w:r w:rsidRPr="0055149C">
        <w:tab/>
        <w:t xml:space="preserve">Regresjoner ved minste kvadraters metode, der kostnadene innen grunnskolen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14CD6E22" w14:textId="77777777" w:rsidTr="009238AE">
        <w:tc>
          <w:tcPr>
            <w:tcW w:w="2798" w:type="dxa"/>
            <w:tcBorders>
              <w:top w:val="single" w:sz="4" w:space="0" w:color="auto"/>
              <w:left w:val="single" w:sz="4" w:space="0" w:color="auto"/>
              <w:bottom w:val="nil"/>
              <w:right w:val="nil"/>
            </w:tcBorders>
            <w:shd w:val="clear" w:color="auto" w:fill="3672B0" w:themeFill="accent2"/>
          </w:tcPr>
          <w:p w14:paraId="0000BCB9"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3754B0D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471010D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4E62608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2F1E91E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42D144B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7145A72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182A3D0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27737E9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756E818D" w14:textId="77777777" w:rsidTr="009238AE">
        <w:tc>
          <w:tcPr>
            <w:tcW w:w="2798" w:type="dxa"/>
            <w:tcBorders>
              <w:top w:val="nil"/>
              <w:left w:val="single" w:sz="4" w:space="0" w:color="auto"/>
              <w:bottom w:val="single" w:sz="4" w:space="0" w:color="auto"/>
              <w:right w:val="nil"/>
            </w:tcBorders>
            <w:shd w:val="clear" w:color="auto" w:fill="3672B0" w:themeFill="accent2"/>
          </w:tcPr>
          <w:p w14:paraId="2806D60F"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294ED0C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FABEEC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11F53B7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7F7FE6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FE7A70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4FEDFA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40D6E10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0E83E82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5DF99316"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2B6CE673" w14:textId="77777777" w:rsidR="000C35AF" w:rsidRPr="0055149C" w:rsidRDefault="000C35AF" w:rsidP="009238AE">
            <w:pPr>
              <w:pStyle w:val="Regresjonstabell"/>
              <w:rPr>
                <w:sz w:val="20"/>
                <w:szCs w:val="20"/>
              </w:rPr>
            </w:pPr>
            <w:r w:rsidRPr="0055149C">
              <w:rPr>
                <w:color w:val="000000"/>
                <w:sz w:val="20"/>
                <w:szCs w:val="20"/>
              </w:rPr>
              <w:t>Innbyggere 6 til 15 år</w:t>
            </w:r>
          </w:p>
        </w:tc>
        <w:tc>
          <w:tcPr>
            <w:tcW w:w="1399" w:type="dxa"/>
            <w:tcBorders>
              <w:top w:val="single" w:sz="4" w:space="0" w:color="auto"/>
              <w:left w:val="single" w:sz="4" w:space="0" w:color="auto"/>
              <w:bottom w:val="nil"/>
              <w:right w:val="nil"/>
            </w:tcBorders>
            <w:vAlign w:val="bottom"/>
          </w:tcPr>
          <w:p w14:paraId="0BD196BB" w14:textId="77777777" w:rsidR="000C35AF" w:rsidRPr="00113056" w:rsidRDefault="000C35AF" w:rsidP="009238AE">
            <w:pPr>
              <w:pStyle w:val="Regresjonstabell"/>
              <w:jc w:val="right"/>
              <w:rPr>
                <w:sz w:val="20"/>
                <w:szCs w:val="20"/>
              </w:rPr>
            </w:pPr>
            <w:r w:rsidRPr="00113056">
              <w:rPr>
                <w:color w:val="000000"/>
                <w:sz w:val="20"/>
                <w:szCs w:val="20"/>
              </w:rPr>
              <w:t>115.152***</w:t>
            </w:r>
          </w:p>
        </w:tc>
        <w:tc>
          <w:tcPr>
            <w:tcW w:w="1399" w:type="dxa"/>
            <w:tcBorders>
              <w:top w:val="single" w:sz="4" w:space="0" w:color="auto"/>
              <w:left w:val="nil"/>
              <w:bottom w:val="nil"/>
              <w:right w:val="nil"/>
            </w:tcBorders>
            <w:vAlign w:val="bottom"/>
          </w:tcPr>
          <w:p w14:paraId="02904C52" w14:textId="77777777" w:rsidR="000C35AF" w:rsidRPr="00113056" w:rsidRDefault="000C35AF" w:rsidP="009238AE">
            <w:pPr>
              <w:pStyle w:val="Regresjonstabell"/>
              <w:jc w:val="right"/>
              <w:rPr>
                <w:sz w:val="20"/>
                <w:szCs w:val="20"/>
              </w:rPr>
            </w:pPr>
            <w:r w:rsidRPr="00113056">
              <w:rPr>
                <w:color w:val="000000"/>
                <w:sz w:val="20"/>
                <w:szCs w:val="20"/>
              </w:rPr>
              <w:t>100.617***</w:t>
            </w:r>
          </w:p>
        </w:tc>
        <w:tc>
          <w:tcPr>
            <w:tcW w:w="1399" w:type="dxa"/>
            <w:tcBorders>
              <w:top w:val="single" w:sz="4" w:space="0" w:color="auto"/>
              <w:left w:val="nil"/>
              <w:bottom w:val="nil"/>
              <w:right w:val="nil"/>
            </w:tcBorders>
            <w:vAlign w:val="bottom"/>
          </w:tcPr>
          <w:p w14:paraId="74CC84BB" w14:textId="77777777" w:rsidR="000C35AF" w:rsidRPr="00113056" w:rsidRDefault="000C35AF" w:rsidP="009238AE">
            <w:pPr>
              <w:pStyle w:val="Regresjonstabell"/>
              <w:jc w:val="right"/>
              <w:rPr>
                <w:sz w:val="20"/>
                <w:szCs w:val="20"/>
              </w:rPr>
            </w:pPr>
            <w:r w:rsidRPr="00113056">
              <w:rPr>
                <w:color w:val="000000"/>
                <w:sz w:val="20"/>
                <w:szCs w:val="20"/>
              </w:rPr>
              <w:t>14.535***</w:t>
            </w:r>
          </w:p>
        </w:tc>
        <w:tc>
          <w:tcPr>
            <w:tcW w:w="1399" w:type="dxa"/>
            <w:tcBorders>
              <w:top w:val="single" w:sz="4" w:space="0" w:color="auto"/>
              <w:left w:val="nil"/>
              <w:bottom w:val="nil"/>
              <w:right w:val="nil"/>
            </w:tcBorders>
            <w:vAlign w:val="bottom"/>
          </w:tcPr>
          <w:p w14:paraId="650CFAD0" w14:textId="77777777" w:rsidR="000C35AF" w:rsidRPr="00113056" w:rsidRDefault="000C35AF" w:rsidP="009238AE">
            <w:pPr>
              <w:pStyle w:val="Regresjonstabell"/>
              <w:jc w:val="right"/>
              <w:rPr>
                <w:sz w:val="20"/>
                <w:szCs w:val="20"/>
              </w:rPr>
            </w:pPr>
            <w:r w:rsidRPr="00113056">
              <w:rPr>
                <w:color w:val="000000"/>
                <w:sz w:val="20"/>
                <w:szCs w:val="20"/>
              </w:rPr>
              <w:t>2.410</w:t>
            </w:r>
          </w:p>
        </w:tc>
        <w:tc>
          <w:tcPr>
            <w:tcW w:w="1399" w:type="dxa"/>
            <w:tcBorders>
              <w:top w:val="single" w:sz="4" w:space="0" w:color="auto"/>
              <w:left w:val="nil"/>
              <w:bottom w:val="nil"/>
              <w:right w:val="nil"/>
            </w:tcBorders>
            <w:vAlign w:val="bottom"/>
          </w:tcPr>
          <w:p w14:paraId="3DFED84D" w14:textId="77777777" w:rsidR="000C35AF" w:rsidRPr="00113056" w:rsidRDefault="000C35AF" w:rsidP="009238AE">
            <w:pPr>
              <w:pStyle w:val="Regresjonstabell"/>
              <w:jc w:val="right"/>
              <w:rPr>
                <w:sz w:val="20"/>
                <w:szCs w:val="20"/>
              </w:rPr>
            </w:pPr>
            <w:r w:rsidRPr="00113056">
              <w:rPr>
                <w:color w:val="000000"/>
                <w:sz w:val="20"/>
                <w:szCs w:val="20"/>
              </w:rPr>
              <w:t>-0.357</w:t>
            </w:r>
          </w:p>
        </w:tc>
        <w:tc>
          <w:tcPr>
            <w:tcW w:w="1399" w:type="dxa"/>
            <w:tcBorders>
              <w:top w:val="single" w:sz="4" w:space="0" w:color="auto"/>
              <w:left w:val="nil"/>
              <w:bottom w:val="nil"/>
              <w:right w:val="nil"/>
            </w:tcBorders>
            <w:vAlign w:val="bottom"/>
          </w:tcPr>
          <w:p w14:paraId="74BCDA89" w14:textId="77777777" w:rsidR="000C35AF" w:rsidRPr="00113056" w:rsidRDefault="000C35AF" w:rsidP="009238AE">
            <w:pPr>
              <w:pStyle w:val="Regresjonstabell"/>
              <w:jc w:val="right"/>
              <w:rPr>
                <w:sz w:val="20"/>
                <w:szCs w:val="20"/>
              </w:rPr>
            </w:pPr>
            <w:r w:rsidRPr="00113056">
              <w:rPr>
                <w:color w:val="000000"/>
                <w:sz w:val="20"/>
                <w:szCs w:val="20"/>
              </w:rPr>
              <w:t>-1.036</w:t>
            </w:r>
          </w:p>
        </w:tc>
        <w:tc>
          <w:tcPr>
            <w:tcW w:w="1400" w:type="dxa"/>
            <w:tcBorders>
              <w:top w:val="single" w:sz="4" w:space="0" w:color="auto"/>
              <w:left w:val="nil"/>
              <w:bottom w:val="nil"/>
              <w:right w:val="nil"/>
            </w:tcBorders>
            <w:vAlign w:val="bottom"/>
          </w:tcPr>
          <w:p w14:paraId="0C18AE70" w14:textId="77777777" w:rsidR="000C35AF" w:rsidRPr="00113056" w:rsidRDefault="000C35AF" w:rsidP="009238AE">
            <w:pPr>
              <w:pStyle w:val="Regresjonstabell"/>
              <w:jc w:val="right"/>
              <w:rPr>
                <w:sz w:val="20"/>
                <w:szCs w:val="20"/>
              </w:rPr>
            </w:pPr>
            <w:r w:rsidRPr="00113056">
              <w:rPr>
                <w:color w:val="000000"/>
                <w:sz w:val="20"/>
                <w:szCs w:val="20"/>
              </w:rPr>
              <w:t>-1.393</w:t>
            </w:r>
          </w:p>
        </w:tc>
        <w:tc>
          <w:tcPr>
            <w:tcW w:w="1400" w:type="dxa"/>
            <w:tcBorders>
              <w:top w:val="single" w:sz="4" w:space="0" w:color="auto"/>
              <w:left w:val="nil"/>
              <w:bottom w:val="nil"/>
              <w:right w:val="single" w:sz="4" w:space="0" w:color="auto"/>
            </w:tcBorders>
            <w:vAlign w:val="bottom"/>
          </w:tcPr>
          <w:p w14:paraId="29E8AB1F" w14:textId="77777777" w:rsidR="000C35AF" w:rsidRPr="00113056" w:rsidRDefault="000C35AF" w:rsidP="009238AE">
            <w:pPr>
              <w:pStyle w:val="Regresjonstabell"/>
              <w:jc w:val="right"/>
              <w:rPr>
                <w:sz w:val="20"/>
                <w:szCs w:val="20"/>
              </w:rPr>
            </w:pPr>
            <w:r w:rsidRPr="00113056">
              <w:rPr>
                <w:color w:val="000000"/>
                <w:sz w:val="20"/>
                <w:szCs w:val="20"/>
              </w:rPr>
              <w:t>113.759***</w:t>
            </w:r>
          </w:p>
        </w:tc>
      </w:tr>
      <w:tr w:rsidR="000C35AF" w:rsidRPr="0055149C" w14:paraId="4C0BB59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A8C9021"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0D82135D" w14:textId="77777777" w:rsidR="000C35AF" w:rsidRPr="00113056" w:rsidRDefault="000C35AF" w:rsidP="009238AE">
            <w:pPr>
              <w:pStyle w:val="Regresjonstabell"/>
              <w:jc w:val="right"/>
              <w:rPr>
                <w:sz w:val="20"/>
                <w:szCs w:val="20"/>
              </w:rPr>
            </w:pPr>
            <w:r w:rsidRPr="00113056">
              <w:rPr>
                <w:color w:val="000000"/>
                <w:sz w:val="20"/>
                <w:szCs w:val="20"/>
              </w:rPr>
              <w:t>(7.993)</w:t>
            </w:r>
          </w:p>
        </w:tc>
        <w:tc>
          <w:tcPr>
            <w:tcW w:w="1399" w:type="dxa"/>
            <w:tcBorders>
              <w:top w:val="nil"/>
              <w:left w:val="nil"/>
              <w:bottom w:val="nil"/>
              <w:right w:val="nil"/>
            </w:tcBorders>
            <w:vAlign w:val="center"/>
          </w:tcPr>
          <w:p w14:paraId="522D944D" w14:textId="77777777" w:rsidR="000C35AF" w:rsidRPr="00113056" w:rsidRDefault="000C35AF" w:rsidP="009238AE">
            <w:pPr>
              <w:pStyle w:val="Regresjonstabell"/>
              <w:jc w:val="right"/>
              <w:rPr>
                <w:sz w:val="20"/>
                <w:szCs w:val="20"/>
              </w:rPr>
            </w:pPr>
            <w:r w:rsidRPr="00113056">
              <w:rPr>
                <w:color w:val="000000"/>
                <w:sz w:val="20"/>
                <w:szCs w:val="20"/>
              </w:rPr>
              <w:t>(6.077)</w:t>
            </w:r>
          </w:p>
        </w:tc>
        <w:tc>
          <w:tcPr>
            <w:tcW w:w="1399" w:type="dxa"/>
            <w:tcBorders>
              <w:top w:val="nil"/>
              <w:left w:val="nil"/>
              <w:bottom w:val="nil"/>
              <w:right w:val="nil"/>
            </w:tcBorders>
            <w:vAlign w:val="center"/>
          </w:tcPr>
          <w:p w14:paraId="399F2CAF" w14:textId="77777777" w:rsidR="000C35AF" w:rsidRPr="00113056" w:rsidRDefault="000C35AF" w:rsidP="009238AE">
            <w:pPr>
              <w:pStyle w:val="Regresjonstabell"/>
              <w:jc w:val="right"/>
              <w:rPr>
                <w:sz w:val="20"/>
                <w:szCs w:val="20"/>
              </w:rPr>
            </w:pPr>
            <w:r w:rsidRPr="00113056">
              <w:rPr>
                <w:color w:val="000000"/>
                <w:sz w:val="20"/>
                <w:szCs w:val="20"/>
              </w:rPr>
              <w:t>(5.405)</w:t>
            </w:r>
          </w:p>
        </w:tc>
        <w:tc>
          <w:tcPr>
            <w:tcW w:w="1399" w:type="dxa"/>
            <w:tcBorders>
              <w:top w:val="nil"/>
              <w:left w:val="nil"/>
              <w:bottom w:val="nil"/>
              <w:right w:val="nil"/>
            </w:tcBorders>
            <w:vAlign w:val="center"/>
          </w:tcPr>
          <w:p w14:paraId="2A81FFD4" w14:textId="77777777" w:rsidR="000C35AF" w:rsidRPr="00113056" w:rsidRDefault="000C35AF" w:rsidP="009238AE">
            <w:pPr>
              <w:pStyle w:val="Regresjonstabell"/>
              <w:jc w:val="right"/>
              <w:rPr>
                <w:sz w:val="20"/>
                <w:szCs w:val="20"/>
              </w:rPr>
            </w:pPr>
            <w:r w:rsidRPr="00113056">
              <w:rPr>
                <w:color w:val="000000"/>
                <w:sz w:val="20"/>
                <w:szCs w:val="20"/>
              </w:rPr>
              <w:t>(2.833)</w:t>
            </w:r>
          </w:p>
        </w:tc>
        <w:tc>
          <w:tcPr>
            <w:tcW w:w="1399" w:type="dxa"/>
            <w:tcBorders>
              <w:top w:val="nil"/>
              <w:left w:val="nil"/>
              <w:bottom w:val="nil"/>
              <w:right w:val="nil"/>
            </w:tcBorders>
            <w:vAlign w:val="center"/>
          </w:tcPr>
          <w:p w14:paraId="58404214" w14:textId="77777777" w:rsidR="000C35AF" w:rsidRPr="00113056" w:rsidRDefault="000C35AF" w:rsidP="009238AE">
            <w:pPr>
              <w:pStyle w:val="Regresjonstabell"/>
              <w:jc w:val="right"/>
              <w:rPr>
                <w:sz w:val="20"/>
                <w:szCs w:val="20"/>
              </w:rPr>
            </w:pPr>
            <w:r w:rsidRPr="00113056">
              <w:rPr>
                <w:color w:val="000000"/>
                <w:sz w:val="20"/>
                <w:szCs w:val="20"/>
              </w:rPr>
              <w:t>(3.303)</w:t>
            </w:r>
          </w:p>
        </w:tc>
        <w:tc>
          <w:tcPr>
            <w:tcW w:w="1399" w:type="dxa"/>
            <w:tcBorders>
              <w:top w:val="nil"/>
              <w:left w:val="nil"/>
              <w:bottom w:val="nil"/>
              <w:right w:val="nil"/>
            </w:tcBorders>
            <w:vAlign w:val="center"/>
          </w:tcPr>
          <w:p w14:paraId="3433DFD8" w14:textId="77777777" w:rsidR="000C35AF" w:rsidRPr="00113056" w:rsidRDefault="000C35AF" w:rsidP="009238AE">
            <w:pPr>
              <w:pStyle w:val="Regresjonstabell"/>
              <w:jc w:val="right"/>
              <w:rPr>
                <w:sz w:val="20"/>
                <w:szCs w:val="20"/>
              </w:rPr>
            </w:pPr>
            <w:r w:rsidRPr="00113056">
              <w:rPr>
                <w:color w:val="000000"/>
                <w:sz w:val="20"/>
                <w:szCs w:val="20"/>
              </w:rPr>
              <w:t>(7.344)</w:t>
            </w:r>
          </w:p>
        </w:tc>
        <w:tc>
          <w:tcPr>
            <w:tcW w:w="1400" w:type="dxa"/>
            <w:tcBorders>
              <w:top w:val="nil"/>
              <w:left w:val="nil"/>
              <w:bottom w:val="nil"/>
              <w:right w:val="nil"/>
            </w:tcBorders>
            <w:vAlign w:val="center"/>
          </w:tcPr>
          <w:p w14:paraId="451F2E7F" w14:textId="77777777" w:rsidR="000C35AF" w:rsidRPr="00113056" w:rsidRDefault="000C35AF" w:rsidP="009238AE">
            <w:pPr>
              <w:pStyle w:val="Regresjonstabell"/>
              <w:jc w:val="right"/>
              <w:rPr>
                <w:sz w:val="20"/>
                <w:szCs w:val="20"/>
              </w:rPr>
            </w:pPr>
            <w:r w:rsidRPr="00113056">
              <w:rPr>
                <w:color w:val="000000"/>
                <w:sz w:val="20"/>
                <w:szCs w:val="20"/>
              </w:rPr>
              <w:t>(10.647)</w:t>
            </w:r>
          </w:p>
        </w:tc>
        <w:tc>
          <w:tcPr>
            <w:tcW w:w="1400" w:type="dxa"/>
            <w:tcBorders>
              <w:top w:val="nil"/>
              <w:left w:val="nil"/>
              <w:bottom w:val="nil"/>
              <w:right w:val="single" w:sz="4" w:space="0" w:color="auto"/>
            </w:tcBorders>
            <w:vAlign w:val="center"/>
          </w:tcPr>
          <w:p w14:paraId="58478D7C" w14:textId="77777777" w:rsidR="000C35AF" w:rsidRPr="00113056" w:rsidRDefault="000C35AF" w:rsidP="009238AE">
            <w:pPr>
              <w:pStyle w:val="Regresjonstabell"/>
              <w:jc w:val="right"/>
              <w:rPr>
                <w:sz w:val="20"/>
                <w:szCs w:val="20"/>
              </w:rPr>
            </w:pPr>
            <w:r w:rsidRPr="00113056">
              <w:rPr>
                <w:color w:val="000000"/>
                <w:sz w:val="20"/>
                <w:szCs w:val="20"/>
              </w:rPr>
              <w:t>(15.609)</w:t>
            </w:r>
          </w:p>
        </w:tc>
      </w:tr>
      <w:tr w:rsidR="000C35AF" w:rsidRPr="0055149C" w14:paraId="1744401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8428978" w14:textId="77777777" w:rsidR="000C35AF" w:rsidRPr="0055149C" w:rsidRDefault="000C35AF" w:rsidP="009238AE">
            <w:pPr>
              <w:pStyle w:val="Regresjonstabell"/>
              <w:rPr>
                <w:sz w:val="20"/>
                <w:szCs w:val="20"/>
              </w:rPr>
            </w:pPr>
            <w:r w:rsidRPr="0055149C">
              <w:rPr>
                <w:color w:val="000000"/>
                <w:sz w:val="20"/>
                <w:szCs w:val="20"/>
              </w:rPr>
              <w:t>Gradert basiskriterium</w:t>
            </w:r>
          </w:p>
        </w:tc>
        <w:tc>
          <w:tcPr>
            <w:tcW w:w="1399" w:type="dxa"/>
            <w:tcBorders>
              <w:top w:val="nil"/>
              <w:left w:val="single" w:sz="4" w:space="0" w:color="auto"/>
              <w:bottom w:val="nil"/>
              <w:right w:val="nil"/>
            </w:tcBorders>
            <w:vAlign w:val="bottom"/>
          </w:tcPr>
          <w:p w14:paraId="2BA0A719" w14:textId="77777777" w:rsidR="000C35AF" w:rsidRPr="00113056" w:rsidRDefault="000C35AF" w:rsidP="009238AE">
            <w:pPr>
              <w:pStyle w:val="Regresjonstabell"/>
              <w:jc w:val="right"/>
              <w:rPr>
                <w:sz w:val="20"/>
                <w:szCs w:val="20"/>
              </w:rPr>
            </w:pPr>
            <w:r w:rsidRPr="00113056">
              <w:rPr>
                <w:color w:val="000000"/>
                <w:sz w:val="20"/>
                <w:szCs w:val="20"/>
              </w:rPr>
              <w:t>1,875.641**</w:t>
            </w:r>
          </w:p>
        </w:tc>
        <w:tc>
          <w:tcPr>
            <w:tcW w:w="1399" w:type="dxa"/>
            <w:tcBorders>
              <w:top w:val="nil"/>
              <w:left w:val="nil"/>
              <w:bottom w:val="nil"/>
              <w:right w:val="nil"/>
            </w:tcBorders>
            <w:vAlign w:val="bottom"/>
          </w:tcPr>
          <w:p w14:paraId="4D373024" w14:textId="77777777" w:rsidR="000C35AF" w:rsidRPr="00113056" w:rsidRDefault="000C35AF" w:rsidP="009238AE">
            <w:pPr>
              <w:pStyle w:val="Regresjonstabell"/>
              <w:jc w:val="right"/>
              <w:rPr>
                <w:sz w:val="20"/>
                <w:szCs w:val="20"/>
              </w:rPr>
            </w:pPr>
            <w:r w:rsidRPr="00113056">
              <w:rPr>
                <w:color w:val="000000"/>
                <w:sz w:val="20"/>
                <w:szCs w:val="20"/>
              </w:rPr>
              <w:t>866.482</w:t>
            </w:r>
          </w:p>
        </w:tc>
        <w:tc>
          <w:tcPr>
            <w:tcW w:w="1399" w:type="dxa"/>
            <w:tcBorders>
              <w:top w:val="nil"/>
              <w:left w:val="nil"/>
              <w:bottom w:val="nil"/>
              <w:right w:val="nil"/>
            </w:tcBorders>
            <w:vAlign w:val="bottom"/>
          </w:tcPr>
          <w:p w14:paraId="593EA88C" w14:textId="77777777" w:rsidR="000C35AF" w:rsidRPr="00113056" w:rsidRDefault="000C35AF" w:rsidP="009238AE">
            <w:pPr>
              <w:pStyle w:val="Regresjonstabell"/>
              <w:jc w:val="right"/>
              <w:rPr>
                <w:sz w:val="20"/>
                <w:szCs w:val="20"/>
              </w:rPr>
            </w:pPr>
            <w:r w:rsidRPr="00113056">
              <w:rPr>
                <w:color w:val="000000"/>
                <w:sz w:val="20"/>
                <w:szCs w:val="20"/>
              </w:rPr>
              <w:t>1,009.158**</w:t>
            </w:r>
          </w:p>
        </w:tc>
        <w:tc>
          <w:tcPr>
            <w:tcW w:w="1399" w:type="dxa"/>
            <w:tcBorders>
              <w:top w:val="nil"/>
              <w:left w:val="nil"/>
              <w:bottom w:val="nil"/>
              <w:right w:val="nil"/>
            </w:tcBorders>
            <w:vAlign w:val="bottom"/>
          </w:tcPr>
          <w:p w14:paraId="53D4EA09" w14:textId="77777777" w:rsidR="000C35AF" w:rsidRPr="00113056" w:rsidRDefault="000C35AF" w:rsidP="009238AE">
            <w:pPr>
              <w:pStyle w:val="Regresjonstabell"/>
              <w:jc w:val="right"/>
              <w:rPr>
                <w:sz w:val="20"/>
                <w:szCs w:val="20"/>
              </w:rPr>
            </w:pPr>
            <w:r w:rsidRPr="00113056">
              <w:rPr>
                <w:color w:val="000000"/>
                <w:sz w:val="20"/>
                <w:szCs w:val="20"/>
              </w:rPr>
              <w:t>38.336</w:t>
            </w:r>
          </w:p>
        </w:tc>
        <w:tc>
          <w:tcPr>
            <w:tcW w:w="1399" w:type="dxa"/>
            <w:tcBorders>
              <w:top w:val="nil"/>
              <w:left w:val="nil"/>
              <w:bottom w:val="nil"/>
              <w:right w:val="nil"/>
            </w:tcBorders>
            <w:vAlign w:val="bottom"/>
          </w:tcPr>
          <w:p w14:paraId="2A2339AE" w14:textId="77777777" w:rsidR="000C35AF" w:rsidRPr="00113056" w:rsidRDefault="000C35AF" w:rsidP="009238AE">
            <w:pPr>
              <w:pStyle w:val="Regresjonstabell"/>
              <w:jc w:val="right"/>
              <w:rPr>
                <w:sz w:val="20"/>
                <w:szCs w:val="20"/>
              </w:rPr>
            </w:pPr>
            <w:r w:rsidRPr="00113056">
              <w:rPr>
                <w:color w:val="000000"/>
                <w:sz w:val="20"/>
                <w:szCs w:val="20"/>
              </w:rPr>
              <w:t>242.673</w:t>
            </w:r>
          </w:p>
        </w:tc>
        <w:tc>
          <w:tcPr>
            <w:tcW w:w="1399" w:type="dxa"/>
            <w:tcBorders>
              <w:top w:val="nil"/>
              <w:left w:val="nil"/>
              <w:bottom w:val="nil"/>
              <w:right w:val="nil"/>
            </w:tcBorders>
            <w:vAlign w:val="bottom"/>
          </w:tcPr>
          <w:p w14:paraId="24689CF5" w14:textId="77777777" w:rsidR="000C35AF" w:rsidRPr="00113056" w:rsidRDefault="000C35AF" w:rsidP="009238AE">
            <w:pPr>
              <w:pStyle w:val="Regresjonstabell"/>
              <w:jc w:val="right"/>
              <w:rPr>
                <w:sz w:val="20"/>
                <w:szCs w:val="20"/>
              </w:rPr>
            </w:pPr>
            <w:r w:rsidRPr="00113056">
              <w:rPr>
                <w:color w:val="000000"/>
                <w:sz w:val="20"/>
                <w:szCs w:val="20"/>
              </w:rPr>
              <w:t>554.599</w:t>
            </w:r>
          </w:p>
        </w:tc>
        <w:tc>
          <w:tcPr>
            <w:tcW w:w="1400" w:type="dxa"/>
            <w:tcBorders>
              <w:top w:val="nil"/>
              <w:left w:val="nil"/>
              <w:bottom w:val="nil"/>
              <w:right w:val="nil"/>
            </w:tcBorders>
            <w:vAlign w:val="bottom"/>
          </w:tcPr>
          <w:p w14:paraId="5C5A2730" w14:textId="77777777" w:rsidR="000C35AF" w:rsidRPr="00113056" w:rsidRDefault="000C35AF" w:rsidP="009238AE">
            <w:pPr>
              <w:pStyle w:val="Regresjonstabell"/>
              <w:jc w:val="right"/>
              <w:rPr>
                <w:sz w:val="20"/>
                <w:szCs w:val="20"/>
              </w:rPr>
            </w:pPr>
            <w:r w:rsidRPr="00113056">
              <w:rPr>
                <w:color w:val="000000"/>
                <w:sz w:val="20"/>
                <w:szCs w:val="20"/>
              </w:rPr>
              <w:t>797.272</w:t>
            </w:r>
          </w:p>
        </w:tc>
        <w:tc>
          <w:tcPr>
            <w:tcW w:w="1400" w:type="dxa"/>
            <w:tcBorders>
              <w:top w:val="nil"/>
              <w:left w:val="nil"/>
              <w:bottom w:val="nil"/>
              <w:right w:val="single" w:sz="4" w:space="0" w:color="auto"/>
            </w:tcBorders>
            <w:vAlign w:val="bottom"/>
          </w:tcPr>
          <w:p w14:paraId="099E4185" w14:textId="77777777" w:rsidR="000C35AF" w:rsidRPr="00113056" w:rsidRDefault="000C35AF" w:rsidP="009238AE">
            <w:pPr>
              <w:pStyle w:val="Regresjonstabell"/>
              <w:jc w:val="right"/>
              <w:rPr>
                <w:sz w:val="20"/>
                <w:szCs w:val="20"/>
              </w:rPr>
            </w:pPr>
            <w:r w:rsidRPr="00113056">
              <w:rPr>
                <w:color w:val="000000"/>
                <w:sz w:val="20"/>
                <w:szCs w:val="20"/>
              </w:rPr>
              <w:t>2,672.912**</w:t>
            </w:r>
          </w:p>
        </w:tc>
      </w:tr>
      <w:tr w:rsidR="000C35AF" w:rsidRPr="0055149C" w14:paraId="1D73101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05AA138" w14:textId="77777777" w:rsidR="000C35AF" w:rsidRPr="0055149C" w:rsidRDefault="000C35AF" w:rsidP="009238AE">
            <w:pPr>
              <w:pStyle w:val="Regresjonstabell"/>
              <w:rPr>
                <w:sz w:val="20"/>
                <w:szCs w:val="20"/>
              </w:rPr>
            </w:pPr>
            <w:r w:rsidRPr="0055149C">
              <w:rPr>
                <w:sz w:val="20"/>
                <w:szCs w:val="20"/>
              </w:rPr>
              <w:t>(Kriterium 12)</w:t>
            </w:r>
          </w:p>
        </w:tc>
        <w:tc>
          <w:tcPr>
            <w:tcW w:w="1399" w:type="dxa"/>
            <w:tcBorders>
              <w:top w:val="nil"/>
              <w:left w:val="single" w:sz="4" w:space="0" w:color="auto"/>
              <w:bottom w:val="nil"/>
              <w:right w:val="nil"/>
            </w:tcBorders>
            <w:vAlign w:val="center"/>
          </w:tcPr>
          <w:p w14:paraId="1FE7C167" w14:textId="77777777" w:rsidR="000C35AF" w:rsidRPr="00113056" w:rsidRDefault="000C35AF" w:rsidP="009238AE">
            <w:pPr>
              <w:pStyle w:val="Regresjonstabell"/>
              <w:jc w:val="right"/>
              <w:rPr>
                <w:sz w:val="20"/>
                <w:szCs w:val="20"/>
              </w:rPr>
            </w:pPr>
            <w:r w:rsidRPr="00113056">
              <w:rPr>
                <w:color w:val="000000"/>
                <w:sz w:val="20"/>
                <w:szCs w:val="20"/>
              </w:rPr>
              <w:t>(794.066)</w:t>
            </w:r>
          </w:p>
        </w:tc>
        <w:tc>
          <w:tcPr>
            <w:tcW w:w="1399" w:type="dxa"/>
            <w:tcBorders>
              <w:top w:val="nil"/>
              <w:left w:val="nil"/>
              <w:bottom w:val="nil"/>
              <w:right w:val="nil"/>
            </w:tcBorders>
            <w:vAlign w:val="center"/>
          </w:tcPr>
          <w:p w14:paraId="18F36104" w14:textId="77777777" w:rsidR="000C35AF" w:rsidRPr="00113056" w:rsidRDefault="000C35AF" w:rsidP="009238AE">
            <w:pPr>
              <w:pStyle w:val="Regresjonstabell"/>
              <w:jc w:val="right"/>
              <w:rPr>
                <w:sz w:val="20"/>
                <w:szCs w:val="20"/>
              </w:rPr>
            </w:pPr>
            <w:r w:rsidRPr="00113056">
              <w:rPr>
                <w:color w:val="000000"/>
                <w:sz w:val="20"/>
                <w:szCs w:val="20"/>
              </w:rPr>
              <w:t>(662.367)</w:t>
            </w:r>
          </w:p>
        </w:tc>
        <w:tc>
          <w:tcPr>
            <w:tcW w:w="1399" w:type="dxa"/>
            <w:tcBorders>
              <w:top w:val="nil"/>
              <w:left w:val="nil"/>
              <w:bottom w:val="nil"/>
              <w:right w:val="nil"/>
            </w:tcBorders>
            <w:vAlign w:val="center"/>
          </w:tcPr>
          <w:p w14:paraId="4BDD8CB3" w14:textId="77777777" w:rsidR="000C35AF" w:rsidRPr="00113056" w:rsidRDefault="000C35AF" w:rsidP="009238AE">
            <w:pPr>
              <w:pStyle w:val="Regresjonstabell"/>
              <w:jc w:val="right"/>
              <w:rPr>
                <w:sz w:val="20"/>
                <w:szCs w:val="20"/>
              </w:rPr>
            </w:pPr>
            <w:r w:rsidRPr="00113056">
              <w:rPr>
                <w:color w:val="000000"/>
                <w:sz w:val="20"/>
                <w:szCs w:val="20"/>
              </w:rPr>
              <w:t>(424.157)</w:t>
            </w:r>
          </w:p>
        </w:tc>
        <w:tc>
          <w:tcPr>
            <w:tcW w:w="1399" w:type="dxa"/>
            <w:tcBorders>
              <w:top w:val="nil"/>
              <w:left w:val="nil"/>
              <w:bottom w:val="nil"/>
              <w:right w:val="nil"/>
            </w:tcBorders>
            <w:vAlign w:val="center"/>
          </w:tcPr>
          <w:p w14:paraId="0D6B9C5A" w14:textId="77777777" w:rsidR="000C35AF" w:rsidRPr="00113056" w:rsidRDefault="000C35AF" w:rsidP="009238AE">
            <w:pPr>
              <w:pStyle w:val="Regresjonstabell"/>
              <w:jc w:val="right"/>
              <w:rPr>
                <w:sz w:val="20"/>
                <w:szCs w:val="20"/>
              </w:rPr>
            </w:pPr>
            <w:r w:rsidRPr="00113056">
              <w:rPr>
                <w:color w:val="000000"/>
                <w:sz w:val="20"/>
                <w:szCs w:val="20"/>
              </w:rPr>
              <w:t>(233.020)</w:t>
            </w:r>
          </w:p>
        </w:tc>
        <w:tc>
          <w:tcPr>
            <w:tcW w:w="1399" w:type="dxa"/>
            <w:tcBorders>
              <w:top w:val="nil"/>
              <w:left w:val="nil"/>
              <w:bottom w:val="nil"/>
              <w:right w:val="nil"/>
            </w:tcBorders>
            <w:vAlign w:val="center"/>
          </w:tcPr>
          <w:p w14:paraId="7459DCB1" w14:textId="77777777" w:rsidR="000C35AF" w:rsidRPr="00113056" w:rsidRDefault="000C35AF" w:rsidP="009238AE">
            <w:pPr>
              <w:pStyle w:val="Regresjonstabell"/>
              <w:jc w:val="right"/>
              <w:rPr>
                <w:sz w:val="20"/>
                <w:szCs w:val="20"/>
              </w:rPr>
            </w:pPr>
            <w:r w:rsidRPr="00113056">
              <w:rPr>
                <w:color w:val="000000"/>
                <w:sz w:val="20"/>
                <w:szCs w:val="20"/>
              </w:rPr>
              <w:t>(290.419)</w:t>
            </w:r>
          </w:p>
        </w:tc>
        <w:tc>
          <w:tcPr>
            <w:tcW w:w="1399" w:type="dxa"/>
            <w:tcBorders>
              <w:top w:val="nil"/>
              <w:left w:val="nil"/>
              <w:bottom w:val="nil"/>
              <w:right w:val="nil"/>
            </w:tcBorders>
            <w:vAlign w:val="center"/>
          </w:tcPr>
          <w:p w14:paraId="367474C0" w14:textId="77777777" w:rsidR="000C35AF" w:rsidRPr="00113056" w:rsidRDefault="000C35AF" w:rsidP="009238AE">
            <w:pPr>
              <w:pStyle w:val="Regresjonstabell"/>
              <w:jc w:val="right"/>
              <w:rPr>
                <w:sz w:val="20"/>
                <w:szCs w:val="20"/>
              </w:rPr>
            </w:pPr>
            <w:r w:rsidRPr="00113056">
              <w:rPr>
                <w:color w:val="000000"/>
                <w:sz w:val="20"/>
                <w:szCs w:val="20"/>
              </w:rPr>
              <w:t>(646.517)</w:t>
            </w:r>
          </w:p>
        </w:tc>
        <w:tc>
          <w:tcPr>
            <w:tcW w:w="1400" w:type="dxa"/>
            <w:tcBorders>
              <w:top w:val="nil"/>
              <w:left w:val="nil"/>
              <w:bottom w:val="nil"/>
              <w:right w:val="nil"/>
            </w:tcBorders>
            <w:vAlign w:val="center"/>
          </w:tcPr>
          <w:p w14:paraId="2CAFCCBB" w14:textId="77777777" w:rsidR="000C35AF" w:rsidRPr="00113056" w:rsidRDefault="000C35AF" w:rsidP="009238AE">
            <w:pPr>
              <w:pStyle w:val="Regresjonstabell"/>
              <w:jc w:val="right"/>
              <w:rPr>
                <w:sz w:val="20"/>
                <w:szCs w:val="20"/>
              </w:rPr>
            </w:pPr>
            <w:r w:rsidRPr="00113056">
              <w:rPr>
                <w:color w:val="000000"/>
                <w:sz w:val="20"/>
                <w:szCs w:val="20"/>
              </w:rPr>
              <w:t>(936.928)</w:t>
            </w:r>
          </w:p>
        </w:tc>
        <w:tc>
          <w:tcPr>
            <w:tcW w:w="1400" w:type="dxa"/>
            <w:tcBorders>
              <w:top w:val="nil"/>
              <w:left w:val="nil"/>
              <w:bottom w:val="nil"/>
              <w:right w:val="single" w:sz="4" w:space="0" w:color="auto"/>
            </w:tcBorders>
            <w:vAlign w:val="center"/>
          </w:tcPr>
          <w:p w14:paraId="6F4DF9BF" w14:textId="77777777" w:rsidR="000C35AF" w:rsidRPr="00113056" w:rsidRDefault="000C35AF" w:rsidP="009238AE">
            <w:pPr>
              <w:pStyle w:val="Regresjonstabell"/>
              <w:jc w:val="right"/>
              <w:rPr>
                <w:sz w:val="20"/>
                <w:szCs w:val="20"/>
              </w:rPr>
            </w:pPr>
            <w:r w:rsidRPr="00113056">
              <w:rPr>
                <w:color w:val="000000"/>
                <w:sz w:val="20"/>
                <w:szCs w:val="20"/>
              </w:rPr>
              <w:t>(1,256.060)</w:t>
            </w:r>
          </w:p>
        </w:tc>
      </w:tr>
      <w:tr w:rsidR="000C35AF" w:rsidRPr="0055149C" w14:paraId="55F0518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23D3E5C" w14:textId="77777777" w:rsidR="000C35AF" w:rsidRPr="0055149C" w:rsidRDefault="000C35AF" w:rsidP="009238AE">
            <w:pPr>
              <w:pStyle w:val="Regresjonstabell"/>
              <w:rPr>
                <w:sz w:val="20"/>
                <w:szCs w:val="20"/>
              </w:rPr>
            </w:pPr>
            <w:r w:rsidRPr="0055149C">
              <w:rPr>
                <w:sz w:val="20"/>
                <w:szCs w:val="20"/>
              </w:rPr>
              <w:t>Reiseavstand innad i sone</w:t>
            </w:r>
          </w:p>
        </w:tc>
        <w:tc>
          <w:tcPr>
            <w:tcW w:w="1399" w:type="dxa"/>
            <w:tcBorders>
              <w:top w:val="nil"/>
              <w:left w:val="single" w:sz="4" w:space="0" w:color="auto"/>
              <w:bottom w:val="nil"/>
              <w:right w:val="nil"/>
            </w:tcBorders>
            <w:vAlign w:val="bottom"/>
          </w:tcPr>
          <w:p w14:paraId="628E40DD" w14:textId="77777777" w:rsidR="000C35AF" w:rsidRPr="00113056" w:rsidRDefault="000C35AF" w:rsidP="009238AE">
            <w:pPr>
              <w:pStyle w:val="Regresjonstabell"/>
              <w:jc w:val="right"/>
              <w:rPr>
                <w:sz w:val="20"/>
                <w:szCs w:val="20"/>
              </w:rPr>
            </w:pPr>
            <w:r w:rsidRPr="00113056">
              <w:rPr>
                <w:color w:val="000000"/>
                <w:sz w:val="20"/>
                <w:szCs w:val="20"/>
              </w:rPr>
              <w:t>0.065**</w:t>
            </w:r>
          </w:p>
        </w:tc>
        <w:tc>
          <w:tcPr>
            <w:tcW w:w="1399" w:type="dxa"/>
            <w:tcBorders>
              <w:top w:val="nil"/>
              <w:left w:val="nil"/>
              <w:bottom w:val="nil"/>
              <w:right w:val="nil"/>
            </w:tcBorders>
            <w:vAlign w:val="bottom"/>
          </w:tcPr>
          <w:p w14:paraId="065B3847" w14:textId="77777777" w:rsidR="000C35AF" w:rsidRPr="00113056" w:rsidRDefault="000C35AF" w:rsidP="009238AE">
            <w:pPr>
              <w:pStyle w:val="Regresjonstabell"/>
              <w:jc w:val="right"/>
              <w:rPr>
                <w:sz w:val="20"/>
                <w:szCs w:val="20"/>
              </w:rPr>
            </w:pPr>
            <w:r w:rsidRPr="00113056">
              <w:rPr>
                <w:color w:val="000000"/>
                <w:sz w:val="20"/>
                <w:szCs w:val="20"/>
              </w:rPr>
              <w:t>0.047**</w:t>
            </w:r>
          </w:p>
        </w:tc>
        <w:tc>
          <w:tcPr>
            <w:tcW w:w="1399" w:type="dxa"/>
            <w:tcBorders>
              <w:top w:val="nil"/>
              <w:left w:val="nil"/>
              <w:bottom w:val="nil"/>
              <w:right w:val="nil"/>
            </w:tcBorders>
            <w:vAlign w:val="bottom"/>
          </w:tcPr>
          <w:p w14:paraId="748AB509" w14:textId="77777777" w:rsidR="000C35AF" w:rsidRPr="00113056" w:rsidRDefault="000C35AF" w:rsidP="009238AE">
            <w:pPr>
              <w:pStyle w:val="Regresjonstabell"/>
              <w:jc w:val="right"/>
              <w:rPr>
                <w:sz w:val="20"/>
                <w:szCs w:val="20"/>
              </w:rPr>
            </w:pPr>
            <w:r w:rsidRPr="00113056">
              <w:rPr>
                <w:color w:val="000000"/>
                <w:sz w:val="20"/>
                <w:szCs w:val="20"/>
              </w:rPr>
              <w:t>0.017</w:t>
            </w:r>
          </w:p>
        </w:tc>
        <w:tc>
          <w:tcPr>
            <w:tcW w:w="1399" w:type="dxa"/>
            <w:tcBorders>
              <w:top w:val="nil"/>
              <w:left w:val="nil"/>
              <w:bottom w:val="nil"/>
              <w:right w:val="nil"/>
            </w:tcBorders>
            <w:vAlign w:val="bottom"/>
          </w:tcPr>
          <w:p w14:paraId="085011C9" w14:textId="77777777" w:rsidR="000C35AF" w:rsidRPr="00113056" w:rsidRDefault="000C35AF" w:rsidP="009238AE">
            <w:pPr>
              <w:pStyle w:val="Regresjonstabell"/>
              <w:jc w:val="right"/>
              <w:rPr>
                <w:sz w:val="20"/>
                <w:szCs w:val="20"/>
              </w:rPr>
            </w:pPr>
            <w:r w:rsidRPr="00113056">
              <w:rPr>
                <w:color w:val="000000"/>
                <w:sz w:val="20"/>
                <w:szCs w:val="20"/>
              </w:rPr>
              <w:t>-0.008</w:t>
            </w:r>
          </w:p>
        </w:tc>
        <w:tc>
          <w:tcPr>
            <w:tcW w:w="1399" w:type="dxa"/>
            <w:tcBorders>
              <w:top w:val="nil"/>
              <w:left w:val="nil"/>
              <w:bottom w:val="nil"/>
              <w:right w:val="nil"/>
            </w:tcBorders>
            <w:vAlign w:val="bottom"/>
          </w:tcPr>
          <w:p w14:paraId="02C6F4B6" w14:textId="77777777" w:rsidR="000C35AF" w:rsidRPr="00113056" w:rsidRDefault="000C35AF" w:rsidP="009238AE">
            <w:pPr>
              <w:pStyle w:val="Regresjonstabell"/>
              <w:jc w:val="right"/>
              <w:rPr>
                <w:sz w:val="20"/>
                <w:szCs w:val="20"/>
              </w:rPr>
            </w:pPr>
            <w:r w:rsidRPr="00113056">
              <w:rPr>
                <w:color w:val="000000"/>
                <w:sz w:val="20"/>
                <w:szCs w:val="20"/>
              </w:rPr>
              <w:t>-0.009</w:t>
            </w:r>
          </w:p>
        </w:tc>
        <w:tc>
          <w:tcPr>
            <w:tcW w:w="1399" w:type="dxa"/>
            <w:tcBorders>
              <w:top w:val="nil"/>
              <w:left w:val="nil"/>
              <w:bottom w:val="nil"/>
              <w:right w:val="nil"/>
            </w:tcBorders>
            <w:vAlign w:val="bottom"/>
          </w:tcPr>
          <w:p w14:paraId="25A68F6F" w14:textId="77777777" w:rsidR="000C35AF" w:rsidRPr="00113056" w:rsidRDefault="000C35AF" w:rsidP="009238AE">
            <w:pPr>
              <w:pStyle w:val="Regresjonstabell"/>
              <w:jc w:val="right"/>
              <w:rPr>
                <w:sz w:val="20"/>
                <w:szCs w:val="20"/>
              </w:rPr>
            </w:pPr>
            <w:r w:rsidRPr="00113056">
              <w:rPr>
                <w:color w:val="000000"/>
                <w:sz w:val="20"/>
                <w:szCs w:val="20"/>
              </w:rPr>
              <w:t>-0.021</w:t>
            </w:r>
          </w:p>
        </w:tc>
        <w:tc>
          <w:tcPr>
            <w:tcW w:w="1400" w:type="dxa"/>
            <w:tcBorders>
              <w:top w:val="nil"/>
              <w:left w:val="nil"/>
              <w:bottom w:val="nil"/>
              <w:right w:val="nil"/>
            </w:tcBorders>
            <w:vAlign w:val="bottom"/>
          </w:tcPr>
          <w:p w14:paraId="01D95A57" w14:textId="77777777" w:rsidR="000C35AF" w:rsidRPr="00113056" w:rsidRDefault="000C35AF" w:rsidP="009238AE">
            <w:pPr>
              <w:pStyle w:val="Regresjonstabell"/>
              <w:jc w:val="right"/>
              <w:rPr>
                <w:sz w:val="20"/>
                <w:szCs w:val="20"/>
              </w:rPr>
            </w:pPr>
            <w:r w:rsidRPr="00113056">
              <w:rPr>
                <w:color w:val="000000"/>
                <w:sz w:val="20"/>
                <w:szCs w:val="20"/>
              </w:rPr>
              <w:t>-0.030</w:t>
            </w:r>
          </w:p>
        </w:tc>
        <w:tc>
          <w:tcPr>
            <w:tcW w:w="1400" w:type="dxa"/>
            <w:tcBorders>
              <w:top w:val="nil"/>
              <w:left w:val="nil"/>
              <w:bottom w:val="nil"/>
              <w:right w:val="single" w:sz="4" w:space="0" w:color="auto"/>
            </w:tcBorders>
            <w:vAlign w:val="bottom"/>
          </w:tcPr>
          <w:p w14:paraId="0A6B6AE4" w14:textId="77777777" w:rsidR="000C35AF" w:rsidRPr="00113056" w:rsidRDefault="000C35AF" w:rsidP="009238AE">
            <w:pPr>
              <w:pStyle w:val="Regresjonstabell"/>
              <w:jc w:val="right"/>
              <w:rPr>
                <w:sz w:val="20"/>
                <w:szCs w:val="20"/>
              </w:rPr>
            </w:pPr>
            <w:r w:rsidRPr="00113056">
              <w:rPr>
                <w:color w:val="000000"/>
                <w:sz w:val="20"/>
                <w:szCs w:val="20"/>
              </w:rPr>
              <w:t>0.035</w:t>
            </w:r>
          </w:p>
        </w:tc>
      </w:tr>
      <w:tr w:rsidR="000C35AF" w:rsidRPr="0055149C" w14:paraId="0C456F9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F75327A" w14:textId="77777777" w:rsidR="000C35AF" w:rsidRPr="0055149C" w:rsidRDefault="000C35AF" w:rsidP="009238AE">
            <w:pPr>
              <w:pStyle w:val="Regresjonstabell"/>
              <w:rPr>
                <w:sz w:val="20"/>
                <w:szCs w:val="20"/>
              </w:rPr>
            </w:pPr>
            <w:r w:rsidRPr="0055149C">
              <w:rPr>
                <w:sz w:val="20"/>
                <w:szCs w:val="20"/>
              </w:rPr>
              <w:t>(Kriterium 13)</w:t>
            </w:r>
          </w:p>
        </w:tc>
        <w:tc>
          <w:tcPr>
            <w:tcW w:w="1399" w:type="dxa"/>
            <w:tcBorders>
              <w:top w:val="nil"/>
              <w:left w:val="single" w:sz="4" w:space="0" w:color="auto"/>
              <w:bottom w:val="nil"/>
              <w:right w:val="nil"/>
            </w:tcBorders>
            <w:vAlign w:val="center"/>
          </w:tcPr>
          <w:p w14:paraId="4E1E5FF1" w14:textId="77777777" w:rsidR="000C35AF" w:rsidRPr="00113056" w:rsidRDefault="000C35AF" w:rsidP="009238AE">
            <w:pPr>
              <w:pStyle w:val="Regresjonstabell"/>
              <w:jc w:val="right"/>
              <w:rPr>
                <w:sz w:val="20"/>
                <w:szCs w:val="20"/>
              </w:rPr>
            </w:pPr>
            <w:r w:rsidRPr="00113056">
              <w:rPr>
                <w:color w:val="000000"/>
                <w:sz w:val="20"/>
                <w:szCs w:val="20"/>
              </w:rPr>
              <w:t>(0.030)</w:t>
            </w:r>
          </w:p>
        </w:tc>
        <w:tc>
          <w:tcPr>
            <w:tcW w:w="1399" w:type="dxa"/>
            <w:tcBorders>
              <w:top w:val="nil"/>
              <w:left w:val="nil"/>
              <w:bottom w:val="nil"/>
              <w:right w:val="nil"/>
            </w:tcBorders>
            <w:vAlign w:val="center"/>
          </w:tcPr>
          <w:p w14:paraId="7E53707F" w14:textId="77777777" w:rsidR="000C35AF" w:rsidRPr="00113056" w:rsidRDefault="000C35AF" w:rsidP="009238AE">
            <w:pPr>
              <w:pStyle w:val="Regresjonstabell"/>
              <w:jc w:val="right"/>
              <w:rPr>
                <w:sz w:val="20"/>
                <w:szCs w:val="20"/>
              </w:rPr>
            </w:pPr>
            <w:r w:rsidRPr="00113056">
              <w:rPr>
                <w:color w:val="000000"/>
                <w:sz w:val="20"/>
                <w:szCs w:val="20"/>
              </w:rPr>
              <w:t>(0.023)</w:t>
            </w:r>
          </w:p>
        </w:tc>
        <w:tc>
          <w:tcPr>
            <w:tcW w:w="1399" w:type="dxa"/>
            <w:tcBorders>
              <w:top w:val="nil"/>
              <w:left w:val="nil"/>
              <w:bottom w:val="nil"/>
              <w:right w:val="nil"/>
            </w:tcBorders>
            <w:vAlign w:val="center"/>
          </w:tcPr>
          <w:p w14:paraId="620FB112" w14:textId="77777777" w:rsidR="000C35AF" w:rsidRPr="00113056" w:rsidRDefault="000C35AF" w:rsidP="009238AE">
            <w:pPr>
              <w:pStyle w:val="Regresjonstabell"/>
              <w:jc w:val="right"/>
              <w:rPr>
                <w:sz w:val="20"/>
                <w:szCs w:val="20"/>
              </w:rPr>
            </w:pPr>
            <w:r w:rsidRPr="00113056">
              <w:rPr>
                <w:color w:val="000000"/>
                <w:sz w:val="20"/>
                <w:szCs w:val="20"/>
              </w:rPr>
              <w:t>(0.012)</w:t>
            </w:r>
          </w:p>
        </w:tc>
        <w:tc>
          <w:tcPr>
            <w:tcW w:w="1399" w:type="dxa"/>
            <w:tcBorders>
              <w:top w:val="nil"/>
              <w:left w:val="nil"/>
              <w:bottom w:val="nil"/>
              <w:right w:val="nil"/>
            </w:tcBorders>
            <w:vAlign w:val="center"/>
          </w:tcPr>
          <w:p w14:paraId="0F08DFFA"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center"/>
          </w:tcPr>
          <w:p w14:paraId="62852487"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28D73D6A" w14:textId="77777777" w:rsidR="000C35AF" w:rsidRPr="00113056" w:rsidRDefault="000C35AF" w:rsidP="009238AE">
            <w:pPr>
              <w:pStyle w:val="Regresjonstabell"/>
              <w:jc w:val="right"/>
              <w:rPr>
                <w:sz w:val="20"/>
                <w:szCs w:val="20"/>
              </w:rPr>
            </w:pPr>
            <w:r w:rsidRPr="00113056">
              <w:rPr>
                <w:color w:val="000000"/>
                <w:sz w:val="20"/>
                <w:szCs w:val="20"/>
              </w:rPr>
              <w:t>(0.016)</w:t>
            </w:r>
          </w:p>
        </w:tc>
        <w:tc>
          <w:tcPr>
            <w:tcW w:w="1400" w:type="dxa"/>
            <w:tcBorders>
              <w:top w:val="nil"/>
              <w:left w:val="nil"/>
              <w:bottom w:val="nil"/>
              <w:right w:val="nil"/>
            </w:tcBorders>
            <w:vAlign w:val="center"/>
          </w:tcPr>
          <w:p w14:paraId="645BD456" w14:textId="77777777" w:rsidR="000C35AF" w:rsidRPr="00113056" w:rsidRDefault="000C35AF" w:rsidP="009238AE">
            <w:pPr>
              <w:pStyle w:val="Regresjonstabell"/>
              <w:jc w:val="right"/>
              <w:rPr>
                <w:sz w:val="20"/>
                <w:szCs w:val="20"/>
              </w:rPr>
            </w:pPr>
            <w:r w:rsidRPr="00113056">
              <w:rPr>
                <w:color w:val="000000"/>
                <w:sz w:val="20"/>
                <w:szCs w:val="20"/>
              </w:rPr>
              <w:t>(0.023)</w:t>
            </w:r>
          </w:p>
        </w:tc>
        <w:tc>
          <w:tcPr>
            <w:tcW w:w="1400" w:type="dxa"/>
            <w:tcBorders>
              <w:top w:val="nil"/>
              <w:left w:val="nil"/>
              <w:bottom w:val="nil"/>
              <w:right w:val="single" w:sz="4" w:space="0" w:color="auto"/>
            </w:tcBorders>
            <w:vAlign w:val="center"/>
          </w:tcPr>
          <w:p w14:paraId="31EDD65D" w14:textId="77777777" w:rsidR="000C35AF" w:rsidRPr="00113056" w:rsidRDefault="000C35AF" w:rsidP="009238AE">
            <w:pPr>
              <w:pStyle w:val="Regresjonstabell"/>
              <w:jc w:val="right"/>
              <w:rPr>
                <w:sz w:val="20"/>
                <w:szCs w:val="20"/>
              </w:rPr>
            </w:pPr>
            <w:r w:rsidRPr="00113056">
              <w:rPr>
                <w:color w:val="000000"/>
                <w:sz w:val="20"/>
                <w:szCs w:val="20"/>
              </w:rPr>
              <w:t>(0.043)</w:t>
            </w:r>
          </w:p>
        </w:tc>
      </w:tr>
      <w:tr w:rsidR="000C35AF" w:rsidRPr="0055149C" w14:paraId="12C89A62"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5ED6204F" w14:textId="77777777" w:rsidR="000C35AF" w:rsidRPr="0055149C" w:rsidRDefault="000C35AF" w:rsidP="009238AE">
            <w:pPr>
              <w:pStyle w:val="Regresjonstabell"/>
              <w:rPr>
                <w:sz w:val="20"/>
                <w:szCs w:val="20"/>
              </w:rPr>
            </w:pPr>
            <w:r w:rsidRPr="0055149C">
              <w:rPr>
                <w:sz w:val="20"/>
                <w:szCs w:val="20"/>
              </w:rPr>
              <w:t>Innvandrere 6 til 15 år</w:t>
            </w:r>
          </w:p>
        </w:tc>
        <w:tc>
          <w:tcPr>
            <w:tcW w:w="1399" w:type="dxa"/>
            <w:tcBorders>
              <w:top w:val="nil"/>
              <w:left w:val="single" w:sz="4" w:space="0" w:color="auto"/>
              <w:bottom w:val="nil"/>
              <w:right w:val="nil"/>
            </w:tcBorders>
            <w:vAlign w:val="bottom"/>
          </w:tcPr>
          <w:p w14:paraId="57A26298" w14:textId="77777777" w:rsidR="000C35AF" w:rsidRPr="00113056" w:rsidRDefault="000C35AF" w:rsidP="009238AE">
            <w:pPr>
              <w:pStyle w:val="Regresjonstabell"/>
              <w:jc w:val="right"/>
              <w:rPr>
                <w:sz w:val="20"/>
                <w:szCs w:val="20"/>
              </w:rPr>
            </w:pPr>
            <w:r w:rsidRPr="00113056">
              <w:rPr>
                <w:color w:val="000000"/>
                <w:sz w:val="20"/>
                <w:szCs w:val="20"/>
              </w:rPr>
              <w:t>83.364**</w:t>
            </w:r>
          </w:p>
        </w:tc>
        <w:tc>
          <w:tcPr>
            <w:tcW w:w="1399" w:type="dxa"/>
            <w:tcBorders>
              <w:top w:val="nil"/>
              <w:left w:val="nil"/>
              <w:bottom w:val="nil"/>
              <w:right w:val="nil"/>
            </w:tcBorders>
            <w:vAlign w:val="bottom"/>
          </w:tcPr>
          <w:p w14:paraId="0BAD50A4" w14:textId="77777777" w:rsidR="000C35AF" w:rsidRPr="00113056" w:rsidRDefault="000C35AF" w:rsidP="009238AE">
            <w:pPr>
              <w:pStyle w:val="Regresjonstabell"/>
              <w:jc w:val="right"/>
              <w:rPr>
                <w:sz w:val="20"/>
                <w:szCs w:val="20"/>
              </w:rPr>
            </w:pPr>
            <w:r w:rsidRPr="00113056">
              <w:rPr>
                <w:color w:val="000000"/>
                <w:sz w:val="20"/>
                <w:szCs w:val="20"/>
              </w:rPr>
              <w:t>43.754*</w:t>
            </w:r>
          </w:p>
        </w:tc>
        <w:tc>
          <w:tcPr>
            <w:tcW w:w="1399" w:type="dxa"/>
            <w:tcBorders>
              <w:top w:val="nil"/>
              <w:left w:val="nil"/>
              <w:bottom w:val="nil"/>
              <w:right w:val="nil"/>
            </w:tcBorders>
            <w:vAlign w:val="bottom"/>
          </w:tcPr>
          <w:p w14:paraId="12FB5AE1" w14:textId="77777777" w:rsidR="000C35AF" w:rsidRPr="00113056" w:rsidRDefault="000C35AF" w:rsidP="009238AE">
            <w:pPr>
              <w:pStyle w:val="Regresjonstabell"/>
              <w:jc w:val="right"/>
              <w:rPr>
                <w:sz w:val="20"/>
                <w:szCs w:val="20"/>
              </w:rPr>
            </w:pPr>
            <w:r w:rsidRPr="00113056">
              <w:rPr>
                <w:color w:val="000000"/>
                <w:sz w:val="20"/>
                <w:szCs w:val="20"/>
              </w:rPr>
              <w:t>39.610</w:t>
            </w:r>
          </w:p>
        </w:tc>
        <w:tc>
          <w:tcPr>
            <w:tcW w:w="1399" w:type="dxa"/>
            <w:tcBorders>
              <w:top w:val="nil"/>
              <w:left w:val="nil"/>
              <w:bottom w:val="nil"/>
              <w:right w:val="nil"/>
            </w:tcBorders>
            <w:vAlign w:val="bottom"/>
          </w:tcPr>
          <w:p w14:paraId="4FDA1F29" w14:textId="77777777" w:rsidR="000C35AF" w:rsidRPr="00113056" w:rsidRDefault="000C35AF" w:rsidP="009238AE">
            <w:pPr>
              <w:pStyle w:val="Regresjonstabell"/>
              <w:jc w:val="right"/>
              <w:rPr>
                <w:sz w:val="20"/>
                <w:szCs w:val="20"/>
              </w:rPr>
            </w:pPr>
            <w:r w:rsidRPr="00113056">
              <w:rPr>
                <w:color w:val="000000"/>
                <w:sz w:val="20"/>
                <w:szCs w:val="20"/>
              </w:rPr>
              <w:t>-5.524</w:t>
            </w:r>
          </w:p>
        </w:tc>
        <w:tc>
          <w:tcPr>
            <w:tcW w:w="1399" w:type="dxa"/>
            <w:tcBorders>
              <w:top w:val="nil"/>
              <w:left w:val="nil"/>
              <w:bottom w:val="nil"/>
              <w:right w:val="nil"/>
            </w:tcBorders>
            <w:vAlign w:val="bottom"/>
          </w:tcPr>
          <w:p w14:paraId="7DEA5549" w14:textId="77777777" w:rsidR="000C35AF" w:rsidRPr="00113056" w:rsidRDefault="000C35AF" w:rsidP="009238AE">
            <w:pPr>
              <w:pStyle w:val="Regresjonstabell"/>
              <w:jc w:val="right"/>
              <w:rPr>
                <w:sz w:val="20"/>
                <w:szCs w:val="20"/>
              </w:rPr>
            </w:pPr>
            <w:r w:rsidRPr="00113056">
              <w:rPr>
                <w:color w:val="000000"/>
                <w:sz w:val="20"/>
                <w:szCs w:val="20"/>
              </w:rPr>
              <w:t>-13.285</w:t>
            </w:r>
          </w:p>
        </w:tc>
        <w:tc>
          <w:tcPr>
            <w:tcW w:w="1399" w:type="dxa"/>
            <w:tcBorders>
              <w:top w:val="nil"/>
              <w:left w:val="nil"/>
              <w:bottom w:val="nil"/>
              <w:right w:val="nil"/>
            </w:tcBorders>
            <w:vAlign w:val="bottom"/>
          </w:tcPr>
          <w:p w14:paraId="21D6D938" w14:textId="77777777" w:rsidR="000C35AF" w:rsidRPr="00113056" w:rsidRDefault="000C35AF" w:rsidP="009238AE">
            <w:pPr>
              <w:pStyle w:val="Regresjonstabell"/>
              <w:jc w:val="right"/>
              <w:rPr>
                <w:sz w:val="20"/>
                <w:szCs w:val="20"/>
              </w:rPr>
            </w:pPr>
            <w:r w:rsidRPr="00113056">
              <w:rPr>
                <w:color w:val="000000"/>
                <w:sz w:val="20"/>
                <w:szCs w:val="20"/>
              </w:rPr>
              <w:t>-29.587</w:t>
            </w:r>
          </w:p>
        </w:tc>
        <w:tc>
          <w:tcPr>
            <w:tcW w:w="1400" w:type="dxa"/>
            <w:tcBorders>
              <w:top w:val="nil"/>
              <w:left w:val="nil"/>
              <w:bottom w:val="nil"/>
              <w:right w:val="nil"/>
            </w:tcBorders>
            <w:vAlign w:val="bottom"/>
          </w:tcPr>
          <w:p w14:paraId="4A57EB05" w14:textId="77777777" w:rsidR="000C35AF" w:rsidRPr="00113056" w:rsidRDefault="000C35AF" w:rsidP="009238AE">
            <w:pPr>
              <w:pStyle w:val="Regresjonstabell"/>
              <w:jc w:val="right"/>
              <w:rPr>
                <w:sz w:val="20"/>
                <w:szCs w:val="20"/>
              </w:rPr>
            </w:pPr>
            <w:r w:rsidRPr="00113056">
              <w:rPr>
                <w:color w:val="000000"/>
                <w:sz w:val="20"/>
                <w:szCs w:val="20"/>
              </w:rPr>
              <w:t>-42.872</w:t>
            </w:r>
          </w:p>
        </w:tc>
        <w:tc>
          <w:tcPr>
            <w:tcW w:w="1400" w:type="dxa"/>
            <w:tcBorders>
              <w:top w:val="nil"/>
              <w:left w:val="nil"/>
              <w:bottom w:val="nil"/>
              <w:right w:val="single" w:sz="4" w:space="0" w:color="auto"/>
            </w:tcBorders>
            <w:vAlign w:val="bottom"/>
          </w:tcPr>
          <w:p w14:paraId="29E00911" w14:textId="77777777" w:rsidR="000C35AF" w:rsidRPr="00113056" w:rsidRDefault="000C35AF" w:rsidP="009238AE">
            <w:pPr>
              <w:pStyle w:val="Regresjonstabell"/>
              <w:jc w:val="right"/>
              <w:rPr>
                <w:sz w:val="20"/>
                <w:szCs w:val="20"/>
              </w:rPr>
            </w:pPr>
            <w:r w:rsidRPr="00113056">
              <w:rPr>
                <w:color w:val="000000"/>
                <w:sz w:val="20"/>
                <w:szCs w:val="20"/>
              </w:rPr>
              <w:t>40.493</w:t>
            </w:r>
          </w:p>
        </w:tc>
      </w:tr>
      <w:tr w:rsidR="000C35AF" w:rsidRPr="0055149C" w14:paraId="731F0C1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4D766D6" w14:textId="77777777" w:rsidR="000C35AF" w:rsidRPr="0055149C" w:rsidRDefault="000C35AF" w:rsidP="009238AE">
            <w:pPr>
              <w:pStyle w:val="Regresjonstabell"/>
              <w:rPr>
                <w:sz w:val="20"/>
                <w:szCs w:val="20"/>
              </w:rPr>
            </w:pPr>
            <w:r w:rsidRPr="0055149C">
              <w:rPr>
                <w:sz w:val="20"/>
                <w:szCs w:val="20"/>
              </w:rPr>
              <w:t>(Kriterium 17)</w:t>
            </w:r>
          </w:p>
        </w:tc>
        <w:tc>
          <w:tcPr>
            <w:tcW w:w="1399" w:type="dxa"/>
            <w:tcBorders>
              <w:top w:val="nil"/>
              <w:left w:val="single" w:sz="4" w:space="0" w:color="auto"/>
              <w:bottom w:val="nil"/>
              <w:right w:val="nil"/>
            </w:tcBorders>
            <w:vAlign w:val="center"/>
          </w:tcPr>
          <w:p w14:paraId="4690F34A" w14:textId="77777777" w:rsidR="000C35AF" w:rsidRPr="00113056" w:rsidRDefault="000C35AF" w:rsidP="009238AE">
            <w:pPr>
              <w:pStyle w:val="Regresjonstabell"/>
              <w:jc w:val="right"/>
              <w:rPr>
                <w:sz w:val="20"/>
                <w:szCs w:val="20"/>
              </w:rPr>
            </w:pPr>
            <w:r w:rsidRPr="00113056">
              <w:rPr>
                <w:color w:val="000000"/>
                <w:sz w:val="20"/>
                <w:szCs w:val="20"/>
              </w:rPr>
              <w:t>(39.281)</w:t>
            </w:r>
          </w:p>
        </w:tc>
        <w:tc>
          <w:tcPr>
            <w:tcW w:w="1399" w:type="dxa"/>
            <w:tcBorders>
              <w:top w:val="nil"/>
              <w:left w:val="nil"/>
              <w:bottom w:val="nil"/>
              <w:right w:val="nil"/>
            </w:tcBorders>
            <w:vAlign w:val="center"/>
          </w:tcPr>
          <w:p w14:paraId="41D225AA" w14:textId="77777777" w:rsidR="000C35AF" w:rsidRPr="00113056" w:rsidRDefault="000C35AF" w:rsidP="009238AE">
            <w:pPr>
              <w:pStyle w:val="Regresjonstabell"/>
              <w:jc w:val="right"/>
              <w:rPr>
                <w:sz w:val="20"/>
                <w:szCs w:val="20"/>
              </w:rPr>
            </w:pPr>
            <w:r w:rsidRPr="00113056">
              <w:rPr>
                <w:color w:val="000000"/>
                <w:sz w:val="20"/>
                <w:szCs w:val="20"/>
              </w:rPr>
              <w:t>(25.903)</w:t>
            </w:r>
          </w:p>
        </w:tc>
        <w:tc>
          <w:tcPr>
            <w:tcW w:w="1399" w:type="dxa"/>
            <w:tcBorders>
              <w:top w:val="nil"/>
              <w:left w:val="nil"/>
              <w:bottom w:val="nil"/>
              <w:right w:val="nil"/>
            </w:tcBorders>
            <w:vAlign w:val="center"/>
          </w:tcPr>
          <w:p w14:paraId="35FBC50C" w14:textId="77777777" w:rsidR="000C35AF" w:rsidRPr="00113056" w:rsidRDefault="000C35AF" w:rsidP="009238AE">
            <w:pPr>
              <w:pStyle w:val="Regresjonstabell"/>
              <w:jc w:val="right"/>
              <w:rPr>
                <w:sz w:val="20"/>
                <w:szCs w:val="20"/>
              </w:rPr>
            </w:pPr>
            <w:r w:rsidRPr="00113056">
              <w:rPr>
                <w:color w:val="000000"/>
                <w:sz w:val="20"/>
                <w:szCs w:val="20"/>
              </w:rPr>
              <w:t>(25.704)</w:t>
            </w:r>
          </w:p>
        </w:tc>
        <w:tc>
          <w:tcPr>
            <w:tcW w:w="1399" w:type="dxa"/>
            <w:tcBorders>
              <w:top w:val="nil"/>
              <w:left w:val="nil"/>
              <w:bottom w:val="nil"/>
              <w:right w:val="nil"/>
            </w:tcBorders>
            <w:vAlign w:val="center"/>
          </w:tcPr>
          <w:p w14:paraId="16C3327B" w14:textId="77777777" w:rsidR="000C35AF" w:rsidRPr="00113056" w:rsidRDefault="000C35AF" w:rsidP="009238AE">
            <w:pPr>
              <w:pStyle w:val="Regresjonstabell"/>
              <w:jc w:val="right"/>
              <w:rPr>
                <w:sz w:val="20"/>
                <w:szCs w:val="20"/>
              </w:rPr>
            </w:pPr>
            <w:r w:rsidRPr="00113056">
              <w:rPr>
                <w:color w:val="000000"/>
                <w:sz w:val="20"/>
                <w:szCs w:val="20"/>
              </w:rPr>
              <w:t>(13.801)</w:t>
            </w:r>
          </w:p>
        </w:tc>
        <w:tc>
          <w:tcPr>
            <w:tcW w:w="1399" w:type="dxa"/>
            <w:tcBorders>
              <w:top w:val="nil"/>
              <w:left w:val="nil"/>
              <w:bottom w:val="nil"/>
              <w:right w:val="nil"/>
            </w:tcBorders>
            <w:vAlign w:val="center"/>
          </w:tcPr>
          <w:p w14:paraId="59745958" w14:textId="77777777" w:rsidR="000C35AF" w:rsidRPr="00113056" w:rsidRDefault="000C35AF" w:rsidP="009238AE">
            <w:pPr>
              <w:pStyle w:val="Regresjonstabell"/>
              <w:jc w:val="right"/>
              <w:rPr>
                <w:sz w:val="20"/>
                <w:szCs w:val="20"/>
              </w:rPr>
            </w:pPr>
            <w:r w:rsidRPr="00113056">
              <w:rPr>
                <w:color w:val="000000"/>
                <w:sz w:val="20"/>
                <w:szCs w:val="20"/>
              </w:rPr>
              <w:t>(15.941)</w:t>
            </w:r>
          </w:p>
        </w:tc>
        <w:tc>
          <w:tcPr>
            <w:tcW w:w="1399" w:type="dxa"/>
            <w:tcBorders>
              <w:top w:val="nil"/>
              <w:left w:val="nil"/>
              <w:bottom w:val="nil"/>
              <w:right w:val="nil"/>
            </w:tcBorders>
            <w:vAlign w:val="center"/>
          </w:tcPr>
          <w:p w14:paraId="5F947BCE" w14:textId="77777777" w:rsidR="000C35AF" w:rsidRPr="00113056" w:rsidRDefault="000C35AF" w:rsidP="009238AE">
            <w:pPr>
              <w:pStyle w:val="Regresjonstabell"/>
              <w:jc w:val="right"/>
              <w:rPr>
                <w:sz w:val="20"/>
                <w:szCs w:val="20"/>
              </w:rPr>
            </w:pPr>
            <w:r w:rsidRPr="00113056">
              <w:rPr>
                <w:color w:val="000000"/>
                <w:sz w:val="20"/>
                <w:szCs w:val="20"/>
              </w:rPr>
              <w:t>(35.526)</w:t>
            </w:r>
          </w:p>
        </w:tc>
        <w:tc>
          <w:tcPr>
            <w:tcW w:w="1400" w:type="dxa"/>
            <w:tcBorders>
              <w:top w:val="nil"/>
              <w:left w:val="nil"/>
              <w:bottom w:val="nil"/>
              <w:right w:val="nil"/>
            </w:tcBorders>
            <w:vAlign w:val="center"/>
          </w:tcPr>
          <w:p w14:paraId="5E5E6AD2" w14:textId="77777777" w:rsidR="000C35AF" w:rsidRPr="00113056" w:rsidRDefault="000C35AF" w:rsidP="009238AE">
            <w:pPr>
              <w:pStyle w:val="Regresjonstabell"/>
              <w:jc w:val="right"/>
              <w:rPr>
                <w:sz w:val="20"/>
                <w:szCs w:val="20"/>
              </w:rPr>
            </w:pPr>
            <w:r w:rsidRPr="00113056">
              <w:rPr>
                <w:color w:val="000000"/>
                <w:sz w:val="20"/>
                <w:szCs w:val="20"/>
              </w:rPr>
              <w:t>(51.467)</w:t>
            </w:r>
          </w:p>
        </w:tc>
        <w:tc>
          <w:tcPr>
            <w:tcW w:w="1400" w:type="dxa"/>
            <w:tcBorders>
              <w:top w:val="nil"/>
              <w:left w:val="nil"/>
              <w:bottom w:val="nil"/>
              <w:right w:val="single" w:sz="4" w:space="0" w:color="auto"/>
            </w:tcBorders>
            <w:vAlign w:val="center"/>
          </w:tcPr>
          <w:p w14:paraId="6734E416" w14:textId="77777777" w:rsidR="000C35AF" w:rsidRPr="00113056" w:rsidRDefault="000C35AF" w:rsidP="009238AE">
            <w:pPr>
              <w:pStyle w:val="Regresjonstabell"/>
              <w:jc w:val="right"/>
              <w:rPr>
                <w:sz w:val="20"/>
                <w:szCs w:val="20"/>
              </w:rPr>
            </w:pPr>
            <w:r w:rsidRPr="00113056">
              <w:rPr>
                <w:color w:val="000000"/>
                <w:sz w:val="20"/>
                <w:szCs w:val="20"/>
              </w:rPr>
              <w:t>(70.697)</w:t>
            </w:r>
          </w:p>
        </w:tc>
      </w:tr>
      <w:tr w:rsidR="000C35AF" w:rsidRPr="0055149C" w14:paraId="7F2F46F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9209280"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41A0E396" w14:textId="77777777" w:rsidR="000C35AF" w:rsidRPr="00113056" w:rsidRDefault="000C35AF" w:rsidP="009238AE">
            <w:pPr>
              <w:pStyle w:val="Regresjonstabell"/>
              <w:jc w:val="right"/>
              <w:rPr>
                <w:sz w:val="20"/>
                <w:szCs w:val="20"/>
              </w:rPr>
            </w:pPr>
            <w:r w:rsidRPr="00113056">
              <w:rPr>
                <w:color w:val="000000"/>
                <w:sz w:val="20"/>
                <w:szCs w:val="20"/>
              </w:rPr>
              <w:t>0.123***</w:t>
            </w:r>
          </w:p>
        </w:tc>
        <w:tc>
          <w:tcPr>
            <w:tcW w:w="1399" w:type="dxa"/>
            <w:tcBorders>
              <w:top w:val="nil"/>
              <w:left w:val="nil"/>
              <w:bottom w:val="nil"/>
              <w:right w:val="nil"/>
            </w:tcBorders>
            <w:vAlign w:val="bottom"/>
          </w:tcPr>
          <w:p w14:paraId="5447B5FA" w14:textId="77777777" w:rsidR="000C35AF" w:rsidRPr="00113056" w:rsidRDefault="000C35AF" w:rsidP="009238AE">
            <w:pPr>
              <w:pStyle w:val="Regresjonstabell"/>
              <w:jc w:val="right"/>
              <w:rPr>
                <w:sz w:val="20"/>
                <w:szCs w:val="20"/>
              </w:rPr>
            </w:pPr>
            <w:r w:rsidRPr="00113056">
              <w:rPr>
                <w:color w:val="000000"/>
                <w:sz w:val="20"/>
                <w:szCs w:val="20"/>
              </w:rPr>
              <w:t>0.100***</w:t>
            </w:r>
          </w:p>
        </w:tc>
        <w:tc>
          <w:tcPr>
            <w:tcW w:w="1399" w:type="dxa"/>
            <w:tcBorders>
              <w:top w:val="nil"/>
              <w:left w:val="nil"/>
              <w:bottom w:val="nil"/>
              <w:right w:val="nil"/>
            </w:tcBorders>
            <w:vAlign w:val="bottom"/>
          </w:tcPr>
          <w:p w14:paraId="5E1D1268" w14:textId="77777777" w:rsidR="000C35AF" w:rsidRPr="00113056" w:rsidRDefault="000C35AF" w:rsidP="009238AE">
            <w:pPr>
              <w:pStyle w:val="Regresjonstabell"/>
              <w:jc w:val="right"/>
              <w:rPr>
                <w:sz w:val="20"/>
                <w:szCs w:val="20"/>
              </w:rPr>
            </w:pPr>
            <w:r w:rsidRPr="00113056">
              <w:rPr>
                <w:color w:val="000000"/>
                <w:sz w:val="20"/>
                <w:szCs w:val="20"/>
              </w:rPr>
              <w:t>0.022***</w:t>
            </w:r>
          </w:p>
        </w:tc>
        <w:tc>
          <w:tcPr>
            <w:tcW w:w="1399" w:type="dxa"/>
            <w:tcBorders>
              <w:top w:val="nil"/>
              <w:left w:val="nil"/>
              <w:bottom w:val="nil"/>
              <w:right w:val="nil"/>
            </w:tcBorders>
            <w:vAlign w:val="bottom"/>
          </w:tcPr>
          <w:p w14:paraId="1C5810C7" w14:textId="77777777" w:rsidR="000C35AF" w:rsidRPr="00113056" w:rsidRDefault="000C35AF" w:rsidP="009238AE">
            <w:pPr>
              <w:pStyle w:val="Regresjonstabell"/>
              <w:jc w:val="right"/>
              <w:rPr>
                <w:sz w:val="20"/>
                <w:szCs w:val="20"/>
              </w:rPr>
            </w:pPr>
            <w:r w:rsidRPr="00113056">
              <w:rPr>
                <w:color w:val="000000"/>
                <w:sz w:val="20"/>
                <w:szCs w:val="20"/>
              </w:rPr>
              <w:t>0.008</w:t>
            </w:r>
          </w:p>
        </w:tc>
        <w:tc>
          <w:tcPr>
            <w:tcW w:w="1399" w:type="dxa"/>
            <w:tcBorders>
              <w:top w:val="nil"/>
              <w:left w:val="nil"/>
              <w:bottom w:val="nil"/>
              <w:right w:val="nil"/>
            </w:tcBorders>
            <w:vAlign w:val="bottom"/>
          </w:tcPr>
          <w:p w14:paraId="79885278"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bottom"/>
          </w:tcPr>
          <w:p w14:paraId="7DD0BDED" w14:textId="77777777" w:rsidR="000C35AF" w:rsidRPr="00113056" w:rsidRDefault="000C35AF" w:rsidP="009238AE">
            <w:pPr>
              <w:pStyle w:val="Regresjonstabell"/>
              <w:jc w:val="right"/>
              <w:rPr>
                <w:sz w:val="20"/>
                <w:szCs w:val="20"/>
              </w:rPr>
            </w:pPr>
            <w:r w:rsidRPr="00113056">
              <w:rPr>
                <w:color w:val="000000"/>
                <w:sz w:val="20"/>
                <w:szCs w:val="20"/>
              </w:rPr>
              <w:t>0.016</w:t>
            </w:r>
          </w:p>
        </w:tc>
        <w:tc>
          <w:tcPr>
            <w:tcW w:w="1400" w:type="dxa"/>
            <w:tcBorders>
              <w:top w:val="nil"/>
              <w:left w:val="nil"/>
              <w:bottom w:val="nil"/>
              <w:right w:val="nil"/>
            </w:tcBorders>
            <w:vAlign w:val="bottom"/>
          </w:tcPr>
          <w:p w14:paraId="4C132283" w14:textId="77777777" w:rsidR="000C35AF" w:rsidRPr="00113056" w:rsidRDefault="000C35AF" w:rsidP="009238AE">
            <w:pPr>
              <w:pStyle w:val="Regresjonstabell"/>
              <w:jc w:val="right"/>
              <w:rPr>
                <w:sz w:val="20"/>
                <w:szCs w:val="20"/>
              </w:rPr>
            </w:pPr>
            <w:r w:rsidRPr="00113056">
              <w:rPr>
                <w:color w:val="000000"/>
                <w:sz w:val="20"/>
                <w:szCs w:val="20"/>
              </w:rPr>
              <w:t>0.024</w:t>
            </w:r>
          </w:p>
        </w:tc>
        <w:tc>
          <w:tcPr>
            <w:tcW w:w="1400" w:type="dxa"/>
            <w:tcBorders>
              <w:top w:val="nil"/>
              <w:left w:val="nil"/>
              <w:bottom w:val="nil"/>
              <w:right w:val="single" w:sz="4" w:space="0" w:color="auto"/>
            </w:tcBorders>
            <w:vAlign w:val="bottom"/>
          </w:tcPr>
          <w:p w14:paraId="151FC758" w14:textId="77777777" w:rsidR="000C35AF" w:rsidRPr="00113056" w:rsidRDefault="000C35AF" w:rsidP="009238AE">
            <w:pPr>
              <w:pStyle w:val="Regresjonstabell"/>
              <w:jc w:val="right"/>
              <w:rPr>
                <w:sz w:val="20"/>
                <w:szCs w:val="20"/>
              </w:rPr>
            </w:pPr>
            <w:r w:rsidRPr="00113056">
              <w:rPr>
                <w:color w:val="000000"/>
                <w:sz w:val="20"/>
                <w:szCs w:val="20"/>
              </w:rPr>
              <w:t>0.146***</w:t>
            </w:r>
          </w:p>
        </w:tc>
      </w:tr>
      <w:tr w:rsidR="000C35AF" w:rsidRPr="0055149C" w14:paraId="0CBA0446"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3C192CC"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442970B4" w14:textId="77777777" w:rsidR="000C35AF" w:rsidRPr="00113056" w:rsidRDefault="000C35AF" w:rsidP="009238AE">
            <w:pPr>
              <w:pStyle w:val="Regresjonstabell"/>
              <w:jc w:val="right"/>
              <w:rPr>
                <w:sz w:val="20"/>
                <w:szCs w:val="20"/>
              </w:rPr>
            </w:pPr>
            <w:r w:rsidRPr="00113056">
              <w:rPr>
                <w:color w:val="000000"/>
                <w:sz w:val="20"/>
                <w:szCs w:val="20"/>
              </w:rPr>
              <w:t>(0.015)</w:t>
            </w:r>
          </w:p>
        </w:tc>
        <w:tc>
          <w:tcPr>
            <w:tcW w:w="1399" w:type="dxa"/>
            <w:tcBorders>
              <w:top w:val="nil"/>
              <w:left w:val="nil"/>
              <w:bottom w:val="nil"/>
              <w:right w:val="nil"/>
            </w:tcBorders>
            <w:vAlign w:val="center"/>
          </w:tcPr>
          <w:p w14:paraId="04D58602" w14:textId="77777777" w:rsidR="000C35AF" w:rsidRPr="00113056" w:rsidRDefault="000C35AF" w:rsidP="009238AE">
            <w:pPr>
              <w:pStyle w:val="Regresjonstabell"/>
              <w:jc w:val="right"/>
              <w:rPr>
                <w:sz w:val="20"/>
                <w:szCs w:val="20"/>
              </w:rPr>
            </w:pPr>
            <w:r w:rsidRPr="00113056">
              <w:rPr>
                <w:color w:val="000000"/>
                <w:sz w:val="20"/>
                <w:szCs w:val="20"/>
              </w:rPr>
              <w:t>(0.012)</w:t>
            </w:r>
          </w:p>
        </w:tc>
        <w:tc>
          <w:tcPr>
            <w:tcW w:w="1399" w:type="dxa"/>
            <w:tcBorders>
              <w:top w:val="nil"/>
              <w:left w:val="nil"/>
              <w:bottom w:val="nil"/>
              <w:right w:val="nil"/>
            </w:tcBorders>
            <w:vAlign w:val="center"/>
          </w:tcPr>
          <w:p w14:paraId="0E829B53"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438D7327"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24877B42"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center"/>
          </w:tcPr>
          <w:p w14:paraId="7C904F84" w14:textId="77777777" w:rsidR="000C35AF" w:rsidRPr="00113056" w:rsidRDefault="000C35AF" w:rsidP="009238AE">
            <w:pPr>
              <w:pStyle w:val="Regresjonstabell"/>
              <w:jc w:val="right"/>
              <w:rPr>
                <w:sz w:val="20"/>
                <w:szCs w:val="20"/>
              </w:rPr>
            </w:pPr>
            <w:r w:rsidRPr="00113056">
              <w:rPr>
                <w:color w:val="000000"/>
                <w:sz w:val="20"/>
                <w:szCs w:val="20"/>
              </w:rPr>
              <w:t>(0.013)</w:t>
            </w:r>
          </w:p>
        </w:tc>
        <w:tc>
          <w:tcPr>
            <w:tcW w:w="1400" w:type="dxa"/>
            <w:tcBorders>
              <w:top w:val="nil"/>
              <w:left w:val="nil"/>
              <w:bottom w:val="nil"/>
              <w:right w:val="nil"/>
            </w:tcBorders>
            <w:vAlign w:val="center"/>
          </w:tcPr>
          <w:p w14:paraId="4747722A" w14:textId="77777777" w:rsidR="000C35AF" w:rsidRPr="00113056" w:rsidRDefault="000C35AF" w:rsidP="009238AE">
            <w:pPr>
              <w:pStyle w:val="Regresjonstabell"/>
              <w:jc w:val="right"/>
              <w:rPr>
                <w:sz w:val="20"/>
                <w:szCs w:val="20"/>
              </w:rPr>
            </w:pPr>
            <w:r w:rsidRPr="00113056">
              <w:rPr>
                <w:color w:val="000000"/>
                <w:sz w:val="20"/>
                <w:szCs w:val="20"/>
              </w:rPr>
              <w:t>(0.019)</w:t>
            </w:r>
          </w:p>
        </w:tc>
        <w:tc>
          <w:tcPr>
            <w:tcW w:w="1400" w:type="dxa"/>
            <w:tcBorders>
              <w:top w:val="nil"/>
              <w:left w:val="nil"/>
              <w:bottom w:val="nil"/>
              <w:right w:val="single" w:sz="4" w:space="0" w:color="auto"/>
            </w:tcBorders>
            <w:vAlign w:val="center"/>
          </w:tcPr>
          <w:p w14:paraId="1AF38ECD" w14:textId="77777777" w:rsidR="000C35AF" w:rsidRPr="00113056" w:rsidRDefault="000C35AF" w:rsidP="009238AE">
            <w:pPr>
              <w:pStyle w:val="Regresjonstabell"/>
              <w:jc w:val="right"/>
              <w:rPr>
                <w:sz w:val="20"/>
                <w:szCs w:val="20"/>
              </w:rPr>
            </w:pPr>
            <w:r w:rsidRPr="00113056">
              <w:rPr>
                <w:color w:val="000000"/>
                <w:sz w:val="20"/>
                <w:szCs w:val="20"/>
              </w:rPr>
              <w:t>(0.024)</w:t>
            </w:r>
          </w:p>
        </w:tc>
      </w:tr>
      <w:tr w:rsidR="000C35AF" w:rsidRPr="0055149C" w14:paraId="414787C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742B4F0"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35244E47" w14:textId="77777777" w:rsidR="000C35AF" w:rsidRPr="00113056" w:rsidRDefault="000C35AF" w:rsidP="009238AE">
            <w:pPr>
              <w:pStyle w:val="Regresjonstabell"/>
              <w:jc w:val="right"/>
              <w:rPr>
                <w:sz w:val="20"/>
                <w:szCs w:val="20"/>
              </w:rPr>
            </w:pPr>
            <w:r w:rsidRPr="00113056">
              <w:rPr>
                <w:color w:val="000000"/>
                <w:sz w:val="20"/>
                <w:szCs w:val="20"/>
              </w:rPr>
              <w:t>-4.539***</w:t>
            </w:r>
          </w:p>
        </w:tc>
        <w:tc>
          <w:tcPr>
            <w:tcW w:w="1399" w:type="dxa"/>
            <w:tcBorders>
              <w:top w:val="nil"/>
              <w:left w:val="nil"/>
              <w:bottom w:val="nil"/>
              <w:right w:val="nil"/>
            </w:tcBorders>
            <w:vAlign w:val="bottom"/>
          </w:tcPr>
          <w:p w14:paraId="4CDBD3A2" w14:textId="77777777" w:rsidR="000C35AF" w:rsidRPr="00113056" w:rsidRDefault="000C35AF" w:rsidP="009238AE">
            <w:pPr>
              <w:pStyle w:val="Regresjonstabell"/>
              <w:jc w:val="right"/>
              <w:rPr>
                <w:sz w:val="20"/>
                <w:szCs w:val="20"/>
              </w:rPr>
            </w:pPr>
            <w:r w:rsidRPr="00113056">
              <w:rPr>
                <w:color w:val="000000"/>
                <w:sz w:val="20"/>
                <w:szCs w:val="20"/>
              </w:rPr>
              <w:t>-5.339***</w:t>
            </w:r>
          </w:p>
        </w:tc>
        <w:tc>
          <w:tcPr>
            <w:tcW w:w="1399" w:type="dxa"/>
            <w:tcBorders>
              <w:top w:val="nil"/>
              <w:left w:val="nil"/>
              <w:bottom w:val="nil"/>
              <w:right w:val="nil"/>
            </w:tcBorders>
            <w:vAlign w:val="bottom"/>
          </w:tcPr>
          <w:p w14:paraId="2852BF86" w14:textId="77777777" w:rsidR="000C35AF" w:rsidRPr="00113056" w:rsidRDefault="000C35AF" w:rsidP="009238AE">
            <w:pPr>
              <w:pStyle w:val="Regresjonstabell"/>
              <w:jc w:val="right"/>
              <w:rPr>
                <w:sz w:val="20"/>
                <w:szCs w:val="20"/>
              </w:rPr>
            </w:pPr>
            <w:r w:rsidRPr="00113056">
              <w:rPr>
                <w:color w:val="000000"/>
                <w:sz w:val="20"/>
                <w:szCs w:val="20"/>
              </w:rPr>
              <w:t>0.801</w:t>
            </w:r>
          </w:p>
        </w:tc>
        <w:tc>
          <w:tcPr>
            <w:tcW w:w="1399" w:type="dxa"/>
            <w:tcBorders>
              <w:top w:val="nil"/>
              <w:left w:val="nil"/>
              <w:bottom w:val="nil"/>
              <w:right w:val="nil"/>
            </w:tcBorders>
            <w:vAlign w:val="bottom"/>
          </w:tcPr>
          <w:p w14:paraId="098A5113" w14:textId="77777777" w:rsidR="000C35AF" w:rsidRPr="00113056" w:rsidRDefault="000C35AF" w:rsidP="009238AE">
            <w:pPr>
              <w:pStyle w:val="Regresjonstabell"/>
              <w:jc w:val="right"/>
              <w:rPr>
                <w:sz w:val="20"/>
                <w:szCs w:val="20"/>
              </w:rPr>
            </w:pPr>
            <w:r w:rsidRPr="00113056">
              <w:rPr>
                <w:color w:val="000000"/>
                <w:sz w:val="20"/>
                <w:szCs w:val="20"/>
              </w:rPr>
              <w:t>0.458</w:t>
            </w:r>
          </w:p>
        </w:tc>
        <w:tc>
          <w:tcPr>
            <w:tcW w:w="1399" w:type="dxa"/>
            <w:tcBorders>
              <w:top w:val="nil"/>
              <w:left w:val="nil"/>
              <w:bottom w:val="nil"/>
              <w:right w:val="nil"/>
            </w:tcBorders>
            <w:vAlign w:val="bottom"/>
          </w:tcPr>
          <w:p w14:paraId="1A54EDC4" w14:textId="77777777" w:rsidR="000C35AF" w:rsidRPr="00113056" w:rsidRDefault="000C35AF" w:rsidP="009238AE">
            <w:pPr>
              <w:pStyle w:val="Regresjonstabell"/>
              <w:jc w:val="right"/>
              <w:rPr>
                <w:sz w:val="20"/>
                <w:szCs w:val="20"/>
              </w:rPr>
            </w:pPr>
            <w:r w:rsidRPr="00113056">
              <w:rPr>
                <w:color w:val="000000"/>
                <w:sz w:val="20"/>
                <w:szCs w:val="20"/>
              </w:rPr>
              <w:t>0.859</w:t>
            </w:r>
          </w:p>
        </w:tc>
        <w:tc>
          <w:tcPr>
            <w:tcW w:w="1399" w:type="dxa"/>
            <w:tcBorders>
              <w:top w:val="nil"/>
              <w:left w:val="nil"/>
              <w:bottom w:val="nil"/>
              <w:right w:val="nil"/>
            </w:tcBorders>
            <w:vAlign w:val="bottom"/>
          </w:tcPr>
          <w:p w14:paraId="473243F5" w14:textId="77777777" w:rsidR="000C35AF" w:rsidRPr="00113056" w:rsidRDefault="000C35AF" w:rsidP="009238AE">
            <w:pPr>
              <w:pStyle w:val="Regresjonstabell"/>
              <w:jc w:val="right"/>
              <w:rPr>
                <w:sz w:val="20"/>
                <w:szCs w:val="20"/>
              </w:rPr>
            </w:pPr>
            <w:r w:rsidRPr="00113056">
              <w:rPr>
                <w:color w:val="000000"/>
                <w:sz w:val="20"/>
                <w:szCs w:val="20"/>
              </w:rPr>
              <w:t>1.970</w:t>
            </w:r>
          </w:p>
        </w:tc>
        <w:tc>
          <w:tcPr>
            <w:tcW w:w="1400" w:type="dxa"/>
            <w:tcBorders>
              <w:top w:val="nil"/>
              <w:left w:val="nil"/>
              <w:bottom w:val="nil"/>
              <w:right w:val="nil"/>
            </w:tcBorders>
            <w:vAlign w:val="bottom"/>
          </w:tcPr>
          <w:p w14:paraId="6E65D9FB" w14:textId="77777777" w:rsidR="000C35AF" w:rsidRPr="00113056" w:rsidRDefault="000C35AF" w:rsidP="009238AE">
            <w:pPr>
              <w:pStyle w:val="Regresjonstabell"/>
              <w:jc w:val="right"/>
              <w:rPr>
                <w:sz w:val="20"/>
                <w:szCs w:val="20"/>
              </w:rPr>
            </w:pPr>
            <w:r w:rsidRPr="00113056">
              <w:rPr>
                <w:color w:val="000000"/>
                <w:sz w:val="20"/>
                <w:szCs w:val="20"/>
              </w:rPr>
              <w:t>2.830</w:t>
            </w:r>
          </w:p>
        </w:tc>
        <w:tc>
          <w:tcPr>
            <w:tcW w:w="1400" w:type="dxa"/>
            <w:tcBorders>
              <w:top w:val="nil"/>
              <w:left w:val="nil"/>
              <w:bottom w:val="nil"/>
              <w:right w:val="single" w:sz="4" w:space="0" w:color="auto"/>
            </w:tcBorders>
            <w:vAlign w:val="bottom"/>
          </w:tcPr>
          <w:p w14:paraId="54685311" w14:textId="77777777" w:rsidR="000C35AF" w:rsidRPr="00113056" w:rsidRDefault="000C35AF" w:rsidP="009238AE">
            <w:pPr>
              <w:pStyle w:val="Regresjonstabell"/>
              <w:jc w:val="right"/>
              <w:rPr>
                <w:sz w:val="20"/>
                <w:szCs w:val="20"/>
              </w:rPr>
            </w:pPr>
            <w:r w:rsidRPr="00113056">
              <w:rPr>
                <w:color w:val="000000"/>
                <w:sz w:val="20"/>
                <w:szCs w:val="20"/>
              </w:rPr>
              <w:t>-1.709</w:t>
            </w:r>
          </w:p>
        </w:tc>
      </w:tr>
      <w:tr w:rsidR="000C35AF" w:rsidRPr="0055149C" w14:paraId="25858DC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306D2D"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0CD944AC" w14:textId="77777777" w:rsidR="000C35AF" w:rsidRPr="00113056" w:rsidRDefault="000C35AF" w:rsidP="009238AE">
            <w:pPr>
              <w:pStyle w:val="Regresjonstabell"/>
              <w:jc w:val="right"/>
              <w:rPr>
                <w:sz w:val="20"/>
                <w:szCs w:val="20"/>
              </w:rPr>
            </w:pPr>
            <w:r w:rsidRPr="00113056">
              <w:rPr>
                <w:color w:val="000000"/>
                <w:sz w:val="20"/>
                <w:szCs w:val="20"/>
              </w:rPr>
              <w:t>(1.224)</w:t>
            </w:r>
          </w:p>
        </w:tc>
        <w:tc>
          <w:tcPr>
            <w:tcW w:w="1399" w:type="dxa"/>
            <w:tcBorders>
              <w:top w:val="nil"/>
              <w:left w:val="nil"/>
              <w:bottom w:val="nil"/>
              <w:right w:val="nil"/>
            </w:tcBorders>
            <w:vAlign w:val="center"/>
          </w:tcPr>
          <w:p w14:paraId="062C2E90" w14:textId="77777777" w:rsidR="000C35AF" w:rsidRPr="00113056" w:rsidRDefault="000C35AF" w:rsidP="009238AE">
            <w:pPr>
              <w:pStyle w:val="Regresjonstabell"/>
              <w:jc w:val="right"/>
              <w:rPr>
                <w:sz w:val="20"/>
                <w:szCs w:val="20"/>
              </w:rPr>
            </w:pPr>
            <w:r w:rsidRPr="00113056">
              <w:rPr>
                <w:color w:val="000000"/>
                <w:sz w:val="20"/>
                <w:szCs w:val="20"/>
              </w:rPr>
              <w:t>(1.031)</w:t>
            </w:r>
          </w:p>
        </w:tc>
        <w:tc>
          <w:tcPr>
            <w:tcW w:w="1399" w:type="dxa"/>
            <w:tcBorders>
              <w:top w:val="nil"/>
              <w:left w:val="nil"/>
              <w:bottom w:val="nil"/>
              <w:right w:val="nil"/>
            </w:tcBorders>
            <w:vAlign w:val="center"/>
          </w:tcPr>
          <w:p w14:paraId="68030701" w14:textId="77777777" w:rsidR="000C35AF" w:rsidRPr="00113056" w:rsidRDefault="000C35AF" w:rsidP="009238AE">
            <w:pPr>
              <w:pStyle w:val="Regresjonstabell"/>
              <w:jc w:val="right"/>
              <w:rPr>
                <w:sz w:val="20"/>
                <w:szCs w:val="20"/>
              </w:rPr>
            </w:pPr>
            <w:r w:rsidRPr="00113056">
              <w:rPr>
                <w:color w:val="000000"/>
                <w:sz w:val="20"/>
                <w:szCs w:val="20"/>
              </w:rPr>
              <w:t>(0.868)</w:t>
            </w:r>
          </w:p>
        </w:tc>
        <w:tc>
          <w:tcPr>
            <w:tcW w:w="1399" w:type="dxa"/>
            <w:tcBorders>
              <w:top w:val="nil"/>
              <w:left w:val="nil"/>
              <w:bottom w:val="nil"/>
              <w:right w:val="nil"/>
            </w:tcBorders>
            <w:vAlign w:val="center"/>
          </w:tcPr>
          <w:p w14:paraId="57309025" w14:textId="77777777" w:rsidR="000C35AF" w:rsidRPr="00113056" w:rsidRDefault="000C35AF" w:rsidP="009238AE">
            <w:pPr>
              <w:pStyle w:val="Regresjonstabell"/>
              <w:jc w:val="right"/>
              <w:rPr>
                <w:sz w:val="20"/>
                <w:szCs w:val="20"/>
              </w:rPr>
            </w:pPr>
            <w:r w:rsidRPr="00113056">
              <w:rPr>
                <w:color w:val="000000"/>
                <w:sz w:val="20"/>
                <w:szCs w:val="20"/>
              </w:rPr>
              <w:t>(0.505)</w:t>
            </w:r>
          </w:p>
        </w:tc>
        <w:tc>
          <w:tcPr>
            <w:tcW w:w="1399" w:type="dxa"/>
            <w:tcBorders>
              <w:top w:val="nil"/>
              <w:left w:val="nil"/>
              <w:bottom w:val="nil"/>
              <w:right w:val="nil"/>
            </w:tcBorders>
            <w:vAlign w:val="center"/>
          </w:tcPr>
          <w:p w14:paraId="7D16D306" w14:textId="77777777" w:rsidR="000C35AF" w:rsidRPr="00113056" w:rsidRDefault="000C35AF" w:rsidP="009238AE">
            <w:pPr>
              <w:pStyle w:val="Regresjonstabell"/>
              <w:jc w:val="right"/>
              <w:rPr>
                <w:sz w:val="20"/>
                <w:szCs w:val="20"/>
              </w:rPr>
            </w:pPr>
            <w:r w:rsidRPr="00113056">
              <w:rPr>
                <w:color w:val="000000"/>
                <w:sz w:val="20"/>
                <w:szCs w:val="20"/>
              </w:rPr>
              <w:t>(0.565)</w:t>
            </w:r>
          </w:p>
        </w:tc>
        <w:tc>
          <w:tcPr>
            <w:tcW w:w="1399" w:type="dxa"/>
            <w:tcBorders>
              <w:top w:val="nil"/>
              <w:left w:val="nil"/>
              <w:bottom w:val="nil"/>
              <w:right w:val="nil"/>
            </w:tcBorders>
            <w:vAlign w:val="center"/>
          </w:tcPr>
          <w:p w14:paraId="6FAA897C" w14:textId="77777777" w:rsidR="000C35AF" w:rsidRPr="00113056" w:rsidRDefault="000C35AF" w:rsidP="009238AE">
            <w:pPr>
              <w:pStyle w:val="Regresjonstabell"/>
              <w:jc w:val="right"/>
              <w:rPr>
                <w:sz w:val="20"/>
                <w:szCs w:val="20"/>
              </w:rPr>
            </w:pPr>
            <w:r w:rsidRPr="00113056">
              <w:rPr>
                <w:color w:val="000000"/>
                <w:sz w:val="20"/>
                <w:szCs w:val="20"/>
              </w:rPr>
              <w:t>(1.255)</w:t>
            </w:r>
          </w:p>
        </w:tc>
        <w:tc>
          <w:tcPr>
            <w:tcW w:w="1400" w:type="dxa"/>
            <w:tcBorders>
              <w:top w:val="nil"/>
              <w:left w:val="nil"/>
              <w:bottom w:val="nil"/>
              <w:right w:val="nil"/>
            </w:tcBorders>
            <w:vAlign w:val="center"/>
          </w:tcPr>
          <w:p w14:paraId="7C694112" w14:textId="77777777" w:rsidR="000C35AF" w:rsidRPr="00113056" w:rsidRDefault="000C35AF" w:rsidP="009238AE">
            <w:pPr>
              <w:pStyle w:val="Regresjonstabell"/>
              <w:jc w:val="right"/>
              <w:rPr>
                <w:sz w:val="20"/>
                <w:szCs w:val="20"/>
              </w:rPr>
            </w:pPr>
            <w:r w:rsidRPr="00113056">
              <w:rPr>
                <w:color w:val="000000"/>
                <w:sz w:val="20"/>
                <w:szCs w:val="20"/>
              </w:rPr>
              <w:t>(1.820)</w:t>
            </w:r>
          </w:p>
        </w:tc>
        <w:tc>
          <w:tcPr>
            <w:tcW w:w="1400" w:type="dxa"/>
            <w:tcBorders>
              <w:top w:val="nil"/>
              <w:left w:val="nil"/>
              <w:bottom w:val="nil"/>
              <w:right w:val="single" w:sz="4" w:space="0" w:color="auto"/>
            </w:tcBorders>
            <w:vAlign w:val="center"/>
          </w:tcPr>
          <w:p w14:paraId="6CF24673" w14:textId="77777777" w:rsidR="000C35AF" w:rsidRPr="00113056" w:rsidRDefault="000C35AF" w:rsidP="009238AE">
            <w:pPr>
              <w:pStyle w:val="Regresjonstabell"/>
              <w:jc w:val="right"/>
              <w:rPr>
                <w:sz w:val="20"/>
                <w:szCs w:val="20"/>
              </w:rPr>
            </w:pPr>
            <w:r w:rsidRPr="00113056">
              <w:rPr>
                <w:color w:val="000000"/>
                <w:sz w:val="20"/>
                <w:szCs w:val="20"/>
              </w:rPr>
              <w:t>(2.316)</w:t>
            </w:r>
          </w:p>
        </w:tc>
      </w:tr>
      <w:tr w:rsidR="000C35AF" w:rsidRPr="0055149C" w14:paraId="0B4855F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F9E048F"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3C21AAEE"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72A74326"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15C80F14"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36F738ED"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454F9A96"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19EA5911"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400" w:type="dxa"/>
            <w:tcBorders>
              <w:top w:val="nil"/>
              <w:left w:val="nil"/>
              <w:bottom w:val="nil"/>
              <w:right w:val="nil"/>
            </w:tcBorders>
            <w:vAlign w:val="bottom"/>
          </w:tcPr>
          <w:p w14:paraId="4E679C38"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400" w:type="dxa"/>
            <w:tcBorders>
              <w:top w:val="nil"/>
              <w:left w:val="nil"/>
              <w:bottom w:val="nil"/>
              <w:right w:val="single" w:sz="4" w:space="0" w:color="auto"/>
            </w:tcBorders>
            <w:vAlign w:val="bottom"/>
          </w:tcPr>
          <w:p w14:paraId="77E0EF46" w14:textId="77777777" w:rsidR="000C35AF" w:rsidRPr="00113056" w:rsidRDefault="000C35AF" w:rsidP="009238AE">
            <w:pPr>
              <w:pStyle w:val="Regresjonstabell"/>
              <w:jc w:val="right"/>
              <w:rPr>
                <w:sz w:val="20"/>
                <w:szCs w:val="20"/>
              </w:rPr>
            </w:pPr>
            <w:r w:rsidRPr="00113056">
              <w:rPr>
                <w:color w:val="000000"/>
                <w:sz w:val="20"/>
                <w:szCs w:val="20"/>
              </w:rPr>
              <w:t>350</w:t>
            </w:r>
          </w:p>
        </w:tc>
      </w:tr>
      <w:tr w:rsidR="000C35AF" w:rsidRPr="0055149C" w14:paraId="082F85AC"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71163F7D"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7D8E940B" w14:textId="77777777" w:rsidR="000C35AF" w:rsidRPr="00113056" w:rsidRDefault="000C35AF" w:rsidP="009238AE">
            <w:pPr>
              <w:pStyle w:val="Regresjonstabell"/>
              <w:jc w:val="right"/>
              <w:rPr>
                <w:sz w:val="20"/>
                <w:szCs w:val="20"/>
              </w:rPr>
            </w:pPr>
            <w:r w:rsidRPr="00113056">
              <w:rPr>
                <w:color w:val="000000"/>
                <w:sz w:val="20"/>
                <w:szCs w:val="20"/>
              </w:rPr>
              <w:t>0.747</w:t>
            </w:r>
          </w:p>
        </w:tc>
        <w:tc>
          <w:tcPr>
            <w:tcW w:w="1399" w:type="dxa"/>
            <w:tcBorders>
              <w:top w:val="nil"/>
              <w:left w:val="nil"/>
              <w:bottom w:val="single" w:sz="4" w:space="0" w:color="auto"/>
              <w:right w:val="nil"/>
            </w:tcBorders>
            <w:vAlign w:val="bottom"/>
          </w:tcPr>
          <w:p w14:paraId="61D27117" w14:textId="77777777" w:rsidR="000C35AF" w:rsidRPr="00113056" w:rsidRDefault="000C35AF" w:rsidP="009238AE">
            <w:pPr>
              <w:pStyle w:val="Regresjonstabell"/>
              <w:jc w:val="right"/>
              <w:rPr>
                <w:sz w:val="20"/>
                <w:szCs w:val="20"/>
              </w:rPr>
            </w:pPr>
            <w:r w:rsidRPr="00113056">
              <w:rPr>
                <w:color w:val="000000"/>
                <w:sz w:val="20"/>
                <w:szCs w:val="20"/>
              </w:rPr>
              <w:t>0.703</w:t>
            </w:r>
          </w:p>
        </w:tc>
        <w:tc>
          <w:tcPr>
            <w:tcW w:w="1399" w:type="dxa"/>
            <w:tcBorders>
              <w:top w:val="nil"/>
              <w:left w:val="nil"/>
              <w:bottom w:val="single" w:sz="4" w:space="0" w:color="auto"/>
              <w:right w:val="nil"/>
            </w:tcBorders>
            <w:vAlign w:val="bottom"/>
          </w:tcPr>
          <w:p w14:paraId="61496C60" w14:textId="77777777" w:rsidR="000C35AF" w:rsidRPr="00113056" w:rsidRDefault="000C35AF" w:rsidP="009238AE">
            <w:pPr>
              <w:pStyle w:val="Regresjonstabell"/>
              <w:jc w:val="right"/>
              <w:rPr>
                <w:sz w:val="20"/>
                <w:szCs w:val="20"/>
              </w:rPr>
            </w:pPr>
            <w:r w:rsidRPr="00113056">
              <w:rPr>
                <w:color w:val="000000"/>
                <w:sz w:val="20"/>
                <w:szCs w:val="20"/>
              </w:rPr>
              <w:t>0.359</w:t>
            </w:r>
          </w:p>
        </w:tc>
        <w:tc>
          <w:tcPr>
            <w:tcW w:w="1399" w:type="dxa"/>
            <w:tcBorders>
              <w:top w:val="nil"/>
              <w:left w:val="nil"/>
              <w:bottom w:val="single" w:sz="4" w:space="0" w:color="auto"/>
              <w:right w:val="nil"/>
            </w:tcBorders>
            <w:vAlign w:val="bottom"/>
          </w:tcPr>
          <w:p w14:paraId="58CF83BA" w14:textId="77777777" w:rsidR="000C35AF" w:rsidRPr="00113056" w:rsidRDefault="000C35AF" w:rsidP="009238AE">
            <w:pPr>
              <w:pStyle w:val="Regresjonstabell"/>
              <w:jc w:val="right"/>
              <w:rPr>
                <w:sz w:val="20"/>
                <w:szCs w:val="20"/>
              </w:rPr>
            </w:pPr>
            <w:r w:rsidRPr="00113056">
              <w:rPr>
                <w:color w:val="000000"/>
                <w:sz w:val="20"/>
                <w:szCs w:val="20"/>
              </w:rPr>
              <w:t>0.057</w:t>
            </w:r>
          </w:p>
        </w:tc>
        <w:tc>
          <w:tcPr>
            <w:tcW w:w="1399" w:type="dxa"/>
            <w:tcBorders>
              <w:top w:val="nil"/>
              <w:left w:val="nil"/>
              <w:bottom w:val="single" w:sz="4" w:space="0" w:color="auto"/>
              <w:right w:val="nil"/>
            </w:tcBorders>
            <w:vAlign w:val="bottom"/>
          </w:tcPr>
          <w:p w14:paraId="2BFD6325" w14:textId="77777777" w:rsidR="000C35AF" w:rsidRPr="00113056" w:rsidRDefault="000C35AF" w:rsidP="009238AE">
            <w:pPr>
              <w:pStyle w:val="Regresjonstabell"/>
              <w:jc w:val="right"/>
              <w:rPr>
                <w:sz w:val="20"/>
                <w:szCs w:val="20"/>
              </w:rPr>
            </w:pPr>
            <w:r w:rsidRPr="00113056">
              <w:rPr>
                <w:color w:val="000000"/>
                <w:sz w:val="20"/>
                <w:szCs w:val="20"/>
              </w:rPr>
              <w:t>0.086</w:t>
            </w:r>
          </w:p>
        </w:tc>
        <w:tc>
          <w:tcPr>
            <w:tcW w:w="1399" w:type="dxa"/>
            <w:tcBorders>
              <w:top w:val="nil"/>
              <w:left w:val="nil"/>
              <w:bottom w:val="single" w:sz="4" w:space="0" w:color="auto"/>
              <w:right w:val="nil"/>
            </w:tcBorders>
            <w:vAlign w:val="bottom"/>
          </w:tcPr>
          <w:p w14:paraId="32D13D7C" w14:textId="77777777" w:rsidR="000C35AF" w:rsidRPr="00113056" w:rsidRDefault="000C35AF" w:rsidP="009238AE">
            <w:pPr>
              <w:pStyle w:val="Regresjonstabell"/>
              <w:jc w:val="right"/>
              <w:rPr>
                <w:sz w:val="20"/>
                <w:szCs w:val="20"/>
              </w:rPr>
            </w:pPr>
            <w:r w:rsidRPr="00113056">
              <w:rPr>
                <w:color w:val="000000"/>
                <w:sz w:val="20"/>
                <w:szCs w:val="20"/>
              </w:rPr>
              <w:t>0.085</w:t>
            </w:r>
          </w:p>
        </w:tc>
        <w:tc>
          <w:tcPr>
            <w:tcW w:w="1400" w:type="dxa"/>
            <w:tcBorders>
              <w:top w:val="nil"/>
              <w:left w:val="nil"/>
              <w:bottom w:val="single" w:sz="4" w:space="0" w:color="auto"/>
              <w:right w:val="nil"/>
            </w:tcBorders>
            <w:vAlign w:val="bottom"/>
          </w:tcPr>
          <w:p w14:paraId="20309CFC" w14:textId="77777777" w:rsidR="000C35AF" w:rsidRPr="00113056" w:rsidRDefault="000C35AF" w:rsidP="009238AE">
            <w:pPr>
              <w:pStyle w:val="Regresjonstabell"/>
              <w:jc w:val="right"/>
              <w:rPr>
                <w:sz w:val="20"/>
                <w:szCs w:val="20"/>
              </w:rPr>
            </w:pPr>
            <w:r w:rsidRPr="00113056">
              <w:rPr>
                <w:color w:val="000000"/>
                <w:sz w:val="20"/>
                <w:szCs w:val="20"/>
              </w:rPr>
              <w:t>0.085</w:t>
            </w:r>
          </w:p>
        </w:tc>
        <w:tc>
          <w:tcPr>
            <w:tcW w:w="1400" w:type="dxa"/>
            <w:tcBorders>
              <w:top w:val="nil"/>
              <w:left w:val="nil"/>
              <w:bottom w:val="single" w:sz="4" w:space="0" w:color="auto"/>
              <w:right w:val="single" w:sz="4" w:space="0" w:color="auto"/>
            </w:tcBorders>
            <w:vAlign w:val="bottom"/>
          </w:tcPr>
          <w:p w14:paraId="04032859" w14:textId="77777777" w:rsidR="000C35AF" w:rsidRPr="00113056" w:rsidRDefault="000C35AF" w:rsidP="009238AE">
            <w:pPr>
              <w:pStyle w:val="Regresjonstabell"/>
              <w:jc w:val="right"/>
              <w:rPr>
                <w:sz w:val="20"/>
                <w:szCs w:val="20"/>
              </w:rPr>
            </w:pPr>
            <w:r w:rsidRPr="00113056">
              <w:rPr>
                <w:color w:val="000000"/>
                <w:sz w:val="20"/>
                <w:szCs w:val="20"/>
              </w:rPr>
              <w:t>0.578</w:t>
            </w:r>
          </w:p>
        </w:tc>
      </w:tr>
    </w:tbl>
    <w:p w14:paraId="2227D8D3"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 xml:space="preserve">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 </w:t>
      </w:r>
    </w:p>
    <w:p w14:paraId="6DB5D91C" w14:textId="77777777"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4A6C5811" w14:textId="7D732E48" w:rsidR="000C35AF" w:rsidRPr="0055149C" w:rsidRDefault="000C35AF" w:rsidP="000C35AF">
      <w:pPr>
        <w:pStyle w:val="Bildetekst"/>
      </w:pPr>
      <w:bookmarkStart w:id="140" w:name="_Ref178358797"/>
      <w:r w:rsidRPr="0055149C">
        <w:lastRenderedPageBreak/>
        <w:t xml:space="preserve">Tabell </w:t>
      </w:r>
      <w:fldSimple w:instr=" STYLEREF 1 \s ">
        <w:r w:rsidR="009B1DA8">
          <w:rPr>
            <w:noProof/>
          </w:rPr>
          <w:t>4</w:t>
        </w:r>
      </w:fldSimple>
      <w:r w:rsidRPr="0055149C">
        <w:t>.</w:t>
      </w:r>
      <w:fldSimple w:instr=" SEQ Tabell \* ARABIC \s 1 ">
        <w:r w:rsidR="009B1DA8">
          <w:rPr>
            <w:noProof/>
          </w:rPr>
          <w:t>15</w:t>
        </w:r>
      </w:fldSimple>
      <w:bookmarkEnd w:id="140"/>
      <w:r w:rsidRPr="0055149C">
        <w:t xml:space="preserve"> </w:t>
      </w:r>
      <w:r w:rsidRPr="0055149C">
        <w:tab/>
        <w:t xml:space="preserve">Regresjoner ved minste kvadraters metode, der kostnadene innen barnehagen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0F38006F" w14:textId="77777777" w:rsidTr="009238AE">
        <w:tc>
          <w:tcPr>
            <w:tcW w:w="2798" w:type="dxa"/>
            <w:tcBorders>
              <w:top w:val="single" w:sz="4" w:space="0" w:color="auto"/>
              <w:left w:val="single" w:sz="4" w:space="0" w:color="auto"/>
              <w:bottom w:val="nil"/>
              <w:right w:val="nil"/>
            </w:tcBorders>
            <w:shd w:val="clear" w:color="auto" w:fill="3672B0" w:themeFill="accent2"/>
          </w:tcPr>
          <w:p w14:paraId="397B5E9D"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4CE9901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3749A1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EB7B34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086666E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5B8705F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5FC77D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218F871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1A3F735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6E7B29EC" w14:textId="77777777" w:rsidTr="009238AE">
        <w:tc>
          <w:tcPr>
            <w:tcW w:w="2798" w:type="dxa"/>
            <w:tcBorders>
              <w:top w:val="nil"/>
              <w:left w:val="single" w:sz="4" w:space="0" w:color="auto"/>
              <w:bottom w:val="single" w:sz="4" w:space="0" w:color="auto"/>
              <w:right w:val="nil"/>
            </w:tcBorders>
            <w:shd w:val="clear" w:color="auto" w:fill="3672B0" w:themeFill="accent2"/>
          </w:tcPr>
          <w:p w14:paraId="72756E86"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1E1E007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0004C3C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1D6738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B1A75D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31273CC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953744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21A1E89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5B65E12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34B673E0"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tcPr>
          <w:p w14:paraId="060428A4" w14:textId="77777777" w:rsidR="000C35AF" w:rsidRPr="0055149C" w:rsidRDefault="000C35AF" w:rsidP="009238AE">
            <w:pPr>
              <w:pStyle w:val="Regresjonstabell"/>
              <w:rPr>
                <w:sz w:val="20"/>
                <w:szCs w:val="20"/>
              </w:rPr>
            </w:pPr>
            <w:r w:rsidRPr="0055149C">
              <w:rPr>
                <w:sz w:val="20"/>
                <w:szCs w:val="20"/>
              </w:rPr>
              <w:t>Innbyggere 2 til 5 år</w:t>
            </w:r>
          </w:p>
        </w:tc>
        <w:tc>
          <w:tcPr>
            <w:tcW w:w="1399" w:type="dxa"/>
            <w:tcBorders>
              <w:top w:val="single" w:sz="4" w:space="0" w:color="auto"/>
              <w:left w:val="single" w:sz="4" w:space="0" w:color="auto"/>
              <w:bottom w:val="nil"/>
              <w:right w:val="nil"/>
            </w:tcBorders>
            <w:vAlign w:val="bottom"/>
          </w:tcPr>
          <w:p w14:paraId="6897D040" w14:textId="77777777" w:rsidR="000C35AF" w:rsidRPr="00D72219" w:rsidRDefault="000C35AF" w:rsidP="009238AE">
            <w:pPr>
              <w:pStyle w:val="Regresjonstabell"/>
              <w:jc w:val="right"/>
              <w:rPr>
                <w:sz w:val="20"/>
                <w:szCs w:val="20"/>
              </w:rPr>
            </w:pPr>
            <w:r w:rsidRPr="00D72219">
              <w:rPr>
                <w:color w:val="000000"/>
                <w:sz w:val="20"/>
                <w:szCs w:val="20"/>
              </w:rPr>
              <w:t>178.335***</w:t>
            </w:r>
          </w:p>
        </w:tc>
        <w:tc>
          <w:tcPr>
            <w:tcW w:w="1399" w:type="dxa"/>
            <w:tcBorders>
              <w:top w:val="single" w:sz="4" w:space="0" w:color="auto"/>
              <w:left w:val="nil"/>
              <w:bottom w:val="nil"/>
              <w:right w:val="nil"/>
            </w:tcBorders>
            <w:vAlign w:val="bottom"/>
          </w:tcPr>
          <w:p w14:paraId="231D1BB1" w14:textId="77777777" w:rsidR="000C35AF" w:rsidRPr="00D72219" w:rsidRDefault="000C35AF" w:rsidP="009238AE">
            <w:pPr>
              <w:pStyle w:val="Regresjonstabell"/>
              <w:jc w:val="right"/>
              <w:rPr>
                <w:sz w:val="20"/>
                <w:szCs w:val="20"/>
              </w:rPr>
            </w:pPr>
            <w:r w:rsidRPr="00D72219">
              <w:rPr>
                <w:color w:val="000000"/>
                <w:sz w:val="20"/>
                <w:szCs w:val="20"/>
              </w:rPr>
              <w:t>183.055***</w:t>
            </w:r>
          </w:p>
        </w:tc>
        <w:tc>
          <w:tcPr>
            <w:tcW w:w="1399" w:type="dxa"/>
            <w:tcBorders>
              <w:top w:val="single" w:sz="4" w:space="0" w:color="auto"/>
              <w:left w:val="nil"/>
              <w:bottom w:val="nil"/>
              <w:right w:val="nil"/>
            </w:tcBorders>
            <w:vAlign w:val="bottom"/>
          </w:tcPr>
          <w:p w14:paraId="2EBC131E" w14:textId="77777777" w:rsidR="000C35AF" w:rsidRPr="00D72219" w:rsidRDefault="000C35AF" w:rsidP="009238AE">
            <w:pPr>
              <w:pStyle w:val="Regresjonstabell"/>
              <w:jc w:val="right"/>
              <w:rPr>
                <w:sz w:val="20"/>
                <w:szCs w:val="20"/>
              </w:rPr>
            </w:pPr>
            <w:r w:rsidRPr="00D72219">
              <w:rPr>
                <w:color w:val="000000"/>
                <w:sz w:val="20"/>
                <w:szCs w:val="20"/>
              </w:rPr>
              <w:t>182.007***</w:t>
            </w:r>
          </w:p>
        </w:tc>
        <w:tc>
          <w:tcPr>
            <w:tcW w:w="1399" w:type="dxa"/>
            <w:tcBorders>
              <w:top w:val="single" w:sz="4" w:space="0" w:color="auto"/>
              <w:left w:val="nil"/>
              <w:bottom w:val="nil"/>
              <w:right w:val="nil"/>
            </w:tcBorders>
            <w:vAlign w:val="bottom"/>
          </w:tcPr>
          <w:p w14:paraId="00363A1F" w14:textId="77777777" w:rsidR="000C35AF" w:rsidRPr="00D72219" w:rsidRDefault="000C35AF" w:rsidP="009238AE">
            <w:pPr>
              <w:pStyle w:val="Regresjonstabell"/>
              <w:jc w:val="right"/>
              <w:rPr>
                <w:sz w:val="20"/>
                <w:szCs w:val="20"/>
              </w:rPr>
            </w:pPr>
            <w:r w:rsidRPr="00D72219">
              <w:rPr>
                <w:color w:val="000000"/>
                <w:sz w:val="20"/>
                <w:szCs w:val="20"/>
              </w:rPr>
              <w:t>187.079***</w:t>
            </w:r>
          </w:p>
        </w:tc>
        <w:tc>
          <w:tcPr>
            <w:tcW w:w="1399" w:type="dxa"/>
            <w:tcBorders>
              <w:top w:val="single" w:sz="4" w:space="0" w:color="auto"/>
              <w:left w:val="nil"/>
              <w:bottom w:val="nil"/>
              <w:right w:val="nil"/>
            </w:tcBorders>
            <w:vAlign w:val="bottom"/>
          </w:tcPr>
          <w:p w14:paraId="3B607108" w14:textId="77777777" w:rsidR="000C35AF" w:rsidRPr="00D72219" w:rsidRDefault="000C35AF" w:rsidP="009238AE">
            <w:pPr>
              <w:pStyle w:val="Regresjonstabell"/>
              <w:jc w:val="right"/>
              <w:rPr>
                <w:sz w:val="20"/>
                <w:szCs w:val="20"/>
              </w:rPr>
            </w:pPr>
            <w:r w:rsidRPr="00D72219">
              <w:rPr>
                <w:color w:val="000000"/>
                <w:sz w:val="20"/>
                <w:szCs w:val="20"/>
              </w:rPr>
              <w:t>185.132***</w:t>
            </w:r>
          </w:p>
        </w:tc>
        <w:tc>
          <w:tcPr>
            <w:tcW w:w="1399" w:type="dxa"/>
            <w:tcBorders>
              <w:top w:val="single" w:sz="4" w:space="0" w:color="auto"/>
              <w:left w:val="nil"/>
              <w:bottom w:val="nil"/>
              <w:right w:val="nil"/>
            </w:tcBorders>
            <w:vAlign w:val="bottom"/>
          </w:tcPr>
          <w:p w14:paraId="7DDD1B77" w14:textId="77777777" w:rsidR="000C35AF" w:rsidRPr="00D72219" w:rsidRDefault="000C35AF" w:rsidP="009238AE">
            <w:pPr>
              <w:pStyle w:val="Regresjonstabell"/>
              <w:jc w:val="right"/>
              <w:rPr>
                <w:sz w:val="20"/>
                <w:szCs w:val="20"/>
              </w:rPr>
            </w:pPr>
            <w:r w:rsidRPr="00D72219">
              <w:rPr>
                <w:color w:val="000000"/>
                <w:sz w:val="20"/>
                <w:szCs w:val="20"/>
              </w:rPr>
              <w:t>188.613***</w:t>
            </w:r>
          </w:p>
        </w:tc>
        <w:tc>
          <w:tcPr>
            <w:tcW w:w="1400" w:type="dxa"/>
            <w:tcBorders>
              <w:top w:val="single" w:sz="4" w:space="0" w:color="auto"/>
              <w:left w:val="nil"/>
              <w:bottom w:val="nil"/>
              <w:right w:val="nil"/>
            </w:tcBorders>
            <w:vAlign w:val="bottom"/>
          </w:tcPr>
          <w:p w14:paraId="2673B179" w14:textId="77777777" w:rsidR="000C35AF" w:rsidRPr="00D72219" w:rsidRDefault="000C35AF" w:rsidP="009238AE">
            <w:pPr>
              <w:pStyle w:val="Regresjonstabell"/>
              <w:jc w:val="right"/>
              <w:rPr>
                <w:sz w:val="20"/>
                <w:szCs w:val="20"/>
              </w:rPr>
            </w:pPr>
            <w:r w:rsidRPr="00D72219">
              <w:rPr>
                <w:color w:val="000000"/>
                <w:sz w:val="20"/>
                <w:szCs w:val="20"/>
              </w:rPr>
              <w:t>189.729***</w:t>
            </w:r>
          </w:p>
        </w:tc>
        <w:tc>
          <w:tcPr>
            <w:tcW w:w="1400" w:type="dxa"/>
            <w:tcBorders>
              <w:top w:val="single" w:sz="4" w:space="0" w:color="auto"/>
              <w:left w:val="nil"/>
              <w:bottom w:val="nil"/>
              <w:right w:val="single" w:sz="4" w:space="0" w:color="auto"/>
            </w:tcBorders>
            <w:vAlign w:val="bottom"/>
          </w:tcPr>
          <w:p w14:paraId="3F6C3192" w14:textId="77777777" w:rsidR="000C35AF" w:rsidRPr="00D72219" w:rsidRDefault="000C35AF" w:rsidP="009238AE">
            <w:pPr>
              <w:pStyle w:val="Regresjonstabell"/>
              <w:jc w:val="right"/>
              <w:rPr>
                <w:sz w:val="20"/>
                <w:szCs w:val="20"/>
              </w:rPr>
            </w:pPr>
            <w:r w:rsidRPr="00D72219">
              <w:rPr>
                <w:color w:val="000000"/>
                <w:sz w:val="20"/>
                <w:szCs w:val="20"/>
              </w:rPr>
              <w:t>200.332***</w:t>
            </w:r>
          </w:p>
        </w:tc>
      </w:tr>
      <w:tr w:rsidR="000C35AF" w:rsidRPr="0055149C" w14:paraId="6085C47B"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568816F0"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3DE4E8BA" w14:textId="77777777" w:rsidR="000C35AF" w:rsidRPr="00D72219" w:rsidRDefault="000C35AF" w:rsidP="009238AE">
            <w:pPr>
              <w:pStyle w:val="Regresjonstabell"/>
              <w:jc w:val="right"/>
              <w:rPr>
                <w:sz w:val="20"/>
                <w:szCs w:val="20"/>
              </w:rPr>
            </w:pPr>
            <w:r w:rsidRPr="00D72219">
              <w:rPr>
                <w:color w:val="000000"/>
                <w:sz w:val="20"/>
                <w:szCs w:val="20"/>
              </w:rPr>
              <w:t>(9.767)</w:t>
            </w:r>
          </w:p>
        </w:tc>
        <w:tc>
          <w:tcPr>
            <w:tcW w:w="1399" w:type="dxa"/>
            <w:tcBorders>
              <w:top w:val="nil"/>
              <w:left w:val="nil"/>
              <w:bottom w:val="nil"/>
              <w:right w:val="nil"/>
            </w:tcBorders>
            <w:vAlign w:val="center"/>
          </w:tcPr>
          <w:p w14:paraId="11C104DC" w14:textId="77777777" w:rsidR="000C35AF" w:rsidRPr="00D72219" w:rsidRDefault="000C35AF" w:rsidP="009238AE">
            <w:pPr>
              <w:pStyle w:val="Regresjonstabell"/>
              <w:jc w:val="right"/>
              <w:rPr>
                <w:sz w:val="20"/>
                <w:szCs w:val="20"/>
              </w:rPr>
            </w:pPr>
            <w:r w:rsidRPr="00D72219">
              <w:rPr>
                <w:color w:val="000000"/>
                <w:sz w:val="20"/>
                <w:szCs w:val="20"/>
              </w:rPr>
              <w:t>(10.476)</w:t>
            </w:r>
          </w:p>
        </w:tc>
        <w:tc>
          <w:tcPr>
            <w:tcW w:w="1399" w:type="dxa"/>
            <w:tcBorders>
              <w:top w:val="nil"/>
              <w:left w:val="nil"/>
              <w:bottom w:val="nil"/>
              <w:right w:val="nil"/>
            </w:tcBorders>
            <w:vAlign w:val="center"/>
          </w:tcPr>
          <w:p w14:paraId="34E424DE" w14:textId="77777777" w:rsidR="000C35AF" w:rsidRPr="00D72219" w:rsidRDefault="000C35AF" w:rsidP="009238AE">
            <w:pPr>
              <w:pStyle w:val="Regresjonstabell"/>
              <w:jc w:val="right"/>
              <w:rPr>
                <w:sz w:val="20"/>
                <w:szCs w:val="20"/>
              </w:rPr>
            </w:pPr>
            <w:r w:rsidRPr="00D72219">
              <w:rPr>
                <w:color w:val="000000"/>
                <w:sz w:val="20"/>
                <w:szCs w:val="20"/>
              </w:rPr>
              <w:t>(10.299)</w:t>
            </w:r>
          </w:p>
        </w:tc>
        <w:tc>
          <w:tcPr>
            <w:tcW w:w="1399" w:type="dxa"/>
            <w:tcBorders>
              <w:top w:val="nil"/>
              <w:left w:val="nil"/>
              <w:bottom w:val="nil"/>
              <w:right w:val="nil"/>
            </w:tcBorders>
            <w:vAlign w:val="center"/>
          </w:tcPr>
          <w:p w14:paraId="2F673449" w14:textId="77777777" w:rsidR="000C35AF" w:rsidRPr="00D72219" w:rsidRDefault="000C35AF" w:rsidP="009238AE">
            <w:pPr>
              <w:pStyle w:val="Regresjonstabell"/>
              <w:jc w:val="right"/>
              <w:rPr>
                <w:sz w:val="20"/>
                <w:szCs w:val="20"/>
              </w:rPr>
            </w:pPr>
            <w:r w:rsidRPr="00D72219">
              <w:rPr>
                <w:color w:val="000000"/>
                <w:sz w:val="20"/>
                <w:szCs w:val="20"/>
              </w:rPr>
              <w:t>(11.321)</w:t>
            </w:r>
          </w:p>
        </w:tc>
        <w:tc>
          <w:tcPr>
            <w:tcW w:w="1399" w:type="dxa"/>
            <w:tcBorders>
              <w:top w:val="nil"/>
              <w:left w:val="nil"/>
              <w:bottom w:val="nil"/>
              <w:right w:val="nil"/>
            </w:tcBorders>
            <w:vAlign w:val="center"/>
          </w:tcPr>
          <w:p w14:paraId="254DB3FB" w14:textId="77777777" w:rsidR="000C35AF" w:rsidRPr="00D72219" w:rsidRDefault="000C35AF" w:rsidP="009238AE">
            <w:pPr>
              <w:pStyle w:val="Regresjonstabell"/>
              <w:jc w:val="right"/>
              <w:rPr>
                <w:sz w:val="20"/>
                <w:szCs w:val="20"/>
              </w:rPr>
            </w:pPr>
            <w:r w:rsidRPr="00D72219">
              <w:rPr>
                <w:color w:val="000000"/>
                <w:sz w:val="20"/>
                <w:szCs w:val="20"/>
              </w:rPr>
              <w:t>(9.401)</w:t>
            </w:r>
          </w:p>
        </w:tc>
        <w:tc>
          <w:tcPr>
            <w:tcW w:w="1399" w:type="dxa"/>
            <w:tcBorders>
              <w:top w:val="nil"/>
              <w:left w:val="nil"/>
              <w:bottom w:val="nil"/>
              <w:right w:val="nil"/>
            </w:tcBorders>
            <w:vAlign w:val="center"/>
          </w:tcPr>
          <w:p w14:paraId="30FE6765" w14:textId="77777777" w:rsidR="000C35AF" w:rsidRPr="00D72219" w:rsidRDefault="000C35AF" w:rsidP="009238AE">
            <w:pPr>
              <w:pStyle w:val="Regresjonstabell"/>
              <w:jc w:val="right"/>
              <w:rPr>
                <w:sz w:val="20"/>
                <w:szCs w:val="20"/>
              </w:rPr>
            </w:pPr>
            <w:r w:rsidRPr="00D72219">
              <w:rPr>
                <w:color w:val="000000"/>
                <w:sz w:val="20"/>
                <w:szCs w:val="20"/>
              </w:rPr>
              <w:t>(10.478)</w:t>
            </w:r>
          </w:p>
        </w:tc>
        <w:tc>
          <w:tcPr>
            <w:tcW w:w="1400" w:type="dxa"/>
            <w:tcBorders>
              <w:top w:val="nil"/>
              <w:left w:val="nil"/>
              <w:bottom w:val="nil"/>
              <w:right w:val="nil"/>
            </w:tcBorders>
            <w:vAlign w:val="center"/>
          </w:tcPr>
          <w:p w14:paraId="2AD164E9" w14:textId="77777777" w:rsidR="000C35AF" w:rsidRPr="00D72219" w:rsidRDefault="000C35AF" w:rsidP="009238AE">
            <w:pPr>
              <w:pStyle w:val="Regresjonstabell"/>
              <w:jc w:val="right"/>
              <w:rPr>
                <w:sz w:val="20"/>
                <w:szCs w:val="20"/>
              </w:rPr>
            </w:pPr>
            <w:r w:rsidRPr="00D72219">
              <w:rPr>
                <w:color w:val="000000"/>
                <w:sz w:val="20"/>
                <w:szCs w:val="20"/>
              </w:rPr>
              <w:t>(10.506)</w:t>
            </w:r>
          </w:p>
        </w:tc>
        <w:tc>
          <w:tcPr>
            <w:tcW w:w="1400" w:type="dxa"/>
            <w:tcBorders>
              <w:top w:val="nil"/>
              <w:left w:val="nil"/>
              <w:bottom w:val="nil"/>
              <w:right w:val="single" w:sz="4" w:space="0" w:color="auto"/>
            </w:tcBorders>
            <w:vAlign w:val="center"/>
          </w:tcPr>
          <w:p w14:paraId="3E19029B" w14:textId="77777777" w:rsidR="000C35AF" w:rsidRPr="00D72219" w:rsidRDefault="000C35AF" w:rsidP="009238AE">
            <w:pPr>
              <w:pStyle w:val="Regresjonstabell"/>
              <w:jc w:val="right"/>
              <w:rPr>
                <w:sz w:val="20"/>
                <w:szCs w:val="20"/>
              </w:rPr>
            </w:pPr>
            <w:r w:rsidRPr="00D72219">
              <w:rPr>
                <w:color w:val="000000"/>
                <w:sz w:val="20"/>
                <w:szCs w:val="20"/>
              </w:rPr>
              <w:t>(13.983)</w:t>
            </w:r>
          </w:p>
        </w:tc>
      </w:tr>
      <w:tr w:rsidR="000C35AF" w:rsidRPr="0055149C" w14:paraId="45E310A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6CF8A2A" w14:textId="77777777" w:rsidR="000C35AF" w:rsidRPr="0055149C" w:rsidRDefault="000C35AF" w:rsidP="009238AE">
            <w:pPr>
              <w:pStyle w:val="Regresjonstabell"/>
              <w:rPr>
                <w:sz w:val="20"/>
                <w:szCs w:val="20"/>
              </w:rPr>
            </w:pPr>
            <w:r w:rsidRPr="0055149C">
              <w:rPr>
                <w:sz w:val="20"/>
                <w:szCs w:val="20"/>
              </w:rPr>
              <w:t>Ettåringer uten kontantstøtte</w:t>
            </w:r>
          </w:p>
        </w:tc>
        <w:tc>
          <w:tcPr>
            <w:tcW w:w="1399" w:type="dxa"/>
            <w:tcBorders>
              <w:top w:val="nil"/>
              <w:left w:val="single" w:sz="4" w:space="0" w:color="auto"/>
              <w:bottom w:val="nil"/>
              <w:right w:val="nil"/>
            </w:tcBorders>
            <w:vAlign w:val="bottom"/>
          </w:tcPr>
          <w:p w14:paraId="62F41AD0" w14:textId="77777777" w:rsidR="000C35AF" w:rsidRPr="00D72219" w:rsidRDefault="000C35AF" w:rsidP="009238AE">
            <w:pPr>
              <w:pStyle w:val="Regresjonstabell"/>
              <w:jc w:val="right"/>
              <w:rPr>
                <w:color w:val="000000"/>
                <w:sz w:val="20"/>
                <w:szCs w:val="20"/>
              </w:rPr>
            </w:pPr>
            <w:r w:rsidRPr="00D72219">
              <w:rPr>
                <w:color w:val="000000"/>
                <w:sz w:val="20"/>
                <w:szCs w:val="20"/>
              </w:rPr>
              <w:t>126.346</w:t>
            </w:r>
          </w:p>
        </w:tc>
        <w:tc>
          <w:tcPr>
            <w:tcW w:w="1399" w:type="dxa"/>
            <w:tcBorders>
              <w:top w:val="nil"/>
              <w:left w:val="nil"/>
              <w:bottom w:val="nil"/>
              <w:right w:val="nil"/>
            </w:tcBorders>
            <w:vAlign w:val="bottom"/>
          </w:tcPr>
          <w:p w14:paraId="49B5882F" w14:textId="77777777" w:rsidR="000C35AF" w:rsidRPr="00D72219" w:rsidRDefault="000C35AF" w:rsidP="009238AE">
            <w:pPr>
              <w:pStyle w:val="Regresjonstabell"/>
              <w:jc w:val="right"/>
              <w:rPr>
                <w:sz w:val="20"/>
                <w:szCs w:val="20"/>
              </w:rPr>
            </w:pPr>
            <w:r w:rsidRPr="00D72219">
              <w:rPr>
                <w:color w:val="000000"/>
                <w:sz w:val="20"/>
                <w:szCs w:val="20"/>
              </w:rPr>
              <w:t>180.196</w:t>
            </w:r>
          </w:p>
        </w:tc>
        <w:tc>
          <w:tcPr>
            <w:tcW w:w="1399" w:type="dxa"/>
            <w:tcBorders>
              <w:top w:val="nil"/>
              <w:left w:val="nil"/>
              <w:bottom w:val="nil"/>
              <w:right w:val="nil"/>
            </w:tcBorders>
            <w:vAlign w:val="bottom"/>
          </w:tcPr>
          <w:p w14:paraId="54365F1F" w14:textId="77777777" w:rsidR="000C35AF" w:rsidRPr="00D72219" w:rsidRDefault="000C35AF" w:rsidP="009238AE">
            <w:pPr>
              <w:pStyle w:val="Regresjonstabell"/>
              <w:jc w:val="right"/>
              <w:rPr>
                <w:color w:val="000000"/>
                <w:sz w:val="20"/>
                <w:szCs w:val="20"/>
              </w:rPr>
            </w:pPr>
            <w:r w:rsidRPr="00D72219">
              <w:rPr>
                <w:color w:val="000000"/>
                <w:sz w:val="20"/>
                <w:szCs w:val="20"/>
              </w:rPr>
              <w:t>172.961</w:t>
            </w:r>
          </w:p>
        </w:tc>
        <w:tc>
          <w:tcPr>
            <w:tcW w:w="1399" w:type="dxa"/>
            <w:tcBorders>
              <w:top w:val="nil"/>
              <w:left w:val="nil"/>
              <w:bottom w:val="nil"/>
              <w:right w:val="nil"/>
            </w:tcBorders>
            <w:vAlign w:val="bottom"/>
          </w:tcPr>
          <w:p w14:paraId="44EBFF41" w14:textId="77777777" w:rsidR="000C35AF" w:rsidRPr="00D72219" w:rsidRDefault="000C35AF" w:rsidP="009238AE">
            <w:pPr>
              <w:pStyle w:val="Regresjonstabell"/>
              <w:jc w:val="right"/>
              <w:rPr>
                <w:sz w:val="20"/>
                <w:szCs w:val="20"/>
              </w:rPr>
            </w:pPr>
            <w:r w:rsidRPr="00D72219">
              <w:rPr>
                <w:color w:val="000000"/>
                <w:sz w:val="20"/>
                <w:szCs w:val="20"/>
              </w:rPr>
              <w:t>233.059</w:t>
            </w:r>
          </w:p>
        </w:tc>
        <w:tc>
          <w:tcPr>
            <w:tcW w:w="1399" w:type="dxa"/>
            <w:tcBorders>
              <w:top w:val="nil"/>
              <w:left w:val="nil"/>
              <w:bottom w:val="nil"/>
              <w:right w:val="nil"/>
            </w:tcBorders>
            <w:vAlign w:val="bottom"/>
          </w:tcPr>
          <w:p w14:paraId="2CAC3608" w14:textId="77777777" w:rsidR="000C35AF" w:rsidRPr="00D72219" w:rsidRDefault="000C35AF" w:rsidP="009238AE">
            <w:pPr>
              <w:pStyle w:val="Regresjonstabell"/>
              <w:jc w:val="right"/>
              <w:rPr>
                <w:color w:val="000000"/>
                <w:sz w:val="20"/>
                <w:szCs w:val="20"/>
              </w:rPr>
            </w:pPr>
            <w:r w:rsidRPr="00D72219">
              <w:rPr>
                <w:color w:val="000000"/>
                <w:sz w:val="20"/>
                <w:szCs w:val="20"/>
              </w:rPr>
              <w:t>414.283**</w:t>
            </w:r>
          </w:p>
        </w:tc>
        <w:tc>
          <w:tcPr>
            <w:tcW w:w="1399" w:type="dxa"/>
            <w:tcBorders>
              <w:top w:val="nil"/>
              <w:left w:val="nil"/>
              <w:bottom w:val="nil"/>
              <w:right w:val="nil"/>
            </w:tcBorders>
            <w:vAlign w:val="bottom"/>
          </w:tcPr>
          <w:p w14:paraId="65A1AD71" w14:textId="77777777" w:rsidR="000C35AF" w:rsidRPr="00D72219" w:rsidRDefault="000C35AF" w:rsidP="009238AE">
            <w:pPr>
              <w:pStyle w:val="Regresjonstabell"/>
              <w:jc w:val="right"/>
              <w:rPr>
                <w:sz w:val="20"/>
                <w:szCs w:val="20"/>
              </w:rPr>
            </w:pPr>
            <w:r w:rsidRPr="00D72219">
              <w:rPr>
                <w:color w:val="000000"/>
                <w:sz w:val="20"/>
                <w:szCs w:val="20"/>
              </w:rPr>
              <w:t>432.825**</w:t>
            </w:r>
          </w:p>
        </w:tc>
        <w:tc>
          <w:tcPr>
            <w:tcW w:w="1400" w:type="dxa"/>
            <w:tcBorders>
              <w:top w:val="nil"/>
              <w:left w:val="nil"/>
              <w:bottom w:val="nil"/>
              <w:right w:val="nil"/>
            </w:tcBorders>
            <w:vAlign w:val="bottom"/>
          </w:tcPr>
          <w:p w14:paraId="0687AE68" w14:textId="77777777" w:rsidR="000C35AF" w:rsidRPr="00D72219" w:rsidRDefault="000C35AF" w:rsidP="009238AE">
            <w:pPr>
              <w:pStyle w:val="Regresjonstabell"/>
              <w:jc w:val="right"/>
              <w:rPr>
                <w:color w:val="000000"/>
                <w:sz w:val="20"/>
                <w:szCs w:val="20"/>
              </w:rPr>
            </w:pPr>
            <w:r w:rsidRPr="00D72219">
              <w:rPr>
                <w:color w:val="000000"/>
                <w:sz w:val="20"/>
                <w:szCs w:val="20"/>
              </w:rPr>
              <w:t>438.694**</w:t>
            </w:r>
          </w:p>
        </w:tc>
        <w:tc>
          <w:tcPr>
            <w:tcW w:w="1400" w:type="dxa"/>
            <w:tcBorders>
              <w:top w:val="nil"/>
              <w:left w:val="nil"/>
              <w:bottom w:val="nil"/>
              <w:right w:val="single" w:sz="4" w:space="0" w:color="auto"/>
            </w:tcBorders>
            <w:vAlign w:val="bottom"/>
          </w:tcPr>
          <w:p w14:paraId="1E3A83E8" w14:textId="77777777" w:rsidR="000C35AF" w:rsidRPr="00D72219" w:rsidRDefault="000C35AF" w:rsidP="009238AE">
            <w:pPr>
              <w:pStyle w:val="Regresjonstabell"/>
              <w:jc w:val="right"/>
              <w:rPr>
                <w:sz w:val="20"/>
                <w:szCs w:val="20"/>
              </w:rPr>
            </w:pPr>
            <w:r w:rsidRPr="00D72219">
              <w:rPr>
                <w:color w:val="000000"/>
                <w:sz w:val="20"/>
                <w:szCs w:val="20"/>
              </w:rPr>
              <w:t>496.673*</w:t>
            </w:r>
          </w:p>
        </w:tc>
      </w:tr>
      <w:tr w:rsidR="000C35AF" w:rsidRPr="0055149C" w14:paraId="52FA2FA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301D6EB" w14:textId="77777777" w:rsidR="000C35AF" w:rsidRPr="0055149C" w:rsidRDefault="000C35AF" w:rsidP="009238AE">
            <w:pPr>
              <w:pStyle w:val="Regresjonstabell"/>
              <w:rPr>
                <w:sz w:val="20"/>
                <w:szCs w:val="20"/>
              </w:rPr>
            </w:pPr>
            <w:r w:rsidRPr="0055149C">
              <w:rPr>
                <w:sz w:val="20"/>
                <w:szCs w:val="20"/>
              </w:rPr>
              <w:t>(Kriterium 32)</w:t>
            </w:r>
          </w:p>
        </w:tc>
        <w:tc>
          <w:tcPr>
            <w:tcW w:w="1399" w:type="dxa"/>
            <w:tcBorders>
              <w:top w:val="nil"/>
              <w:left w:val="single" w:sz="4" w:space="0" w:color="auto"/>
              <w:bottom w:val="nil"/>
              <w:right w:val="nil"/>
            </w:tcBorders>
            <w:vAlign w:val="center"/>
          </w:tcPr>
          <w:p w14:paraId="689EB475" w14:textId="77777777" w:rsidR="000C35AF" w:rsidRPr="00D72219" w:rsidRDefault="000C35AF" w:rsidP="009238AE">
            <w:pPr>
              <w:pStyle w:val="Regresjonstabell"/>
              <w:jc w:val="right"/>
              <w:rPr>
                <w:color w:val="000000"/>
                <w:sz w:val="20"/>
                <w:szCs w:val="20"/>
              </w:rPr>
            </w:pPr>
            <w:r w:rsidRPr="00D72219">
              <w:rPr>
                <w:color w:val="000000"/>
                <w:sz w:val="20"/>
                <w:szCs w:val="20"/>
              </w:rPr>
              <w:t>(392.945)</w:t>
            </w:r>
          </w:p>
        </w:tc>
        <w:tc>
          <w:tcPr>
            <w:tcW w:w="1399" w:type="dxa"/>
            <w:tcBorders>
              <w:top w:val="nil"/>
              <w:left w:val="nil"/>
              <w:bottom w:val="nil"/>
              <w:right w:val="nil"/>
            </w:tcBorders>
            <w:vAlign w:val="center"/>
          </w:tcPr>
          <w:p w14:paraId="2B7DEA76" w14:textId="77777777" w:rsidR="000C35AF" w:rsidRPr="00D72219" w:rsidRDefault="000C35AF" w:rsidP="009238AE">
            <w:pPr>
              <w:pStyle w:val="Regresjonstabell"/>
              <w:jc w:val="right"/>
              <w:rPr>
                <w:sz w:val="20"/>
                <w:szCs w:val="20"/>
              </w:rPr>
            </w:pPr>
            <w:r w:rsidRPr="00D72219">
              <w:rPr>
                <w:color w:val="000000"/>
                <w:sz w:val="20"/>
                <w:szCs w:val="20"/>
              </w:rPr>
              <w:t>(417.882)</w:t>
            </w:r>
          </w:p>
        </w:tc>
        <w:tc>
          <w:tcPr>
            <w:tcW w:w="1399" w:type="dxa"/>
            <w:tcBorders>
              <w:top w:val="nil"/>
              <w:left w:val="nil"/>
              <w:bottom w:val="nil"/>
              <w:right w:val="nil"/>
            </w:tcBorders>
            <w:vAlign w:val="center"/>
          </w:tcPr>
          <w:p w14:paraId="1898714F" w14:textId="77777777" w:rsidR="000C35AF" w:rsidRPr="00D72219" w:rsidRDefault="000C35AF" w:rsidP="009238AE">
            <w:pPr>
              <w:pStyle w:val="Regresjonstabell"/>
              <w:jc w:val="right"/>
              <w:rPr>
                <w:color w:val="000000"/>
                <w:sz w:val="20"/>
                <w:szCs w:val="20"/>
              </w:rPr>
            </w:pPr>
            <w:r w:rsidRPr="00D72219">
              <w:rPr>
                <w:color w:val="000000"/>
                <w:sz w:val="20"/>
                <w:szCs w:val="20"/>
              </w:rPr>
              <w:t>(424.252)</w:t>
            </w:r>
          </w:p>
        </w:tc>
        <w:tc>
          <w:tcPr>
            <w:tcW w:w="1399" w:type="dxa"/>
            <w:tcBorders>
              <w:top w:val="nil"/>
              <w:left w:val="nil"/>
              <w:bottom w:val="nil"/>
              <w:right w:val="nil"/>
            </w:tcBorders>
            <w:vAlign w:val="center"/>
          </w:tcPr>
          <w:p w14:paraId="2B3F9F45" w14:textId="77777777" w:rsidR="000C35AF" w:rsidRPr="00D72219" w:rsidRDefault="000C35AF" w:rsidP="009238AE">
            <w:pPr>
              <w:pStyle w:val="Regresjonstabell"/>
              <w:jc w:val="right"/>
              <w:rPr>
                <w:sz w:val="20"/>
                <w:szCs w:val="20"/>
              </w:rPr>
            </w:pPr>
            <w:r w:rsidRPr="00D72219">
              <w:rPr>
                <w:color w:val="000000"/>
                <w:sz w:val="20"/>
                <w:szCs w:val="20"/>
              </w:rPr>
              <w:t>(475.186)</w:t>
            </w:r>
          </w:p>
        </w:tc>
        <w:tc>
          <w:tcPr>
            <w:tcW w:w="1399" w:type="dxa"/>
            <w:tcBorders>
              <w:top w:val="nil"/>
              <w:left w:val="nil"/>
              <w:bottom w:val="nil"/>
              <w:right w:val="nil"/>
            </w:tcBorders>
            <w:vAlign w:val="center"/>
          </w:tcPr>
          <w:p w14:paraId="42CDDD0D" w14:textId="77777777" w:rsidR="000C35AF" w:rsidRPr="00D72219" w:rsidRDefault="000C35AF" w:rsidP="009238AE">
            <w:pPr>
              <w:pStyle w:val="Regresjonstabell"/>
              <w:jc w:val="right"/>
              <w:rPr>
                <w:color w:val="000000"/>
                <w:sz w:val="20"/>
                <w:szCs w:val="20"/>
              </w:rPr>
            </w:pPr>
            <w:r w:rsidRPr="00D72219">
              <w:rPr>
                <w:color w:val="000000"/>
                <w:sz w:val="20"/>
                <w:szCs w:val="20"/>
              </w:rPr>
              <w:t>(185.145)</w:t>
            </w:r>
          </w:p>
        </w:tc>
        <w:tc>
          <w:tcPr>
            <w:tcW w:w="1399" w:type="dxa"/>
            <w:tcBorders>
              <w:top w:val="nil"/>
              <w:left w:val="nil"/>
              <w:bottom w:val="nil"/>
              <w:right w:val="nil"/>
            </w:tcBorders>
            <w:vAlign w:val="center"/>
          </w:tcPr>
          <w:p w14:paraId="6EA62465" w14:textId="77777777" w:rsidR="000C35AF" w:rsidRPr="00D72219" w:rsidRDefault="000C35AF" w:rsidP="009238AE">
            <w:pPr>
              <w:pStyle w:val="Regresjonstabell"/>
              <w:jc w:val="right"/>
              <w:rPr>
                <w:sz w:val="20"/>
                <w:szCs w:val="20"/>
              </w:rPr>
            </w:pPr>
            <w:r w:rsidRPr="00D72219">
              <w:rPr>
                <w:color w:val="000000"/>
                <w:sz w:val="20"/>
                <w:szCs w:val="20"/>
              </w:rPr>
              <w:t>(204.143)</w:t>
            </w:r>
          </w:p>
        </w:tc>
        <w:tc>
          <w:tcPr>
            <w:tcW w:w="1400" w:type="dxa"/>
            <w:tcBorders>
              <w:top w:val="nil"/>
              <w:left w:val="nil"/>
              <w:bottom w:val="nil"/>
              <w:right w:val="nil"/>
            </w:tcBorders>
            <w:vAlign w:val="center"/>
          </w:tcPr>
          <w:p w14:paraId="76CF2D60" w14:textId="77777777" w:rsidR="000C35AF" w:rsidRPr="00D72219" w:rsidRDefault="000C35AF" w:rsidP="009238AE">
            <w:pPr>
              <w:pStyle w:val="Regresjonstabell"/>
              <w:jc w:val="right"/>
              <w:rPr>
                <w:color w:val="000000"/>
                <w:sz w:val="20"/>
                <w:szCs w:val="20"/>
              </w:rPr>
            </w:pPr>
            <w:r w:rsidRPr="00D72219">
              <w:rPr>
                <w:color w:val="000000"/>
                <w:sz w:val="20"/>
                <w:szCs w:val="20"/>
              </w:rPr>
              <w:t>(207.651)</w:t>
            </w:r>
          </w:p>
        </w:tc>
        <w:tc>
          <w:tcPr>
            <w:tcW w:w="1400" w:type="dxa"/>
            <w:tcBorders>
              <w:top w:val="nil"/>
              <w:left w:val="nil"/>
              <w:bottom w:val="nil"/>
              <w:right w:val="single" w:sz="4" w:space="0" w:color="auto"/>
            </w:tcBorders>
            <w:vAlign w:val="center"/>
          </w:tcPr>
          <w:p w14:paraId="050CB14B" w14:textId="77777777" w:rsidR="000C35AF" w:rsidRPr="00D72219" w:rsidRDefault="000C35AF" w:rsidP="009238AE">
            <w:pPr>
              <w:pStyle w:val="Regresjonstabell"/>
              <w:jc w:val="right"/>
              <w:rPr>
                <w:sz w:val="20"/>
                <w:szCs w:val="20"/>
              </w:rPr>
            </w:pPr>
            <w:r w:rsidRPr="00D72219">
              <w:rPr>
                <w:color w:val="000000"/>
                <w:sz w:val="20"/>
                <w:szCs w:val="20"/>
              </w:rPr>
              <w:t>(282.109)</w:t>
            </w:r>
          </w:p>
        </w:tc>
      </w:tr>
      <w:tr w:rsidR="000C35AF" w:rsidRPr="0055149C" w14:paraId="08FFD99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3024C31" w14:textId="77777777" w:rsidR="000C35AF" w:rsidRPr="0055149C" w:rsidRDefault="000C35AF" w:rsidP="009238AE">
            <w:pPr>
              <w:pStyle w:val="Regresjonstabell"/>
              <w:rPr>
                <w:sz w:val="20"/>
                <w:szCs w:val="20"/>
              </w:rPr>
            </w:pPr>
            <w:r w:rsidRPr="0055149C">
              <w:rPr>
                <w:sz w:val="20"/>
                <w:szCs w:val="20"/>
              </w:rPr>
              <w:t>Antall med høyere utdanning</w:t>
            </w:r>
          </w:p>
        </w:tc>
        <w:tc>
          <w:tcPr>
            <w:tcW w:w="1399" w:type="dxa"/>
            <w:tcBorders>
              <w:top w:val="nil"/>
              <w:left w:val="single" w:sz="4" w:space="0" w:color="auto"/>
              <w:bottom w:val="nil"/>
              <w:right w:val="nil"/>
            </w:tcBorders>
            <w:vAlign w:val="bottom"/>
          </w:tcPr>
          <w:p w14:paraId="6A31D4AE" w14:textId="77777777" w:rsidR="000C35AF" w:rsidRPr="00D72219" w:rsidRDefault="000C35AF" w:rsidP="009238AE">
            <w:pPr>
              <w:pStyle w:val="Regresjonstabell"/>
              <w:jc w:val="right"/>
              <w:rPr>
                <w:sz w:val="20"/>
                <w:szCs w:val="20"/>
              </w:rPr>
            </w:pPr>
            <w:r w:rsidRPr="00D72219">
              <w:rPr>
                <w:color w:val="000000"/>
                <w:sz w:val="20"/>
                <w:szCs w:val="20"/>
              </w:rPr>
              <w:t>188.872***</w:t>
            </w:r>
          </w:p>
        </w:tc>
        <w:tc>
          <w:tcPr>
            <w:tcW w:w="1399" w:type="dxa"/>
            <w:tcBorders>
              <w:top w:val="nil"/>
              <w:left w:val="nil"/>
              <w:bottom w:val="nil"/>
              <w:right w:val="nil"/>
            </w:tcBorders>
            <w:vAlign w:val="bottom"/>
          </w:tcPr>
          <w:p w14:paraId="14B91219" w14:textId="77777777" w:rsidR="000C35AF" w:rsidRPr="00D72219" w:rsidRDefault="000C35AF" w:rsidP="009238AE">
            <w:pPr>
              <w:pStyle w:val="Regresjonstabell"/>
              <w:jc w:val="right"/>
              <w:rPr>
                <w:sz w:val="20"/>
                <w:szCs w:val="20"/>
              </w:rPr>
            </w:pPr>
            <w:r w:rsidRPr="00D72219">
              <w:rPr>
                <w:color w:val="000000"/>
                <w:sz w:val="20"/>
                <w:szCs w:val="20"/>
              </w:rPr>
              <w:t>190.171***</w:t>
            </w:r>
          </w:p>
        </w:tc>
        <w:tc>
          <w:tcPr>
            <w:tcW w:w="1399" w:type="dxa"/>
            <w:tcBorders>
              <w:top w:val="nil"/>
              <w:left w:val="nil"/>
              <w:bottom w:val="nil"/>
              <w:right w:val="nil"/>
            </w:tcBorders>
            <w:vAlign w:val="bottom"/>
          </w:tcPr>
          <w:p w14:paraId="1AF7F85D" w14:textId="77777777" w:rsidR="000C35AF" w:rsidRPr="00D72219" w:rsidRDefault="000C35AF" w:rsidP="009238AE">
            <w:pPr>
              <w:pStyle w:val="Regresjonstabell"/>
              <w:jc w:val="right"/>
              <w:rPr>
                <w:sz w:val="20"/>
                <w:szCs w:val="20"/>
              </w:rPr>
            </w:pPr>
            <w:r w:rsidRPr="00D72219">
              <w:rPr>
                <w:color w:val="000000"/>
                <w:sz w:val="20"/>
                <w:szCs w:val="20"/>
              </w:rPr>
              <w:t>193.506***</w:t>
            </w:r>
          </w:p>
        </w:tc>
        <w:tc>
          <w:tcPr>
            <w:tcW w:w="1399" w:type="dxa"/>
            <w:tcBorders>
              <w:top w:val="nil"/>
              <w:left w:val="nil"/>
              <w:bottom w:val="nil"/>
              <w:right w:val="nil"/>
            </w:tcBorders>
            <w:vAlign w:val="bottom"/>
          </w:tcPr>
          <w:p w14:paraId="35FFD2DD" w14:textId="77777777" w:rsidR="000C35AF" w:rsidRPr="00D72219" w:rsidRDefault="000C35AF" w:rsidP="009238AE">
            <w:pPr>
              <w:pStyle w:val="Regresjonstabell"/>
              <w:jc w:val="right"/>
              <w:rPr>
                <w:sz w:val="20"/>
                <w:szCs w:val="20"/>
              </w:rPr>
            </w:pPr>
            <w:r w:rsidRPr="00D72219">
              <w:rPr>
                <w:color w:val="000000"/>
                <w:sz w:val="20"/>
                <w:szCs w:val="20"/>
              </w:rPr>
              <w:t>199.766***</w:t>
            </w:r>
          </w:p>
        </w:tc>
        <w:tc>
          <w:tcPr>
            <w:tcW w:w="1399" w:type="dxa"/>
            <w:tcBorders>
              <w:top w:val="nil"/>
              <w:left w:val="nil"/>
              <w:bottom w:val="nil"/>
              <w:right w:val="nil"/>
            </w:tcBorders>
            <w:vAlign w:val="bottom"/>
          </w:tcPr>
          <w:p w14:paraId="32494246" w14:textId="77777777" w:rsidR="000C35AF" w:rsidRPr="00D72219" w:rsidRDefault="000C35AF" w:rsidP="009238AE">
            <w:pPr>
              <w:pStyle w:val="Regresjonstabell"/>
              <w:jc w:val="right"/>
              <w:rPr>
                <w:sz w:val="20"/>
                <w:szCs w:val="20"/>
              </w:rPr>
            </w:pPr>
            <w:r w:rsidRPr="00D72219">
              <w:rPr>
                <w:color w:val="000000"/>
                <w:sz w:val="20"/>
                <w:szCs w:val="20"/>
              </w:rPr>
              <w:t>232.775***</w:t>
            </w:r>
          </w:p>
        </w:tc>
        <w:tc>
          <w:tcPr>
            <w:tcW w:w="1399" w:type="dxa"/>
            <w:tcBorders>
              <w:top w:val="nil"/>
              <w:left w:val="nil"/>
              <w:bottom w:val="nil"/>
              <w:right w:val="nil"/>
            </w:tcBorders>
            <w:vAlign w:val="bottom"/>
          </w:tcPr>
          <w:p w14:paraId="3F80570A" w14:textId="77777777" w:rsidR="000C35AF" w:rsidRPr="00D72219" w:rsidRDefault="000C35AF" w:rsidP="009238AE">
            <w:pPr>
              <w:pStyle w:val="Regresjonstabell"/>
              <w:jc w:val="right"/>
              <w:rPr>
                <w:sz w:val="20"/>
                <w:szCs w:val="20"/>
              </w:rPr>
            </w:pPr>
            <w:r w:rsidRPr="00D72219">
              <w:rPr>
                <w:color w:val="000000"/>
                <w:sz w:val="20"/>
                <w:szCs w:val="20"/>
              </w:rPr>
              <w:t>240.792***</w:t>
            </w:r>
          </w:p>
        </w:tc>
        <w:tc>
          <w:tcPr>
            <w:tcW w:w="1400" w:type="dxa"/>
            <w:tcBorders>
              <w:top w:val="nil"/>
              <w:left w:val="nil"/>
              <w:bottom w:val="nil"/>
              <w:right w:val="nil"/>
            </w:tcBorders>
            <w:vAlign w:val="bottom"/>
          </w:tcPr>
          <w:p w14:paraId="3997EBC8" w14:textId="77777777" w:rsidR="000C35AF" w:rsidRPr="00D72219" w:rsidRDefault="000C35AF" w:rsidP="009238AE">
            <w:pPr>
              <w:pStyle w:val="Regresjonstabell"/>
              <w:jc w:val="right"/>
              <w:rPr>
                <w:sz w:val="20"/>
                <w:szCs w:val="20"/>
              </w:rPr>
            </w:pPr>
            <w:r w:rsidRPr="00D72219">
              <w:rPr>
                <w:color w:val="000000"/>
                <w:sz w:val="20"/>
                <w:szCs w:val="20"/>
              </w:rPr>
              <w:t>237.369***</w:t>
            </w:r>
          </w:p>
        </w:tc>
        <w:tc>
          <w:tcPr>
            <w:tcW w:w="1400" w:type="dxa"/>
            <w:tcBorders>
              <w:top w:val="nil"/>
              <w:left w:val="nil"/>
              <w:bottom w:val="nil"/>
              <w:right w:val="single" w:sz="4" w:space="0" w:color="auto"/>
            </w:tcBorders>
            <w:vAlign w:val="bottom"/>
          </w:tcPr>
          <w:p w14:paraId="143D26A2" w14:textId="77777777" w:rsidR="000C35AF" w:rsidRPr="00D72219" w:rsidRDefault="000C35AF" w:rsidP="009238AE">
            <w:pPr>
              <w:pStyle w:val="Regresjonstabell"/>
              <w:jc w:val="right"/>
              <w:rPr>
                <w:sz w:val="20"/>
                <w:szCs w:val="20"/>
              </w:rPr>
            </w:pPr>
            <w:r w:rsidRPr="00D72219">
              <w:rPr>
                <w:color w:val="000000"/>
                <w:sz w:val="20"/>
                <w:szCs w:val="20"/>
              </w:rPr>
              <w:t>248.124***</w:t>
            </w:r>
          </w:p>
        </w:tc>
      </w:tr>
      <w:tr w:rsidR="000C35AF" w:rsidRPr="0055149C" w14:paraId="122157C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A4A3271" w14:textId="77777777" w:rsidR="000C35AF" w:rsidRPr="0055149C" w:rsidRDefault="000C35AF" w:rsidP="009238AE">
            <w:pPr>
              <w:pStyle w:val="Regresjonstabell"/>
              <w:rPr>
                <w:sz w:val="20"/>
                <w:szCs w:val="20"/>
              </w:rPr>
            </w:pPr>
            <w:r w:rsidRPr="0055149C">
              <w:rPr>
                <w:sz w:val="20"/>
                <w:szCs w:val="20"/>
              </w:rPr>
              <w:t>(Kriterium 33)</w:t>
            </w:r>
          </w:p>
        </w:tc>
        <w:tc>
          <w:tcPr>
            <w:tcW w:w="1399" w:type="dxa"/>
            <w:tcBorders>
              <w:top w:val="nil"/>
              <w:left w:val="single" w:sz="4" w:space="0" w:color="auto"/>
              <w:bottom w:val="nil"/>
              <w:right w:val="nil"/>
            </w:tcBorders>
            <w:vAlign w:val="center"/>
          </w:tcPr>
          <w:p w14:paraId="6B7DFDAD" w14:textId="77777777" w:rsidR="000C35AF" w:rsidRPr="00D72219" w:rsidRDefault="000C35AF" w:rsidP="009238AE">
            <w:pPr>
              <w:pStyle w:val="Regresjonstabell"/>
              <w:jc w:val="right"/>
              <w:rPr>
                <w:sz w:val="20"/>
                <w:szCs w:val="20"/>
              </w:rPr>
            </w:pPr>
            <w:r w:rsidRPr="00D72219">
              <w:rPr>
                <w:color w:val="000000"/>
                <w:sz w:val="20"/>
                <w:szCs w:val="20"/>
              </w:rPr>
              <w:t>(39.925)</w:t>
            </w:r>
          </w:p>
        </w:tc>
        <w:tc>
          <w:tcPr>
            <w:tcW w:w="1399" w:type="dxa"/>
            <w:tcBorders>
              <w:top w:val="nil"/>
              <w:left w:val="nil"/>
              <w:bottom w:val="nil"/>
              <w:right w:val="nil"/>
            </w:tcBorders>
            <w:vAlign w:val="center"/>
          </w:tcPr>
          <w:p w14:paraId="5B79D3E0" w14:textId="77777777" w:rsidR="000C35AF" w:rsidRPr="00D72219" w:rsidRDefault="000C35AF" w:rsidP="009238AE">
            <w:pPr>
              <w:pStyle w:val="Regresjonstabell"/>
              <w:jc w:val="right"/>
              <w:rPr>
                <w:sz w:val="20"/>
                <w:szCs w:val="20"/>
              </w:rPr>
            </w:pPr>
            <w:r w:rsidRPr="00D72219">
              <w:rPr>
                <w:color w:val="000000"/>
                <w:sz w:val="20"/>
                <w:szCs w:val="20"/>
              </w:rPr>
              <w:t>(42.076)</w:t>
            </w:r>
          </w:p>
        </w:tc>
        <w:tc>
          <w:tcPr>
            <w:tcW w:w="1399" w:type="dxa"/>
            <w:tcBorders>
              <w:top w:val="nil"/>
              <w:left w:val="nil"/>
              <w:bottom w:val="nil"/>
              <w:right w:val="nil"/>
            </w:tcBorders>
            <w:vAlign w:val="center"/>
          </w:tcPr>
          <w:p w14:paraId="6BC2264B" w14:textId="77777777" w:rsidR="000C35AF" w:rsidRPr="00D72219" w:rsidRDefault="000C35AF" w:rsidP="009238AE">
            <w:pPr>
              <w:pStyle w:val="Regresjonstabell"/>
              <w:jc w:val="right"/>
              <w:rPr>
                <w:sz w:val="20"/>
                <w:szCs w:val="20"/>
              </w:rPr>
            </w:pPr>
            <w:r w:rsidRPr="00D72219">
              <w:rPr>
                <w:color w:val="000000"/>
                <w:sz w:val="20"/>
                <w:szCs w:val="20"/>
              </w:rPr>
              <w:t>(42.464)</w:t>
            </w:r>
          </w:p>
        </w:tc>
        <w:tc>
          <w:tcPr>
            <w:tcW w:w="1399" w:type="dxa"/>
            <w:tcBorders>
              <w:top w:val="nil"/>
              <w:left w:val="nil"/>
              <w:bottom w:val="nil"/>
              <w:right w:val="nil"/>
            </w:tcBorders>
            <w:vAlign w:val="center"/>
          </w:tcPr>
          <w:p w14:paraId="1243F6FF" w14:textId="77777777" w:rsidR="000C35AF" w:rsidRPr="00D72219" w:rsidRDefault="000C35AF" w:rsidP="009238AE">
            <w:pPr>
              <w:pStyle w:val="Regresjonstabell"/>
              <w:jc w:val="right"/>
              <w:rPr>
                <w:sz w:val="20"/>
                <w:szCs w:val="20"/>
              </w:rPr>
            </w:pPr>
            <w:r w:rsidRPr="00D72219">
              <w:rPr>
                <w:color w:val="000000"/>
                <w:sz w:val="20"/>
                <w:szCs w:val="20"/>
              </w:rPr>
              <w:t>(46.758)</w:t>
            </w:r>
          </w:p>
        </w:tc>
        <w:tc>
          <w:tcPr>
            <w:tcW w:w="1399" w:type="dxa"/>
            <w:tcBorders>
              <w:top w:val="nil"/>
              <w:left w:val="nil"/>
              <w:bottom w:val="nil"/>
              <w:right w:val="nil"/>
            </w:tcBorders>
            <w:vAlign w:val="center"/>
          </w:tcPr>
          <w:p w14:paraId="54674FE7" w14:textId="77777777" w:rsidR="000C35AF" w:rsidRPr="00D72219" w:rsidRDefault="000C35AF" w:rsidP="009238AE">
            <w:pPr>
              <w:pStyle w:val="Regresjonstabell"/>
              <w:jc w:val="right"/>
              <w:rPr>
                <w:sz w:val="20"/>
                <w:szCs w:val="20"/>
              </w:rPr>
            </w:pPr>
            <w:r w:rsidRPr="00D72219">
              <w:rPr>
                <w:color w:val="000000"/>
                <w:sz w:val="20"/>
                <w:szCs w:val="20"/>
              </w:rPr>
              <w:t>(38.241)</w:t>
            </w:r>
          </w:p>
        </w:tc>
        <w:tc>
          <w:tcPr>
            <w:tcW w:w="1399" w:type="dxa"/>
            <w:tcBorders>
              <w:top w:val="nil"/>
              <w:left w:val="nil"/>
              <w:bottom w:val="nil"/>
              <w:right w:val="nil"/>
            </w:tcBorders>
            <w:vAlign w:val="center"/>
          </w:tcPr>
          <w:p w14:paraId="1A7144C2" w14:textId="77777777" w:rsidR="000C35AF" w:rsidRPr="00D72219" w:rsidRDefault="000C35AF" w:rsidP="009238AE">
            <w:pPr>
              <w:pStyle w:val="Regresjonstabell"/>
              <w:jc w:val="right"/>
              <w:rPr>
                <w:sz w:val="20"/>
                <w:szCs w:val="20"/>
              </w:rPr>
            </w:pPr>
            <w:r w:rsidRPr="00D72219">
              <w:rPr>
                <w:color w:val="000000"/>
                <w:sz w:val="20"/>
                <w:szCs w:val="20"/>
              </w:rPr>
              <w:t>(40.653)</w:t>
            </w:r>
          </w:p>
        </w:tc>
        <w:tc>
          <w:tcPr>
            <w:tcW w:w="1400" w:type="dxa"/>
            <w:tcBorders>
              <w:top w:val="nil"/>
              <w:left w:val="nil"/>
              <w:bottom w:val="nil"/>
              <w:right w:val="nil"/>
            </w:tcBorders>
            <w:vAlign w:val="center"/>
          </w:tcPr>
          <w:p w14:paraId="06679947" w14:textId="77777777" w:rsidR="000C35AF" w:rsidRPr="00D72219" w:rsidRDefault="000C35AF" w:rsidP="009238AE">
            <w:pPr>
              <w:pStyle w:val="Regresjonstabell"/>
              <w:jc w:val="right"/>
              <w:rPr>
                <w:sz w:val="20"/>
                <w:szCs w:val="20"/>
              </w:rPr>
            </w:pPr>
            <w:r w:rsidRPr="00D72219">
              <w:rPr>
                <w:color w:val="000000"/>
                <w:sz w:val="20"/>
                <w:szCs w:val="20"/>
              </w:rPr>
              <w:t>(42.454)</w:t>
            </w:r>
          </w:p>
        </w:tc>
        <w:tc>
          <w:tcPr>
            <w:tcW w:w="1400" w:type="dxa"/>
            <w:tcBorders>
              <w:top w:val="nil"/>
              <w:left w:val="nil"/>
              <w:bottom w:val="nil"/>
              <w:right w:val="single" w:sz="4" w:space="0" w:color="auto"/>
            </w:tcBorders>
            <w:vAlign w:val="center"/>
          </w:tcPr>
          <w:p w14:paraId="4F6FE141" w14:textId="77777777" w:rsidR="000C35AF" w:rsidRPr="00D72219" w:rsidRDefault="000C35AF" w:rsidP="009238AE">
            <w:pPr>
              <w:pStyle w:val="Regresjonstabell"/>
              <w:jc w:val="right"/>
              <w:rPr>
                <w:sz w:val="20"/>
                <w:szCs w:val="20"/>
              </w:rPr>
            </w:pPr>
            <w:r w:rsidRPr="00D72219">
              <w:rPr>
                <w:color w:val="000000"/>
                <w:sz w:val="20"/>
                <w:szCs w:val="20"/>
              </w:rPr>
              <w:t>(54.212)</w:t>
            </w:r>
          </w:p>
        </w:tc>
      </w:tr>
      <w:tr w:rsidR="000C35AF" w:rsidRPr="0055149C" w14:paraId="2EBF10C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4303220"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67FFB324" w14:textId="77777777" w:rsidR="000C35AF" w:rsidRPr="00D72219" w:rsidRDefault="000C35AF" w:rsidP="009238AE">
            <w:pPr>
              <w:pStyle w:val="Regresjonstabell"/>
              <w:jc w:val="right"/>
              <w:rPr>
                <w:sz w:val="20"/>
                <w:szCs w:val="20"/>
              </w:rPr>
            </w:pPr>
            <w:r w:rsidRPr="00D72219">
              <w:rPr>
                <w:color w:val="000000"/>
                <w:sz w:val="20"/>
                <w:szCs w:val="20"/>
              </w:rPr>
              <w:t>0.034***</w:t>
            </w:r>
          </w:p>
        </w:tc>
        <w:tc>
          <w:tcPr>
            <w:tcW w:w="1399" w:type="dxa"/>
            <w:tcBorders>
              <w:top w:val="nil"/>
              <w:left w:val="nil"/>
              <w:bottom w:val="nil"/>
              <w:right w:val="nil"/>
            </w:tcBorders>
            <w:vAlign w:val="bottom"/>
          </w:tcPr>
          <w:p w14:paraId="57884AC9" w14:textId="77777777" w:rsidR="000C35AF" w:rsidRPr="00D72219" w:rsidRDefault="000C35AF" w:rsidP="009238AE">
            <w:pPr>
              <w:pStyle w:val="Regresjonstabell"/>
              <w:jc w:val="right"/>
              <w:rPr>
                <w:sz w:val="20"/>
                <w:szCs w:val="20"/>
              </w:rPr>
            </w:pPr>
            <w:r w:rsidRPr="00D72219">
              <w:rPr>
                <w:color w:val="000000"/>
                <w:sz w:val="20"/>
                <w:szCs w:val="20"/>
              </w:rPr>
              <w:t>0.037***</w:t>
            </w:r>
          </w:p>
        </w:tc>
        <w:tc>
          <w:tcPr>
            <w:tcW w:w="1399" w:type="dxa"/>
            <w:tcBorders>
              <w:top w:val="nil"/>
              <w:left w:val="nil"/>
              <w:bottom w:val="nil"/>
              <w:right w:val="nil"/>
            </w:tcBorders>
            <w:vAlign w:val="bottom"/>
          </w:tcPr>
          <w:p w14:paraId="22A9F1A4" w14:textId="77777777" w:rsidR="000C35AF" w:rsidRPr="00D72219" w:rsidRDefault="000C35AF" w:rsidP="009238AE">
            <w:pPr>
              <w:pStyle w:val="Regresjonstabell"/>
              <w:jc w:val="right"/>
              <w:rPr>
                <w:sz w:val="20"/>
                <w:szCs w:val="20"/>
              </w:rPr>
            </w:pPr>
            <w:r w:rsidRPr="00D72219">
              <w:rPr>
                <w:color w:val="000000"/>
                <w:sz w:val="20"/>
                <w:szCs w:val="20"/>
              </w:rPr>
              <w:t>0.037***</w:t>
            </w:r>
          </w:p>
        </w:tc>
        <w:tc>
          <w:tcPr>
            <w:tcW w:w="1399" w:type="dxa"/>
            <w:tcBorders>
              <w:top w:val="nil"/>
              <w:left w:val="nil"/>
              <w:bottom w:val="nil"/>
              <w:right w:val="nil"/>
            </w:tcBorders>
            <w:vAlign w:val="bottom"/>
          </w:tcPr>
          <w:p w14:paraId="6CA7D447" w14:textId="77777777" w:rsidR="000C35AF" w:rsidRPr="00D72219" w:rsidRDefault="000C35AF" w:rsidP="009238AE">
            <w:pPr>
              <w:pStyle w:val="Regresjonstabell"/>
              <w:jc w:val="right"/>
              <w:rPr>
                <w:sz w:val="20"/>
                <w:szCs w:val="20"/>
              </w:rPr>
            </w:pPr>
            <w:r w:rsidRPr="00D72219">
              <w:rPr>
                <w:color w:val="000000"/>
                <w:sz w:val="20"/>
                <w:szCs w:val="20"/>
              </w:rPr>
              <w:t>0.041***</w:t>
            </w:r>
          </w:p>
        </w:tc>
        <w:tc>
          <w:tcPr>
            <w:tcW w:w="1399" w:type="dxa"/>
            <w:tcBorders>
              <w:top w:val="nil"/>
              <w:left w:val="nil"/>
              <w:bottom w:val="nil"/>
              <w:right w:val="nil"/>
            </w:tcBorders>
            <w:vAlign w:val="bottom"/>
          </w:tcPr>
          <w:p w14:paraId="7D878E5E" w14:textId="77777777" w:rsidR="000C35AF" w:rsidRPr="00D72219" w:rsidRDefault="000C35AF" w:rsidP="009238AE">
            <w:pPr>
              <w:pStyle w:val="Regresjonstabell"/>
              <w:jc w:val="right"/>
              <w:rPr>
                <w:sz w:val="20"/>
                <w:szCs w:val="20"/>
              </w:rPr>
            </w:pPr>
            <w:r w:rsidRPr="00D72219">
              <w:rPr>
                <w:color w:val="000000"/>
                <w:sz w:val="20"/>
                <w:szCs w:val="20"/>
              </w:rPr>
              <w:t>0.042***</w:t>
            </w:r>
          </w:p>
        </w:tc>
        <w:tc>
          <w:tcPr>
            <w:tcW w:w="1399" w:type="dxa"/>
            <w:tcBorders>
              <w:top w:val="nil"/>
              <w:left w:val="nil"/>
              <w:bottom w:val="nil"/>
              <w:right w:val="nil"/>
            </w:tcBorders>
            <w:vAlign w:val="bottom"/>
          </w:tcPr>
          <w:p w14:paraId="546D9F9D" w14:textId="77777777" w:rsidR="000C35AF" w:rsidRPr="00D72219" w:rsidRDefault="000C35AF" w:rsidP="009238AE">
            <w:pPr>
              <w:pStyle w:val="Regresjonstabell"/>
              <w:jc w:val="right"/>
              <w:rPr>
                <w:sz w:val="20"/>
                <w:szCs w:val="20"/>
              </w:rPr>
            </w:pPr>
            <w:r w:rsidRPr="00D72219">
              <w:rPr>
                <w:color w:val="000000"/>
                <w:sz w:val="20"/>
                <w:szCs w:val="20"/>
              </w:rPr>
              <w:t>0.046***</w:t>
            </w:r>
          </w:p>
        </w:tc>
        <w:tc>
          <w:tcPr>
            <w:tcW w:w="1400" w:type="dxa"/>
            <w:tcBorders>
              <w:top w:val="nil"/>
              <w:left w:val="nil"/>
              <w:bottom w:val="nil"/>
              <w:right w:val="nil"/>
            </w:tcBorders>
            <w:vAlign w:val="bottom"/>
          </w:tcPr>
          <w:p w14:paraId="0C91206E" w14:textId="77777777" w:rsidR="000C35AF" w:rsidRPr="00D72219" w:rsidRDefault="000C35AF" w:rsidP="009238AE">
            <w:pPr>
              <w:pStyle w:val="Regresjonstabell"/>
              <w:jc w:val="right"/>
              <w:rPr>
                <w:sz w:val="20"/>
                <w:szCs w:val="20"/>
              </w:rPr>
            </w:pPr>
            <w:r w:rsidRPr="00D72219">
              <w:rPr>
                <w:color w:val="000000"/>
                <w:sz w:val="20"/>
                <w:szCs w:val="20"/>
              </w:rPr>
              <w:t>0.046***</w:t>
            </w:r>
          </w:p>
        </w:tc>
        <w:tc>
          <w:tcPr>
            <w:tcW w:w="1400" w:type="dxa"/>
            <w:tcBorders>
              <w:top w:val="nil"/>
              <w:left w:val="nil"/>
              <w:bottom w:val="nil"/>
              <w:right w:val="single" w:sz="4" w:space="0" w:color="auto"/>
            </w:tcBorders>
            <w:vAlign w:val="bottom"/>
          </w:tcPr>
          <w:p w14:paraId="3695DFFF" w14:textId="77777777" w:rsidR="000C35AF" w:rsidRPr="00D72219" w:rsidRDefault="000C35AF" w:rsidP="009238AE">
            <w:pPr>
              <w:pStyle w:val="Regresjonstabell"/>
              <w:jc w:val="right"/>
              <w:rPr>
                <w:sz w:val="20"/>
                <w:szCs w:val="20"/>
              </w:rPr>
            </w:pPr>
            <w:r w:rsidRPr="00D72219">
              <w:rPr>
                <w:color w:val="000000"/>
                <w:sz w:val="20"/>
                <w:szCs w:val="20"/>
              </w:rPr>
              <w:t>0.055***</w:t>
            </w:r>
          </w:p>
        </w:tc>
      </w:tr>
      <w:tr w:rsidR="000C35AF" w:rsidRPr="0055149C" w14:paraId="7D5EDF0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2F385A5"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035B059A" w14:textId="77777777" w:rsidR="000C35AF" w:rsidRPr="00D72219" w:rsidRDefault="000C35AF" w:rsidP="009238AE">
            <w:pPr>
              <w:pStyle w:val="Regresjonstabell"/>
              <w:jc w:val="right"/>
              <w:rPr>
                <w:sz w:val="20"/>
                <w:szCs w:val="20"/>
              </w:rPr>
            </w:pPr>
            <w:r w:rsidRPr="00D72219">
              <w:rPr>
                <w:color w:val="000000"/>
                <w:sz w:val="20"/>
                <w:szCs w:val="20"/>
              </w:rPr>
              <w:t>(0.007)</w:t>
            </w:r>
          </w:p>
        </w:tc>
        <w:tc>
          <w:tcPr>
            <w:tcW w:w="1399" w:type="dxa"/>
            <w:tcBorders>
              <w:top w:val="nil"/>
              <w:left w:val="nil"/>
              <w:bottom w:val="nil"/>
              <w:right w:val="nil"/>
            </w:tcBorders>
            <w:vAlign w:val="center"/>
          </w:tcPr>
          <w:p w14:paraId="55F2A5C2" w14:textId="77777777" w:rsidR="000C35AF" w:rsidRPr="00D72219" w:rsidRDefault="000C35AF" w:rsidP="009238AE">
            <w:pPr>
              <w:pStyle w:val="Regresjonstabell"/>
              <w:jc w:val="right"/>
              <w:rPr>
                <w:sz w:val="20"/>
                <w:szCs w:val="20"/>
              </w:rPr>
            </w:pPr>
            <w:r w:rsidRPr="00D72219">
              <w:rPr>
                <w:color w:val="000000"/>
                <w:sz w:val="20"/>
                <w:szCs w:val="20"/>
              </w:rPr>
              <w:t>(0.007)</w:t>
            </w:r>
          </w:p>
        </w:tc>
        <w:tc>
          <w:tcPr>
            <w:tcW w:w="1399" w:type="dxa"/>
            <w:tcBorders>
              <w:top w:val="nil"/>
              <w:left w:val="nil"/>
              <w:bottom w:val="nil"/>
              <w:right w:val="nil"/>
            </w:tcBorders>
            <w:vAlign w:val="center"/>
          </w:tcPr>
          <w:p w14:paraId="58CDE1E3" w14:textId="77777777" w:rsidR="000C35AF" w:rsidRPr="00D72219" w:rsidRDefault="000C35AF" w:rsidP="009238AE">
            <w:pPr>
              <w:pStyle w:val="Regresjonstabell"/>
              <w:jc w:val="right"/>
              <w:rPr>
                <w:sz w:val="20"/>
                <w:szCs w:val="20"/>
              </w:rPr>
            </w:pPr>
            <w:r w:rsidRPr="00D72219">
              <w:rPr>
                <w:color w:val="000000"/>
                <w:sz w:val="20"/>
                <w:szCs w:val="20"/>
              </w:rPr>
              <w:t>(0.008)</w:t>
            </w:r>
          </w:p>
        </w:tc>
        <w:tc>
          <w:tcPr>
            <w:tcW w:w="1399" w:type="dxa"/>
            <w:tcBorders>
              <w:top w:val="nil"/>
              <w:left w:val="nil"/>
              <w:bottom w:val="nil"/>
              <w:right w:val="nil"/>
            </w:tcBorders>
            <w:vAlign w:val="center"/>
          </w:tcPr>
          <w:p w14:paraId="6D5F9635" w14:textId="77777777" w:rsidR="000C35AF" w:rsidRPr="00D72219" w:rsidRDefault="000C35AF" w:rsidP="009238AE">
            <w:pPr>
              <w:pStyle w:val="Regresjonstabell"/>
              <w:jc w:val="right"/>
              <w:rPr>
                <w:sz w:val="20"/>
                <w:szCs w:val="20"/>
              </w:rPr>
            </w:pPr>
            <w:r w:rsidRPr="00D72219">
              <w:rPr>
                <w:color w:val="000000"/>
                <w:sz w:val="20"/>
                <w:szCs w:val="20"/>
              </w:rPr>
              <w:t>(0.009)</w:t>
            </w:r>
          </w:p>
        </w:tc>
        <w:tc>
          <w:tcPr>
            <w:tcW w:w="1399" w:type="dxa"/>
            <w:tcBorders>
              <w:top w:val="nil"/>
              <w:left w:val="nil"/>
              <w:bottom w:val="nil"/>
              <w:right w:val="nil"/>
            </w:tcBorders>
            <w:vAlign w:val="center"/>
          </w:tcPr>
          <w:p w14:paraId="071259CE" w14:textId="77777777" w:rsidR="000C35AF" w:rsidRPr="00D72219" w:rsidRDefault="000C35AF" w:rsidP="009238AE">
            <w:pPr>
              <w:pStyle w:val="Regresjonstabell"/>
              <w:jc w:val="right"/>
              <w:rPr>
                <w:sz w:val="20"/>
                <w:szCs w:val="20"/>
              </w:rPr>
            </w:pPr>
            <w:r w:rsidRPr="00D72219">
              <w:rPr>
                <w:color w:val="000000"/>
                <w:sz w:val="20"/>
                <w:szCs w:val="20"/>
              </w:rPr>
              <w:t>(0.005)</w:t>
            </w:r>
          </w:p>
        </w:tc>
        <w:tc>
          <w:tcPr>
            <w:tcW w:w="1399" w:type="dxa"/>
            <w:tcBorders>
              <w:top w:val="nil"/>
              <w:left w:val="nil"/>
              <w:bottom w:val="nil"/>
              <w:right w:val="nil"/>
            </w:tcBorders>
            <w:vAlign w:val="center"/>
          </w:tcPr>
          <w:p w14:paraId="660BF2B3" w14:textId="77777777" w:rsidR="000C35AF" w:rsidRPr="00D72219" w:rsidRDefault="000C35AF" w:rsidP="009238AE">
            <w:pPr>
              <w:pStyle w:val="Regresjonstabell"/>
              <w:jc w:val="right"/>
              <w:rPr>
                <w:sz w:val="20"/>
                <w:szCs w:val="20"/>
              </w:rPr>
            </w:pPr>
            <w:r w:rsidRPr="00D72219">
              <w:rPr>
                <w:color w:val="000000"/>
                <w:sz w:val="20"/>
                <w:szCs w:val="20"/>
              </w:rPr>
              <w:t>(0.005)</w:t>
            </w:r>
          </w:p>
        </w:tc>
        <w:tc>
          <w:tcPr>
            <w:tcW w:w="1400" w:type="dxa"/>
            <w:tcBorders>
              <w:top w:val="nil"/>
              <w:left w:val="nil"/>
              <w:bottom w:val="nil"/>
              <w:right w:val="nil"/>
            </w:tcBorders>
            <w:vAlign w:val="center"/>
          </w:tcPr>
          <w:p w14:paraId="736AA613" w14:textId="77777777" w:rsidR="000C35AF" w:rsidRPr="00D72219" w:rsidRDefault="000C35AF" w:rsidP="009238AE">
            <w:pPr>
              <w:pStyle w:val="Regresjonstabell"/>
              <w:jc w:val="right"/>
              <w:rPr>
                <w:sz w:val="20"/>
                <w:szCs w:val="20"/>
              </w:rPr>
            </w:pPr>
            <w:r w:rsidRPr="00D72219">
              <w:rPr>
                <w:color w:val="000000"/>
                <w:sz w:val="20"/>
                <w:szCs w:val="20"/>
              </w:rPr>
              <w:t>(0.005)</w:t>
            </w:r>
          </w:p>
        </w:tc>
        <w:tc>
          <w:tcPr>
            <w:tcW w:w="1400" w:type="dxa"/>
            <w:tcBorders>
              <w:top w:val="nil"/>
              <w:left w:val="nil"/>
              <w:bottom w:val="nil"/>
              <w:right w:val="single" w:sz="4" w:space="0" w:color="auto"/>
            </w:tcBorders>
            <w:vAlign w:val="center"/>
          </w:tcPr>
          <w:p w14:paraId="5D721A11" w14:textId="77777777" w:rsidR="000C35AF" w:rsidRPr="00D72219" w:rsidRDefault="000C35AF" w:rsidP="009238AE">
            <w:pPr>
              <w:pStyle w:val="Regresjonstabell"/>
              <w:jc w:val="right"/>
              <w:rPr>
                <w:sz w:val="20"/>
                <w:szCs w:val="20"/>
              </w:rPr>
            </w:pPr>
            <w:r w:rsidRPr="00D72219">
              <w:rPr>
                <w:color w:val="000000"/>
                <w:sz w:val="20"/>
                <w:szCs w:val="20"/>
              </w:rPr>
              <w:t>(0.007)</w:t>
            </w:r>
          </w:p>
        </w:tc>
      </w:tr>
      <w:tr w:rsidR="000C35AF" w:rsidRPr="0055149C" w14:paraId="7208DD3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BA016F8"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079DFDBE" w14:textId="77777777" w:rsidR="000C35AF" w:rsidRPr="00D72219" w:rsidRDefault="000C35AF" w:rsidP="009238AE">
            <w:pPr>
              <w:pStyle w:val="Regresjonstabell"/>
              <w:jc w:val="right"/>
              <w:rPr>
                <w:sz w:val="20"/>
                <w:szCs w:val="20"/>
              </w:rPr>
            </w:pPr>
            <w:r w:rsidRPr="00D72219">
              <w:rPr>
                <w:color w:val="000000"/>
                <w:sz w:val="20"/>
                <w:szCs w:val="20"/>
              </w:rPr>
              <w:t>-1.474*</w:t>
            </w:r>
          </w:p>
        </w:tc>
        <w:tc>
          <w:tcPr>
            <w:tcW w:w="1399" w:type="dxa"/>
            <w:tcBorders>
              <w:top w:val="nil"/>
              <w:left w:val="nil"/>
              <w:bottom w:val="nil"/>
              <w:right w:val="nil"/>
            </w:tcBorders>
            <w:vAlign w:val="bottom"/>
          </w:tcPr>
          <w:p w14:paraId="531C06BD" w14:textId="77777777" w:rsidR="000C35AF" w:rsidRPr="00D72219" w:rsidRDefault="000C35AF" w:rsidP="009238AE">
            <w:pPr>
              <w:pStyle w:val="Regresjonstabell"/>
              <w:jc w:val="right"/>
              <w:rPr>
                <w:sz w:val="20"/>
                <w:szCs w:val="20"/>
              </w:rPr>
            </w:pPr>
            <w:r w:rsidRPr="00D72219">
              <w:rPr>
                <w:color w:val="000000"/>
                <w:sz w:val="20"/>
                <w:szCs w:val="20"/>
              </w:rPr>
              <w:t>-1.718**</w:t>
            </w:r>
          </w:p>
        </w:tc>
        <w:tc>
          <w:tcPr>
            <w:tcW w:w="1399" w:type="dxa"/>
            <w:tcBorders>
              <w:top w:val="nil"/>
              <w:left w:val="nil"/>
              <w:bottom w:val="nil"/>
              <w:right w:val="nil"/>
            </w:tcBorders>
            <w:vAlign w:val="bottom"/>
          </w:tcPr>
          <w:p w14:paraId="753B5AA5" w14:textId="77777777" w:rsidR="000C35AF" w:rsidRPr="00D72219" w:rsidRDefault="000C35AF" w:rsidP="009238AE">
            <w:pPr>
              <w:pStyle w:val="Regresjonstabell"/>
              <w:jc w:val="right"/>
              <w:rPr>
                <w:sz w:val="20"/>
                <w:szCs w:val="20"/>
              </w:rPr>
            </w:pPr>
            <w:r w:rsidRPr="00D72219">
              <w:rPr>
                <w:color w:val="000000"/>
                <w:sz w:val="20"/>
                <w:szCs w:val="20"/>
              </w:rPr>
              <w:t>-1.671*</w:t>
            </w:r>
          </w:p>
        </w:tc>
        <w:tc>
          <w:tcPr>
            <w:tcW w:w="1399" w:type="dxa"/>
            <w:tcBorders>
              <w:top w:val="nil"/>
              <w:left w:val="nil"/>
              <w:bottom w:val="nil"/>
              <w:right w:val="nil"/>
            </w:tcBorders>
            <w:vAlign w:val="bottom"/>
          </w:tcPr>
          <w:p w14:paraId="011171EB" w14:textId="77777777" w:rsidR="000C35AF" w:rsidRPr="00D72219" w:rsidRDefault="000C35AF" w:rsidP="009238AE">
            <w:pPr>
              <w:pStyle w:val="Regresjonstabell"/>
              <w:jc w:val="right"/>
              <w:rPr>
                <w:sz w:val="20"/>
                <w:szCs w:val="20"/>
              </w:rPr>
            </w:pPr>
            <w:r w:rsidRPr="00D72219">
              <w:rPr>
                <w:color w:val="000000"/>
                <w:sz w:val="20"/>
                <w:szCs w:val="20"/>
              </w:rPr>
              <w:t>-1.946*</w:t>
            </w:r>
          </w:p>
        </w:tc>
        <w:tc>
          <w:tcPr>
            <w:tcW w:w="1399" w:type="dxa"/>
            <w:tcBorders>
              <w:top w:val="nil"/>
              <w:left w:val="nil"/>
              <w:bottom w:val="nil"/>
              <w:right w:val="nil"/>
            </w:tcBorders>
            <w:vAlign w:val="bottom"/>
          </w:tcPr>
          <w:p w14:paraId="154BEF28" w14:textId="77777777" w:rsidR="000C35AF" w:rsidRPr="00D72219" w:rsidRDefault="000C35AF" w:rsidP="009238AE">
            <w:pPr>
              <w:pStyle w:val="Regresjonstabell"/>
              <w:jc w:val="right"/>
              <w:rPr>
                <w:sz w:val="20"/>
                <w:szCs w:val="20"/>
              </w:rPr>
            </w:pPr>
            <w:r w:rsidRPr="00D72219">
              <w:rPr>
                <w:color w:val="000000"/>
                <w:sz w:val="20"/>
                <w:szCs w:val="20"/>
              </w:rPr>
              <w:t>-1.692**</w:t>
            </w:r>
          </w:p>
        </w:tc>
        <w:tc>
          <w:tcPr>
            <w:tcW w:w="1399" w:type="dxa"/>
            <w:tcBorders>
              <w:top w:val="nil"/>
              <w:left w:val="nil"/>
              <w:bottom w:val="nil"/>
              <w:right w:val="nil"/>
            </w:tcBorders>
            <w:vAlign w:val="bottom"/>
          </w:tcPr>
          <w:p w14:paraId="1D22A082" w14:textId="77777777" w:rsidR="000C35AF" w:rsidRPr="00D72219" w:rsidRDefault="000C35AF" w:rsidP="009238AE">
            <w:pPr>
              <w:pStyle w:val="Regresjonstabell"/>
              <w:jc w:val="right"/>
              <w:rPr>
                <w:sz w:val="20"/>
                <w:szCs w:val="20"/>
              </w:rPr>
            </w:pPr>
            <w:r w:rsidRPr="00D72219">
              <w:rPr>
                <w:color w:val="000000"/>
                <w:sz w:val="20"/>
                <w:szCs w:val="20"/>
              </w:rPr>
              <w:t>-1.928**</w:t>
            </w:r>
          </w:p>
        </w:tc>
        <w:tc>
          <w:tcPr>
            <w:tcW w:w="1400" w:type="dxa"/>
            <w:tcBorders>
              <w:top w:val="nil"/>
              <w:left w:val="nil"/>
              <w:bottom w:val="nil"/>
              <w:right w:val="nil"/>
            </w:tcBorders>
            <w:vAlign w:val="bottom"/>
          </w:tcPr>
          <w:p w14:paraId="54746B70" w14:textId="77777777" w:rsidR="000C35AF" w:rsidRPr="00D72219" w:rsidRDefault="000C35AF" w:rsidP="009238AE">
            <w:pPr>
              <w:pStyle w:val="Regresjonstabell"/>
              <w:jc w:val="right"/>
              <w:rPr>
                <w:sz w:val="20"/>
                <w:szCs w:val="20"/>
              </w:rPr>
            </w:pPr>
            <w:r w:rsidRPr="00D72219">
              <w:rPr>
                <w:color w:val="000000"/>
                <w:sz w:val="20"/>
                <w:szCs w:val="20"/>
              </w:rPr>
              <w:t>-1.955**</w:t>
            </w:r>
          </w:p>
        </w:tc>
        <w:tc>
          <w:tcPr>
            <w:tcW w:w="1400" w:type="dxa"/>
            <w:tcBorders>
              <w:top w:val="nil"/>
              <w:left w:val="nil"/>
              <w:bottom w:val="nil"/>
              <w:right w:val="single" w:sz="4" w:space="0" w:color="auto"/>
            </w:tcBorders>
            <w:vAlign w:val="bottom"/>
          </w:tcPr>
          <w:p w14:paraId="114A7F78" w14:textId="77777777" w:rsidR="000C35AF" w:rsidRPr="00D72219" w:rsidRDefault="000C35AF" w:rsidP="009238AE">
            <w:pPr>
              <w:pStyle w:val="Regresjonstabell"/>
              <w:jc w:val="right"/>
              <w:rPr>
                <w:sz w:val="20"/>
                <w:szCs w:val="20"/>
              </w:rPr>
            </w:pPr>
            <w:r w:rsidRPr="00D72219">
              <w:rPr>
                <w:color w:val="000000"/>
                <w:sz w:val="20"/>
                <w:szCs w:val="20"/>
              </w:rPr>
              <w:t>-2.556**</w:t>
            </w:r>
          </w:p>
        </w:tc>
      </w:tr>
      <w:tr w:rsidR="000C35AF" w:rsidRPr="0055149C" w14:paraId="06E48E3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91C1AF1"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264268CB" w14:textId="77777777" w:rsidR="000C35AF" w:rsidRPr="00D72219" w:rsidRDefault="000C35AF" w:rsidP="009238AE">
            <w:pPr>
              <w:pStyle w:val="Regresjonstabell"/>
              <w:jc w:val="right"/>
              <w:rPr>
                <w:sz w:val="20"/>
                <w:szCs w:val="20"/>
              </w:rPr>
            </w:pPr>
            <w:r w:rsidRPr="00D72219">
              <w:rPr>
                <w:color w:val="000000"/>
                <w:sz w:val="20"/>
                <w:szCs w:val="20"/>
              </w:rPr>
              <w:t>(0.795)</w:t>
            </w:r>
          </w:p>
        </w:tc>
        <w:tc>
          <w:tcPr>
            <w:tcW w:w="1399" w:type="dxa"/>
            <w:tcBorders>
              <w:top w:val="nil"/>
              <w:left w:val="nil"/>
              <w:bottom w:val="nil"/>
              <w:right w:val="nil"/>
            </w:tcBorders>
            <w:vAlign w:val="center"/>
          </w:tcPr>
          <w:p w14:paraId="5CBAF408" w14:textId="77777777" w:rsidR="000C35AF" w:rsidRPr="00D72219" w:rsidRDefault="000C35AF" w:rsidP="009238AE">
            <w:pPr>
              <w:pStyle w:val="Regresjonstabell"/>
              <w:jc w:val="right"/>
              <w:rPr>
                <w:sz w:val="20"/>
                <w:szCs w:val="20"/>
              </w:rPr>
            </w:pPr>
            <w:r w:rsidRPr="00D72219">
              <w:rPr>
                <w:color w:val="000000"/>
                <w:sz w:val="20"/>
                <w:szCs w:val="20"/>
              </w:rPr>
              <w:t>(0.854)</w:t>
            </w:r>
          </w:p>
        </w:tc>
        <w:tc>
          <w:tcPr>
            <w:tcW w:w="1399" w:type="dxa"/>
            <w:tcBorders>
              <w:top w:val="nil"/>
              <w:left w:val="nil"/>
              <w:bottom w:val="nil"/>
              <w:right w:val="nil"/>
            </w:tcBorders>
            <w:vAlign w:val="center"/>
          </w:tcPr>
          <w:p w14:paraId="0B30D145" w14:textId="77777777" w:rsidR="000C35AF" w:rsidRPr="00D72219" w:rsidRDefault="000C35AF" w:rsidP="009238AE">
            <w:pPr>
              <w:pStyle w:val="Regresjonstabell"/>
              <w:jc w:val="right"/>
              <w:rPr>
                <w:sz w:val="20"/>
                <w:szCs w:val="20"/>
              </w:rPr>
            </w:pPr>
            <w:r w:rsidRPr="00D72219">
              <w:rPr>
                <w:color w:val="000000"/>
                <w:sz w:val="20"/>
                <w:szCs w:val="20"/>
              </w:rPr>
              <w:t>(0.873)</w:t>
            </w:r>
          </w:p>
        </w:tc>
        <w:tc>
          <w:tcPr>
            <w:tcW w:w="1399" w:type="dxa"/>
            <w:tcBorders>
              <w:top w:val="nil"/>
              <w:left w:val="nil"/>
              <w:bottom w:val="nil"/>
              <w:right w:val="nil"/>
            </w:tcBorders>
            <w:vAlign w:val="center"/>
          </w:tcPr>
          <w:p w14:paraId="6AD8E8EE" w14:textId="77777777" w:rsidR="000C35AF" w:rsidRPr="00D72219" w:rsidRDefault="000C35AF" w:rsidP="009238AE">
            <w:pPr>
              <w:pStyle w:val="Regresjonstabell"/>
              <w:jc w:val="right"/>
              <w:rPr>
                <w:sz w:val="20"/>
                <w:szCs w:val="20"/>
              </w:rPr>
            </w:pPr>
            <w:r w:rsidRPr="00D72219">
              <w:rPr>
                <w:color w:val="000000"/>
                <w:sz w:val="20"/>
                <w:szCs w:val="20"/>
              </w:rPr>
              <w:t>(0.993)</w:t>
            </w:r>
          </w:p>
        </w:tc>
        <w:tc>
          <w:tcPr>
            <w:tcW w:w="1399" w:type="dxa"/>
            <w:tcBorders>
              <w:top w:val="nil"/>
              <w:left w:val="nil"/>
              <w:bottom w:val="nil"/>
              <w:right w:val="nil"/>
            </w:tcBorders>
            <w:vAlign w:val="center"/>
          </w:tcPr>
          <w:p w14:paraId="1E6CDA64" w14:textId="77777777" w:rsidR="000C35AF" w:rsidRPr="00D72219" w:rsidRDefault="000C35AF" w:rsidP="009238AE">
            <w:pPr>
              <w:pStyle w:val="Regresjonstabell"/>
              <w:jc w:val="right"/>
              <w:rPr>
                <w:sz w:val="20"/>
                <w:szCs w:val="20"/>
              </w:rPr>
            </w:pPr>
            <w:r w:rsidRPr="00D72219">
              <w:rPr>
                <w:color w:val="000000"/>
                <w:sz w:val="20"/>
                <w:szCs w:val="20"/>
              </w:rPr>
              <w:t>(0.692)</w:t>
            </w:r>
          </w:p>
        </w:tc>
        <w:tc>
          <w:tcPr>
            <w:tcW w:w="1399" w:type="dxa"/>
            <w:tcBorders>
              <w:top w:val="nil"/>
              <w:left w:val="nil"/>
              <w:bottom w:val="nil"/>
              <w:right w:val="nil"/>
            </w:tcBorders>
            <w:vAlign w:val="center"/>
          </w:tcPr>
          <w:p w14:paraId="5102DF68" w14:textId="77777777" w:rsidR="000C35AF" w:rsidRPr="00D72219" w:rsidRDefault="000C35AF" w:rsidP="009238AE">
            <w:pPr>
              <w:pStyle w:val="Regresjonstabell"/>
              <w:jc w:val="right"/>
              <w:rPr>
                <w:sz w:val="20"/>
                <w:szCs w:val="20"/>
              </w:rPr>
            </w:pPr>
            <w:r w:rsidRPr="00D72219">
              <w:rPr>
                <w:color w:val="000000"/>
                <w:sz w:val="20"/>
                <w:szCs w:val="20"/>
              </w:rPr>
              <w:t>(0.753)</w:t>
            </w:r>
          </w:p>
        </w:tc>
        <w:tc>
          <w:tcPr>
            <w:tcW w:w="1400" w:type="dxa"/>
            <w:tcBorders>
              <w:top w:val="nil"/>
              <w:left w:val="nil"/>
              <w:bottom w:val="nil"/>
              <w:right w:val="nil"/>
            </w:tcBorders>
            <w:vAlign w:val="center"/>
          </w:tcPr>
          <w:p w14:paraId="764171A5" w14:textId="77777777" w:rsidR="000C35AF" w:rsidRPr="00D72219" w:rsidRDefault="000C35AF" w:rsidP="009238AE">
            <w:pPr>
              <w:pStyle w:val="Regresjonstabell"/>
              <w:jc w:val="right"/>
              <w:rPr>
                <w:sz w:val="20"/>
                <w:szCs w:val="20"/>
              </w:rPr>
            </w:pPr>
            <w:r w:rsidRPr="00D72219">
              <w:rPr>
                <w:color w:val="000000"/>
                <w:sz w:val="20"/>
                <w:szCs w:val="20"/>
              </w:rPr>
              <w:t>(0.774)</w:t>
            </w:r>
          </w:p>
        </w:tc>
        <w:tc>
          <w:tcPr>
            <w:tcW w:w="1400" w:type="dxa"/>
            <w:tcBorders>
              <w:top w:val="nil"/>
              <w:left w:val="nil"/>
              <w:bottom w:val="nil"/>
              <w:right w:val="single" w:sz="4" w:space="0" w:color="auto"/>
            </w:tcBorders>
            <w:vAlign w:val="center"/>
          </w:tcPr>
          <w:p w14:paraId="47B1B11D" w14:textId="77777777" w:rsidR="000C35AF" w:rsidRPr="00D72219" w:rsidRDefault="000C35AF" w:rsidP="009238AE">
            <w:pPr>
              <w:pStyle w:val="Regresjonstabell"/>
              <w:jc w:val="right"/>
              <w:rPr>
                <w:sz w:val="20"/>
                <w:szCs w:val="20"/>
              </w:rPr>
            </w:pPr>
            <w:r w:rsidRPr="00D72219">
              <w:rPr>
                <w:color w:val="000000"/>
                <w:sz w:val="20"/>
                <w:szCs w:val="20"/>
              </w:rPr>
              <w:t>(1.012)</w:t>
            </w:r>
          </w:p>
        </w:tc>
      </w:tr>
      <w:tr w:rsidR="000C35AF" w:rsidRPr="0055149C" w14:paraId="2B46D0A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9307DF2"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245C559A"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054CC0A0"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6C867F22"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7EC8205A"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5E8E1734"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0C1CFF22"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400" w:type="dxa"/>
            <w:tcBorders>
              <w:top w:val="nil"/>
              <w:left w:val="nil"/>
              <w:bottom w:val="nil"/>
              <w:right w:val="nil"/>
            </w:tcBorders>
            <w:vAlign w:val="bottom"/>
          </w:tcPr>
          <w:p w14:paraId="4F747BA4"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400" w:type="dxa"/>
            <w:tcBorders>
              <w:top w:val="nil"/>
              <w:left w:val="nil"/>
              <w:bottom w:val="nil"/>
              <w:right w:val="single" w:sz="4" w:space="0" w:color="auto"/>
            </w:tcBorders>
            <w:vAlign w:val="bottom"/>
          </w:tcPr>
          <w:p w14:paraId="42B81693" w14:textId="77777777" w:rsidR="000C35AF" w:rsidRPr="00D72219" w:rsidRDefault="000C35AF" w:rsidP="009238AE">
            <w:pPr>
              <w:pStyle w:val="Regresjonstabell"/>
              <w:jc w:val="right"/>
              <w:rPr>
                <w:sz w:val="20"/>
                <w:szCs w:val="20"/>
              </w:rPr>
            </w:pPr>
            <w:r w:rsidRPr="00D72219">
              <w:rPr>
                <w:color w:val="000000"/>
                <w:sz w:val="20"/>
                <w:szCs w:val="20"/>
              </w:rPr>
              <w:t>356</w:t>
            </w:r>
          </w:p>
        </w:tc>
      </w:tr>
      <w:tr w:rsidR="000C35AF" w:rsidRPr="0055149C" w14:paraId="654FE912"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56BE986A"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68E9F1DF" w14:textId="77777777" w:rsidR="000C35AF" w:rsidRPr="00D72219" w:rsidRDefault="000C35AF" w:rsidP="009238AE">
            <w:pPr>
              <w:pStyle w:val="Regresjonstabell"/>
              <w:jc w:val="right"/>
              <w:rPr>
                <w:sz w:val="20"/>
                <w:szCs w:val="20"/>
              </w:rPr>
            </w:pPr>
            <w:r w:rsidRPr="00D72219">
              <w:rPr>
                <w:color w:val="000000"/>
                <w:sz w:val="20"/>
                <w:szCs w:val="20"/>
              </w:rPr>
              <w:t>0.663</w:t>
            </w:r>
          </w:p>
        </w:tc>
        <w:tc>
          <w:tcPr>
            <w:tcW w:w="1399" w:type="dxa"/>
            <w:tcBorders>
              <w:top w:val="nil"/>
              <w:left w:val="nil"/>
              <w:bottom w:val="single" w:sz="4" w:space="0" w:color="auto"/>
              <w:right w:val="nil"/>
            </w:tcBorders>
            <w:vAlign w:val="bottom"/>
          </w:tcPr>
          <w:p w14:paraId="71F0F045" w14:textId="77777777" w:rsidR="000C35AF" w:rsidRPr="00D72219" w:rsidRDefault="000C35AF" w:rsidP="009238AE">
            <w:pPr>
              <w:pStyle w:val="Regresjonstabell"/>
              <w:jc w:val="right"/>
              <w:rPr>
                <w:sz w:val="20"/>
                <w:szCs w:val="20"/>
              </w:rPr>
            </w:pPr>
            <w:r w:rsidRPr="00D72219">
              <w:rPr>
                <w:color w:val="000000"/>
                <w:sz w:val="20"/>
                <w:szCs w:val="20"/>
              </w:rPr>
              <w:t>0.643</w:t>
            </w:r>
          </w:p>
        </w:tc>
        <w:tc>
          <w:tcPr>
            <w:tcW w:w="1399" w:type="dxa"/>
            <w:tcBorders>
              <w:top w:val="nil"/>
              <w:left w:val="nil"/>
              <w:bottom w:val="single" w:sz="4" w:space="0" w:color="auto"/>
              <w:right w:val="nil"/>
            </w:tcBorders>
            <w:vAlign w:val="bottom"/>
          </w:tcPr>
          <w:p w14:paraId="433E755C" w14:textId="77777777" w:rsidR="000C35AF" w:rsidRPr="00D72219" w:rsidRDefault="000C35AF" w:rsidP="009238AE">
            <w:pPr>
              <w:pStyle w:val="Regresjonstabell"/>
              <w:jc w:val="right"/>
              <w:rPr>
                <w:sz w:val="20"/>
                <w:szCs w:val="20"/>
              </w:rPr>
            </w:pPr>
            <w:r w:rsidRPr="00D72219">
              <w:rPr>
                <w:color w:val="000000"/>
                <w:sz w:val="20"/>
                <w:szCs w:val="20"/>
              </w:rPr>
              <w:t>0.643</w:t>
            </w:r>
          </w:p>
        </w:tc>
        <w:tc>
          <w:tcPr>
            <w:tcW w:w="1399" w:type="dxa"/>
            <w:tcBorders>
              <w:top w:val="nil"/>
              <w:left w:val="nil"/>
              <w:bottom w:val="single" w:sz="4" w:space="0" w:color="auto"/>
              <w:right w:val="nil"/>
            </w:tcBorders>
            <w:vAlign w:val="bottom"/>
          </w:tcPr>
          <w:p w14:paraId="4E2932A6" w14:textId="77777777" w:rsidR="000C35AF" w:rsidRPr="00D72219" w:rsidRDefault="000C35AF" w:rsidP="009238AE">
            <w:pPr>
              <w:pStyle w:val="Regresjonstabell"/>
              <w:jc w:val="right"/>
              <w:rPr>
                <w:sz w:val="20"/>
                <w:szCs w:val="20"/>
              </w:rPr>
            </w:pPr>
            <w:r w:rsidRPr="00D72219">
              <w:rPr>
                <w:color w:val="000000"/>
                <w:sz w:val="20"/>
                <w:szCs w:val="20"/>
              </w:rPr>
              <w:t>0.608</w:t>
            </w:r>
          </w:p>
        </w:tc>
        <w:tc>
          <w:tcPr>
            <w:tcW w:w="1399" w:type="dxa"/>
            <w:tcBorders>
              <w:top w:val="nil"/>
              <w:left w:val="nil"/>
              <w:bottom w:val="single" w:sz="4" w:space="0" w:color="auto"/>
              <w:right w:val="nil"/>
            </w:tcBorders>
            <w:vAlign w:val="bottom"/>
          </w:tcPr>
          <w:p w14:paraId="1D88D72F" w14:textId="77777777" w:rsidR="000C35AF" w:rsidRPr="00D72219" w:rsidRDefault="000C35AF" w:rsidP="009238AE">
            <w:pPr>
              <w:pStyle w:val="Regresjonstabell"/>
              <w:jc w:val="right"/>
              <w:rPr>
                <w:sz w:val="20"/>
                <w:szCs w:val="20"/>
              </w:rPr>
            </w:pPr>
            <w:r w:rsidRPr="00D72219">
              <w:rPr>
                <w:color w:val="000000"/>
                <w:sz w:val="20"/>
                <w:szCs w:val="20"/>
              </w:rPr>
              <w:t>0.656</w:t>
            </w:r>
          </w:p>
        </w:tc>
        <w:tc>
          <w:tcPr>
            <w:tcW w:w="1399" w:type="dxa"/>
            <w:tcBorders>
              <w:top w:val="nil"/>
              <w:left w:val="nil"/>
              <w:bottom w:val="single" w:sz="4" w:space="0" w:color="auto"/>
              <w:right w:val="nil"/>
            </w:tcBorders>
            <w:vAlign w:val="bottom"/>
          </w:tcPr>
          <w:p w14:paraId="25B3E77D" w14:textId="77777777" w:rsidR="000C35AF" w:rsidRPr="00D72219" w:rsidRDefault="000C35AF" w:rsidP="009238AE">
            <w:pPr>
              <w:pStyle w:val="Regresjonstabell"/>
              <w:jc w:val="right"/>
              <w:rPr>
                <w:sz w:val="20"/>
                <w:szCs w:val="20"/>
              </w:rPr>
            </w:pPr>
            <w:r w:rsidRPr="00D72219">
              <w:rPr>
                <w:color w:val="000000"/>
                <w:sz w:val="20"/>
                <w:szCs w:val="20"/>
              </w:rPr>
              <w:t>0.636</w:t>
            </w:r>
          </w:p>
        </w:tc>
        <w:tc>
          <w:tcPr>
            <w:tcW w:w="1400" w:type="dxa"/>
            <w:tcBorders>
              <w:top w:val="nil"/>
              <w:left w:val="nil"/>
              <w:bottom w:val="single" w:sz="4" w:space="0" w:color="auto"/>
              <w:right w:val="nil"/>
            </w:tcBorders>
            <w:vAlign w:val="bottom"/>
          </w:tcPr>
          <w:p w14:paraId="01C46FD8" w14:textId="77777777" w:rsidR="000C35AF" w:rsidRPr="00D72219" w:rsidRDefault="000C35AF" w:rsidP="009238AE">
            <w:pPr>
              <w:pStyle w:val="Regresjonstabell"/>
              <w:jc w:val="right"/>
              <w:rPr>
                <w:sz w:val="20"/>
                <w:szCs w:val="20"/>
              </w:rPr>
            </w:pPr>
            <w:r w:rsidRPr="00D72219">
              <w:rPr>
                <w:color w:val="000000"/>
                <w:sz w:val="20"/>
                <w:szCs w:val="20"/>
              </w:rPr>
              <w:t>0.637</w:t>
            </w:r>
          </w:p>
        </w:tc>
        <w:tc>
          <w:tcPr>
            <w:tcW w:w="1400" w:type="dxa"/>
            <w:tcBorders>
              <w:top w:val="nil"/>
              <w:left w:val="nil"/>
              <w:bottom w:val="single" w:sz="4" w:space="0" w:color="auto"/>
              <w:right w:val="single" w:sz="4" w:space="0" w:color="auto"/>
            </w:tcBorders>
            <w:vAlign w:val="bottom"/>
          </w:tcPr>
          <w:p w14:paraId="6803653E" w14:textId="77777777" w:rsidR="000C35AF" w:rsidRPr="00D72219" w:rsidRDefault="000C35AF" w:rsidP="009238AE">
            <w:pPr>
              <w:pStyle w:val="Regresjonstabell"/>
              <w:jc w:val="right"/>
              <w:rPr>
                <w:sz w:val="20"/>
                <w:szCs w:val="20"/>
              </w:rPr>
            </w:pPr>
            <w:r w:rsidRPr="00D72219">
              <w:rPr>
                <w:color w:val="000000"/>
                <w:sz w:val="20"/>
                <w:szCs w:val="20"/>
              </w:rPr>
              <w:t>0.572</w:t>
            </w:r>
          </w:p>
        </w:tc>
      </w:tr>
    </w:tbl>
    <w:p w14:paraId="45AD3772"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2134FD70" w14:textId="77777777" w:rsidR="000C35AF" w:rsidRPr="0055149C" w:rsidRDefault="000C35AF" w:rsidP="000C35AF">
      <w:pPr>
        <w:pStyle w:val="Source"/>
        <w:rPr>
          <w:lang w:eastAsia="nb-NO"/>
        </w:rPr>
      </w:pPr>
      <w:r w:rsidRPr="0055149C">
        <w:rPr>
          <w:lang w:eastAsia="nb-NO"/>
        </w:rPr>
        <w:t>Kilde: Vista Analyse</w:t>
      </w:r>
    </w:p>
    <w:p w14:paraId="4C5E1073" w14:textId="77777777" w:rsidR="00A159CE" w:rsidRDefault="00A159CE" w:rsidP="000C35AF">
      <w:pPr>
        <w:pStyle w:val="Bildetekst"/>
      </w:pPr>
      <w:r>
        <w:br w:type="page"/>
      </w:r>
    </w:p>
    <w:p w14:paraId="08EB702E" w14:textId="1F21E2D7" w:rsidR="000C35AF" w:rsidRPr="0055149C" w:rsidRDefault="000C35AF" w:rsidP="000C35AF">
      <w:pPr>
        <w:pStyle w:val="Bildetekst"/>
      </w:pPr>
      <w:r w:rsidRPr="0055149C">
        <w:lastRenderedPageBreak/>
        <w:t xml:space="preserve">Tabell </w:t>
      </w:r>
      <w:fldSimple w:instr=" STYLEREF 1 \s ">
        <w:r w:rsidR="009B1DA8">
          <w:rPr>
            <w:noProof/>
          </w:rPr>
          <w:t>4</w:t>
        </w:r>
      </w:fldSimple>
      <w:r w:rsidRPr="0055149C">
        <w:t>.</w:t>
      </w:r>
      <w:fldSimple w:instr=" SEQ Tabell \* ARABIC \s 1 ">
        <w:r w:rsidR="009B1DA8">
          <w:rPr>
            <w:noProof/>
          </w:rPr>
          <w:t>16</w:t>
        </w:r>
      </w:fldSimple>
      <w:r w:rsidRPr="0055149C">
        <w:t xml:space="preserve"> </w:t>
      </w:r>
      <w:r w:rsidRPr="0055149C">
        <w:tab/>
        <w:t xml:space="preserve">Regresjoner ved minste kvadraters metode, der kostnadene innen barnehagen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115BFF28" w14:textId="77777777" w:rsidTr="009238AE">
        <w:tc>
          <w:tcPr>
            <w:tcW w:w="2798" w:type="dxa"/>
            <w:tcBorders>
              <w:top w:val="single" w:sz="4" w:space="0" w:color="auto"/>
              <w:left w:val="single" w:sz="4" w:space="0" w:color="auto"/>
              <w:bottom w:val="nil"/>
              <w:right w:val="nil"/>
            </w:tcBorders>
            <w:shd w:val="clear" w:color="auto" w:fill="3672B0" w:themeFill="accent2"/>
          </w:tcPr>
          <w:p w14:paraId="4B3B5AEB"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3F1BCAC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283F133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6D1773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7CD7E02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00BE600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2277BB8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6662C81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76A41F9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713AF285" w14:textId="77777777" w:rsidTr="009238AE">
        <w:tc>
          <w:tcPr>
            <w:tcW w:w="2798" w:type="dxa"/>
            <w:tcBorders>
              <w:top w:val="nil"/>
              <w:left w:val="single" w:sz="4" w:space="0" w:color="auto"/>
              <w:bottom w:val="single" w:sz="4" w:space="0" w:color="auto"/>
              <w:right w:val="nil"/>
            </w:tcBorders>
            <w:shd w:val="clear" w:color="auto" w:fill="3672B0" w:themeFill="accent2"/>
          </w:tcPr>
          <w:p w14:paraId="11585037"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040A07A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FD54C7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4E267A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7CAFABB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7A5B65D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1F5EEBB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1785494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6F5A2B4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30CEC907"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tcPr>
          <w:p w14:paraId="7D76CD47" w14:textId="77777777" w:rsidR="000C35AF" w:rsidRPr="0055149C" w:rsidRDefault="000C35AF" w:rsidP="009238AE">
            <w:pPr>
              <w:pStyle w:val="Regresjonstabell"/>
              <w:rPr>
                <w:sz w:val="20"/>
                <w:szCs w:val="20"/>
              </w:rPr>
            </w:pPr>
            <w:r w:rsidRPr="0055149C">
              <w:rPr>
                <w:sz w:val="20"/>
                <w:szCs w:val="20"/>
              </w:rPr>
              <w:t>Innbyggere 2 til 5 år</w:t>
            </w:r>
          </w:p>
        </w:tc>
        <w:tc>
          <w:tcPr>
            <w:tcW w:w="1399" w:type="dxa"/>
            <w:tcBorders>
              <w:top w:val="single" w:sz="4" w:space="0" w:color="auto"/>
              <w:left w:val="single" w:sz="4" w:space="0" w:color="auto"/>
              <w:bottom w:val="nil"/>
              <w:right w:val="nil"/>
            </w:tcBorders>
            <w:vAlign w:val="bottom"/>
          </w:tcPr>
          <w:p w14:paraId="51AE0B76" w14:textId="77777777" w:rsidR="000C35AF" w:rsidRPr="00113056" w:rsidRDefault="000C35AF" w:rsidP="009238AE">
            <w:pPr>
              <w:pStyle w:val="Regresjonstabell"/>
              <w:jc w:val="right"/>
              <w:rPr>
                <w:sz w:val="20"/>
                <w:szCs w:val="20"/>
              </w:rPr>
            </w:pPr>
            <w:r w:rsidRPr="00113056">
              <w:rPr>
                <w:color w:val="000000"/>
                <w:sz w:val="20"/>
                <w:szCs w:val="20"/>
              </w:rPr>
              <w:t>185.132***</w:t>
            </w:r>
          </w:p>
        </w:tc>
        <w:tc>
          <w:tcPr>
            <w:tcW w:w="1399" w:type="dxa"/>
            <w:tcBorders>
              <w:top w:val="single" w:sz="4" w:space="0" w:color="auto"/>
              <w:left w:val="nil"/>
              <w:bottom w:val="nil"/>
              <w:right w:val="nil"/>
            </w:tcBorders>
            <w:vAlign w:val="bottom"/>
          </w:tcPr>
          <w:p w14:paraId="1CFA92A6" w14:textId="77777777" w:rsidR="000C35AF" w:rsidRPr="00113056" w:rsidRDefault="000C35AF" w:rsidP="009238AE">
            <w:pPr>
              <w:pStyle w:val="Regresjonstabell"/>
              <w:jc w:val="right"/>
              <w:rPr>
                <w:sz w:val="20"/>
                <w:szCs w:val="20"/>
              </w:rPr>
            </w:pPr>
            <w:r w:rsidRPr="00113056">
              <w:rPr>
                <w:color w:val="000000"/>
                <w:sz w:val="20"/>
                <w:szCs w:val="20"/>
              </w:rPr>
              <w:t>70.931***</w:t>
            </w:r>
          </w:p>
        </w:tc>
        <w:tc>
          <w:tcPr>
            <w:tcW w:w="1399" w:type="dxa"/>
            <w:tcBorders>
              <w:top w:val="single" w:sz="4" w:space="0" w:color="auto"/>
              <w:left w:val="nil"/>
              <w:bottom w:val="nil"/>
              <w:right w:val="nil"/>
            </w:tcBorders>
            <w:vAlign w:val="bottom"/>
          </w:tcPr>
          <w:p w14:paraId="53D8A98B" w14:textId="77777777" w:rsidR="000C35AF" w:rsidRPr="00113056" w:rsidRDefault="000C35AF" w:rsidP="009238AE">
            <w:pPr>
              <w:pStyle w:val="Regresjonstabell"/>
              <w:jc w:val="right"/>
              <w:rPr>
                <w:sz w:val="20"/>
                <w:szCs w:val="20"/>
              </w:rPr>
            </w:pPr>
            <w:r w:rsidRPr="00113056">
              <w:rPr>
                <w:color w:val="000000"/>
                <w:sz w:val="20"/>
                <w:szCs w:val="20"/>
              </w:rPr>
              <w:t>114.201***</w:t>
            </w:r>
          </w:p>
        </w:tc>
        <w:tc>
          <w:tcPr>
            <w:tcW w:w="1399" w:type="dxa"/>
            <w:tcBorders>
              <w:top w:val="single" w:sz="4" w:space="0" w:color="auto"/>
              <w:left w:val="nil"/>
              <w:bottom w:val="nil"/>
              <w:right w:val="nil"/>
            </w:tcBorders>
            <w:vAlign w:val="bottom"/>
          </w:tcPr>
          <w:p w14:paraId="39ED1F06" w14:textId="77777777" w:rsidR="000C35AF" w:rsidRPr="00113056" w:rsidRDefault="000C35AF" w:rsidP="009238AE">
            <w:pPr>
              <w:pStyle w:val="Regresjonstabell"/>
              <w:jc w:val="right"/>
              <w:rPr>
                <w:sz w:val="20"/>
                <w:szCs w:val="20"/>
              </w:rPr>
            </w:pPr>
            <w:r w:rsidRPr="00113056">
              <w:rPr>
                <w:color w:val="000000"/>
                <w:sz w:val="20"/>
                <w:szCs w:val="20"/>
              </w:rPr>
              <w:t>3.482*</w:t>
            </w:r>
          </w:p>
        </w:tc>
        <w:tc>
          <w:tcPr>
            <w:tcW w:w="1399" w:type="dxa"/>
            <w:tcBorders>
              <w:top w:val="single" w:sz="4" w:space="0" w:color="auto"/>
              <w:left w:val="nil"/>
              <w:bottom w:val="nil"/>
              <w:right w:val="nil"/>
            </w:tcBorders>
            <w:vAlign w:val="bottom"/>
          </w:tcPr>
          <w:p w14:paraId="58CC07BD" w14:textId="77777777" w:rsidR="000C35AF" w:rsidRPr="00113056" w:rsidRDefault="000C35AF" w:rsidP="009238AE">
            <w:pPr>
              <w:pStyle w:val="Regresjonstabell"/>
              <w:jc w:val="right"/>
              <w:rPr>
                <w:sz w:val="20"/>
                <w:szCs w:val="20"/>
              </w:rPr>
            </w:pPr>
            <w:r w:rsidRPr="00113056">
              <w:rPr>
                <w:color w:val="000000"/>
                <w:sz w:val="20"/>
                <w:szCs w:val="20"/>
              </w:rPr>
              <w:t>4.597**</w:t>
            </w:r>
          </w:p>
        </w:tc>
        <w:tc>
          <w:tcPr>
            <w:tcW w:w="1399" w:type="dxa"/>
            <w:tcBorders>
              <w:top w:val="single" w:sz="4" w:space="0" w:color="auto"/>
              <w:left w:val="nil"/>
              <w:bottom w:val="nil"/>
              <w:right w:val="nil"/>
            </w:tcBorders>
            <w:vAlign w:val="bottom"/>
          </w:tcPr>
          <w:p w14:paraId="2651C058" w14:textId="77777777" w:rsidR="000C35AF" w:rsidRPr="00113056" w:rsidRDefault="000C35AF" w:rsidP="009238AE">
            <w:pPr>
              <w:pStyle w:val="Regresjonstabell"/>
              <w:jc w:val="right"/>
              <w:rPr>
                <w:sz w:val="20"/>
                <w:szCs w:val="20"/>
              </w:rPr>
            </w:pPr>
            <w:r w:rsidRPr="00113056">
              <w:rPr>
                <w:color w:val="000000"/>
                <w:sz w:val="20"/>
                <w:szCs w:val="20"/>
              </w:rPr>
              <w:t>10.603**</w:t>
            </w:r>
          </w:p>
        </w:tc>
        <w:tc>
          <w:tcPr>
            <w:tcW w:w="1400" w:type="dxa"/>
            <w:tcBorders>
              <w:top w:val="single" w:sz="4" w:space="0" w:color="auto"/>
              <w:left w:val="nil"/>
              <w:bottom w:val="nil"/>
              <w:right w:val="nil"/>
            </w:tcBorders>
            <w:vAlign w:val="bottom"/>
          </w:tcPr>
          <w:p w14:paraId="294CABEA" w14:textId="77777777" w:rsidR="000C35AF" w:rsidRPr="00113056" w:rsidRDefault="000C35AF" w:rsidP="009238AE">
            <w:pPr>
              <w:pStyle w:val="Regresjonstabell"/>
              <w:jc w:val="right"/>
              <w:rPr>
                <w:sz w:val="20"/>
                <w:szCs w:val="20"/>
              </w:rPr>
            </w:pPr>
            <w:r w:rsidRPr="00113056">
              <w:rPr>
                <w:color w:val="000000"/>
                <w:sz w:val="20"/>
                <w:szCs w:val="20"/>
              </w:rPr>
              <w:t>15.201**</w:t>
            </w:r>
          </w:p>
        </w:tc>
        <w:tc>
          <w:tcPr>
            <w:tcW w:w="1400" w:type="dxa"/>
            <w:tcBorders>
              <w:top w:val="single" w:sz="4" w:space="0" w:color="auto"/>
              <w:left w:val="nil"/>
              <w:bottom w:val="nil"/>
              <w:right w:val="single" w:sz="4" w:space="0" w:color="auto"/>
            </w:tcBorders>
            <w:vAlign w:val="bottom"/>
          </w:tcPr>
          <w:p w14:paraId="7D6BEF78" w14:textId="77777777" w:rsidR="000C35AF" w:rsidRPr="00113056" w:rsidRDefault="000C35AF" w:rsidP="009238AE">
            <w:pPr>
              <w:pStyle w:val="Regresjonstabell"/>
              <w:jc w:val="right"/>
              <w:rPr>
                <w:sz w:val="20"/>
                <w:szCs w:val="20"/>
              </w:rPr>
            </w:pPr>
            <w:r w:rsidRPr="00113056">
              <w:rPr>
                <w:color w:val="000000"/>
                <w:sz w:val="20"/>
                <w:szCs w:val="20"/>
              </w:rPr>
              <w:t>200.332***</w:t>
            </w:r>
          </w:p>
        </w:tc>
      </w:tr>
      <w:tr w:rsidR="000C35AF" w:rsidRPr="0055149C" w14:paraId="21C927ED"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0802E3E5"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71ED6D34" w14:textId="77777777" w:rsidR="000C35AF" w:rsidRPr="00113056" w:rsidRDefault="000C35AF" w:rsidP="009238AE">
            <w:pPr>
              <w:pStyle w:val="Regresjonstabell"/>
              <w:jc w:val="right"/>
              <w:rPr>
                <w:sz w:val="20"/>
                <w:szCs w:val="20"/>
              </w:rPr>
            </w:pPr>
            <w:r w:rsidRPr="00113056">
              <w:rPr>
                <w:color w:val="000000"/>
                <w:sz w:val="20"/>
                <w:szCs w:val="20"/>
              </w:rPr>
              <w:t>(9.401)</w:t>
            </w:r>
          </w:p>
        </w:tc>
        <w:tc>
          <w:tcPr>
            <w:tcW w:w="1399" w:type="dxa"/>
            <w:tcBorders>
              <w:top w:val="nil"/>
              <w:left w:val="nil"/>
              <w:bottom w:val="nil"/>
              <w:right w:val="nil"/>
            </w:tcBorders>
            <w:vAlign w:val="center"/>
          </w:tcPr>
          <w:p w14:paraId="3C8359C1" w14:textId="77777777" w:rsidR="000C35AF" w:rsidRPr="00113056" w:rsidRDefault="000C35AF" w:rsidP="009238AE">
            <w:pPr>
              <w:pStyle w:val="Regresjonstabell"/>
              <w:jc w:val="right"/>
              <w:rPr>
                <w:sz w:val="20"/>
                <w:szCs w:val="20"/>
              </w:rPr>
            </w:pPr>
            <w:r w:rsidRPr="00113056">
              <w:rPr>
                <w:color w:val="000000"/>
                <w:sz w:val="20"/>
                <w:szCs w:val="20"/>
              </w:rPr>
              <w:t>(18.780)</w:t>
            </w:r>
          </w:p>
        </w:tc>
        <w:tc>
          <w:tcPr>
            <w:tcW w:w="1399" w:type="dxa"/>
            <w:tcBorders>
              <w:top w:val="nil"/>
              <w:left w:val="nil"/>
              <w:bottom w:val="nil"/>
              <w:right w:val="nil"/>
            </w:tcBorders>
            <w:vAlign w:val="center"/>
          </w:tcPr>
          <w:p w14:paraId="16171051" w14:textId="77777777" w:rsidR="000C35AF" w:rsidRPr="00113056" w:rsidRDefault="000C35AF" w:rsidP="009238AE">
            <w:pPr>
              <w:pStyle w:val="Regresjonstabell"/>
              <w:jc w:val="right"/>
              <w:rPr>
                <w:sz w:val="20"/>
                <w:szCs w:val="20"/>
              </w:rPr>
            </w:pPr>
            <w:r w:rsidRPr="00113056">
              <w:rPr>
                <w:color w:val="000000"/>
                <w:sz w:val="20"/>
                <w:szCs w:val="20"/>
              </w:rPr>
              <w:t>(14.945)</w:t>
            </w:r>
          </w:p>
        </w:tc>
        <w:tc>
          <w:tcPr>
            <w:tcW w:w="1399" w:type="dxa"/>
            <w:tcBorders>
              <w:top w:val="nil"/>
              <w:left w:val="nil"/>
              <w:bottom w:val="nil"/>
              <w:right w:val="nil"/>
            </w:tcBorders>
            <w:vAlign w:val="center"/>
          </w:tcPr>
          <w:p w14:paraId="0DD9A6AE" w14:textId="77777777" w:rsidR="000C35AF" w:rsidRPr="00113056" w:rsidRDefault="000C35AF" w:rsidP="009238AE">
            <w:pPr>
              <w:pStyle w:val="Regresjonstabell"/>
              <w:jc w:val="right"/>
              <w:rPr>
                <w:sz w:val="20"/>
                <w:szCs w:val="20"/>
              </w:rPr>
            </w:pPr>
            <w:r w:rsidRPr="00113056">
              <w:rPr>
                <w:color w:val="000000"/>
                <w:sz w:val="20"/>
                <w:szCs w:val="20"/>
              </w:rPr>
              <w:t>(2.002)</w:t>
            </w:r>
          </w:p>
        </w:tc>
        <w:tc>
          <w:tcPr>
            <w:tcW w:w="1399" w:type="dxa"/>
            <w:tcBorders>
              <w:top w:val="nil"/>
              <w:left w:val="nil"/>
              <w:bottom w:val="nil"/>
              <w:right w:val="nil"/>
            </w:tcBorders>
            <w:vAlign w:val="center"/>
          </w:tcPr>
          <w:p w14:paraId="71DC1DFA" w14:textId="77777777" w:rsidR="000C35AF" w:rsidRPr="00113056" w:rsidRDefault="000C35AF" w:rsidP="009238AE">
            <w:pPr>
              <w:pStyle w:val="Regresjonstabell"/>
              <w:jc w:val="right"/>
              <w:rPr>
                <w:sz w:val="20"/>
                <w:szCs w:val="20"/>
              </w:rPr>
            </w:pPr>
            <w:r w:rsidRPr="00113056">
              <w:rPr>
                <w:color w:val="000000"/>
                <w:sz w:val="20"/>
                <w:szCs w:val="20"/>
              </w:rPr>
              <w:t>(2.084)</w:t>
            </w:r>
          </w:p>
        </w:tc>
        <w:tc>
          <w:tcPr>
            <w:tcW w:w="1399" w:type="dxa"/>
            <w:tcBorders>
              <w:top w:val="nil"/>
              <w:left w:val="nil"/>
              <w:bottom w:val="nil"/>
              <w:right w:val="nil"/>
            </w:tcBorders>
            <w:vAlign w:val="center"/>
          </w:tcPr>
          <w:p w14:paraId="2476E593" w14:textId="77777777" w:rsidR="000C35AF" w:rsidRPr="00113056" w:rsidRDefault="000C35AF" w:rsidP="009238AE">
            <w:pPr>
              <w:pStyle w:val="Regresjonstabell"/>
              <w:jc w:val="right"/>
              <w:rPr>
                <w:sz w:val="20"/>
                <w:szCs w:val="20"/>
              </w:rPr>
            </w:pPr>
            <w:r w:rsidRPr="00113056">
              <w:rPr>
                <w:color w:val="000000"/>
                <w:sz w:val="20"/>
                <w:szCs w:val="20"/>
              </w:rPr>
              <w:t>(4.864)</w:t>
            </w:r>
          </w:p>
        </w:tc>
        <w:tc>
          <w:tcPr>
            <w:tcW w:w="1400" w:type="dxa"/>
            <w:tcBorders>
              <w:top w:val="nil"/>
              <w:left w:val="nil"/>
              <w:bottom w:val="nil"/>
              <w:right w:val="nil"/>
            </w:tcBorders>
            <w:vAlign w:val="center"/>
          </w:tcPr>
          <w:p w14:paraId="005205A8" w14:textId="77777777" w:rsidR="000C35AF" w:rsidRPr="00113056" w:rsidRDefault="000C35AF" w:rsidP="009238AE">
            <w:pPr>
              <w:pStyle w:val="Regresjonstabell"/>
              <w:jc w:val="right"/>
              <w:rPr>
                <w:sz w:val="20"/>
                <w:szCs w:val="20"/>
              </w:rPr>
            </w:pPr>
            <w:r w:rsidRPr="00113056">
              <w:rPr>
                <w:color w:val="000000"/>
                <w:sz w:val="20"/>
                <w:szCs w:val="20"/>
              </w:rPr>
              <w:t>(6.948)</w:t>
            </w:r>
          </w:p>
        </w:tc>
        <w:tc>
          <w:tcPr>
            <w:tcW w:w="1400" w:type="dxa"/>
            <w:tcBorders>
              <w:top w:val="nil"/>
              <w:left w:val="nil"/>
              <w:bottom w:val="nil"/>
              <w:right w:val="single" w:sz="4" w:space="0" w:color="auto"/>
            </w:tcBorders>
            <w:vAlign w:val="center"/>
          </w:tcPr>
          <w:p w14:paraId="65AFBBEC" w14:textId="77777777" w:rsidR="000C35AF" w:rsidRPr="00113056" w:rsidRDefault="000C35AF" w:rsidP="009238AE">
            <w:pPr>
              <w:pStyle w:val="Regresjonstabell"/>
              <w:jc w:val="right"/>
              <w:rPr>
                <w:sz w:val="20"/>
                <w:szCs w:val="20"/>
              </w:rPr>
            </w:pPr>
            <w:r w:rsidRPr="00113056">
              <w:rPr>
                <w:color w:val="000000"/>
                <w:sz w:val="20"/>
                <w:szCs w:val="20"/>
              </w:rPr>
              <w:t>(13.983)</w:t>
            </w:r>
          </w:p>
        </w:tc>
      </w:tr>
      <w:tr w:rsidR="000C35AF" w:rsidRPr="0055149C" w14:paraId="4DCB93B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D0D7322" w14:textId="77777777" w:rsidR="000C35AF" w:rsidRPr="0055149C" w:rsidRDefault="000C35AF" w:rsidP="009238AE">
            <w:pPr>
              <w:pStyle w:val="Regresjonstabell"/>
              <w:rPr>
                <w:sz w:val="20"/>
                <w:szCs w:val="20"/>
              </w:rPr>
            </w:pPr>
            <w:r w:rsidRPr="0055149C">
              <w:rPr>
                <w:sz w:val="20"/>
                <w:szCs w:val="20"/>
              </w:rPr>
              <w:t>Ettåringer uten kontantstøtte</w:t>
            </w:r>
          </w:p>
        </w:tc>
        <w:tc>
          <w:tcPr>
            <w:tcW w:w="1399" w:type="dxa"/>
            <w:tcBorders>
              <w:top w:val="nil"/>
              <w:left w:val="single" w:sz="4" w:space="0" w:color="auto"/>
              <w:bottom w:val="nil"/>
              <w:right w:val="nil"/>
            </w:tcBorders>
            <w:vAlign w:val="bottom"/>
          </w:tcPr>
          <w:p w14:paraId="4806B67E" w14:textId="77777777" w:rsidR="000C35AF" w:rsidRPr="00113056" w:rsidRDefault="000C35AF" w:rsidP="009238AE">
            <w:pPr>
              <w:pStyle w:val="Regresjonstabell"/>
              <w:jc w:val="right"/>
              <w:rPr>
                <w:color w:val="000000"/>
                <w:sz w:val="20"/>
                <w:szCs w:val="20"/>
              </w:rPr>
            </w:pPr>
            <w:r w:rsidRPr="00113056">
              <w:rPr>
                <w:color w:val="000000"/>
                <w:sz w:val="20"/>
                <w:szCs w:val="20"/>
              </w:rPr>
              <w:t>414.283**</w:t>
            </w:r>
          </w:p>
        </w:tc>
        <w:tc>
          <w:tcPr>
            <w:tcW w:w="1399" w:type="dxa"/>
            <w:tcBorders>
              <w:top w:val="nil"/>
              <w:left w:val="nil"/>
              <w:bottom w:val="nil"/>
              <w:right w:val="nil"/>
            </w:tcBorders>
            <w:vAlign w:val="bottom"/>
          </w:tcPr>
          <w:p w14:paraId="4493E321" w14:textId="77777777" w:rsidR="000C35AF" w:rsidRPr="00113056" w:rsidRDefault="000C35AF" w:rsidP="009238AE">
            <w:pPr>
              <w:pStyle w:val="Regresjonstabell"/>
              <w:jc w:val="right"/>
              <w:rPr>
                <w:sz w:val="20"/>
                <w:szCs w:val="20"/>
              </w:rPr>
            </w:pPr>
            <w:r w:rsidRPr="00113056">
              <w:rPr>
                <w:color w:val="000000"/>
                <w:sz w:val="20"/>
                <w:szCs w:val="20"/>
              </w:rPr>
              <w:t>737.167**</w:t>
            </w:r>
          </w:p>
        </w:tc>
        <w:tc>
          <w:tcPr>
            <w:tcW w:w="1399" w:type="dxa"/>
            <w:tcBorders>
              <w:top w:val="nil"/>
              <w:left w:val="nil"/>
              <w:bottom w:val="nil"/>
              <w:right w:val="nil"/>
            </w:tcBorders>
            <w:vAlign w:val="bottom"/>
          </w:tcPr>
          <w:p w14:paraId="787D3D48" w14:textId="77777777" w:rsidR="000C35AF" w:rsidRPr="00113056" w:rsidRDefault="000C35AF" w:rsidP="009238AE">
            <w:pPr>
              <w:pStyle w:val="Regresjonstabell"/>
              <w:jc w:val="right"/>
              <w:rPr>
                <w:color w:val="000000"/>
                <w:sz w:val="20"/>
                <w:szCs w:val="20"/>
              </w:rPr>
            </w:pPr>
            <w:r w:rsidRPr="00113056">
              <w:rPr>
                <w:color w:val="000000"/>
                <w:sz w:val="20"/>
                <w:szCs w:val="20"/>
              </w:rPr>
              <w:t>-322.884</w:t>
            </w:r>
          </w:p>
        </w:tc>
        <w:tc>
          <w:tcPr>
            <w:tcW w:w="1399" w:type="dxa"/>
            <w:tcBorders>
              <w:top w:val="nil"/>
              <w:left w:val="nil"/>
              <w:bottom w:val="nil"/>
              <w:right w:val="nil"/>
            </w:tcBorders>
            <w:vAlign w:val="bottom"/>
          </w:tcPr>
          <w:p w14:paraId="77A4DA41" w14:textId="77777777" w:rsidR="000C35AF" w:rsidRPr="00113056" w:rsidRDefault="000C35AF" w:rsidP="009238AE">
            <w:pPr>
              <w:pStyle w:val="Regresjonstabell"/>
              <w:jc w:val="right"/>
              <w:rPr>
                <w:sz w:val="20"/>
                <w:szCs w:val="20"/>
              </w:rPr>
            </w:pPr>
            <w:r w:rsidRPr="00113056">
              <w:rPr>
                <w:color w:val="000000"/>
                <w:sz w:val="20"/>
                <w:szCs w:val="20"/>
              </w:rPr>
              <w:t>18.543</w:t>
            </w:r>
          </w:p>
        </w:tc>
        <w:tc>
          <w:tcPr>
            <w:tcW w:w="1399" w:type="dxa"/>
            <w:tcBorders>
              <w:top w:val="nil"/>
              <w:left w:val="nil"/>
              <w:bottom w:val="nil"/>
              <w:right w:val="nil"/>
            </w:tcBorders>
            <w:vAlign w:val="bottom"/>
          </w:tcPr>
          <w:p w14:paraId="0A55ED6C" w14:textId="77777777" w:rsidR="000C35AF" w:rsidRPr="00113056" w:rsidRDefault="000C35AF" w:rsidP="009238AE">
            <w:pPr>
              <w:pStyle w:val="Regresjonstabell"/>
              <w:jc w:val="right"/>
              <w:rPr>
                <w:color w:val="000000"/>
                <w:sz w:val="20"/>
                <w:szCs w:val="20"/>
              </w:rPr>
            </w:pPr>
            <w:r w:rsidRPr="00113056">
              <w:rPr>
                <w:color w:val="000000"/>
                <w:sz w:val="20"/>
                <w:szCs w:val="20"/>
              </w:rPr>
              <w:t>24.412</w:t>
            </w:r>
          </w:p>
        </w:tc>
        <w:tc>
          <w:tcPr>
            <w:tcW w:w="1399" w:type="dxa"/>
            <w:tcBorders>
              <w:top w:val="nil"/>
              <w:left w:val="nil"/>
              <w:bottom w:val="nil"/>
              <w:right w:val="nil"/>
            </w:tcBorders>
            <w:vAlign w:val="bottom"/>
          </w:tcPr>
          <w:p w14:paraId="1D81FAD0" w14:textId="77777777" w:rsidR="000C35AF" w:rsidRPr="00113056" w:rsidRDefault="000C35AF" w:rsidP="009238AE">
            <w:pPr>
              <w:pStyle w:val="Regresjonstabell"/>
              <w:jc w:val="right"/>
              <w:rPr>
                <w:sz w:val="20"/>
                <w:szCs w:val="20"/>
              </w:rPr>
            </w:pPr>
            <w:r w:rsidRPr="00113056">
              <w:rPr>
                <w:color w:val="000000"/>
                <w:sz w:val="20"/>
                <w:szCs w:val="20"/>
              </w:rPr>
              <w:t>57.979</w:t>
            </w:r>
          </w:p>
        </w:tc>
        <w:tc>
          <w:tcPr>
            <w:tcW w:w="1400" w:type="dxa"/>
            <w:tcBorders>
              <w:top w:val="nil"/>
              <w:left w:val="nil"/>
              <w:bottom w:val="nil"/>
              <w:right w:val="nil"/>
            </w:tcBorders>
            <w:vAlign w:val="bottom"/>
          </w:tcPr>
          <w:p w14:paraId="1E7FC858" w14:textId="77777777" w:rsidR="000C35AF" w:rsidRPr="00113056" w:rsidRDefault="000C35AF" w:rsidP="009238AE">
            <w:pPr>
              <w:pStyle w:val="Regresjonstabell"/>
              <w:jc w:val="right"/>
              <w:rPr>
                <w:color w:val="000000"/>
                <w:sz w:val="20"/>
                <w:szCs w:val="20"/>
              </w:rPr>
            </w:pPr>
            <w:r w:rsidRPr="00113056">
              <w:rPr>
                <w:color w:val="000000"/>
                <w:sz w:val="20"/>
                <w:szCs w:val="20"/>
              </w:rPr>
              <w:t>82.390</w:t>
            </w:r>
          </w:p>
        </w:tc>
        <w:tc>
          <w:tcPr>
            <w:tcW w:w="1400" w:type="dxa"/>
            <w:tcBorders>
              <w:top w:val="nil"/>
              <w:left w:val="nil"/>
              <w:bottom w:val="nil"/>
              <w:right w:val="single" w:sz="4" w:space="0" w:color="auto"/>
            </w:tcBorders>
            <w:vAlign w:val="bottom"/>
          </w:tcPr>
          <w:p w14:paraId="27359616" w14:textId="77777777" w:rsidR="000C35AF" w:rsidRPr="00113056" w:rsidRDefault="000C35AF" w:rsidP="009238AE">
            <w:pPr>
              <w:pStyle w:val="Regresjonstabell"/>
              <w:jc w:val="right"/>
              <w:rPr>
                <w:sz w:val="20"/>
                <w:szCs w:val="20"/>
              </w:rPr>
            </w:pPr>
            <w:r w:rsidRPr="00113056">
              <w:rPr>
                <w:color w:val="000000"/>
                <w:sz w:val="20"/>
                <w:szCs w:val="20"/>
              </w:rPr>
              <w:t>496.673*</w:t>
            </w:r>
          </w:p>
        </w:tc>
      </w:tr>
      <w:tr w:rsidR="000C35AF" w:rsidRPr="0055149C" w14:paraId="2F04EBF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5EEEFDC" w14:textId="77777777" w:rsidR="000C35AF" w:rsidRPr="0055149C" w:rsidRDefault="000C35AF" w:rsidP="009238AE">
            <w:pPr>
              <w:pStyle w:val="Regresjonstabell"/>
              <w:rPr>
                <w:sz w:val="20"/>
                <w:szCs w:val="20"/>
              </w:rPr>
            </w:pPr>
            <w:r w:rsidRPr="0055149C">
              <w:rPr>
                <w:sz w:val="20"/>
                <w:szCs w:val="20"/>
              </w:rPr>
              <w:t>(Kriterium 32)</w:t>
            </w:r>
          </w:p>
        </w:tc>
        <w:tc>
          <w:tcPr>
            <w:tcW w:w="1399" w:type="dxa"/>
            <w:tcBorders>
              <w:top w:val="nil"/>
              <w:left w:val="single" w:sz="4" w:space="0" w:color="auto"/>
              <w:bottom w:val="nil"/>
              <w:right w:val="nil"/>
            </w:tcBorders>
            <w:vAlign w:val="center"/>
          </w:tcPr>
          <w:p w14:paraId="0A7481A0" w14:textId="77777777" w:rsidR="000C35AF" w:rsidRPr="00113056" w:rsidRDefault="000C35AF" w:rsidP="009238AE">
            <w:pPr>
              <w:pStyle w:val="Regresjonstabell"/>
              <w:jc w:val="right"/>
              <w:rPr>
                <w:color w:val="000000"/>
                <w:sz w:val="20"/>
                <w:szCs w:val="20"/>
              </w:rPr>
            </w:pPr>
            <w:r w:rsidRPr="00113056">
              <w:rPr>
                <w:color w:val="000000"/>
                <w:sz w:val="20"/>
                <w:szCs w:val="20"/>
              </w:rPr>
              <w:t>(185.145)</w:t>
            </w:r>
          </w:p>
        </w:tc>
        <w:tc>
          <w:tcPr>
            <w:tcW w:w="1399" w:type="dxa"/>
            <w:tcBorders>
              <w:top w:val="nil"/>
              <w:left w:val="nil"/>
              <w:bottom w:val="nil"/>
              <w:right w:val="nil"/>
            </w:tcBorders>
            <w:vAlign w:val="center"/>
          </w:tcPr>
          <w:p w14:paraId="329D7B2B" w14:textId="77777777" w:rsidR="000C35AF" w:rsidRPr="00113056" w:rsidRDefault="000C35AF" w:rsidP="009238AE">
            <w:pPr>
              <w:pStyle w:val="Regresjonstabell"/>
              <w:jc w:val="right"/>
              <w:rPr>
                <w:sz w:val="20"/>
                <w:szCs w:val="20"/>
              </w:rPr>
            </w:pPr>
            <w:r w:rsidRPr="00113056">
              <w:rPr>
                <w:color w:val="000000"/>
                <w:sz w:val="20"/>
                <w:szCs w:val="20"/>
              </w:rPr>
              <w:t>(346.324)</w:t>
            </w:r>
          </w:p>
        </w:tc>
        <w:tc>
          <w:tcPr>
            <w:tcW w:w="1399" w:type="dxa"/>
            <w:tcBorders>
              <w:top w:val="nil"/>
              <w:left w:val="nil"/>
              <w:bottom w:val="nil"/>
              <w:right w:val="nil"/>
            </w:tcBorders>
            <w:vAlign w:val="center"/>
          </w:tcPr>
          <w:p w14:paraId="5E8AE242" w14:textId="77777777" w:rsidR="000C35AF" w:rsidRPr="00113056" w:rsidRDefault="000C35AF" w:rsidP="009238AE">
            <w:pPr>
              <w:pStyle w:val="Regresjonstabell"/>
              <w:jc w:val="right"/>
              <w:rPr>
                <w:color w:val="000000"/>
                <w:sz w:val="20"/>
                <w:szCs w:val="20"/>
              </w:rPr>
            </w:pPr>
            <w:r w:rsidRPr="00113056">
              <w:rPr>
                <w:color w:val="000000"/>
                <w:sz w:val="20"/>
                <w:szCs w:val="20"/>
              </w:rPr>
              <w:t>(281.769)</w:t>
            </w:r>
          </w:p>
        </w:tc>
        <w:tc>
          <w:tcPr>
            <w:tcW w:w="1399" w:type="dxa"/>
            <w:tcBorders>
              <w:top w:val="nil"/>
              <w:left w:val="nil"/>
              <w:bottom w:val="nil"/>
              <w:right w:val="nil"/>
            </w:tcBorders>
            <w:vAlign w:val="center"/>
          </w:tcPr>
          <w:p w14:paraId="1116DC51" w14:textId="77777777" w:rsidR="000C35AF" w:rsidRPr="00113056" w:rsidRDefault="000C35AF" w:rsidP="009238AE">
            <w:pPr>
              <w:pStyle w:val="Regresjonstabell"/>
              <w:jc w:val="right"/>
              <w:rPr>
                <w:sz w:val="20"/>
                <w:szCs w:val="20"/>
              </w:rPr>
            </w:pPr>
            <w:r w:rsidRPr="00113056">
              <w:rPr>
                <w:color w:val="000000"/>
                <w:sz w:val="20"/>
                <w:szCs w:val="20"/>
              </w:rPr>
              <w:t>(36.910)</w:t>
            </w:r>
          </w:p>
        </w:tc>
        <w:tc>
          <w:tcPr>
            <w:tcW w:w="1399" w:type="dxa"/>
            <w:tcBorders>
              <w:top w:val="nil"/>
              <w:left w:val="nil"/>
              <w:bottom w:val="nil"/>
              <w:right w:val="nil"/>
            </w:tcBorders>
            <w:vAlign w:val="center"/>
          </w:tcPr>
          <w:p w14:paraId="350EB6D7" w14:textId="77777777" w:rsidR="000C35AF" w:rsidRPr="00113056" w:rsidRDefault="000C35AF" w:rsidP="009238AE">
            <w:pPr>
              <w:pStyle w:val="Regresjonstabell"/>
              <w:jc w:val="right"/>
              <w:rPr>
                <w:color w:val="000000"/>
                <w:sz w:val="20"/>
                <w:szCs w:val="20"/>
              </w:rPr>
            </w:pPr>
            <w:r w:rsidRPr="00113056">
              <w:rPr>
                <w:color w:val="000000"/>
                <w:sz w:val="20"/>
                <w:szCs w:val="20"/>
              </w:rPr>
              <w:t>(45.123)</w:t>
            </w:r>
          </w:p>
        </w:tc>
        <w:tc>
          <w:tcPr>
            <w:tcW w:w="1399" w:type="dxa"/>
            <w:tcBorders>
              <w:top w:val="nil"/>
              <w:left w:val="nil"/>
              <w:bottom w:val="nil"/>
              <w:right w:val="nil"/>
            </w:tcBorders>
            <w:vAlign w:val="center"/>
          </w:tcPr>
          <w:p w14:paraId="10891E6A" w14:textId="77777777" w:rsidR="000C35AF" w:rsidRPr="00113056" w:rsidRDefault="000C35AF" w:rsidP="009238AE">
            <w:pPr>
              <w:pStyle w:val="Regresjonstabell"/>
              <w:jc w:val="right"/>
              <w:rPr>
                <w:sz w:val="20"/>
                <w:szCs w:val="20"/>
              </w:rPr>
            </w:pPr>
            <w:r w:rsidRPr="00113056">
              <w:rPr>
                <w:color w:val="000000"/>
                <w:sz w:val="20"/>
                <w:szCs w:val="20"/>
              </w:rPr>
              <w:t>(105.343)</w:t>
            </w:r>
          </w:p>
        </w:tc>
        <w:tc>
          <w:tcPr>
            <w:tcW w:w="1400" w:type="dxa"/>
            <w:tcBorders>
              <w:top w:val="nil"/>
              <w:left w:val="nil"/>
              <w:bottom w:val="nil"/>
              <w:right w:val="nil"/>
            </w:tcBorders>
            <w:vAlign w:val="center"/>
          </w:tcPr>
          <w:p w14:paraId="776086D8" w14:textId="77777777" w:rsidR="000C35AF" w:rsidRPr="00113056" w:rsidRDefault="000C35AF" w:rsidP="009238AE">
            <w:pPr>
              <w:pStyle w:val="Regresjonstabell"/>
              <w:jc w:val="right"/>
              <w:rPr>
                <w:color w:val="000000"/>
                <w:sz w:val="20"/>
                <w:szCs w:val="20"/>
              </w:rPr>
            </w:pPr>
            <w:r w:rsidRPr="00113056">
              <w:rPr>
                <w:color w:val="000000"/>
                <w:sz w:val="20"/>
                <w:szCs w:val="20"/>
              </w:rPr>
              <w:t>(150.465)</w:t>
            </w:r>
          </w:p>
        </w:tc>
        <w:tc>
          <w:tcPr>
            <w:tcW w:w="1400" w:type="dxa"/>
            <w:tcBorders>
              <w:top w:val="nil"/>
              <w:left w:val="nil"/>
              <w:bottom w:val="nil"/>
              <w:right w:val="single" w:sz="4" w:space="0" w:color="auto"/>
            </w:tcBorders>
            <w:vAlign w:val="center"/>
          </w:tcPr>
          <w:p w14:paraId="4D221177" w14:textId="77777777" w:rsidR="000C35AF" w:rsidRPr="00113056" w:rsidRDefault="000C35AF" w:rsidP="009238AE">
            <w:pPr>
              <w:pStyle w:val="Regresjonstabell"/>
              <w:jc w:val="right"/>
              <w:rPr>
                <w:sz w:val="20"/>
                <w:szCs w:val="20"/>
              </w:rPr>
            </w:pPr>
            <w:r w:rsidRPr="00113056">
              <w:rPr>
                <w:color w:val="000000"/>
                <w:sz w:val="20"/>
                <w:szCs w:val="20"/>
              </w:rPr>
              <w:t>(282.109)</w:t>
            </w:r>
          </w:p>
        </w:tc>
      </w:tr>
      <w:tr w:rsidR="000C35AF" w:rsidRPr="0055149C" w14:paraId="02FA9D0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ADCD4CB" w14:textId="77777777" w:rsidR="000C35AF" w:rsidRPr="0055149C" w:rsidRDefault="000C35AF" w:rsidP="009238AE">
            <w:pPr>
              <w:pStyle w:val="Regresjonstabell"/>
              <w:rPr>
                <w:sz w:val="20"/>
                <w:szCs w:val="20"/>
              </w:rPr>
            </w:pPr>
            <w:r w:rsidRPr="0055149C">
              <w:rPr>
                <w:sz w:val="20"/>
                <w:szCs w:val="20"/>
              </w:rPr>
              <w:t>Antall med høyere utdanning</w:t>
            </w:r>
          </w:p>
        </w:tc>
        <w:tc>
          <w:tcPr>
            <w:tcW w:w="1399" w:type="dxa"/>
            <w:tcBorders>
              <w:top w:val="nil"/>
              <w:left w:val="single" w:sz="4" w:space="0" w:color="auto"/>
              <w:bottom w:val="nil"/>
              <w:right w:val="nil"/>
            </w:tcBorders>
            <w:vAlign w:val="bottom"/>
          </w:tcPr>
          <w:p w14:paraId="34DC51D4" w14:textId="77777777" w:rsidR="000C35AF" w:rsidRPr="00113056" w:rsidRDefault="000C35AF" w:rsidP="009238AE">
            <w:pPr>
              <w:pStyle w:val="Regresjonstabell"/>
              <w:jc w:val="right"/>
              <w:rPr>
                <w:sz w:val="20"/>
                <w:szCs w:val="20"/>
              </w:rPr>
            </w:pPr>
            <w:r w:rsidRPr="00113056">
              <w:rPr>
                <w:color w:val="000000"/>
                <w:sz w:val="20"/>
                <w:szCs w:val="20"/>
              </w:rPr>
              <w:t>232.775***</w:t>
            </w:r>
          </w:p>
        </w:tc>
        <w:tc>
          <w:tcPr>
            <w:tcW w:w="1399" w:type="dxa"/>
            <w:tcBorders>
              <w:top w:val="nil"/>
              <w:left w:val="nil"/>
              <w:bottom w:val="nil"/>
              <w:right w:val="nil"/>
            </w:tcBorders>
            <w:vAlign w:val="bottom"/>
          </w:tcPr>
          <w:p w14:paraId="033C0304" w14:textId="77777777" w:rsidR="000C35AF" w:rsidRPr="00113056" w:rsidRDefault="000C35AF" w:rsidP="009238AE">
            <w:pPr>
              <w:pStyle w:val="Regresjonstabell"/>
              <w:jc w:val="right"/>
              <w:rPr>
                <w:sz w:val="20"/>
                <w:szCs w:val="20"/>
              </w:rPr>
            </w:pPr>
            <w:r w:rsidRPr="00113056">
              <w:rPr>
                <w:color w:val="000000"/>
                <w:sz w:val="20"/>
                <w:szCs w:val="20"/>
              </w:rPr>
              <w:t>84.116</w:t>
            </w:r>
          </w:p>
        </w:tc>
        <w:tc>
          <w:tcPr>
            <w:tcW w:w="1399" w:type="dxa"/>
            <w:tcBorders>
              <w:top w:val="nil"/>
              <w:left w:val="nil"/>
              <w:bottom w:val="nil"/>
              <w:right w:val="nil"/>
            </w:tcBorders>
            <w:vAlign w:val="bottom"/>
          </w:tcPr>
          <w:p w14:paraId="304C717E" w14:textId="77777777" w:rsidR="000C35AF" w:rsidRPr="00113056" w:rsidRDefault="000C35AF" w:rsidP="009238AE">
            <w:pPr>
              <w:pStyle w:val="Regresjonstabell"/>
              <w:jc w:val="right"/>
              <w:rPr>
                <w:sz w:val="20"/>
                <w:szCs w:val="20"/>
              </w:rPr>
            </w:pPr>
            <w:r w:rsidRPr="00113056">
              <w:rPr>
                <w:color w:val="000000"/>
                <w:sz w:val="20"/>
                <w:szCs w:val="20"/>
              </w:rPr>
              <w:t>148.659***</w:t>
            </w:r>
          </w:p>
        </w:tc>
        <w:tc>
          <w:tcPr>
            <w:tcW w:w="1399" w:type="dxa"/>
            <w:tcBorders>
              <w:top w:val="nil"/>
              <w:left w:val="nil"/>
              <w:bottom w:val="nil"/>
              <w:right w:val="nil"/>
            </w:tcBorders>
            <w:vAlign w:val="bottom"/>
          </w:tcPr>
          <w:p w14:paraId="7FAABBB9" w14:textId="77777777" w:rsidR="000C35AF" w:rsidRPr="00113056" w:rsidRDefault="000C35AF" w:rsidP="009238AE">
            <w:pPr>
              <w:pStyle w:val="Regresjonstabell"/>
              <w:jc w:val="right"/>
              <w:rPr>
                <w:sz w:val="20"/>
                <w:szCs w:val="20"/>
              </w:rPr>
            </w:pPr>
            <w:r w:rsidRPr="00113056">
              <w:rPr>
                <w:color w:val="000000"/>
                <w:sz w:val="20"/>
                <w:szCs w:val="20"/>
              </w:rPr>
              <w:t>8.017</w:t>
            </w:r>
          </w:p>
        </w:tc>
        <w:tc>
          <w:tcPr>
            <w:tcW w:w="1399" w:type="dxa"/>
            <w:tcBorders>
              <w:top w:val="nil"/>
              <w:left w:val="nil"/>
              <w:bottom w:val="nil"/>
              <w:right w:val="nil"/>
            </w:tcBorders>
            <w:vAlign w:val="bottom"/>
          </w:tcPr>
          <w:p w14:paraId="53F0ADF4" w14:textId="77777777" w:rsidR="000C35AF" w:rsidRPr="00113056" w:rsidRDefault="000C35AF" w:rsidP="009238AE">
            <w:pPr>
              <w:pStyle w:val="Regresjonstabell"/>
              <w:jc w:val="right"/>
              <w:rPr>
                <w:sz w:val="20"/>
                <w:szCs w:val="20"/>
              </w:rPr>
            </w:pPr>
            <w:r w:rsidRPr="00113056">
              <w:rPr>
                <w:color w:val="000000"/>
                <w:sz w:val="20"/>
                <w:szCs w:val="20"/>
              </w:rPr>
              <w:t>4.594</w:t>
            </w:r>
          </w:p>
        </w:tc>
        <w:tc>
          <w:tcPr>
            <w:tcW w:w="1399" w:type="dxa"/>
            <w:tcBorders>
              <w:top w:val="nil"/>
              <w:left w:val="nil"/>
              <w:bottom w:val="nil"/>
              <w:right w:val="nil"/>
            </w:tcBorders>
            <w:vAlign w:val="bottom"/>
          </w:tcPr>
          <w:p w14:paraId="534E4C52" w14:textId="77777777" w:rsidR="000C35AF" w:rsidRPr="00113056" w:rsidRDefault="000C35AF" w:rsidP="009238AE">
            <w:pPr>
              <w:pStyle w:val="Regresjonstabell"/>
              <w:jc w:val="right"/>
              <w:rPr>
                <w:sz w:val="20"/>
                <w:szCs w:val="20"/>
              </w:rPr>
            </w:pPr>
            <w:r w:rsidRPr="00113056">
              <w:rPr>
                <w:color w:val="000000"/>
                <w:sz w:val="20"/>
                <w:szCs w:val="20"/>
              </w:rPr>
              <w:t>10.755</w:t>
            </w:r>
          </w:p>
        </w:tc>
        <w:tc>
          <w:tcPr>
            <w:tcW w:w="1400" w:type="dxa"/>
            <w:tcBorders>
              <w:top w:val="nil"/>
              <w:left w:val="nil"/>
              <w:bottom w:val="nil"/>
              <w:right w:val="nil"/>
            </w:tcBorders>
            <w:vAlign w:val="bottom"/>
          </w:tcPr>
          <w:p w14:paraId="7DD2C817" w14:textId="77777777" w:rsidR="000C35AF" w:rsidRPr="00113056" w:rsidRDefault="000C35AF" w:rsidP="009238AE">
            <w:pPr>
              <w:pStyle w:val="Regresjonstabell"/>
              <w:jc w:val="right"/>
              <w:rPr>
                <w:sz w:val="20"/>
                <w:szCs w:val="20"/>
              </w:rPr>
            </w:pPr>
            <w:r w:rsidRPr="00113056">
              <w:rPr>
                <w:color w:val="000000"/>
                <w:sz w:val="20"/>
                <w:szCs w:val="20"/>
              </w:rPr>
              <w:t>15.349</w:t>
            </w:r>
          </w:p>
        </w:tc>
        <w:tc>
          <w:tcPr>
            <w:tcW w:w="1400" w:type="dxa"/>
            <w:tcBorders>
              <w:top w:val="nil"/>
              <w:left w:val="nil"/>
              <w:bottom w:val="nil"/>
              <w:right w:val="single" w:sz="4" w:space="0" w:color="auto"/>
            </w:tcBorders>
            <w:vAlign w:val="bottom"/>
          </w:tcPr>
          <w:p w14:paraId="1A53268D" w14:textId="77777777" w:rsidR="000C35AF" w:rsidRPr="00113056" w:rsidRDefault="000C35AF" w:rsidP="009238AE">
            <w:pPr>
              <w:pStyle w:val="Regresjonstabell"/>
              <w:jc w:val="right"/>
              <w:rPr>
                <w:sz w:val="20"/>
                <w:szCs w:val="20"/>
              </w:rPr>
            </w:pPr>
            <w:r w:rsidRPr="00113056">
              <w:rPr>
                <w:color w:val="000000"/>
                <w:sz w:val="20"/>
                <w:szCs w:val="20"/>
              </w:rPr>
              <w:t>248.124***</w:t>
            </w:r>
          </w:p>
        </w:tc>
      </w:tr>
      <w:tr w:rsidR="000C35AF" w:rsidRPr="0055149C" w14:paraId="6DB5E22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3660887" w14:textId="77777777" w:rsidR="000C35AF" w:rsidRPr="0055149C" w:rsidRDefault="000C35AF" w:rsidP="009238AE">
            <w:pPr>
              <w:pStyle w:val="Regresjonstabell"/>
              <w:rPr>
                <w:sz w:val="20"/>
                <w:szCs w:val="20"/>
              </w:rPr>
            </w:pPr>
            <w:r w:rsidRPr="0055149C">
              <w:rPr>
                <w:sz w:val="20"/>
                <w:szCs w:val="20"/>
              </w:rPr>
              <w:t>(Kriterium 33)</w:t>
            </w:r>
          </w:p>
        </w:tc>
        <w:tc>
          <w:tcPr>
            <w:tcW w:w="1399" w:type="dxa"/>
            <w:tcBorders>
              <w:top w:val="nil"/>
              <w:left w:val="single" w:sz="4" w:space="0" w:color="auto"/>
              <w:bottom w:val="nil"/>
              <w:right w:val="nil"/>
            </w:tcBorders>
            <w:vAlign w:val="center"/>
          </w:tcPr>
          <w:p w14:paraId="5C6202BA" w14:textId="77777777" w:rsidR="000C35AF" w:rsidRPr="00113056" w:rsidRDefault="000C35AF" w:rsidP="009238AE">
            <w:pPr>
              <w:pStyle w:val="Regresjonstabell"/>
              <w:jc w:val="right"/>
              <w:rPr>
                <w:sz w:val="20"/>
                <w:szCs w:val="20"/>
              </w:rPr>
            </w:pPr>
            <w:r w:rsidRPr="00113056">
              <w:rPr>
                <w:color w:val="000000"/>
                <w:sz w:val="20"/>
                <w:szCs w:val="20"/>
              </w:rPr>
              <w:t>(38.241)</w:t>
            </w:r>
          </w:p>
        </w:tc>
        <w:tc>
          <w:tcPr>
            <w:tcW w:w="1399" w:type="dxa"/>
            <w:tcBorders>
              <w:top w:val="nil"/>
              <w:left w:val="nil"/>
              <w:bottom w:val="nil"/>
              <w:right w:val="nil"/>
            </w:tcBorders>
            <w:vAlign w:val="center"/>
          </w:tcPr>
          <w:p w14:paraId="370F88B1" w14:textId="77777777" w:rsidR="000C35AF" w:rsidRPr="00113056" w:rsidRDefault="000C35AF" w:rsidP="009238AE">
            <w:pPr>
              <w:pStyle w:val="Regresjonstabell"/>
              <w:jc w:val="right"/>
              <w:rPr>
                <w:sz w:val="20"/>
                <w:szCs w:val="20"/>
              </w:rPr>
            </w:pPr>
            <w:r w:rsidRPr="00113056">
              <w:rPr>
                <w:color w:val="000000"/>
                <w:sz w:val="20"/>
                <w:szCs w:val="20"/>
              </w:rPr>
              <w:t>(56.234)</w:t>
            </w:r>
          </w:p>
        </w:tc>
        <w:tc>
          <w:tcPr>
            <w:tcW w:w="1399" w:type="dxa"/>
            <w:tcBorders>
              <w:top w:val="nil"/>
              <w:left w:val="nil"/>
              <w:bottom w:val="nil"/>
              <w:right w:val="nil"/>
            </w:tcBorders>
            <w:vAlign w:val="center"/>
          </w:tcPr>
          <w:p w14:paraId="69FBB016" w14:textId="77777777" w:rsidR="000C35AF" w:rsidRPr="00113056" w:rsidRDefault="000C35AF" w:rsidP="009238AE">
            <w:pPr>
              <w:pStyle w:val="Regresjonstabell"/>
              <w:jc w:val="right"/>
              <w:rPr>
                <w:sz w:val="20"/>
                <w:szCs w:val="20"/>
              </w:rPr>
            </w:pPr>
            <w:r w:rsidRPr="00113056">
              <w:rPr>
                <w:color w:val="000000"/>
                <w:sz w:val="20"/>
                <w:szCs w:val="20"/>
              </w:rPr>
              <w:t>(45.596)</w:t>
            </w:r>
          </w:p>
        </w:tc>
        <w:tc>
          <w:tcPr>
            <w:tcW w:w="1399" w:type="dxa"/>
            <w:tcBorders>
              <w:top w:val="nil"/>
              <w:left w:val="nil"/>
              <w:bottom w:val="nil"/>
              <w:right w:val="nil"/>
            </w:tcBorders>
            <w:vAlign w:val="center"/>
          </w:tcPr>
          <w:p w14:paraId="779F2843" w14:textId="77777777" w:rsidR="000C35AF" w:rsidRPr="00113056" w:rsidRDefault="000C35AF" w:rsidP="009238AE">
            <w:pPr>
              <w:pStyle w:val="Regresjonstabell"/>
              <w:jc w:val="right"/>
              <w:rPr>
                <w:sz w:val="20"/>
                <w:szCs w:val="20"/>
              </w:rPr>
            </w:pPr>
            <w:r w:rsidRPr="00113056">
              <w:rPr>
                <w:color w:val="000000"/>
                <w:sz w:val="20"/>
                <w:szCs w:val="20"/>
              </w:rPr>
              <w:t>(5.499)</w:t>
            </w:r>
          </w:p>
        </w:tc>
        <w:tc>
          <w:tcPr>
            <w:tcW w:w="1399" w:type="dxa"/>
            <w:tcBorders>
              <w:top w:val="nil"/>
              <w:left w:val="nil"/>
              <w:bottom w:val="nil"/>
              <w:right w:val="nil"/>
            </w:tcBorders>
            <w:vAlign w:val="center"/>
          </w:tcPr>
          <w:p w14:paraId="2FD87E3D" w14:textId="77777777" w:rsidR="000C35AF" w:rsidRPr="00113056" w:rsidRDefault="000C35AF" w:rsidP="009238AE">
            <w:pPr>
              <w:pStyle w:val="Regresjonstabell"/>
              <w:jc w:val="right"/>
              <w:rPr>
                <w:sz w:val="20"/>
                <w:szCs w:val="20"/>
              </w:rPr>
            </w:pPr>
            <w:r w:rsidRPr="00113056">
              <w:rPr>
                <w:color w:val="000000"/>
                <w:sz w:val="20"/>
                <w:szCs w:val="20"/>
              </w:rPr>
              <w:t>(6.645)</w:t>
            </w:r>
          </w:p>
        </w:tc>
        <w:tc>
          <w:tcPr>
            <w:tcW w:w="1399" w:type="dxa"/>
            <w:tcBorders>
              <w:top w:val="nil"/>
              <w:left w:val="nil"/>
              <w:bottom w:val="nil"/>
              <w:right w:val="nil"/>
            </w:tcBorders>
            <w:vAlign w:val="center"/>
          </w:tcPr>
          <w:p w14:paraId="1F6FB338" w14:textId="77777777" w:rsidR="000C35AF" w:rsidRPr="00113056" w:rsidRDefault="000C35AF" w:rsidP="009238AE">
            <w:pPr>
              <w:pStyle w:val="Regresjonstabell"/>
              <w:jc w:val="right"/>
              <w:rPr>
                <w:sz w:val="20"/>
                <w:szCs w:val="20"/>
              </w:rPr>
            </w:pPr>
            <w:r w:rsidRPr="00113056">
              <w:rPr>
                <w:color w:val="000000"/>
                <w:sz w:val="20"/>
                <w:szCs w:val="20"/>
              </w:rPr>
              <w:t>(15.536)</w:t>
            </w:r>
          </w:p>
        </w:tc>
        <w:tc>
          <w:tcPr>
            <w:tcW w:w="1400" w:type="dxa"/>
            <w:tcBorders>
              <w:top w:val="nil"/>
              <w:left w:val="nil"/>
              <w:bottom w:val="nil"/>
              <w:right w:val="nil"/>
            </w:tcBorders>
            <w:vAlign w:val="center"/>
          </w:tcPr>
          <w:p w14:paraId="1B3B22A5" w14:textId="77777777" w:rsidR="000C35AF" w:rsidRPr="00113056" w:rsidRDefault="000C35AF" w:rsidP="009238AE">
            <w:pPr>
              <w:pStyle w:val="Regresjonstabell"/>
              <w:jc w:val="right"/>
              <w:rPr>
                <w:sz w:val="20"/>
                <w:szCs w:val="20"/>
              </w:rPr>
            </w:pPr>
            <w:r w:rsidRPr="00113056">
              <w:rPr>
                <w:color w:val="000000"/>
                <w:sz w:val="20"/>
                <w:szCs w:val="20"/>
              </w:rPr>
              <w:t>(22.181)</w:t>
            </w:r>
          </w:p>
        </w:tc>
        <w:tc>
          <w:tcPr>
            <w:tcW w:w="1400" w:type="dxa"/>
            <w:tcBorders>
              <w:top w:val="nil"/>
              <w:left w:val="nil"/>
              <w:bottom w:val="nil"/>
              <w:right w:val="single" w:sz="4" w:space="0" w:color="auto"/>
            </w:tcBorders>
            <w:vAlign w:val="center"/>
          </w:tcPr>
          <w:p w14:paraId="46ACC95D" w14:textId="77777777" w:rsidR="000C35AF" w:rsidRPr="00113056" w:rsidRDefault="000C35AF" w:rsidP="009238AE">
            <w:pPr>
              <w:pStyle w:val="Regresjonstabell"/>
              <w:jc w:val="right"/>
              <w:rPr>
                <w:sz w:val="20"/>
                <w:szCs w:val="20"/>
              </w:rPr>
            </w:pPr>
            <w:r w:rsidRPr="00113056">
              <w:rPr>
                <w:color w:val="000000"/>
                <w:sz w:val="20"/>
                <w:szCs w:val="20"/>
              </w:rPr>
              <w:t>(54.212)</w:t>
            </w:r>
          </w:p>
        </w:tc>
      </w:tr>
      <w:tr w:rsidR="000C35AF" w:rsidRPr="0055149C" w14:paraId="4763A5A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5B2E00A"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6A49DE09" w14:textId="77777777" w:rsidR="000C35AF" w:rsidRPr="00113056" w:rsidRDefault="000C35AF" w:rsidP="009238AE">
            <w:pPr>
              <w:pStyle w:val="Regresjonstabell"/>
              <w:jc w:val="right"/>
              <w:rPr>
                <w:sz w:val="20"/>
                <w:szCs w:val="20"/>
              </w:rPr>
            </w:pPr>
            <w:r w:rsidRPr="00113056">
              <w:rPr>
                <w:color w:val="000000"/>
                <w:sz w:val="20"/>
                <w:szCs w:val="20"/>
              </w:rPr>
              <w:t>0.042***</w:t>
            </w:r>
          </w:p>
        </w:tc>
        <w:tc>
          <w:tcPr>
            <w:tcW w:w="1399" w:type="dxa"/>
            <w:tcBorders>
              <w:top w:val="nil"/>
              <w:left w:val="nil"/>
              <w:bottom w:val="nil"/>
              <w:right w:val="nil"/>
            </w:tcBorders>
            <w:vAlign w:val="bottom"/>
          </w:tcPr>
          <w:p w14:paraId="2ED7E998" w14:textId="77777777" w:rsidR="000C35AF" w:rsidRPr="00113056" w:rsidRDefault="000C35AF" w:rsidP="009238AE">
            <w:pPr>
              <w:pStyle w:val="Regresjonstabell"/>
              <w:jc w:val="right"/>
              <w:rPr>
                <w:sz w:val="20"/>
                <w:szCs w:val="20"/>
              </w:rPr>
            </w:pPr>
            <w:r w:rsidRPr="00113056">
              <w:rPr>
                <w:color w:val="000000"/>
                <w:sz w:val="20"/>
                <w:szCs w:val="20"/>
              </w:rPr>
              <w:t>0.076***</w:t>
            </w:r>
          </w:p>
        </w:tc>
        <w:tc>
          <w:tcPr>
            <w:tcW w:w="1399" w:type="dxa"/>
            <w:tcBorders>
              <w:top w:val="nil"/>
              <w:left w:val="nil"/>
              <w:bottom w:val="nil"/>
              <w:right w:val="nil"/>
            </w:tcBorders>
            <w:vAlign w:val="bottom"/>
          </w:tcPr>
          <w:p w14:paraId="2C293C65" w14:textId="77777777" w:rsidR="000C35AF" w:rsidRPr="00113056" w:rsidRDefault="000C35AF" w:rsidP="009238AE">
            <w:pPr>
              <w:pStyle w:val="Regresjonstabell"/>
              <w:jc w:val="right"/>
              <w:rPr>
                <w:sz w:val="20"/>
                <w:szCs w:val="20"/>
              </w:rPr>
            </w:pPr>
            <w:r w:rsidRPr="00113056">
              <w:rPr>
                <w:color w:val="000000"/>
                <w:sz w:val="20"/>
                <w:szCs w:val="20"/>
              </w:rPr>
              <w:t>-0.034***</w:t>
            </w:r>
          </w:p>
        </w:tc>
        <w:tc>
          <w:tcPr>
            <w:tcW w:w="1399" w:type="dxa"/>
            <w:tcBorders>
              <w:top w:val="nil"/>
              <w:left w:val="nil"/>
              <w:bottom w:val="nil"/>
              <w:right w:val="nil"/>
            </w:tcBorders>
            <w:vAlign w:val="bottom"/>
          </w:tcPr>
          <w:p w14:paraId="44FEAFCE"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bottom"/>
          </w:tcPr>
          <w:p w14:paraId="79AB45C1"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bottom"/>
          </w:tcPr>
          <w:p w14:paraId="3A9FE7BD" w14:textId="77777777" w:rsidR="000C35AF" w:rsidRPr="00113056" w:rsidRDefault="000C35AF" w:rsidP="009238AE">
            <w:pPr>
              <w:pStyle w:val="Regresjonstabell"/>
              <w:jc w:val="right"/>
              <w:rPr>
                <w:sz w:val="20"/>
                <w:szCs w:val="20"/>
              </w:rPr>
            </w:pPr>
            <w:r w:rsidRPr="00113056">
              <w:rPr>
                <w:color w:val="000000"/>
                <w:sz w:val="20"/>
                <w:szCs w:val="20"/>
              </w:rPr>
              <w:t>0.009***</w:t>
            </w:r>
          </w:p>
        </w:tc>
        <w:tc>
          <w:tcPr>
            <w:tcW w:w="1400" w:type="dxa"/>
            <w:tcBorders>
              <w:top w:val="nil"/>
              <w:left w:val="nil"/>
              <w:bottom w:val="nil"/>
              <w:right w:val="nil"/>
            </w:tcBorders>
            <w:vAlign w:val="bottom"/>
          </w:tcPr>
          <w:p w14:paraId="238A036C" w14:textId="77777777" w:rsidR="000C35AF" w:rsidRPr="00113056" w:rsidRDefault="000C35AF" w:rsidP="009238AE">
            <w:pPr>
              <w:pStyle w:val="Regresjonstabell"/>
              <w:jc w:val="right"/>
              <w:rPr>
                <w:sz w:val="20"/>
                <w:szCs w:val="20"/>
              </w:rPr>
            </w:pPr>
            <w:r w:rsidRPr="00113056">
              <w:rPr>
                <w:color w:val="000000"/>
                <w:sz w:val="20"/>
                <w:szCs w:val="20"/>
              </w:rPr>
              <w:t>0.013***</w:t>
            </w:r>
          </w:p>
        </w:tc>
        <w:tc>
          <w:tcPr>
            <w:tcW w:w="1400" w:type="dxa"/>
            <w:tcBorders>
              <w:top w:val="nil"/>
              <w:left w:val="nil"/>
              <w:bottom w:val="nil"/>
              <w:right w:val="single" w:sz="4" w:space="0" w:color="auto"/>
            </w:tcBorders>
            <w:vAlign w:val="bottom"/>
          </w:tcPr>
          <w:p w14:paraId="00B1FDD6" w14:textId="77777777" w:rsidR="000C35AF" w:rsidRPr="00113056" w:rsidRDefault="000C35AF" w:rsidP="009238AE">
            <w:pPr>
              <w:pStyle w:val="Regresjonstabell"/>
              <w:jc w:val="right"/>
              <w:rPr>
                <w:sz w:val="20"/>
                <w:szCs w:val="20"/>
              </w:rPr>
            </w:pPr>
            <w:r w:rsidRPr="00113056">
              <w:rPr>
                <w:color w:val="000000"/>
                <w:sz w:val="20"/>
                <w:szCs w:val="20"/>
              </w:rPr>
              <w:t>0.055***</w:t>
            </w:r>
          </w:p>
        </w:tc>
      </w:tr>
      <w:tr w:rsidR="000C35AF" w:rsidRPr="0055149C" w14:paraId="51E15C5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4D7BAC2"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732492C5"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5D1F77CA"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1B4373B3"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05BA6269" w14:textId="77777777" w:rsidR="000C35AF" w:rsidRPr="00113056" w:rsidRDefault="000C35AF" w:rsidP="009238AE">
            <w:pPr>
              <w:pStyle w:val="Regresjonstabell"/>
              <w:jc w:val="right"/>
              <w:rPr>
                <w:sz w:val="20"/>
                <w:szCs w:val="20"/>
              </w:rPr>
            </w:pPr>
            <w:r w:rsidRPr="00113056">
              <w:rPr>
                <w:color w:val="000000"/>
                <w:sz w:val="20"/>
                <w:szCs w:val="20"/>
              </w:rPr>
              <w:t>(0.001)</w:t>
            </w:r>
          </w:p>
        </w:tc>
        <w:tc>
          <w:tcPr>
            <w:tcW w:w="1399" w:type="dxa"/>
            <w:tcBorders>
              <w:top w:val="nil"/>
              <w:left w:val="nil"/>
              <w:bottom w:val="nil"/>
              <w:right w:val="nil"/>
            </w:tcBorders>
            <w:vAlign w:val="center"/>
          </w:tcPr>
          <w:p w14:paraId="5A5E1B74" w14:textId="77777777" w:rsidR="000C35AF" w:rsidRPr="00113056" w:rsidRDefault="000C35AF" w:rsidP="009238AE">
            <w:pPr>
              <w:pStyle w:val="Regresjonstabell"/>
              <w:jc w:val="right"/>
              <w:rPr>
                <w:sz w:val="20"/>
                <w:szCs w:val="20"/>
              </w:rPr>
            </w:pPr>
            <w:r w:rsidRPr="00113056">
              <w:rPr>
                <w:color w:val="000000"/>
                <w:sz w:val="20"/>
                <w:szCs w:val="20"/>
              </w:rPr>
              <w:t>(0.001)</w:t>
            </w:r>
          </w:p>
        </w:tc>
        <w:tc>
          <w:tcPr>
            <w:tcW w:w="1399" w:type="dxa"/>
            <w:tcBorders>
              <w:top w:val="nil"/>
              <w:left w:val="nil"/>
              <w:bottom w:val="nil"/>
              <w:right w:val="nil"/>
            </w:tcBorders>
            <w:vAlign w:val="center"/>
          </w:tcPr>
          <w:p w14:paraId="67500BA7" w14:textId="77777777" w:rsidR="000C35AF" w:rsidRPr="00113056" w:rsidRDefault="000C35AF" w:rsidP="009238AE">
            <w:pPr>
              <w:pStyle w:val="Regresjonstabell"/>
              <w:jc w:val="right"/>
              <w:rPr>
                <w:sz w:val="20"/>
                <w:szCs w:val="20"/>
              </w:rPr>
            </w:pPr>
            <w:r w:rsidRPr="00113056">
              <w:rPr>
                <w:color w:val="000000"/>
                <w:sz w:val="20"/>
                <w:szCs w:val="20"/>
              </w:rPr>
              <w:t>(0.002)</w:t>
            </w:r>
          </w:p>
        </w:tc>
        <w:tc>
          <w:tcPr>
            <w:tcW w:w="1400" w:type="dxa"/>
            <w:tcBorders>
              <w:top w:val="nil"/>
              <w:left w:val="nil"/>
              <w:bottom w:val="nil"/>
              <w:right w:val="nil"/>
            </w:tcBorders>
            <w:vAlign w:val="center"/>
          </w:tcPr>
          <w:p w14:paraId="04DBEFB2"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400" w:type="dxa"/>
            <w:tcBorders>
              <w:top w:val="nil"/>
              <w:left w:val="nil"/>
              <w:bottom w:val="nil"/>
              <w:right w:val="single" w:sz="4" w:space="0" w:color="auto"/>
            </w:tcBorders>
            <w:vAlign w:val="center"/>
          </w:tcPr>
          <w:p w14:paraId="048733F8" w14:textId="77777777" w:rsidR="000C35AF" w:rsidRPr="00113056" w:rsidRDefault="000C35AF" w:rsidP="009238AE">
            <w:pPr>
              <w:pStyle w:val="Regresjonstabell"/>
              <w:jc w:val="right"/>
              <w:rPr>
                <w:sz w:val="20"/>
                <w:szCs w:val="20"/>
              </w:rPr>
            </w:pPr>
            <w:r w:rsidRPr="00113056">
              <w:rPr>
                <w:color w:val="000000"/>
                <w:sz w:val="20"/>
                <w:szCs w:val="20"/>
              </w:rPr>
              <w:t>(0.007)</w:t>
            </w:r>
          </w:p>
        </w:tc>
      </w:tr>
      <w:tr w:rsidR="000C35AF" w:rsidRPr="0055149C" w14:paraId="56FF69B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D9FD4F0"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07B8CD8A" w14:textId="77777777" w:rsidR="000C35AF" w:rsidRPr="00113056" w:rsidRDefault="000C35AF" w:rsidP="009238AE">
            <w:pPr>
              <w:pStyle w:val="Regresjonstabell"/>
              <w:jc w:val="right"/>
              <w:rPr>
                <w:sz w:val="20"/>
                <w:szCs w:val="20"/>
              </w:rPr>
            </w:pPr>
            <w:r w:rsidRPr="00113056">
              <w:rPr>
                <w:color w:val="000000"/>
                <w:sz w:val="20"/>
                <w:szCs w:val="20"/>
              </w:rPr>
              <w:t>-1.692**</w:t>
            </w:r>
          </w:p>
        </w:tc>
        <w:tc>
          <w:tcPr>
            <w:tcW w:w="1399" w:type="dxa"/>
            <w:tcBorders>
              <w:top w:val="nil"/>
              <w:left w:val="nil"/>
              <w:bottom w:val="nil"/>
              <w:right w:val="nil"/>
            </w:tcBorders>
            <w:vAlign w:val="bottom"/>
          </w:tcPr>
          <w:p w14:paraId="57B1CC25" w14:textId="77777777" w:rsidR="000C35AF" w:rsidRPr="00113056" w:rsidRDefault="000C35AF" w:rsidP="009238AE">
            <w:pPr>
              <w:pStyle w:val="Regresjonstabell"/>
              <w:jc w:val="right"/>
              <w:rPr>
                <w:sz w:val="20"/>
                <w:szCs w:val="20"/>
              </w:rPr>
            </w:pPr>
            <w:r w:rsidRPr="00113056">
              <w:rPr>
                <w:color w:val="000000"/>
                <w:sz w:val="20"/>
                <w:szCs w:val="20"/>
              </w:rPr>
              <w:t>-3.109***</w:t>
            </w:r>
          </w:p>
        </w:tc>
        <w:tc>
          <w:tcPr>
            <w:tcW w:w="1399" w:type="dxa"/>
            <w:tcBorders>
              <w:top w:val="nil"/>
              <w:left w:val="nil"/>
              <w:bottom w:val="nil"/>
              <w:right w:val="nil"/>
            </w:tcBorders>
            <w:vAlign w:val="bottom"/>
          </w:tcPr>
          <w:p w14:paraId="5AF19D4D" w14:textId="77777777" w:rsidR="000C35AF" w:rsidRPr="00113056" w:rsidRDefault="000C35AF" w:rsidP="009238AE">
            <w:pPr>
              <w:pStyle w:val="Regresjonstabell"/>
              <w:jc w:val="right"/>
              <w:rPr>
                <w:sz w:val="20"/>
                <w:szCs w:val="20"/>
              </w:rPr>
            </w:pPr>
            <w:r w:rsidRPr="00113056">
              <w:rPr>
                <w:color w:val="000000"/>
                <w:sz w:val="20"/>
                <w:szCs w:val="20"/>
              </w:rPr>
              <w:t>1.417</w:t>
            </w:r>
          </w:p>
        </w:tc>
        <w:tc>
          <w:tcPr>
            <w:tcW w:w="1399" w:type="dxa"/>
            <w:tcBorders>
              <w:top w:val="nil"/>
              <w:left w:val="nil"/>
              <w:bottom w:val="nil"/>
              <w:right w:val="nil"/>
            </w:tcBorders>
            <w:vAlign w:val="bottom"/>
          </w:tcPr>
          <w:p w14:paraId="022C8877" w14:textId="77777777" w:rsidR="000C35AF" w:rsidRPr="00113056" w:rsidRDefault="000C35AF" w:rsidP="009238AE">
            <w:pPr>
              <w:pStyle w:val="Regresjonstabell"/>
              <w:jc w:val="right"/>
              <w:rPr>
                <w:sz w:val="20"/>
                <w:szCs w:val="20"/>
              </w:rPr>
            </w:pPr>
            <w:r w:rsidRPr="00113056">
              <w:rPr>
                <w:color w:val="000000"/>
                <w:sz w:val="20"/>
                <w:szCs w:val="20"/>
              </w:rPr>
              <w:t>-0.236**</w:t>
            </w:r>
          </w:p>
        </w:tc>
        <w:tc>
          <w:tcPr>
            <w:tcW w:w="1399" w:type="dxa"/>
            <w:tcBorders>
              <w:top w:val="nil"/>
              <w:left w:val="nil"/>
              <w:bottom w:val="nil"/>
              <w:right w:val="nil"/>
            </w:tcBorders>
            <w:vAlign w:val="bottom"/>
          </w:tcPr>
          <w:p w14:paraId="017BE984" w14:textId="77777777" w:rsidR="000C35AF" w:rsidRPr="00113056" w:rsidRDefault="000C35AF" w:rsidP="009238AE">
            <w:pPr>
              <w:pStyle w:val="Regresjonstabell"/>
              <w:jc w:val="right"/>
              <w:rPr>
                <w:sz w:val="20"/>
                <w:szCs w:val="20"/>
              </w:rPr>
            </w:pPr>
            <w:r w:rsidRPr="00113056">
              <w:rPr>
                <w:color w:val="000000"/>
                <w:sz w:val="20"/>
                <w:szCs w:val="20"/>
              </w:rPr>
              <w:t>-0.262*</w:t>
            </w:r>
          </w:p>
        </w:tc>
        <w:tc>
          <w:tcPr>
            <w:tcW w:w="1399" w:type="dxa"/>
            <w:tcBorders>
              <w:top w:val="nil"/>
              <w:left w:val="nil"/>
              <w:bottom w:val="nil"/>
              <w:right w:val="nil"/>
            </w:tcBorders>
            <w:vAlign w:val="bottom"/>
          </w:tcPr>
          <w:p w14:paraId="09BA2DD9" w14:textId="77777777" w:rsidR="000C35AF" w:rsidRPr="00113056" w:rsidRDefault="000C35AF" w:rsidP="009238AE">
            <w:pPr>
              <w:pStyle w:val="Regresjonstabell"/>
              <w:jc w:val="right"/>
              <w:rPr>
                <w:sz w:val="20"/>
                <w:szCs w:val="20"/>
              </w:rPr>
            </w:pPr>
            <w:r w:rsidRPr="00113056">
              <w:rPr>
                <w:color w:val="000000"/>
                <w:sz w:val="20"/>
                <w:szCs w:val="20"/>
              </w:rPr>
              <w:t>-0.601*</w:t>
            </w:r>
          </w:p>
        </w:tc>
        <w:tc>
          <w:tcPr>
            <w:tcW w:w="1400" w:type="dxa"/>
            <w:tcBorders>
              <w:top w:val="nil"/>
              <w:left w:val="nil"/>
              <w:bottom w:val="nil"/>
              <w:right w:val="nil"/>
            </w:tcBorders>
            <w:vAlign w:val="bottom"/>
          </w:tcPr>
          <w:p w14:paraId="467D8D7B" w14:textId="77777777" w:rsidR="000C35AF" w:rsidRPr="00113056" w:rsidRDefault="000C35AF" w:rsidP="009238AE">
            <w:pPr>
              <w:pStyle w:val="Regresjonstabell"/>
              <w:jc w:val="right"/>
              <w:rPr>
                <w:sz w:val="20"/>
                <w:szCs w:val="20"/>
              </w:rPr>
            </w:pPr>
            <w:r w:rsidRPr="00113056">
              <w:rPr>
                <w:color w:val="000000"/>
                <w:sz w:val="20"/>
                <w:szCs w:val="20"/>
              </w:rPr>
              <w:t>-0.863*</w:t>
            </w:r>
          </w:p>
        </w:tc>
        <w:tc>
          <w:tcPr>
            <w:tcW w:w="1400" w:type="dxa"/>
            <w:tcBorders>
              <w:top w:val="nil"/>
              <w:left w:val="nil"/>
              <w:bottom w:val="nil"/>
              <w:right w:val="single" w:sz="4" w:space="0" w:color="auto"/>
            </w:tcBorders>
            <w:vAlign w:val="bottom"/>
          </w:tcPr>
          <w:p w14:paraId="59A9827A" w14:textId="77777777" w:rsidR="000C35AF" w:rsidRPr="00113056" w:rsidRDefault="000C35AF" w:rsidP="009238AE">
            <w:pPr>
              <w:pStyle w:val="Regresjonstabell"/>
              <w:jc w:val="right"/>
              <w:rPr>
                <w:sz w:val="20"/>
                <w:szCs w:val="20"/>
              </w:rPr>
            </w:pPr>
            <w:r w:rsidRPr="00113056">
              <w:rPr>
                <w:color w:val="000000"/>
                <w:sz w:val="20"/>
                <w:szCs w:val="20"/>
              </w:rPr>
              <w:t>-2.556**</w:t>
            </w:r>
          </w:p>
        </w:tc>
      </w:tr>
      <w:tr w:rsidR="000C35AF" w:rsidRPr="0055149C" w14:paraId="2E8107C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F87AB29"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32BE0C47" w14:textId="77777777" w:rsidR="000C35AF" w:rsidRPr="00113056" w:rsidRDefault="000C35AF" w:rsidP="009238AE">
            <w:pPr>
              <w:pStyle w:val="Regresjonstabell"/>
              <w:jc w:val="right"/>
              <w:rPr>
                <w:sz w:val="20"/>
                <w:szCs w:val="20"/>
              </w:rPr>
            </w:pPr>
            <w:r w:rsidRPr="00113056">
              <w:rPr>
                <w:color w:val="000000"/>
                <w:sz w:val="20"/>
                <w:szCs w:val="20"/>
              </w:rPr>
              <w:t>(0.692)</w:t>
            </w:r>
          </w:p>
        </w:tc>
        <w:tc>
          <w:tcPr>
            <w:tcW w:w="1399" w:type="dxa"/>
            <w:tcBorders>
              <w:top w:val="nil"/>
              <w:left w:val="nil"/>
              <w:bottom w:val="nil"/>
              <w:right w:val="nil"/>
            </w:tcBorders>
            <w:vAlign w:val="center"/>
          </w:tcPr>
          <w:p w14:paraId="3FE9C51A" w14:textId="77777777" w:rsidR="000C35AF" w:rsidRPr="00113056" w:rsidRDefault="000C35AF" w:rsidP="009238AE">
            <w:pPr>
              <w:pStyle w:val="Regresjonstabell"/>
              <w:jc w:val="right"/>
              <w:rPr>
                <w:sz w:val="20"/>
                <w:szCs w:val="20"/>
              </w:rPr>
            </w:pPr>
            <w:r w:rsidRPr="00113056">
              <w:rPr>
                <w:color w:val="000000"/>
                <w:sz w:val="20"/>
                <w:szCs w:val="20"/>
              </w:rPr>
              <w:t>(1.040)</w:t>
            </w:r>
          </w:p>
        </w:tc>
        <w:tc>
          <w:tcPr>
            <w:tcW w:w="1399" w:type="dxa"/>
            <w:tcBorders>
              <w:top w:val="nil"/>
              <w:left w:val="nil"/>
              <w:bottom w:val="nil"/>
              <w:right w:val="nil"/>
            </w:tcBorders>
            <w:vAlign w:val="center"/>
          </w:tcPr>
          <w:p w14:paraId="063B50F6" w14:textId="77777777" w:rsidR="000C35AF" w:rsidRPr="00113056" w:rsidRDefault="000C35AF" w:rsidP="009238AE">
            <w:pPr>
              <w:pStyle w:val="Regresjonstabell"/>
              <w:jc w:val="right"/>
              <w:rPr>
                <w:sz w:val="20"/>
                <w:szCs w:val="20"/>
              </w:rPr>
            </w:pPr>
            <w:r w:rsidRPr="00113056">
              <w:rPr>
                <w:color w:val="000000"/>
                <w:sz w:val="20"/>
                <w:szCs w:val="20"/>
              </w:rPr>
              <w:t>(0.864)</w:t>
            </w:r>
          </w:p>
        </w:tc>
        <w:tc>
          <w:tcPr>
            <w:tcW w:w="1399" w:type="dxa"/>
            <w:tcBorders>
              <w:top w:val="nil"/>
              <w:left w:val="nil"/>
              <w:bottom w:val="nil"/>
              <w:right w:val="nil"/>
            </w:tcBorders>
            <w:vAlign w:val="center"/>
          </w:tcPr>
          <w:p w14:paraId="2C9DB107" w14:textId="77777777" w:rsidR="000C35AF" w:rsidRPr="00113056" w:rsidRDefault="000C35AF" w:rsidP="009238AE">
            <w:pPr>
              <w:pStyle w:val="Regresjonstabell"/>
              <w:jc w:val="right"/>
              <w:rPr>
                <w:sz w:val="20"/>
                <w:szCs w:val="20"/>
              </w:rPr>
            </w:pPr>
            <w:r w:rsidRPr="00113056">
              <w:rPr>
                <w:color w:val="000000"/>
                <w:sz w:val="20"/>
                <w:szCs w:val="20"/>
              </w:rPr>
              <w:t>(0.111)</w:t>
            </w:r>
          </w:p>
        </w:tc>
        <w:tc>
          <w:tcPr>
            <w:tcW w:w="1399" w:type="dxa"/>
            <w:tcBorders>
              <w:top w:val="nil"/>
              <w:left w:val="nil"/>
              <w:bottom w:val="nil"/>
              <w:right w:val="nil"/>
            </w:tcBorders>
            <w:vAlign w:val="center"/>
          </w:tcPr>
          <w:p w14:paraId="389D3435" w14:textId="77777777" w:rsidR="000C35AF" w:rsidRPr="00113056" w:rsidRDefault="000C35AF" w:rsidP="009238AE">
            <w:pPr>
              <w:pStyle w:val="Regresjonstabell"/>
              <w:jc w:val="right"/>
              <w:rPr>
                <w:sz w:val="20"/>
                <w:szCs w:val="20"/>
              </w:rPr>
            </w:pPr>
            <w:r w:rsidRPr="00113056">
              <w:rPr>
                <w:color w:val="000000"/>
                <w:sz w:val="20"/>
                <w:szCs w:val="20"/>
              </w:rPr>
              <w:t>(0.136)</w:t>
            </w:r>
          </w:p>
        </w:tc>
        <w:tc>
          <w:tcPr>
            <w:tcW w:w="1399" w:type="dxa"/>
            <w:tcBorders>
              <w:top w:val="nil"/>
              <w:left w:val="nil"/>
              <w:bottom w:val="nil"/>
              <w:right w:val="nil"/>
            </w:tcBorders>
            <w:vAlign w:val="center"/>
          </w:tcPr>
          <w:p w14:paraId="01E8A6DB" w14:textId="77777777" w:rsidR="000C35AF" w:rsidRPr="00113056" w:rsidRDefault="000C35AF" w:rsidP="009238AE">
            <w:pPr>
              <w:pStyle w:val="Regresjonstabell"/>
              <w:jc w:val="right"/>
              <w:rPr>
                <w:sz w:val="20"/>
                <w:szCs w:val="20"/>
              </w:rPr>
            </w:pPr>
            <w:r w:rsidRPr="00113056">
              <w:rPr>
                <w:color w:val="000000"/>
                <w:sz w:val="20"/>
                <w:szCs w:val="20"/>
              </w:rPr>
              <w:t>(0.316)</w:t>
            </w:r>
          </w:p>
        </w:tc>
        <w:tc>
          <w:tcPr>
            <w:tcW w:w="1400" w:type="dxa"/>
            <w:tcBorders>
              <w:top w:val="nil"/>
              <w:left w:val="nil"/>
              <w:bottom w:val="nil"/>
              <w:right w:val="nil"/>
            </w:tcBorders>
            <w:vAlign w:val="center"/>
          </w:tcPr>
          <w:p w14:paraId="5555CB9E" w14:textId="77777777" w:rsidR="000C35AF" w:rsidRPr="00113056" w:rsidRDefault="000C35AF" w:rsidP="009238AE">
            <w:pPr>
              <w:pStyle w:val="Regresjonstabell"/>
              <w:jc w:val="right"/>
              <w:rPr>
                <w:sz w:val="20"/>
                <w:szCs w:val="20"/>
              </w:rPr>
            </w:pPr>
            <w:r w:rsidRPr="00113056">
              <w:rPr>
                <w:color w:val="000000"/>
                <w:sz w:val="20"/>
                <w:szCs w:val="20"/>
              </w:rPr>
              <w:t>(0.452)</w:t>
            </w:r>
          </w:p>
        </w:tc>
        <w:tc>
          <w:tcPr>
            <w:tcW w:w="1400" w:type="dxa"/>
            <w:tcBorders>
              <w:top w:val="nil"/>
              <w:left w:val="nil"/>
              <w:bottom w:val="nil"/>
              <w:right w:val="single" w:sz="4" w:space="0" w:color="auto"/>
            </w:tcBorders>
            <w:vAlign w:val="center"/>
          </w:tcPr>
          <w:p w14:paraId="57713EBF" w14:textId="77777777" w:rsidR="000C35AF" w:rsidRPr="00113056" w:rsidRDefault="000C35AF" w:rsidP="009238AE">
            <w:pPr>
              <w:pStyle w:val="Regresjonstabell"/>
              <w:jc w:val="right"/>
              <w:rPr>
                <w:sz w:val="20"/>
                <w:szCs w:val="20"/>
              </w:rPr>
            </w:pPr>
            <w:r w:rsidRPr="00113056">
              <w:rPr>
                <w:color w:val="000000"/>
                <w:sz w:val="20"/>
                <w:szCs w:val="20"/>
              </w:rPr>
              <w:t>(1.012)</w:t>
            </w:r>
          </w:p>
        </w:tc>
      </w:tr>
      <w:tr w:rsidR="000C35AF" w:rsidRPr="0055149C" w14:paraId="571DAA5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713D700"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3F2BEAF3"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12E13EDA"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6634EB1D"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172CA109"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262AA685"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4D430466"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400" w:type="dxa"/>
            <w:tcBorders>
              <w:top w:val="nil"/>
              <w:left w:val="nil"/>
              <w:bottom w:val="nil"/>
              <w:right w:val="nil"/>
            </w:tcBorders>
            <w:vAlign w:val="bottom"/>
          </w:tcPr>
          <w:p w14:paraId="1F0C8CDB"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400" w:type="dxa"/>
            <w:tcBorders>
              <w:top w:val="nil"/>
              <w:left w:val="nil"/>
              <w:bottom w:val="nil"/>
              <w:right w:val="single" w:sz="4" w:space="0" w:color="auto"/>
            </w:tcBorders>
            <w:vAlign w:val="bottom"/>
          </w:tcPr>
          <w:p w14:paraId="3F847231" w14:textId="77777777" w:rsidR="000C35AF" w:rsidRPr="00113056" w:rsidRDefault="000C35AF" w:rsidP="009238AE">
            <w:pPr>
              <w:pStyle w:val="Regresjonstabell"/>
              <w:jc w:val="right"/>
              <w:rPr>
                <w:sz w:val="20"/>
                <w:szCs w:val="20"/>
              </w:rPr>
            </w:pPr>
            <w:r w:rsidRPr="00113056">
              <w:rPr>
                <w:color w:val="000000"/>
                <w:sz w:val="20"/>
                <w:szCs w:val="20"/>
              </w:rPr>
              <w:t>356</w:t>
            </w:r>
          </w:p>
        </w:tc>
      </w:tr>
      <w:tr w:rsidR="000C35AF" w:rsidRPr="0055149C" w14:paraId="5B34F24E"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281C1AE7"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5940E735" w14:textId="77777777" w:rsidR="000C35AF" w:rsidRPr="00113056" w:rsidRDefault="000C35AF" w:rsidP="009238AE">
            <w:pPr>
              <w:pStyle w:val="Regresjonstabell"/>
              <w:jc w:val="right"/>
              <w:rPr>
                <w:sz w:val="20"/>
                <w:szCs w:val="20"/>
              </w:rPr>
            </w:pPr>
            <w:r w:rsidRPr="00113056">
              <w:rPr>
                <w:color w:val="000000"/>
                <w:sz w:val="20"/>
                <w:szCs w:val="20"/>
              </w:rPr>
              <w:t>0.656</w:t>
            </w:r>
          </w:p>
        </w:tc>
        <w:tc>
          <w:tcPr>
            <w:tcW w:w="1399" w:type="dxa"/>
            <w:tcBorders>
              <w:top w:val="nil"/>
              <w:left w:val="nil"/>
              <w:bottom w:val="single" w:sz="4" w:space="0" w:color="auto"/>
              <w:right w:val="nil"/>
            </w:tcBorders>
            <w:vAlign w:val="bottom"/>
          </w:tcPr>
          <w:p w14:paraId="29F2CD8C" w14:textId="77777777" w:rsidR="000C35AF" w:rsidRPr="00113056" w:rsidRDefault="000C35AF" w:rsidP="009238AE">
            <w:pPr>
              <w:pStyle w:val="Regresjonstabell"/>
              <w:jc w:val="right"/>
              <w:rPr>
                <w:sz w:val="20"/>
                <w:szCs w:val="20"/>
              </w:rPr>
            </w:pPr>
            <w:r w:rsidRPr="00113056">
              <w:rPr>
                <w:color w:val="000000"/>
                <w:sz w:val="20"/>
                <w:szCs w:val="20"/>
              </w:rPr>
              <w:t>0.414</w:t>
            </w:r>
          </w:p>
        </w:tc>
        <w:tc>
          <w:tcPr>
            <w:tcW w:w="1399" w:type="dxa"/>
            <w:tcBorders>
              <w:top w:val="nil"/>
              <w:left w:val="nil"/>
              <w:bottom w:val="single" w:sz="4" w:space="0" w:color="auto"/>
              <w:right w:val="nil"/>
            </w:tcBorders>
            <w:vAlign w:val="bottom"/>
          </w:tcPr>
          <w:p w14:paraId="62C43FE9" w14:textId="77777777" w:rsidR="000C35AF" w:rsidRPr="00113056" w:rsidRDefault="000C35AF" w:rsidP="009238AE">
            <w:pPr>
              <w:pStyle w:val="Regresjonstabell"/>
              <w:jc w:val="right"/>
              <w:rPr>
                <w:sz w:val="20"/>
                <w:szCs w:val="20"/>
              </w:rPr>
            </w:pPr>
            <w:r w:rsidRPr="00113056">
              <w:rPr>
                <w:color w:val="000000"/>
                <w:sz w:val="20"/>
                <w:szCs w:val="20"/>
              </w:rPr>
              <w:t>0.475</w:t>
            </w:r>
          </w:p>
        </w:tc>
        <w:tc>
          <w:tcPr>
            <w:tcW w:w="1399" w:type="dxa"/>
            <w:tcBorders>
              <w:top w:val="nil"/>
              <w:left w:val="nil"/>
              <w:bottom w:val="single" w:sz="4" w:space="0" w:color="auto"/>
              <w:right w:val="nil"/>
            </w:tcBorders>
            <w:vAlign w:val="bottom"/>
          </w:tcPr>
          <w:p w14:paraId="1DD4B57F" w14:textId="77777777" w:rsidR="000C35AF" w:rsidRPr="00113056" w:rsidRDefault="000C35AF" w:rsidP="009238AE">
            <w:pPr>
              <w:pStyle w:val="Regresjonstabell"/>
              <w:jc w:val="right"/>
              <w:rPr>
                <w:sz w:val="20"/>
                <w:szCs w:val="20"/>
              </w:rPr>
            </w:pPr>
            <w:r w:rsidRPr="00113056">
              <w:rPr>
                <w:color w:val="000000"/>
                <w:sz w:val="20"/>
                <w:szCs w:val="20"/>
              </w:rPr>
              <w:t>0.172</w:t>
            </w:r>
          </w:p>
        </w:tc>
        <w:tc>
          <w:tcPr>
            <w:tcW w:w="1399" w:type="dxa"/>
            <w:tcBorders>
              <w:top w:val="nil"/>
              <w:left w:val="nil"/>
              <w:bottom w:val="single" w:sz="4" w:space="0" w:color="auto"/>
              <w:right w:val="nil"/>
            </w:tcBorders>
            <w:vAlign w:val="bottom"/>
          </w:tcPr>
          <w:p w14:paraId="0443998A" w14:textId="77777777" w:rsidR="000C35AF" w:rsidRPr="00113056" w:rsidRDefault="000C35AF" w:rsidP="009238AE">
            <w:pPr>
              <w:pStyle w:val="Regresjonstabell"/>
              <w:jc w:val="right"/>
              <w:rPr>
                <w:sz w:val="20"/>
                <w:szCs w:val="20"/>
              </w:rPr>
            </w:pPr>
            <w:r w:rsidRPr="00113056">
              <w:rPr>
                <w:color w:val="000000"/>
                <w:sz w:val="20"/>
                <w:szCs w:val="20"/>
              </w:rPr>
              <w:t>0.157</w:t>
            </w:r>
          </w:p>
        </w:tc>
        <w:tc>
          <w:tcPr>
            <w:tcW w:w="1399" w:type="dxa"/>
            <w:tcBorders>
              <w:top w:val="nil"/>
              <w:left w:val="nil"/>
              <w:bottom w:val="single" w:sz="4" w:space="0" w:color="auto"/>
              <w:right w:val="nil"/>
            </w:tcBorders>
            <w:vAlign w:val="bottom"/>
          </w:tcPr>
          <w:p w14:paraId="3065F2CA" w14:textId="77777777" w:rsidR="000C35AF" w:rsidRPr="00113056" w:rsidRDefault="000C35AF" w:rsidP="009238AE">
            <w:pPr>
              <w:pStyle w:val="Regresjonstabell"/>
              <w:jc w:val="right"/>
              <w:rPr>
                <w:sz w:val="20"/>
                <w:szCs w:val="20"/>
              </w:rPr>
            </w:pPr>
            <w:r w:rsidRPr="00113056">
              <w:rPr>
                <w:color w:val="000000"/>
                <w:sz w:val="20"/>
                <w:szCs w:val="20"/>
              </w:rPr>
              <w:t>0.155</w:t>
            </w:r>
          </w:p>
        </w:tc>
        <w:tc>
          <w:tcPr>
            <w:tcW w:w="1400" w:type="dxa"/>
            <w:tcBorders>
              <w:top w:val="nil"/>
              <w:left w:val="nil"/>
              <w:bottom w:val="single" w:sz="4" w:space="0" w:color="auto"/>
              <w:right w:val="nil"/>
            </w:tcBorders>
            <w:vAlign w:val="bottom"/>
          </w:tcPr>
          <w:p w14:paraId="521FF6F0" w14:textId="77777777" w:rsidR="000C35AF" w:rsidRPr="00113056" w:rsidRDefault="000C35AF" w:rsidP="009238AE">
            <w:pPr>
              <w:pStyle w:val="Regresjonstabell"/>
              <w:jc w:val="right"/>
              <w:rPr>
                <w:sz w:val="20"/>
                <w:szCs w:val="20"/>
              </w:rPr>
            </w:pPr>
            <w:r w:rsidRPr="00113056">
              <w:rPr>
                <w:color w:val="000000"/>
                <w:sz w:val="20"/>
                <w:szCs w:val="20"/>
              </w:rPr>
              <w:t>0.156</w:t>
            </w:r>
          </w:p>
        </w:tc>
        <w:tc>
          <w:tcPr>
            <w:tcW w:w="1400" w:type="dxa"/>
            <w:tcBorders>
              <w:top w:val="nil"/>
              <w:left w:val="nil"/>
              <w:bottom w:val="single" w:sz="4" w:space="0" w:color="auto"/>
              <w:right w:val="single" w:sz="4" w:space="0" w:color="auto"/>
            </w:tcBorders>
            <w:vAlign w:val="bottom"/>
          </w:tcPr>
          <w:p w14:paraId="2F5140F0" w14:textId="77777777" w:rsidR="000C35AF" w:rsidRPr="00113056" w:rsidRDefault="000C35AF" w:rsidP="009238AE">
            <w:pPr>
              <w:pStyle w:val="Regresjonstabell"/>
              <w:jc w:val="right"/>
              <w:rPr>
                <w:sz w:val="20"/>
                <w:szCs w:val="20"/>
              </w:rPr>
            </w:pPr>
            <w:r w:rsidRPr="00113056">
              <w:rPr>
                <w:color w:val="000000"/>
                <w:sz w:val="20"/>
                <w:szCs w:val="20"/>
              </w:rPr>
              <w:t>0.572</w:t>
            </w:r>
          </w:p>
        </w:tc>
      </w:tr>
    </w:tbl>
    <w:p w14:paraId="1940803E"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w:t>
      </w:r>
    </w:p>
    <w:p w14:paraId="5A847F32" w14:textId="77777777" w:rsidR="000C35AF" w:rsidRPr="0055149C" w:rsidRDefault="000C35AF" w:rsidP="000C35AF">
      <w:pPr>
        <w:pStyle w:val="Source"/>
        <w:rPr>
          <w:lang w:eastAsia="nb-NO"/>
        </w:rPr>
      </w:pPr>
      <w:r w:rsidRPr="0055149C">
        <w:rPr>
          <w:lang w:eastAsia="nb-NO"/>
        </w:rPr>
        <w:t>Kilde: Vista Analyse</w:t>
      </w:r>
    </w:p>
    <w:p w14:paraId="13150615" w14:textId="77777777" w:rsidR="00A159CE" w:rsidRDefault="00A159CE" w:rsidP="000C35AF">
      <w:pPr>
        <w:pStyle w:val="Bildetekst"/>
      </w:pPr>
      <w:bookmarkStart w:id="141" w:name="_Ref178358799"/>
      <w:r>
        <w:br w:type="page"/>
      </w:r>
    </w:p>
    <w:p w14:paraId="2810959B" w14:textId="0124F5C9" w:rsidR="000C35AF" w:rsidRPr="0055149C" w:rsidRDefault="000C35AF" w:rsidP="000C35AF">
      <w:pPr>
        <w:pStyle w:val="Bildetekst"/>
      </w:pPr>
      <w:r w:rsidRPr="0055149C">
        <w:lastRenderedPageBreak/>
        <w:t xml:space="preserve">Tabell </w:t>
      </w:r>
      <w:fldSimple w:instr=" STYLEREF 1 \s ">
        <w:r w:rsidR="009B1DA8">
          <w:rPr>
            <w:noProof/>
          </w:rPr>
          <w:t>4</w:t>
        </w:r>
      </w:fldSimple>
      <w:r w:rsidRPr="0055149C">
        <w:t>.</w:t>
      </w:r>
      <w:fldSimple w:instr=" SEQ Tabell \* ARABIC \s 1 ">
        <w:r w:rsidR="009B1DA8">
          <w:rPr>
            <w:noProof/>
          </w:rPr>
          <w:t>17</w:t>
        </w:r>
      </w:fldSimple>
      <w:bookmarkEnd w:id="141"/>
      <w:r w:rsidRPr="0055149C">
        <w:t xml:space="preserve"> </w:t>
      </w:r>
      <w:r w:rsidRPr="0055149C">
        <w:tab/>
        <w:t xml:space="preserve">Regresjoner ved minste kvadraters metode, der kostnadene innen helse og omsorg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07"/>
        <w:gridCol w:w="1393"/>
        <w:gridCol w:w="1393"/>
        <w:gridCol w:w="1393"/>
        <w:gridCol w:w="1393"/>
        <w:gridCol w:w="1440"/>
        <w:gridCol w:w="1393"/>
        <w:gridCol w:w="1440"/>
        <w:gridCol w:w="1440"/>
      </w:tblGrid>
      <w:tr w:rsidR="000C35AF" w:rsidRPr="0055149C" w14:paraId="1CC0A43E" w14:textId="77777777" w:rsidTr="009238AE">
        <w:tc>
          <w:tcPr>
            <w:tcW w:w="2707" w:type="dxa"/>
            <w:tcBorders>
              <w:top w:val="single" w:sz="4" w:space="0" w:color="auto"/>
              <w:left w:val="single" w:sz="4" w:space="0" w:color="auto"/>
              <w:bottom w:val="nil"/>
              <w:right w:val="nil"/>
            </w:tcBorders>
            <w:shd w:val="clear" w:color="auto" w:fill="3672B0" w:themeFill="accent2"/>
          </w:tcPr>
          <w:p w14:paraId="1F481920" w14:textId="77777777" w:rsidR="000C35AF" w:rsidRPr="0055149C" w:rsidRDefault="000C35AF" w:rsidP="009238AE">
            <w:pPr>
              <w:pStyle w:val="Regresjonstabell"/>
              <w:rPr>
                <w:b/>
                <w:bCs/>
                <w:color w:val="FFFFFF" w:themeColor="background1"/>
                <w:sz w:val="15"/>
                <w:szCs w:val="15"/>
              </w:rPr>
            </w:pPr>
          </w:p>
        </w:tc>
        <w:tc>
          <w:tcPr>
            <w:tcW w:w="1393" w:type="dxa"/>
            <w:tcBorders>
              <w:top w:val="single" w:sz="4" w:space="0" w:color="auto"/>
              <w:left w:val="nil"/>
              <w:bottom w:val="nil"/>
              <w:right w:val="nil"/>
            </w:tcBorders>
            <w:shd w:val="clear" w:color="auto" w:fill="3672B0" w:themeFill="accent2"/>
          </w:tcPr>
          <w:p w14:paraId="2BF8B4D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(1)</w:t>
            </w:r>
          </w:p>
        </w:tc>
        <w:tc>
          <w:tcPr>
            <w:tcW w:w="1393" w:type="dxa"/>
            <w:tcBorders>
              <w:top w:val="single" w:sz="4" w:space="0" w:color="auto"/>
              <w:left w:val="nil"/>
              <w:bottom w:val="nil"/>
              <w:right w:val="nil"/>
            </w:tcBorders>
            <w:shd w:val="clear" w:color="auto" w:fill="3672B0" w:themeFill="accent2"/>
          </w:tcPr>
          <w:p w14:paraId="7F3EA29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w:t>
            </w:r>
          </w:p>
        </w:tc>
        <w:tc>
          <w:tcPr>
            <w:tcW w:w="1393" w:type="dxa"/>
            <w:tcBorders>
              <w:top w:val="single" w:sz="4" w:space="0" w:color="auto"/>
              <w:left w:val="nil"/>
              <w:bottom w:val="nil"/>
              <w:right w:val="nil"/>
            </w:tcBorders>
            <w:shd w:val="clear" w:color="auto" w:fill="3672B0" w:themeFill="accent2"/>
          </w:tcPr>
          <w:p w14:paraId="20F0C983"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(3)</w:t>
            </w:r>
          </w:p>
        </w:tc>
        <w:tc>
          <w:tcPr>
            <w:tcW w:w="1393" w:type="dxa"/>
            <w:tcBorders>
              <w:top w:val="single" w:sz="4" w:space="0" w:color="auto"/>
              <w:left w:val="nil"/>
              <w:bottom w:val="nil"/>
              <w:right w:val="nil"/>
            </w:tcBorders>
            <w:shd w:val="clear" w:color="auto" w:fill="3672B0" w:themeFill="accent2"/>
          </w:tcPr>
          <w:p w14:paraId="506F58DE"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(4)</w:t>
            </w:r>
          </w:p>
        </w:tc>
        <w:tc>
          <w:tcPr>
            <w:tcW w:w="1440" w:type="dxa"/>
            <w:tcBorders>
              <w:top w:val="single" w:sz="4" w:space="0" w:color="auto"/>
              <w:left w:val="nil"/>
              <w:bottom w:val="nil"/>
              <w:right w:val="nil"/>
            </w:tcBorders>
            <w:shd w:val="clear" w:color="auto" w:fill="3672B0" w:themeFill="accent2"/>
          </w:tcPr>
          <w:p w14:paraId="5AB111EA"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(1)</w:t>
            </w:r>
          </w:p>
        </w:tc>
        <w:tc>
          <w:tcPr>
            <w:tcW w:w="1393" w:type="dxa"/>
            <w:tcBorders>
              <w:top w:val="single" w:sz="4" w:space="0" w:color="auto"/>
              <w:left w:val="nil"/>
              <w:bottom w:val="nil"/>
              <w:right w:val="nil"/>
            </w:tcBorders>
            <w:shd w:val="clear" w:color="auto" w:fill="3672B0" w:themeFill="accent2"/>
          </w:tcPr>
          <w:p w14:paraId="560932F8"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w:t>
            </w:r>
          </w:p>
        </w:tc>
        <w:tc>
          <w:tcPr>
            <w:tcW w:w="1440" w:type="dxa"/>
            <w:tcBorders>
              <w:top w:val="single" w:sz="4" w:space="0" w:color="auto"/>
              <w:left w:val="nil"/>
              <w:bottom w:val="nil"/>
              <w:right w:val="nil"/>
            </w:tcBorders>
            <w:shd w:val="clear" w:color="auto" w:fill="3672B0" w:themeFill="accent2"/>
          </w:tcPr>
          <w:p w14:paraId="39F542B0"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(3)</w:t>
            </w:r>
          </w:p>
        </w:tc>
        <w:tc>
          <w:tcPr>
            <w:tcW w:w="1440" w:type="dxa"/>
            <w:tcBorders>
              <w:top w:val="single" w:sz="4" w:space="0" w:color="auto"/>
              <w:left w:val="nil"/>
              <w:bottom w:val="nil"/>
              <w:right w:val="single" w:sz="4" w:space="0" w:color="auto"/>
            </w:tcBorders>
            <w:shd w:val="clear" w:color="auto" w:fill="3672B0" w:themeFill="accent2"/>
          </w:tcPr>
          <w:p w14:paraId="110C37AD"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(4)</w:t>
            </w:r>
          </w:p>
        </w:tc>
      </w:tr>
      <w:tr w:rsidR="000C35AF" w:rsidRPr="0055149C" w14:paraId="423EE85A" w14:textId="77777777" w:rsidTr="009238AE">
        <w:tc>
          <w:tcPr>
            <w:tcW w:w="2707" w:type="dxa"/>
            <w:tcBorders>
              <w:top w:val="nil"/>
              <w:left w:val="single" w:sz="4" w:space="0" w:color="auto"/>
              <w:bottom w:val="single" w:sz="4" w:space="0" w:color="auto"/>
              <w:right w:val="nil"/>
            </w:tcBorders>
            <w:shd w:val="clear" w:color="auto" w:fill="3672B0" w:themeFill="accent2"/>
          </w:tcPr>
          <w:p w14:paraId="2569A170" w14:textId="77777777" w:rsidR="000C35AF" w:rsidRPr="0055149C" w:rsidRDefault="000C35AF" w:rsidP="009238AE">
            <w:pPr>
              <w:pStyle w:val="Regresjonstabell"/>
              <w:rPr>
                <w:b/>
                <w:bCs/>
                <w:color w:val="FFFFFF" w:themeColor="background1"/>
                <w:sz w:val="15"/>
                <w:szCs w:val="15"/>
              </w:rPr>
            </w:pPr>
          </w:p>
        </w:tc>
        <w:tc>
          <w:tcPr>
            <w:tcW w:w="1393" w:type="dxa"/>
            <w:tcBorders>
              <w:top w:val="nil"/>
              <w:left w:val="nil"/>
              <w:bottom w:val="single" w:sz="4" w:space="0" w:color="auto"/>
              <w:right w:val="nil"/>
            </w:tcBorders>
            <w:shd w:val="clear" w:color="auto" w:fill="3672B0" w:themeFill="accent2"/>
          </w:tcPr>
          <w:p w14:paraId="60630107"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393" w:type="dxa"/>
            <w:tcBorders>
              <w:top w:val="nil"/>
              <w:left w:val="nil"/>
              <w:bottom w:val="single" w:sz="4" w:space="0" w:color="auto"/>
              <w:right w:val="nil"/>
            </w:tcBorders>
            <w:shd w:val="clear" w:color="auto" w:fill="3672B0" w:themeFill="accent2"/>
          </w:tcPr>
          <w:p w14:paraId="512B645A"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393" w:type="dxa"/>
            <w:tcBorders>
              <w:top w:val="nil"/>
              <w:left w:val="nil"/>
              <w:bottom w:val="single" w:sz="4" w:space="0" w:color="auto"/>
              <w:right w:val="nil"/>
            </w:tcBorders>
            <w:shd w:val="clear" w:color="auto" w:fill="3672B0" w:themeFill="accent2"/>
          </w:tcPr>
          <w:p w14:paraId="08B59F60"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393" w:type="dxa"/>
            <w:tcBorders>
              <w:top w:val="nil"/>
              <w:left w:val="nil"/>
              <w:bottom w:val="single" w:sz="4" w:space="0" w:color="auto"/>
              <w:right w:val="nil"/>
            </w:tcBorders>
            <w:shd w:val="clear" w:color="auto" w:fill="3672B0" w:themeFill="accent2"/>
          </w:tcPr>
          <w:p w14:paraId="3AAFCEB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440" w:type="dxa"/>
            <w:tcBorders>
              <w:top w:val="nil"/>
              <w:left w:val="nil"/>
              <w:bottom w:val="single" w:sz="4" w:space="0" w:color="auto"/>
              <w:right w:val="nil"/>
            </w:tcBorders>
            <w:shd w:val="clear" w:color="auto" w:fill="3672B0" w:themeFill="accent2"/>
          </w:tcPr>
          <w:p w14:paraId="0599F5BC"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93" w:type="dxa"/>
            <w:tcBorders>
              <w:top w:val="nil"/>
              <w:left w:val="nil"/>
              <w:bottom w:val="single" w:sz="4" w:space="0" w:color="auto"/>
              <w:right w:val="nil"/>
            </w:tcBorders>
            <w:shd w:val="clear" w:color="auto" w:fill="3672B0" w:themeFill="accent2"/>
          </w:tcPr>
          <w:p w14:paraId="7E74EA0F"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nil"/>
            </w:tcBorders>
            <w:shd w:val="clear" w:color="auto" w:fill="3672B0" w:themeFill="accent2"/>
          </w:tcPr>
          <w:p w14:paraId="66444D90"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single" w:sz="4" w:space="0" w:color="auto"/>
            </w:tcBorders>
            <w:shd w:val="clear" w:color="auto" w:fill="3672B0" w:themeFill="accent2"/>
          </w:tcPr>
          <w:p w14:paraId="656080ED"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r>
      <w:tr w:rsidR="000C35AF" w:rsidRPr="0055149C" w14:paraId="71A735BF" w14:textId="77777777" w:rsidTr="009238AE">
        <w:tc>
          <w:tcPr>
            <w:tcW w:w="2707" w:type="dxa"/>
            <w:tcBorders>
              <w:top w:val="single" w:sz="4" w:space="0" w:color="auto"/>
              <w:left w:val="single" w:sz="4" w:space="0" w:color="auto"/>
              <w:bottom w:val="nil"/>
              <w:right w:val="single" w:sz="4" w:space="0" w:color="auto"/>
            </w:tcBorders>
            <w:shd w:val="clear" w:color="auto" w:fill="A9C6E4" w:themeFill="accent2" w:themeFillTint="66"/>
          </w:tcPr>
          <w:p w14:paraId="02649FE3" w14:textId="77777777" w:rsidR="000C35AF" w:rsidRPr="0055149C" w:rsidRDefault="000C35AF" w:rsidP="009238AE">
            <w:pPr>
              <w:pStyle w:val="Regresjonstabell"/>
              <w:rPr>
                <w:sz w:val="15"/>
                <w:szCs w:val="15"/>
              </w:rPr>
            </w:pPr>
            <w:r w:rsidRPr="0055149C">
              <w:rPr>
                <w:sz w:val="15"/>
                <w:szCs w:val="15"/>
              </w:rPr>
              <w:t>Innbyggere 0 til 1 år</w:t>
            </w:r>
          </w:p>
        </w:tc>
        <w:tc>
          <w:tcPr>
            <w:tcW w:w="1393" w:type="dxa"/>
            <w:tcBorders>
              <w:top w:val="single" w:sz="4" w:space="0" w:color="auto"/>
              <w:left w:val="single" w:sz="4" w:space="0" w:color="auto"/>
              <w:bottom w:val="nil"/>
              <w:right w:val="nil"/>
            </w:tcBorders>
            <w:vAlign w:val="bottom"/>
          </w:tcPr>
          <w:p w14:paraId="69567D1C" w14:textId="77777777" w:rsidR="000C35AF" w:rsidRPr="00D72219" w:rsidRDefault="000C35AF" w:rsidP="009238AE">
            <w:pPr>
              <w:pStyle w:val="Regresjonstabell"/>
              <w:jc w:val="right"/>
              <w:rPr>
                <w:sz w:val="15"/>
                <w:szCs w:val="15"/>
              </w:rPr>
            </w:pPr>
            <w:r w:rsidRPr="00D72219">
              <w:rPr>
                <w:color w:val="000000"/>
                <w:sz w:val="15"/>
                <w:szCs w:val="15"/>
              </w:rPr>
              <w:t>-189.229</w:t>
            </w:r>
          </w:p>
        </w:tc>
        <w:tc>
          <w:tcPr>
            <w:tcW w:w="1393" w:type="dxa"/>
            <w:tcBorders>
              <w:top w:val="single" w:sz="4" w:space="0" w:color="auto"/>
              <w:left w:val="nil"/>
              <w:bottom w:val="nil"/>
              <w:right w:val="nil"/>
            </w:tcBorders>
            <w:vAlign w:val="bottom"/>
          </w:tcPr>
          <w:p w14:paraId="360A9D7A" w14:textId="77777777" w:rsidR="000C35AF" w:rsidRPr="00D72219" w:rsidRDefault="000C35AF" w:rsidP="009238AE">
            <w:pPr>
              <w:pStyle w:val="Regresjonstabell"/>
              <w:jc w:val="right"/>
              <w:rPr>
                <w:sz w:val="15"/>
                <w:szCs w:val="15"/>
              </w:rPr>
            </w:pPr>
            <w:r w:rsidRPr="00D72219">
              <w:rPr>
                <w:color w:val="000000"/>
                <w:sz w:val="15"/>
                <w:szCs w:val="15"/>
              </w:rPr>
              <w:t>-193.058</w:t>
            </w:r>
          </w:p>
        </w:tc>
        <w:tc>
          <w:tcPr>
            <w:tcW w:w="1393" w:type="dxa"/>
            <w:tcBorders>
              <w:top w:val="single" w:sz="4" w:space="0" w:color="auto"/>
              <w:left w:val="nil"/>
              <w:bottom w:val="nil"/>
              <w:right w:val="nil"/>
            </w:tcBorders>
            <w:vAlign w:val="bottom"/>
          </w:tcPr>
          <w:p w14:paraId="504816EE" w14:textId="77777777" w:rsidR="000C35AF" w:rsidRPr="00D72219" w:rsidRDefault="000C35AF" w:rsidP="009238AE">
            <w:pPr>
              <w:pStyle w:val="Regresjonstabell"/>
              <w:jc w:val="right"/>
              <w:rPr>
                <w:sz w:val="15"/>
                <w:szCs w:val="15"/>
              </w:rPr>
            </w:pPr>
            <w:r w:rsidRPr="00D72219">
              <w:rPr>
                <w:color w:val="000000"/>
                <w:sz w:val="15"/>
                <w:szCs w:val="15"/>
              </w:rPr>
              <w:t>-177.502</w:t>
            </w:r>
          </w:p>
        </w:tc>
        <w:tc>
          <w:tcPr>
            <w:tcW w:w="1393" w:type="dxa"/>
            <w:tcBorders>
              <w:top w:val="single" w:sz="4" w:space="0" w:color="auto"/>
              <w:left w:val="nil"/>
              <w:bottom w:val="nil"/>
              <w:right w:val="nil"/>
            </w:tcBorders>
            <w:vAlign w:val="bottom"/>
          </w:tcPr>
          <w:p w14:paraId="78A4787B" w14:textId="77777777" w:rsidR="000C35AF" w:rsidRPr="00D72219" w:rsidRDefault="000C35AF" w:rsidP="009238AE">
            <w:pPr>
              <w:pStyle w:val="Regresjonstabell"/>
              <w:jc w:val="right"/>
              <w:rPr>
                <w:sz w:val="15"/>
                <w:szCs w:val="15"/>
              </w:rPr>
            </w:pPr>
            <w:r w:rsidRPr="00D72219">
              <w:rPr>
                <w:color w:val="000000"/>
                <w:sz w:val="15"/>
                <w:szCs w:val="15"/>
              </w:rPr>
              <w:t>-169.219</w:t>
            </w:r>
          </w:p>
        </w:tc>
        <w:tc>
          <w:tcPr>
            <w:tcW w:w="1440" w:type="dxa"/>
            <w:tcBorders>
              <w:top w:val="single" w:sz="4" w:space="0" w:color="auto"/>
              <w:left w:val="nil"/>
              <w:bottom w:val="nil"/>
              <w:right w:val="nil"/>
            </w:tcBorders>
            <w:vAlign w:val="bottom"/>
          </w:tcPr>
          <w:p w14:paraId="58AF0696" w14:textId="77777777" w:rsidR="000C35AF" w:rsidRPr="00D72219" w:rsidRDefault="000C35AF" w:rsidP="009238AE">
            <w:pPr>
              <w:pStyle w:val="Regresjonstabell"/>
              <w:jc w:val="right"/>
              <w:rPr>
                <w:sz w:val="15"/>
                <w:szCs w:val="15"/>
              </w:rPr>
            </w:pPr>
            <w:r w:rsidRPr="00D72219">
              <w:rPr>
                <w:color w:val="000000"/>
                <w:sz w:val="15"/>
                <w:szCs w:val="15"/>
              </w:rPr>
              <w:t>149.594</w:t>
            </w:r>
          </w:p>
        </w:tc>
        <w:tc>
          <w:tcPr>
            <w:tcW w:w="1393" w:type="dxa"/>
            <w:tcBorders>
              <w:top w:val="single" w:sz="4" w:space="0" w:color="auto"/>
              <w:left w:val="nil"/>
              <w:bottom w:val="nil"/>
              <w:right w:val="nil"/>
            </w:tcBorders>
            <w:vAlign w:val="bottom"/>
          </w:tcPr>
          <w:p w14:paraId="4D9C84BA" w14:textId="77777777" w:rsidR="000C35AF" w:rsidRPr="00D72219" w:rsidRDefault="000C35AF" w:rsidP="009238AE">
            <w:pPr>
              <w:pStyle w:val="Regresjonstabell"/>
              <w:jc w:val="right"/>
              <w:rPr>
                <w:sz w:val="15"/>
                <w:szCs w:val="15"/>
              </w:rPr>
            </w:pPr>
            <w:r w:rsidRPr="00D72219">
              <w:rPr>
                <w:color w:val="000000"/>
                <w:sz w:val="15"/>
                <w:szCs w:val="15"/>
              </w:rPr>
              <w:t>149.468</w:t>
            </w:r>
          </w:p>
        </w:tc>
        <w:tc>
          <w:tcPr>
            <w:tcW w:w="1440" w:type="dxa"/>
            <w:tcBorders>
              <w:top w:val="single" w:sz="4" w:space="0" w:color="auto"/>
              <w:left w:val="nil"/>
              <w:bottom w:val="nil"/>
              <w:right w:val="nil"/>
            </w:tcBorders>
            <w:vAlign w:val="bottom"/>
          </w:tcPr>
          <w:p w14:paraId="089CC46B" w14:textId="77777777" w:rsidR="000C35AF" w:rsidRPr="00D72219" w:rsidRDefault="000C35AF" w:rsidP="009238AE">
            <w:pPr>
              <w:pStyle w:val="Regresjonstabell"/>
              <w:jc w:val="right"/>
              <w:rPr>
                <w:sz w:val="15"/>
                <w:szCs w:val="15"/>
              </w:rPr>
            </w:pPr>
            <w:r w:rsidRPr="00D72219">
              <w:rPr>
                <w:color w:val="000000"/>
                <w:sz w:val="15"/>
                <w:szCs w:val="15"/>
              </w:rPr>
              <w:t>181.062</w:t>
            </w:r>
          </w:p>
        </w:tc>
        <w:tc>
          <w:tcPr>
            <w:tcW w:w="1440" w:type="dxa"/>
            <w:tcBorders>
              <w:top w:val="single" w:sz="4" w:space="0" w:color="auto"/>
              <w:left w:val="nil"/>
              <w:bottom w:val="nil"/>
              <w:right w:val="single" w:sz="4" w:space="0" w:color="auto"/>
            </w:tcBorders>
            <w:vAlign w:val="bottom"/>
          </w:tcPr>
          <w:p w14:paraId="0127DF1E" w14:textId="77777777" w:rsidR="000C35AF" w:rsidRPr="00D72219" w:rsidRDefault="000C35AF" w:rsidP="009238AE">
            <w:pPr>
              <w:pStyle w:val="Regresjonstabell"/>
              <w:jc w:val="right"/>
              <w:rPr>
                <w:sz w:val="15"/>
                <w:szCs w:val="15"/>
              </w:rPr>
            </w:pPr>
            <w:r w:rsidRPr="00D72219">
              <w:rPr>
                <w:color w:val="000000"/>
                <w:sz w:val="15"/>
                <w:szCs w:val="15"/>
              </w:rPr>
              <w:t>212.551</w:t>
            </w:r>
          </w:p>
        </w:tc>
      </w:tr>
      <w:tr w:rsidR="000C35AF" w:rsidRPr="0055149C" w14:paraId="17B02DD9"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36C5D4E7" w14:textId="77777777" w:rsidR="000C35AF" w:rsidRPr="0055149C" w:rsidRDefault="000C35AF" w:rsidP="009238AE">
            <w:pPr>
              <w:pStyle w:val="Regresjonstabell"/>
              <w:rPr>
                <w:sz w:val="15"/>
                <w:szCs w:val="15"/>
              </w:rPr>
            </w:pPr>
            <w:r w:rsidRPr="0055149C">
              <w:rPr>
                <w:sz w:val="15"/>
                <w:szCs w:val="15"/>
              </w:rPr>
              <w:t>(Kriterium 3)</w:t>
            </w:r>
          </w:p>
        </w:tc>
        <w:tc>
          <w:tcPr>
            <w:tcW w:w="1393" w:type="dxa"/>
            <w:tcBorders>
              <w:top w:val="nil"/>
              <w:left w:val="single" w:sz="4" w:space="0" w:color="auto"/>
              <w:bottom w:val="nil"/>
              <w:right w:val="nil"/>
            </w:tcBorders>
            <w:vAlign w:val="center"/>
          </w:tcPr>
          <w:p w14:paraId="5E857251" w14:textId="77777777" w:rsidR="000C35AF" w:rsidRPr="00D72219" w:rsidRDefault="000C35AF" w:rsidP="009238AE">
            <w:pPr>
              <w:pStyle w:val="Regresjonstabell"/>
              <w:jc w:val="right"/>
              <w:rPr>
                <w:sz w:val="15"/>
                <w:szCs w:val="15"/>
              </w:rPr>
            </w:pPr>
            <w:r w:rsidRPr="00D72219">
              <w:rPr>
                <w:color w:val="000000"/>
                <w:sz w:val="15"/>
                <w:szCs w:val="15"/>
              </w:rPr>
              <w:t>(135.953)</w:t>
            </w:r>
          </w:p>
        </w:tc>
        <w:tc>
          <w:tcPr>
            <w:tcW w:w="1393" w:type="dxa"/>
            <w:tcBorders>
              <w:top w:val="nil"/>
              <w:left w:val="nil"/>
              <w:bottom w:val="nil"/>
              <w:right w:val="nil"/>
            </w:tcBorders>
            <w:vAlign w:val="center"/>
          </w:tcPr>
          <w:p w14:paraId="407F6372" w14:textId="77777777" w:rsidR="000C35AF" w:rsidRPr="00D72219" w:rsidRDefault="000C35AF" w:rsidP="009238AE">
            <w:pPr>
              <w:pStyle w:val="Regresjonstabell"/>
              <w:jc w:val="right"/>
              <w:rPr>
                <w:sz w:val="15"/>
                <w:szCs w:val="15"/>
              </w:rPr>
            </w:pPr>
            <w:r w:rsidRPr="00D72219">
              <w:rPr>
                <w:color w:val="000000"/>
                <w:sz w:val="15"/>
                <w:szCs w:val="15"/>
              </w:rPr>
              <w:t>(139.510)</w:t>
            </w:r>
          </w:p>
        </w:tc>
        <w:tc>
          <w:tcPr>
            <w:tcW w:w="1393" w:type="dxa"/>
            <w:tcBorders>
              <w:top w:val="nil"/>
              <w:left w:val="nil"/>
              <w:bottom w:val="nil"/>
              <w:right w:val="nil"/>
            </w:tcBorders>
            <w:vAlign w:val="center"/>
          </w:tcPr>
          <w:p w14:paraId="7216D3F8" w14:textId="77777777" w:rsidR="000C35AF" w:rsidRPr="00D72219" w:rsidRDefault="000C35AF" w:rsidP="009238AE">
            <w:pPr>
              <w:pStyle w:val="Regresjonstabell"/>
              <w:jc w:val="right"/>
              <w:rPr>
                <w:sz w:val="15"/>
                <w:szCs w:val="15"/>
              </w:rPr>
            </w:pPr>
            <w:r w:rsidRPr="00D72219">
              <w:rPr>
                <w:color w:val="000000"/>
                <w:sz w:val="15"/>
                <w:szCs w:val="15"/>
              </w:rPr>
              <w:t>(147.511)</w:t>
            </w:r>
          </w:p>
        </w:tc>
        <w:tc>
          <w:tcPr>
            <w:tcW w:w="1393" w:type="dxa"/>
            <w:tcBorders>
              <w:top w:val="nil"/>
              <w:left w:val="nil"/>
              <w:bottom w:val="nil"/>
              <w:right w:val="nil"/>
            </w:tcBorders>
            <w:vAlign w:val="center"/>
          </w:tcPr>
          <w:p w14:paraId="70CEBCD7" w14:textId="77777777" w:rsidR="000C35AF" w:rsidRPr="00D72219" w:rsidRDefault="000C35AF" w:rsidP="009238AE">
            <w:pPr>
              <w:pStyle w:val="Regresjonstabell"/>
              <w:jc w:val="right"/>
              <w:rPr>
                <w:sz w:val="15"/>
                <w:szCs w:val="15"/>
              </w:rPr>
            </w:pPr>
            <w:r w:rsidRPr="00D72219">
              <w:rPr>
                <w:color w:val="000000"/>
                <w:sz w:val="15"/>
                <w:szCs w:val="15"/>
              </w:rPr>
              <w:t>(159.780)</w:t>
            </w:r>
          </w:p>
        </w:tc>
        <w:tc>
          <w:tcPr>
            <w:tcW w:w="1440" w:type="dxa"/>
            <w:tcBorders>
              <w:top w:val="nil"/>
              <w:left w:val="nil"/>
              <w:bottom w:val="nil"/>
              <w:right w:val="nil"/>
            </w:tcBorders>
            <w:vAlign w:val="center"/>
          </w:tcPr>
          <w:p w14:paraId="462F65BD" w14:textId="77777777" w:rsidR="000C35AF" w:rsidRPr="00D72219" w:rsidRDefault="000C35AF" w:rsidP="009238AE">
            <w:pPr>
              <w:pStyle w:val="Regresjonstabell"/>
              <w:jc w:val="right"/>
              <w:rPr>
                <w:sz w:val="15"/>
                <w:szCs w:val="15"/>
              </w:rPr>
            </w:pPr>
            <w:r w:rsidRPr="00D72219">
              <w:rPr>
                <w:color w:val="000000"/>
                <w:sz w:val="15"/>
                <w:szCs w:val="15"/>
              </w:rPr>
              <w:t>(173.469)</w:t>
            </w:r>
          </w:p>
        </w:tc>
        <w:tc>
          <w:tcPr>
            <w:tcW w:w="1393" w:type="dxa"/>
            <w:tcBorders>
              <w:top w:val="nil"/>
              <w:left w:val="nil"/>
              <w:bottom w:val="nil"/>
              <w:right w:val="nil"/>
            </w:tcBorders>
            <w:vAlign w:val="center"/>
          </w:tcPr>
          <w:p w14:paraId="235ED137" w14:textId="77777777" w:rsidR="000C35AF" w:rsidRPr="00D72219" w:rsidRDefault="000C35AF" w:rsidP="009238AE">
            <w:pPr>
              <w:pStyle w:val="Regresjonstabell"/>
              <w:jc w:val="right"/>
              <w:rPr>
                <w:sz w:val="15"/>
                <w:szCs w:val="15"/>
              </w:rPr>
            </w:pPr>
            <w:r w:rsidRPr="00D72219">
              <w:rPr>
                <w:color w:val="000000"/>
                <w:sz w:val="15"/>
                <w:szCs w:val="15"/>
              </w:rPr>
              <w:t>(177.771)</w:t>
            </w:r>
          </w:p>
        </w:tc>
        <w:tc>
          <w:tcPr>
            <w:tcW w:w="1440" w:type="dxa"/>
            <w:tcBorders>
              <w:top w:val="nil"/>
              <w:left w:val="nil"/>
              <w:bottom w:val="nil"/>
              <w:right w:val="nil"/>
            </w:tcBorders>
            <w:vAlign w:val="center"/>
          </w:tcPr>
          <w:p w14:paraId="078CDE63" w14:textId="77777777" w:rsidR="000C35AF" w:rsidRPr="00D72219" w:rsidRDefault="000C35AF" w:rsidP="009238AE">
            <w:pPr>
              <w:pStyle w:val="Regresjonstabell"/>
              <w:jc w:val="right"/>
              <w:rPr>
                <w:sz w:val="15"/>
                <w:szCs w:val="15"/>
              </w:rPr>
            </w:pPr>
            <w:r w:rsidRPr="00D72219">
              <w:rPr>
                <w:color w:val="000000"/>
                <w:sz w:val="15"/>
                <w:szCs w:val="15"/>
              </w:rPr>
              <w:t>(188.585)</w:t>
            </w:r>
          </w:p>
        </w:tc>
        <w:tc>
          <w:tcPr>
            <w:tcW w:w="1440" w:type="dxa"/>
            <w:tcBorders>
              <w:top w:val="nil"/>
              <w:left w:val="nil"/>
              <w:bottom w:val="nil"/>
              <w:right w:val="single" w:sz="4" w:space="0" w:color="auto"/>
            </w:tcBorders>
            <w:vAlign w:val="center"/>
          </w:tcPr>
          <w:p w14:paraId="423C204E" w14:textId="77777777" w:rsidR="000C35AF" w:rsidRPr="00D72219" w:rsidRDefault="000C35AF" w:rsidP="009238AE">
            <w:pPr>
              <w:pStyle w:val="Regresjonstabell"/>
              <w:jc w:val="right"/>
              <w:rPr>
                <w:sz w:val="15"/>
                <w:szCs w:val="15"/>
              </w:rPr>
            </w:pPr>
            <w:r w:rsidRPr="00D72219">
              <w:rPr>
                <w:color w:val="000000"/>
                <w:sz w:val="15"/>
                <w:szCs w:val="15"/>
              </w:rPr>
              <w:t>(212.862)</w:t>
            </w:r>
          </w:p>
        </w:tc>
      </w:tr>
      <w:tr w:rsidR="000C35AF" w:rsidRPr="0055149C" w14:paraId="45F45AA8"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5CDBABAE" w14:textId="77777777" w:rsidR="000C35AF" w:rsidRPr="0055149C" w:rsidRDefault="000C35AF" w:rsidP="009238AE">
            <w:pPr>
              <w:pStyle w:val="Regresjonstabell"/>
              <w:rPr>
                <w:sz w:val="15"/>
                <w:szCs w:val="15"/>
              </w:rPr>
            </w:pPr>
            <w:r w:rsidRPr="0055149C">
              <w:rPr>
                <w:sz w:val="15"/>
                <w:szCs w:val="15"/>
              </w:rPr>
              <w:t>Innbyggere 2 til 5 år</w:t>
            </w:r>
          </w:p>
        </w:tc>
        <w:tc>
          <w:tcPr>
            <w:tcW w:w="1393" w:type="dxa"/>
            <w:tcBorders>
              <w:top w:val="nil"/>
              <w:left w:val="single" w:sz="4" w:space="0" w:color="auto"/>
              <w:bottom w:val="nil"/>
              <w:right w:val="nil"/>
            </w:tcBorders>
            <w:vAlign w:val="bottom"/>
          </w:tcPr>
          <w:p w14:paraId="725627D8" w14:textId="77777777" w:rsidR="000C35AF" w:rsidRPr="00D72219" w:rsidRDefault="000C35AF" w:rsidP="009238AE">
            <w:pPr>
              <w:pStyle w:val="Regresjonstabell"/>
              <w:jc w:val="right"/>
              <w:rPr>
                <w:sz w:val="15"/>
                <w:szCs w:val="15"/>
              </w:rPr>
            </w:pPr>
            <w:r w:rsidRPr="00D72219">
              <w:rPr>
                <w:color w:val="000000"/>
                <w:sz w:val="15"/>
                <w:szCs w:val="15"/>
              </w:rPr>
              <w:t>-54.785</w:t>
            </w:r>
          </w:p>
        </w:tc>
        <w:tc>
          <w:tcPr>
            <w:tcW w:w="1393" w:type="dxa"/>
            <w:tcBorders>
              <w:top w:val="nil"/>
              <w:left w:val="nil"/>
              <w:bottom w:val="nil"/>
              <w:right w:val="nil"/>
            </w:tcBorders>
            <w:vAlign w:val="bottom"/>
          </w:tcPr>
          <w:p w14:paraId="6E439069" w14:textId="77777777" w:rsidR="000C35AF" w:rsidRPr="00D72219" w:rsidRDefault="000C35AF" w:rsidP="009238AE">
            <w:pPr>
              <w:pStyle w:val="Regresjonstabell"/>
              <w:jc w:val="right"/>
              <w:rPr>
                <w:sz w:val="15"/>
                <w:szCs w:val="15"/>
              </w:rPr>
            </w:pPr>
            <w:r w:rsidRPr="00D72219">
              <w:rPr>
                <w:color w:val="000000"/>
                <w:sz w:val="15"/>
                <w:szCs w:val="15"/>
              </w:rPr>
              <w:t>-61.432</w:t>
            </w:r>
          </w:p>
        </w:tc>
        <w:tc>
          <w:tcPr>
            <w:tcW w:w="1393" w:type="dxa"/>
            <w:tcBorders>
              <w:top w:val="nil"/>
              <w:left w:val="nil"/>
              <w:bottom w:val="nil"/>
              <w:right w:val="nil"/>
            </w:tcBorders>
            <w:vAlign w:val="bottom"/>
          </w:tcPr>
          <w:p w14:paraId="31081198" w14:textId="77777777" w:rsidR="000C35AF" w:rsidRPr="00D72219" w:rsidRDefault="000C35AF" w:rsidP="009238AE">
            <w:pPr>
              <w:pStyle w:val="Regresjonstabell"/>
              <w:jc w:val="right"/>
              <w:rPr>
                <w:sz w:val="15"/>
                <w:szCs w:val="15"/>
              </w:rPr>
            </w:pPr>
            <w:r w:rsidRPr="00D72219">
              <w:rPr>
                <w:color w:val="000000"/>
                <w:sz w:val="15"/>
                <w:szCs w:val="15"/>
              </w:rPr>
              <w:t>-64.484</w:t>
            </w:r>
          </w:p>
        </w:tc>
        <w:tc>
          <w:tcPr>
            <w:tcW w:w="1393" w:type="dxa"/>
            <w:tcBorders>
              <w:top w:val="nil"/>
              <w:left w:val="nil"/>
              <w:bottom w:val="nil"/>
              <w:right w:val="nil"/>
            </w:tcBorders>
            <w:vAlign w:val="bottom"/>
          </w:tcPr>
          <w:p w14:paraId="1D97BB07" w14:textId="77777777" w:rsidR="000C35AF" w:rsidRPr="00D72219" w:rsidRDefault="000C35AF" w:rsidP="009238AE">
            <w:pPr>
              <w:pStyle w:val="Regresjonstabell"/>
              <w:jc w:val="right"/>
              <w:rPr>
                <w:sz w:val="15"/>
                <w:szCs w:val="15"/>
              </w:rPr>
            </w:pPr>
            <w:r w:rsidRPr="00D72219">
              <w:rPr>
                <w:color w:val="000000"/>
                <w:sz w:val="15"/>
                <w:szCs w:val="15"/>
              </w:rPr>
              <w:t>-70.529</w:t>
            </w:r>
          </w:p>
        </w:tc>
        <w:tc>
          <w:tcPr>
            <w:tcW w:w="1440" w:type="dxa"/>
            <w:tcBorders>
              <w:top w:val="nil"/>
              <w:left w:val="nil"/>
              <w:bottom w:val="nil"/>
              <w:right w:val="nil"/>
            </w:tcBorders>
            <w:vAlign w:val="bottom"/>
          </w:tcPr>
          <w:p w14:paraId="60EEC7F8" w14:textId="77777777" w:rsidR="000C35AF" w:rsidRPr="00D72219" w:rsidRDefault="000C35AF" w:rsidP="009238AE">
            <w:pPr>
              <w:pStyle w:val="Regresjonstabell"/>
              <w:jc w:val="right"/>
              <w:rPr>
                <w:sz w:val="15"/>
                <w:szCs w:val="15"/>
              </w:rPr>
            </w:pPr>
            <w:r w:rsidRPr="00D72219">
              <w:rPr>
                <w:color w:val="000000"/>
                <w:sz w:val="15"/>
                <w:szCs w:val="15"/>
              </w:rPr>
              <w:t>-250.850**</w:t>
            </w:r>
          </w:p>
        </w:tc>
        <w:tc>
          <w:tcPr>
            <w:tcW w:w="1393" w:type="dxa"/>
            <w:tcBorders>
              <w:top w:val="nil"/>
              <w:left w:val="nil"/>
              <w:bottom w:val="nil"/>
              <w:right w:val="nil"/>
            </w:tcBorders>
            <w:vAlign w:val="bottom"/>
          </w:tcPr>
          <w:p w14:paraId="437A596C" w14:textId="77777777" w:rsidR="000C35AF" w:rsidRPr="00D72219" w:rsidRDefault="000C35AF" w:rsidP="009238AE">
            <w:pPr>
              <w:pStyle w:val="Regresjonstabell"/>
              <w:jc w:val="right"/>
              <w:rPr>
                <w:sz w:val="15"/>
                <w:szCs w:val="15"/>
              </w:rPr>
            </w:pPr>
            <w:r w:rsidRPr="00D72219">
              <w:rPr>
                <w:color w:val="000000"/>
                <w:sz w:val="15"/>
                <w:szCs w:val="15"/>
              </w:rPr>
              <w:t>-242.910**</w:t>
            </w:r>
          </w:p>
        </w:tc>
        <w:tc>
          <w:tcPr>
            <w:tcW w:w="1440" w:type="dxa"/>
            <w:tcBorders>
              <w:top w:val="nil"/>
              <w:left w:val="nil"/>
              <w:bottom w:val="nil"/>
              <w:right w:val="nil"/>
            </w:tcBorders>
            <w:vAlign w:val="bottom"/>
          </w:tcPr>
          <w:p w14:paraId="47C56664" w14:textId="77777777" w:rsidR="000C35AF" w:rsidRPr="00D72219" w:rsidRDefault="000C35AF" w:rsidP="009238AE">
            <w:pPr>
              <w:pStyle w:val="Regresjonstabell"/>
              <w:jc w:val="right"/>
              <w:rPr>
                <w:sz w:val="15"/>
                <w:szCs w:val="15"/>
              </w:rPr>
            </w:pPr>
            <w:r w:rsidRPr="00D72219">
              <w:rPr>
                <w:color w:val="000000"/>
                <w:sz w:val="15"/>
                <w:szCs w:val="15"/>
              </w:rPr>
              <w:t>-251.851**</w:t>
            </w:r>
          </w:p>
        </w:tc>
        <w:tc>
          <w:tcPr>
            <w:tcW w:w="1440" w:type="dxa"/>
            <w:tcBorders>
              <w:top w:val="nil"/>
              <w:left w:val="nil"/>
              <w:bottom w:val="nil"/>
              <w:right w:val="single" w:sz="4" w:space="0" w:color="auto"/>
            </w:tcBorders>
            <w:vAlign w:val="bottom"/>
          </w:tcPr>
          <w:p w14:paraId="7AF5E237" w14:textId="77777777" w:rsidR="000C35AF" w:rsidRPr="00D72219" w:rsidRDefault="000C35AF" w:rsidP="009238AE">
            <w:pPr>
              <w:pStyle w:val="Regresjonstabell"/>
              <w:jc w:val="right"/>
              <w:rPr>
                <w:sz w:val="15"/>
                <w:szCs w:val="15"/>
              </w:rPr>
            </w:pPr>
            <w:r w:rsidRPr="00D72219">
              <w:rPr>
                <w:color w:val="000000"/>
                <w:sz w:val="15"/>
                <w:szCs w:val="15"/>
              </w:rPr>
              <w:t>-253.225**</w:t>
            </w:r>
          </w:p>
        </w:tc>
      </w:tr>
      <w:tr w:rsidR="000C35AF" w:rsidRPr="0055149C" w14:paraId="06B763B1"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A46B07A" w14:textId="77777777" w:rsidR="000C35AF" w:rsidRPr="0055149C" w:rsidRDefault="000C35AF" w:rsidP="009238AE">
            <w:pPr>
              <w:pStyle w:val="Regresjonstabell"/>
              <w:rPr>
                <w:sz w:val="15"/>
                <w:szCs w:val="15"/>
              </w:rPr>
            </w:pPr>
            <w:r w:rsidRPr="0055149C">
              <w:rPr>
                <w:sz w:val="15"/>
                <w:szCs w:val="15"/>
              </w:rPr>
              <w:t>(Kriterium 4)</w:t>
            </w:r>
          </w:p>
        </w:tc>
        <w:tc>
          <w:tcPr>
            <w:tcW w:w="1393" w:type="dxa"/>
            <w:tcBorders>
              <w:top w:val="nil"/>
              <w:left w:val="single" w:sz="4" w:space="0" w:color="auto"/>
              <w:bottom w:val="nil"/>
              <w:right w:val="nil"/>
            </w:tcBorders>
            <w:vAlign w:val="center"/>
          </w:tcPr>
          <w:p w14:paraId="14ED232C" w14:textId="77777777" w:rsidR="000C35AF" w:rsidRPr="00D72219" w:rsidRDefault="000C35AF" w:rsidP="009238AE">
            <w:pPr>
              <w:pStyle w:val="Regresjonstabell"/>
              <w:jc w:val="right"/>
              <w:rPr>
                <w:sz w:val="15"/>
                <w:szCs w:val="15"/>
              </w:rPr>
            </w:pPr>
            <w:r w:rsidRPr="00D72219">
              <w:rPr>
                <w:color w:val="000000"/>
                <w:sz w:val="15"/>
                <w:szCs w:val="15"/>
              </w:rPr>
              <w:t>(82.996)</w:t>
            </w:r>
          </w:p>
        </w:tc>
        <w:tc>
          <w:tcPr>
            <w:tcW w:w="1393" w:type="dxa"/>
            <w:tcBorders>
              <w:top w:val="nil"/>
              <w:left w:val="nil"/>
              <w:bottom w:val="nil"/>
              <w:right w:val="nil"/>
            </w:tcBorders>
            <w:vAlign w:val="center"/>
          </w:tcPr>
          <w:p w14:paraId="686B0335" w14:textId="77777777" w:rsidR="000C35AF" w:rsidRPr="00D72219" w:rsidRDefault="000C35AF" w:rsidP="009238AE">
            <w:pPr>
              <w:pStyle w:val="Regresjonstabell"/>
              <w:jc w:val="right"/>
              <w:rPr>
                <w:sz w:val="15"/>
                <w:szCs w:val="15"/>
              </w:rPr>
            </w:pPr>
            <w:r w:rsidRPr="00D72219">
              <w:rPr>
                <w:color w:val="000000"/>
                <w:sz w:val="15"/>
                <w:szCs w:val="15"/>
              </w:rPr>
              <w:t>(84.393)</w:t>
            </w:r>
          </w:p>
        </w:tc>
        <w:tc>
          <w:tcPr>
            <w:tcW w:w="1393" w:type="dxa"/>
            <w:tcBorders>
              <w:top w:val="nil"/>
              <w:left w:val="nil"/>
              <w:bottom w:val="nil"/>
              <w:right w:val="nil"/>
            </w:tcBorders>
            <w:vAlign w:val="center"/>
          </w:tcPr>
          <w:p w14:paraId="6C66F93E" w14:textId="77777777" w:rsidR="000C35AF" w:rsidRPr="00D72219" w:rsidRDefault="000C35AF" w:rsidP="009238AE">
            <w:pPr>
              <w:pStyle w:val="Regresjonstabell"/>
              <w:jc w:val="right"/>
              <w:rPr>
                <w:sz w:val="15"/>
                <w:szCs w:val="15"/>
              </w:rPr>
            </w:pPr>
            <w:r w:rsidRPr="00D72219">
              <w:rPr>
                <w:color w:val="000000"/>
                <w:sz w:val="15"/>
                <w:szCs w:val="15"/>
              </w:rPr>
              <w:t>(88.216)</w:t>
            </w:r>
          </w:p>
        </w:tc>
        <w:tc>
          <w:tcPr>
            <w:tcW w:w="1393" w:type="dxa"/>
            <w:tcBorders>
              <w:top w:val="nil"/>
              <w:left w:val="nil"/>
              <w:bottom w:val="nil"/>
              <w:right w:val="nil"/>
            </w:tcBorders>
            <w:vAlign w:val="center"/>
          </w:tcPr>
          <w:p w14:paraId="4574BC6E" w14:textId="77777777" w:rsidR="000C35AF" w:rsidRPr="00D72219" w:rsidRDefault="000C35AF" w:rsidP="009238AE">
            <w:pPr>
              <w:pStyle w:val="Regresjonstabell"/>
              <w:jc w:val="right"/>
              <w:rPr>
                <w:sz w:val="15"/>
                <w:szCs w:val="15"/>
              </w:rPr>
            </w:pPr>
            <w:r w:rsidRPr="00D72219">
              <w:rPr>
                <w:color w:val="000000"/>
                <w:sz w:val="15"/>
                <w:szCs w:val="15"/>
              </w:rPr>
              <w:t>(93.741)</w:t>
            </w:r>
          </w:p>
        </w:tc>
        <w:tc>
          <w:tcPr>
            <w:tcW w:w="1440" w:type="dxa"/>
            <w:tcBorders>
              <w:top w:val="nil"/>
              <w:left w:val="nil"/>
              <w:bottom w:val="nil"/>
              <w:right w:val="nil"/>
            </w:tcBorders>
            <w:vAlign w:val="center"/>
          </w:tcPr>
          <w:p w14:paraId="2A6D9A02" w14:textId="77777777" w:rsidR="000C35AF" w:rsidRPr="00D72219" w:rsidRDefault="000C35AF" w:rsidP="009238AE">
            <w:pPr>
              <w:pStyle w:val="Regresjonstabell"/>
              <w:jc w:val="right"/>
              <w:rPr>
                <w:sz w:val="15"/>
                <w:szCs w:val="15"/>
              </w:rPr>
            </w:pPr>
            <w:r w:rsidRPr="00D72219">
              <w:rPr>
                <w:color w:val="000000"/>
                <w:sz w:val="15"/>
                <w:szCs w:val="15"/>
              </w:rPr>
              <w:t>(112.670)</w:t>
            </w:r>
          </w:p>
        </w:tc>
        <w:tc>
          <w:tcPr>
            <w:tcW w:w="1393" w:type="dxa"/>
            <w:tcBorders>
              <w:top w:val="nil"/>
              <w:left w:val="nil"/>
              <w:bottom w:val="nil"/>
              <w:right w:val="nil"/>
            </w:tcBorders>
            <w:vAlign w:val="center"/>
          </w:tcPr>
          <w:p w14:paraId="49BA1498" w14:textId="77777777" w:rsidR="000C35AF" w:rsidRPr="00D72219" w:rsidRDefault="000C35AF" w:rsidP="009238AE">
            <w:pPr>
              <w:pStyle w:val="Regresjonstabell"/>
              <w:jc w:val="right"/>
              <w:rPr>
                <w:sz w:val="15"/>
                <w:szCs w:val="15"/>
              </w:rPr>
            </w:pPr>
            <w:r w:rsidRPr="00D72219">
              <w:rPr>
                <w:color w:val="000000"/>
                <w:sz w:val="15"/>
                <w:szCs w:val="15"/>
              </w:rPr>
              <w:t>(114.544)</w:t>
            </w:r>
          </w:p>
        </w:tc>
        <w:tc>
          <w:tcPr>
            <w:tcW w:w="1440" w:type="dxa"/>
            <w:tcBorders>
              <w:top w:val="nil"/>
              <w:left w:val="nil"/>
              <w:bottom w:val="nil"/>
              <w:right w:val="nil"/>
            </w:tcBorders>
            <w:vAlign w:val="center"/>
          </w:tcPr>
          <w:p w14:paraId="02B4EB35" w14:textId="77777777" w:rsidR="000C35AF" w:rsidRPr="00D72219" w:rsidRDefault="000C35AF" w:rsidP="009238AE">
            <w:pPr>
              <w:pStyle w:val="Regresjonstabell"/>
              <w:jc w:val="right"/>
              <w:rPr>
                <w:sz w:val="15"/>
                <w:szCs w:val="15"/>
              </w:rPr>
            </w:pPr>
            <w:r w:rsidRPr="00D72219">
              <w:rPr>
                <w:color w:val="000000"/>
                <w:sz w:val="15"/>
                <w:szCs w:val="15"/>
              </w:rPr>
              <w:t>(118.270)</w:t>
            </w:r>
          </w:p>
        </w:tc>
        <w:tc>
          <w:tcPr>
            <w:tcW w:w="1440" w:type="dxa"/>
            <w:tcBorders>
              <w:top w:val="nil"/>
              <w:left w:val="nil"/>
              <w:bottom w:val="nil"/>
              <w:right w:val="single" w:sz="4" w:space="0" w:color="auto"/>
            </w:tcBorders>
            <w:vAlign w:val="center"/>
          </w:tcPr>
          <w:p w14:paraId="71AFF783" w14:textId="77777777" w:rsidR="000C35AF" w:rsidRPr="00D72219" w:rsidRDefault="000C35AF" w:rsidP="009238AE">
            <w:pPr>
              <w:pStyle w:val="Regresjonstabell"/>
              <w:jc w:val="right"/>
              <w:rPr>
                <w:sz w:val="15"/>
                <w:szCs w:val="15"/>
              </w:rPr>
            </w:pPr>
            <w:r w:rsidRPr="00D72219">
              <w:rPr>
                <w:color w:val="000000"/>
                <w:sz w:val="15"/>
                <w:szCs w:val="15"/>
              </w:rPr>
              <w:t>(127.324)</w:t>
            </w:r>
          </w:p>
        </w:tc>
      </w:tr>
      <w:tr w:rsidR="000C35AF" w:rsidRPr="0055149C" w14:paraId="7784FD6D"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4783486" w14:textId="77777777" w:rsidR="000C35AF" w:rsidRPr="0055149C" w:rsidRDefault="000C35AF" w:rsidP="009238AE">
            <w:pPr>
              <w:pStyle w:val="Regresjonstabell"/>
              <w:rPr>
                <w:sz w:val="15"/>
                <w:szCs w:val="15"/>
              </w:rPr>
            </w:pPr>
            <w:r w:rsidRPr="0055149C">
              <w:rPr>
                <w:sz w:val="15"/>
                <w:szCs w:val="15"/>
              </w:rPr>
              <w:t>Innbyggere 6 til 15 år</w:t>
            </w:r>
          </w:p>
        </w:tc>
        <w:tc>
          <w:tcPr>
            <w:tcW w:w="1393" w:type="dxa"/>
            <w:tcBorders>
              <w:top w:val="nil"/>
              <w:left w:val="single" w:sz="4" w:space="0" w:color="auto"/>
              <w:bottom w:val="nil"/>
              <w:right w:val="nil"/>
            </w:tcBorders>
            <w:vAlign w:val="bottom"/>
          </w:tcPr>
          <w:p w14:paraId="5283CD7F" w14:textId="77777777" w:rsidR="000C35AF" w:rsidRPr="00D72219" w:rsidRDefault="000C35AF" w:rsidP="009238AE">
            <w:pPr>
              <w:pStyle w:val="Regresjonstabell"/>
              <w:jc w:val="right"/>
              <w:rPr>
                <w:sz w:val="15"/>
                <w:szCs w:val="15"/>
              </w:rPr>
            </w:pPr>
            <w:r w:rsidRPr="00D72219">
              <w:rPr>
                <w:color w:val="000000"/>
                <w:sz w:val="15"/>
                <w:szCs w:val="15"/>
              </w:rPr>
              <w:t>-29.936</w:t>
            </w:r>
          </w:p>
        </w:tc>
        <w:tc>
          <w:tcPr>
            <w:tcW w:w="1393" w:type="dxa"/>
            <w:tcBorders>
              <w:top w:val="nil"/>
              <w:left w:val="nil"/>
              <w:bottom w:val="nil"/>
              <w:right w:val="nil"/>
            </w:tcBorders>
            <w:vAlign w:val="bottom"/>
          </w:tcPr>
          <w:p w14:paraId="256F72A8" w14:textId="77777777" w:rsidR="000C35AF" w:rsidRPr="00D72219" w:rsidRDefault="000C35AF" w:rsidP="009238AE">
            <w:pPr>
              <w:pStyle w:val="Regresjonstabell"/>
              <w:jc w:val="right"/>
              <w:rPr>
                <w:sz w:val="15"/>
                <w:szCs w:val="15"/>
              </w:rPr>
            </w:pPr>
            <w:r w:rsidRPr="00D72219">
              <w:rPr>
                <w:color w:val="000000"/>
                <w:sz w:val="15"/>
                <w:szCs w:val="15"/>
              </w:rPr>
              <w:t>-33.466</w:t>
            </w:r>
          </w:p>
        </w:tc>
        <w:tc>
          <w:tcPr>
            <w:tcW w:w="1393" w:type="dxa"/>
            <w:tcBorders>
              <w:top w:val="nil"/>
              <w:left w:val="nil"/>
              <w:bottom w:val="nil"/>
              <w:right w:val="nil"/>
            </w:tcBorders>
            <w:vAlign w:val="bottom"/>
          </w:tcPr>
          <w:p w14:paraId="3F8E51A0" w14:textId="77777777" w:rsidR="000C35AF" w:rsidRPr="00D72219" w:rsidRDefault="000C35AF" w:rsidP="009238AE">
            <w:pPr>
              <w:pStyle w:val="Regresjonstabell"/>
              <w:jc w:val="right"/>
              <w:rPr>
                <w:sz w:val="15"/>
                <w:szCs w:val="15"/>
              </w:rPr>
            </w:pPr>
            <w:r w:rsidRPr="00D72219">
              <w:rPr>
                <w:color w:val="000000"/>
                <w:sz w:val="15"/>
                <w:szCs w:val="15"/>
              </w:rPr>
              <w:t>-38.349</w:t>
            </w:r>
          </w:p>
        </w:tc>
        <w:tc>
          <w:tcPr>
            <w:tcW w:w="1393" w:type="dxa"/>
            <w:tcBorders>
              <w:top w:val="nil"/>
              <w:left w:val="nil"/>
              <w:bottom w:val="nil"/>
              <w:right w:val="nil"/>
            </w:tcBorders>
            <w:vAlign w:val="bottom"/>
          </w:tcPr>
          <w:p w14:paraId="51DE429D" w14:textId="77777777" w:rsidR="000C35AF" w:rsidRPr="00D72219" w:rsidRDefault="000C35AF" w:rsidP="009238AE">
            <w:pPr>
              <w:pStyle w:val="Regresjonstabell"/>
              <w:jc w:val="right"/>
              <w:rPr>
                <w:sz w:val="15"/>
                <w:szCs w:val="15"/>
              </w:rPr>
            </w:pPr>
            <w:r w:rsidRPr="00D72219">
              <w:rPr>
                <w:color w:val="000000"/>
                <w:sz w:val="15"/>
                <w:szCs w:val="15"/>
              </w:rPr>
              <w:t>-43.280</w:t>
            </w:r>
          </w:p>
        </w:tc>
        <w:tc>
          <w:tcPr>
            <w:tcW w:w="1440" w:type="dxa"/>
            <w:tcBorders>
              <w:top w:val="nil"/>
              <w:left w:val="nil"/>
              <w:bottom w:val="nil"/>
              <w:right w:val="nil"/>
            </w:tcBorders>
            <w:vAlign w:val="bottom"/>
          </w:tcPr>
          <w:p w14:paraId="56AE528E" w14:textId="77777777" w:rsidR="000C35AF" w:rsidRPr="00D72219" w:rsidRDefault="000C35AF" w:rsidP="009238AE">
            <w:pPr>
              <w:pStyle w:val="Regresjonstabell"/>
              <w:jc w:val="right"/>
              <w:rPr>
                <w:sz w:val="15"/>
                <w:szCs w:val="15"/>
              </w:rPr>
            </w:pPr>
            <w:r w:rsidRPr="00D72219">
              <w:rPr>
                <w:color w:val="000000"/>
                <w:sz w:val="15"/>
                <w:szCs w:val="15"/>
              </w:rPr>
              <w:t>-107.089**</w:t>
            </w:r>
          </w:p>
        </w:tc>
        <w:tc>
          <w:tcPr>
            <w:tcW w:w="1393" w:type="dxa"/>
            <w:tcBorders>
              <w:top w:val="nil"/>
              <w:left w:val="nil"/>
              <w:bottom w:val="nil"/>
              <w:right w:val="nil"/>
            </w:tcBorders>
            <w:vAlign w:val="bottom"/>
          </w:tcPr>
          <w:p w14:paraId="78A20366" w14:textId="77777777" w:rsidR="000C35AF" w:rsidRPr="00D72219" w:rsidRDefault="000C35AF" w:rsidP="009238AE">
            <w:pPr>
              <w:pStyle w:val="Regresjonstabell"/>
              <w:jc w:val="right"/>
              <w:rPr>
                <w:sz w:val="15"/>
                <w:szCs w:val="15"/>
              </w:rPr>
            </w:pPr>
            <w:r w:rsidRPr="00D72219">
              <w:rPr>
                <w:color w:val="000000"/>
                <w:sz w:val="15"/>
                <w:szCs w:val="15"/>
              </w:rPr>
              <w:t>-107.438**</w:t>
            </w:r>
          </w:p>
        </w:tc>
        <w:tc>
          <w:tcPr>
            <w:tcW w:w="1440" w:type="dxa"/>
            <w:tcBorders>
              <w:top w:val="nil"/>
              <w:left w:val="nil"/>
              <w:bottom w:val="nil"/>
              <w:right w:val="nil"/>
            </w:tcBorders>
            <w:vAlign w:val="bottom"/>
          </w:tcPr>
          <w:p w14:paraId="7A695CE2" w14:textId="77777777" w:rsidR="000C35AF" w:rsidRPr="00D72219" w:rsidRDefault="000C35AF" w:rsidP="009238AE">
            <w:pPr>
              <w:pStyle w:val="Regresjonstabell"/>
              <w:jc w:val="right"/>
              <w:rPr>
                <w:sz w:val="15"/>
                <w:szCs w:val="15"/>
              </w:rPr>
            </w:pPr>
            <w:r w:rsidRPr="00D72219">
              <w:rPr>
                <w:color w:val="000000"/>
                <w:sz w:val="15"/>
                <w:szCs w:val="15"/>
              </w:rPr>
              <w:t>-127.877***</w:t>
            </w:r>
          </w:p>
        </w:tc>
        <w:tc>
          <w:tcPr>
            <w:tcW w:w="1440" w:type="dxa"/>
            <w:tcBorders>
              <w:top w:val="nil"/>
              <w:left w:val="nil"/>
              <w:bottom w:val="nil"/>
              <w:right w:val="single" w:sz="4" w:space="0" w:color="auto"/>
            </w:tcBorders>
            <w:vAlign w:val="bottom"/>
          </w:tcPr>
          <w:p w14:paraId="371D3B9E" w14:textId="77777777" w:rsidR="000C35AF" w:rsidRPr="00D72219" w:rsidRDefault="000C35AF" w:rsidP="009238AE">
            <w:pPr>
              <w:pStyle w:val="Regresjonstabell"/>
              <w:jc w:val="right"/>
              <w:rPr>
                <w:sz w:val="15"/>
                <w:szCs w:val="15"/>
              </w:rPr>
            </w:pPr>
            <w:r w:rsidRPr="00D72219">
              <w:rPr>
                <w:color w:val="000000"/>
                <w:sz w:val="15"/>
                <w:szCs w:val="15"/>
              </w:rPr>
              <w:t>-149.019***</w:t>
            </w:r>
          </w:p>
        </w:tc>
      </w:tr>
      <w:tr w:rsidR="000C35AF" w:rsidRPr="0055149C" w14:paraId="4B1B5D0A"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3FB476B" w14:textId="77777777" w:rsidR="000C35AF" w:rsidRPr="0055149C" w:rsidRDefault="000C35AF" w:rsidP="009238AE">
            <w:pPr>
              <w:pStyle w:val="Regresjonstabell"/>
              <w:rPr>
                <w:sz w:val="15"/>
                <w:szCs w:val="15"/>
              </w:rPr>
            </w:pPr>
            <w:r w:rsidRPr="0055149C">
              <w:rPr>
                <w:sz w:val="15"/>
                <w:szCs w:val="15"/>
              </w:rPr>
              <w:t>(Kriterium 5)</w:t>
            </w:r>
          </w:p>
        </w:tc>
        <w:tc>
          <w:tcPr>
            <w:tcW w:w="1393" w:type="dxa"/>
            <w:tcBorders>
              <w:top w:val="nil"/>
              <w:left w:val="single" w:sz="4" w:space="0" w:color="auto"/>
              <w:bottom w:val="nil"/>
              <w:right w:val="nil"/>
            </w:tcBorders>
            <w:vAlign w:val="center"/>
          </w:tcPr>
          <w:p w14:paraId="19EFA16D" w14:textId="77777777" w:rsidR="000C35AF" w:rsidRPr="00D72219" w:rsidRDefault="000C35AF" w:rsidP="009238AE">
            <w:pPr>
              <w:pStyle w:val="Regresjonstabell"/>
              <w:jc w:val="right"/>
              <w:rPr>
                <w:sz w:val="15"/>
                <w:szCs w:val="15"/>
              </w:rPr>
            </w:pPr>
            <w:r w:rsidRPr="00D72219">
              <w:rPr>
                <w:color w:val="000000"/>
                <w:sz w:val="15"/>
                <w:szCs w:val="15"/>
              </w:rPr>
              <w:t>(48.057)</w:t>
            </w:r>
          </w:p>
        </w:tc>
        <w:tc>
          <w:tcPr>
            <w:tcW w:w="1393" w:type="dxa"/>
            <w:tcBorders>
              <w:top w:val="nil"/>
              <w:left w:val="nil"/>
              <w:bottom w:val="nil"/>
              <w:right w:val="nil"/>
            </w:tcBorders>
            <w:vAlign w:val="center"/>
          </w:tcPr>
          <w:p w14:paraId="19108600" w14:textId="77777777" w:rsidR="000C35AF" w:rsidRPr="00D72219" w:rsidRDefault="000C35AF" w:rsidP="009238AE">
            <w:pPr>
              <w:pStyle w:val="Regresjonstabell"/>
              <w:jc w:val="right"/>
              <w:rPr>
                <w:sz w:val="15"/>
                <w:szCs w:val="15"/>
              </w:rPr>
            </w:pPr>
            <w:r w:rsidRPr="00D72219">
              <w:rPr>
                <w:color w:val="000000"/>
                <w:sz w:val="15"/>
                <w:szCs w:val="15"/>
              </w:rPr>
              <w:t>(49.472)</w:t>
            </w:r>
          </w:p>
        </w:tc>
        <w:tc>
          <w:tcPr>
            <w:tcW w:w="1393" w:type="dxa"/>
            <w:tcBorders>
              <w:top w:val="nil"/>
              <w:left w:val="nil"/>
              <w:bottom w:val="nil"/>
              <w:right w:val="nil"/>
            </w:tcBorders>
            <w:vAlign w:val="center"/>
          </w:tcPr>
          <w:p w14:paraId="29F178B5" w14:textId="77777777" w:rsidR="000C35AF" w:rsidRPr="00D72219" w:rsidRDefault="000C35AF" w:rsidP="009238AE">
            <w:pPr>
              <w:pStyle w:val="Regresjonstabell"/>
              <w:jc w:val="right"/>
              <w:rPr>
                <w:sz w:val="15"/>
                <w:szCs w:val="15"/>
              </w:rPr>
            </w:pPr>
            <w:r w:rsidRPr="00D72219">
              <w:rPr>
                <w:color w:val="000000"/>
                <w:sz w:val="15"/>
                <w:szCs w:val="15"/>
              </w:rPr>
              <w:t>(52.155)</w:t>
            </w:r>
          </w:p>
        </w:tc>
        <w:tc>
          <w:tcPr>
            <w:tcW w:w="1393" w:type="dxa"/>
            <w:tcBorders>
              <w:top w:val="nil"/>
              <w:left w:val="nil"/>
              <w:bottom w:val="nil"/>
              <w:right w:val="nil"/>
            </w:tcBorders>
            <w:vAlign w:val="center"/>
          </w:tcPr>
          <w:p w14:paraId="2FB06EE7" w14:textId="77777777" w:rsidR="000C35AF" w:rsidRPr="00D72219" w:rsidRDefault="000C35AF" w:rsidP="009238AE">
            <w:pPr>
              <w:pStyle w:val="Regresjonstabell"/>
              <w:jc w:val="right"/>
              <w:rPr>
                <w:sz w:val="15"/>
                <w:szCs w:val="15"/>
              </w:rPr>
            </w:pPr>
            <w:r w:rsidRPr="00D72219">
              <w:rPr>
                <w:color w:val="000000"/>
                <w:sz w:val="15"/>
                <w:szCs w:val="15"/>
              </w:rPr>
              <w:t>(55.841)</w:t>
            </w:r>
          </w:p>
        </w:tc>
        <w:tc>
          <w:tcPr>
            <w:tcW w:w="1440" w:type="dxa"/>
            <w:tcBorders>
              <w:top w:val="nil"/>
              <w:left w:val="nil"/>
              <w:bottom w:val="nil"/>
              <w:right w:val="nil"/>
            </w:tcBorders>
            <w:vAlign w:val="center"/>
          </w:tcPr>
          <w:p w14:paraId="1E9B61C5" w14:textId="77777777" w:rsidR="000C35AF" w:rsidRPr="00D72219" w:rsidRDefault="000C35AF" w:rsidP="009238AE">
            <w:pPr>
              <w:pStyle w:val="Regresjonstabell"/>
              <w:jc w:val="right"/>
              <w:rPr>
                <w:sz w:val="15"/>
                <w:szCs w:val="15"/>
              </w:rPr>
            </w:pPr>
            <w:r w:rsidRPr="00D72219">
              <w:rPr>
                <w:color w:val="000000"/>
                <w:sz w:val="15"/>
                <w:szCs w:val="15"/>
              </w:rPr>
              <w:t>(42.473)</w:t>
            </w:r>
          </w:p>
        </w:tc>
        <w:tc>
          <w:tcPr>
            <w:tcW w:w="1393" w:type="dxa"/>
            <w:tcBorders>
              <w:top w:val="nil"/>
              <w:left w:val="nil"/>
              <w:bottom w:val="nil"/>
              <w:right w:val="nil"/>
            </w:tcBorders>
            <w:vAlign w:val="center"/>
          </w:tcPr>
          <w:p w14:paraId="4A0291D7" w14:textId="77777777" w:rsidR="000C35AF" w:rsidRPr="00D72219" w:rsidRDefault="000C35AF" w:rsidP="009238AE">
            <w:pPr>
              <w:pStyle w:val="Regresjonstabell"/>
              <w:jc w:val="right"/>
              <w:rPr>
                <w:sz w:val="15"/>
                <w:szCs w:val="15"/>
              </w:rPr>
            </w:pPr>
            <w:r w:rsidRPr="00D72219">
              <w:rPr>
                <w:color w:val="000000"/>
                <w:sz w:val="15"/>
                <w:szCs w:val="15"/>
              </w:rPr>
              <w:t>(42.580)</w:t>
            </w:r>
          </w:p>
        </w:tc>
        <w:tc>
          <w:tcPr>
            <w:tcW w:w="1440" w:type="dxa"/>
            <w:tcBorders>
              <w:top w:val="nil"/>
              <w:left w:val="nil"/>
              <w:bottom w:val="nil"/>
              <w:right w:val="nil"/>
            </w:tcBorders>
            <w:vAlign w:val="center"/>
          </w:tcPr>
          <w:p w14:paraId="5FA1C5B0" w14:textId="77777777" w:rsidR="000C35AF" w:rsidRPr="00D72219" w:rsidRDefault="000C35AF" w:rsidP="009238AE">
            <w:pPr>
              <w:pStyle w:val="Regresjonstabell"/>
              <w:jc w:val="right"/>
              <w:rPr>
                <w:sz w:val="15"/>
                <w:szCs w:val="15"/>
              </w:rPr>
            </w:pPr>
            <w:r w:rsidRPr="00D72219">
              <w:rPr>
                <w:color w:val="000000"/>
                <w:sz w:val="15"/>
                <w:szCs w:val="15"/>
              </w:rPr>
              <w:t>(44.220)</w:t>
            </w:r>
          </w:p>
        </w:tc>
        <w:tc>
          <w:tcPr>
            <w:tcW w:w="1440" w:type="dxa"/>
            <w:tcBorders>
              <w:top w:val="nil"/>
              <w:left w:val="nil"/>
              <w:bottom w:val="nil"/>
              <w:right w:val="single" w:sz="4" w:space="0" w:color="auto"/>
            </w:tcBorders>
            <w:vAlign w:val="center"/>
          </w:tcPr>
          <w:p w14:paraId="5C29CFF2" w14:textId="77777777" w:rsidR="000C35AF" w:rsidRPr="00D72219" w:rsidRDefault="000C35AF" w:rsidP="009238AE">
            <w:pPr>
              <w:pStyle w:val="Regresjonstabell"/>
              <w:jc w:val="right"/>
              <w:rPr>
                <w:sz w:val="15"/>
                <w:szCs w:val="15"/>
              </w:rPr>
            </w:pPr>
            <w:r w:rsidRPr="00D72219">
              <w:rPr>
                <w:color w:val="000000"/>
                <w:sz w:val="15"/>
                <w:szCs w:val="15"/>
              </w:rPr>
              <w:t>(48.968)</w:t>
            </w:r>
          </w:p>
        </w:tc>
      </w:tr>
      <w:tr w:rsidR="000C35AF" w:rsidRPr="0055149C" w14:paraId="6A0B4EED"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3CD3893" w14:textId="77777777" w:rsidR="000C35AF" w:rsidRPr="0055149C" w:rsidRDefault="000C35AF" w:rsidP="009238AE">
            <w:pPr>
              <w:pStyle w:val="Regresjonstabell"/>
              <w:rPr>
                <w:sz w:val="15"/>
                <w:szCs w:val="15"/>
              </w:rPr>
            </w:pPr>
            <w:r w:rsidRPr="0055149C">
              <w:rPr>
                <w:color w:val="000000"/>
                <w:sz w:val="15"/>
                <w:szCs w:val="15"/>
              </w:rPr>
              <w:t>Innbyggere 16 til 22 år</w:t>
            </w:r>
          </w:p>
        </w:tc>
        <w:tc>
          <w:tcPr>
            <w:tcW w:w="1393" w:type="dxa"/>
            <w:tcBorders>
              <w:top w:val="nil"/>
              <w:left w:val="single" w:sz="4" w:space="0" w:color="auto"/>
              <w:bottom w:val="nil"/>
              <w:right w:val="nil"/>
            </w:tcBorders>
            <w:vAlign w:val="bottom"/>
          </w:tcPr>
          <w:p w14:paraId="2300477B" w14:textId="77777777" w:rsidR="000C35AF" w:rsidRPr="00D72219" w:rsidRDefault="000C35AF" w:rsidP="009238AE">
            <w:pPr>
              <w:pStyle w:val="Regresjonstabell"/>
              <w:jc w:val="right"/>
              <w:rPr>
                <w:sz w:val="15"/>
                <w:szCs w:val="15"/>
              </w:rPr>
            </w:pPr>
            <w:r w:rsidRPr="00D72219">
              <w:rPr>
                <w:color w:val="000000"/>
                <w:sz w:val="15"/>
                <w:szCs w:val="15"/>
              </w:rPr>
              <w:t>85.458*</w:t>
            </w:r>
          </w:p>
        </w:tc>
        <w:tc>
          <w:tcPr>
            <w:tcW w:w="1393" w:type="dxa"/>
            <w:tcBorders>
              <w:top w:val="nil"/>
              <w:left w:val="nil"/>
              <w:bottom w:val="nil"/>
              <w:right w:val="nil"/>
            </w:tcBorders>
            <w:vAlign w:val="bottom"/>
          </w:tcPr>
          <w:p w14:paraId="5CC2F8B2" w14:textId="77777777" w:rsidR="000C35AF" w:rsidRPr="00D72219" w:rsidRDefault="000C35AF" w:rsidP="009238AE">
            <w:pPr>
              <w:pStyle w:val="Regresjonstabell"/>
              <w:jc w:val="right"/>
              <w:rPr>
                <w:sz w:val="15"/>
                <w:szCs w:val="15"/>
              </w:rPr>
            </w:pPr>
            <w:r w:rsidRPr="00D72219">
              <w:rPr>
                <w:color w:val="000000"/>
                <w:sz w:val="15"/>
                <w:szCs w:val="15"/>
              </w:rPr>
              <w:t>82.529*</w:t>
            </w:r>
          </w:p>
        </w:tc>
        <w:tc>
          <w:tcPr>
            <w:tcW w:w="1393" w:type="dxa"/>
            <w:tcBorders>
              <w:top w:val="nil"/>
              <w:left w:val="nil"/>
              <w:bottom w:val="nil"/>
              <w:right w:val="nil"/>
            </w:tcBorders>
            <w:vAlign w:val="bottom"/>
          </w:tcPr>
          <w:p w14:paraId="3ECBBBA7" w14:textId="77777777" w:rsidR="000C35AF" w:rsidRPr="00D72219" w:rsidRDefault="000C35AF" w:rsidP="009238AE">
            <w:pPr>
              <w:pStyle w:val="Regresjonstabell"/>
              <w:jc w:val="right"/>
              <w:rPr>
                <w:sz w:val="15"/>
                <w:szCs w:val="15"/>
              </w:rPr>
            </w:pPr>
            <w:r w:rsidRPr="00D72219">
              <w:rPr>
                <w:color w:val="000000"/>
                <w:sz w:val="15"/>
                <w:szCs w:val="15"/>
              </w:rPr>
              <w:t>102.526**</w:t>
            </w:r>
          </w:p>
        </w:tc>
        <w:tc>
          <w:tcPr>
            <w:tcW w:w="1393" w:type="dxa"/>
            <w:tcBorders>
              <w:top w:val="nil"/>
              <w:left w:val="nil"/>
              <w:bottom w:val="nil"/>
              <w:right w:val="nil"/>
            </w:tcBorders>
            <w:vAlign w:val="bottom"/>
          </w:tcPr>
          <w:p w14:paraId="28EABA3B" w14:textId="77777777" w:rsidR="000C35AF" w:rsidRPr="00D72219" w:rsidRDefault="000C35AF" w:rsidP="009238AE">
            <w:pPr>
              <w:pStyle w:val="Regresjonstabell"/>
              <w:jc w:val="right"/>
              <w:rPr>
                <w:sz w:val="15"/>
                <w:szCs w:val="15"/>
              </w:rPr>
            </w:pPr>
            <w:r w:rsidRPr="00D72219">
              <w:rPr>
                <w:color w:val="000000"/>
                <w:sz w:val="15"/>
                <w:szCs w:val="15"/>
              </w:rPr>
              <w:t>112.892**</w:t>
            </w:r>
          </w:p>
        </w:tc>
        <w:tc>
          <w:tcPr>
            <w:tcW w:w="1440" w:type="dxa"/>
            <w:tcBorders>
              <w:top w:val="nil"/>
              <w:left w:val="nil"/>
              <w:bottom w:val="nil"/>
              <w:right w:val="nil"/>
            </w:tcBorders>
            <w:vAlign w:val="bottom"/>
          </w:tcPr>
          <w:p w14:paraId="4FF724A0" w14:textId="77777777" w:rsidR="000C35AF" w:rsidRPr="00D72219" w:rsidRDefault="000C35AF" w:rsidP="009238AE">
            <w:pPr>
              <w:pStyle w:val="Regresjonstabell"/>
              <w:jc w:val="right"/>
              <w:rPr>
                <w:sz w:val="15"/>
                <w:szCs w:val="15"/>
              </w:rPr>
            </w:pPr>
            <w:r w:rsidRPr="00D72219">
              <w:rPr>
                <w:color w:val="000000"/>
                <w:sz w:val="15"/>
                <w:szCs w:val="15"/>
              </w:rPr>
              <w:t>-15.627</w:t>
            </w:r>
          </w:p>
        </w:tc>
        <w:tc>
          <w:tcPr>
            <w:tcW w:w="1393" w:type="dxa"/>
            <w:tcBorders>
              <w:top w:val="nil"/>
              <w:left w:val="nil"/>
              <w:bottom w:val="nil"/>
              <w:right w:val="nil"/>
            </w:tcBorders>
            <w:vAlign w:val="bottom"/>
          </w:tcPr>
          <w:p w14:paraId="5744FAFF" w14:textId="77777777" w:rsidR="000C35AF" w:rsidRPr="00D72219" w:rsidRDefault="000C35AF" w:rsidP="009238AE">
            <w:pPr>
              <w:pStyle w:val="Regresjonstabell"/>
              <w:jc w:val="right"/>
              <w:rPr>
                <w:sz w:val="15"/>
                <w:szCs w:val="15"/>
              </w:rPr>
            </w:pPr>
            <w:r w:rsidRPr="00D72219">
              <w:rPr>
                <w:color w:val="000000"/>
                <w:sz w:val="15"/>
                <w:szCs w:val="15"/>
              </w:rPr>
              <w:t>-4.433</w:t>
            </w:r>
          </w:p>
        </w:tc>
        <w:tc>
          <w:tcPr>
            <w:tcW w:w="1440" w:type="dxa"/>
            <w:tcBorders>
              <w:top w:val="nil"/>
              <w:left w:val="nil"/>
              <w:bottom w:val="nil"/>
              <w:right w:val="nil"/>
            </w:tcBorders>
            <w:vAlign w:val="bottom"/>
          </w:tcPr>
          <w:p w14:paraId="0C5DDF8F" w14:textId="77777777" w:rsidR="000C35AF" w:rsidRPr="00D72219" w:rsidRDefault="000C35AF" w:rsidP="009238AE">
            <w:pPr>
              <w:pStyle w:val="Regresjonstabell"/>
              <w:jc w:val="right"/>
              <w:rPr>
                <w:sz w:val="15"/>
                <w:szCs w:val="15"/>
              </w:rPr>
            </w:pPr>
            <w:r w:rsidRPr="00D72219">
              <w:rPr>
                <w:color w:val="000000"/>
                <w:sz w:val="15"/>
                <w:szCs w:val="15"/>
              </w:rPr>
              <w:t>-12.549</w:t>
            </w:r>
          </w:p>
        </w:tc>
        <w:tc>
          <w:tcPr>
            <w:tcW w:w="1440" w:type="dxa"/>
            <w:tcBorders>
              <w:top w:val="nil"/>
              <w:left w:val="nil"/>
              <w:bottom w:val="nil"/>
              <w:right w:val="single" w:sz="4" w:space="0" w:color="auto"/>
            </w:tcBorders>
            <w:vAlign w:val="bottom"/>
          </w:tcPr>
          <w:p w14:paraId="0856190A" w14:textId="77777777" w:rsidR="000C35AF" w:rsidRPr="00D72219" w:rsidRDefault="000C35AF" w:rsidP="009238AE">
            <w:pPr>
              <w:pStyle w:val="Regresjonstabell"/>
              <w:jc w:val="right"/>
              <w:rPr>
                <w:sz w:val="15"/>
                <w:szCs w:val="15"/>
              </w:rPr>
            </w:pPr>
            <w:r w:rsidRPr="00D72219">
              <w:rPr>
                <w:color w:val="000000"/>
                <w:sz w:val="15"/>
                <w:szCs w:val="15"/>
              </w:rPr>
              <w:t>-9.742</w:t>
            </w:r>
          </w:p>
        </w:tc>
      </w:tr>
      <w:tr w:rsidR="000C35AF" w:rsidRPr="0055149C" w14:paraId="4FABD609"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4EDFC013" w14:textId="77777777" w:rsidR="000C35AF" w:rsidRPr="0055149C" w:rsidRDefault="000C35AF" w:rsidP="009238AE">
            <w:pPr>
              <w:pStyle w:val="Regresjonstabell"/>
              <w:rPr>
                <w:sz w:val="15"/>
                <w:szCs w:val="15"/>
              </w:rPr>
            </w:pPr>
            <w:r w:rsidRPr="0055149C">
              <w:rPr>
                <w:sz w:val="15"/>
                <w:szCs w:val="15"/>
              </w:rPr>
              <w:t>(Kriterium 6)</w:t>
            </w:r>
          </w:p>
        </w:tc>
        <w:tc>
          <w:tcPr>
            <w:tcW w:w="1393" w:type="dxa"/>
            <w:tcBorders>
              <w:top w:val="nil"/>
              <w:left w:val="single" w:sz="4" w:space="0" w:color="auto"/>
              <w:bottom w:val="nil"/>
              <w:right w:val="nil"/>
            </w:tcBorders>
            <w:vAlign w:val="center"/>
          </w:tcPr>
          <w:p w14:paraId="78D87AE8" w14:textId="77777777" w:rsidR="000C35AF" w:rsidRPr="00D72219" w:rsidRDefault="000C35AF" w:rsidP="009238AE">
            <w:pPr>
              <w:pStyle w:val="Regresjonstabell"/>
              <w:jc w:val="right"/>
              <w:rPr>
                <w:sz w:val="15"/>
                <w:szCs w:val="15"/>
              </w:rPr>
            </w:pPr>
            <w:r w:rsidRPr="00D72219">
              <w:rPr>
                <w:color w:val="000000"/>
                <w:sz w:val="15"/>
                <w:szCs w:val="15"/>
              </w:rPr>
              <w:t>(47.682)</w:t>
            </w:r>
          </w:p>
        </w:tc>
        <w:tc>
          <w:tcPr>
            <w:tcW w:w="1393" w:type="dxa"/>
            <w:tcBorders>
              <w:top w:val="nil"/>
              <w:left w:val="nil"/>
              <w:bottom w:val="nil"/>
              <w:right w:val="nil"/>
            </w:tcBorders>
            <w:vAlign w:val="center"/>
          </w:tcPr>
          <w:p w14:paraId="23F0069A" w14:textId="77777777" w:rsidR="000C35AF" w:rsidRPr="00D72219" w:rsidRDefault="000C35AF" w:rsidP="009238AE">
            <w:pPr>
              <w:pStyle w:val="Regresjonstabell"/>
              <w:jc w:val="right"/>
              <w:rPr>
                <w:sz w:val="15"/>
                <w:szCs w:val="15"/>
              </w:rPr>
            </w:pPr>
            <w:r w:rsidRPr="00D72219">
              <w:rPr>
                <w:color w:val="000000"/>
                <w:sz w:val="15"/>
                <w:szCs w:val="15"/>
              </w:rPr>
              <w:t>(48.467)</w:t>
            </w:r>
          </w:p>
        </w:tc>
        <w:tc>
          <w:tcPr>
            <w:tcW w:w="1393" w:type="dxa"/>
            <w:tcBorders>
              <w:top w:val="nil"/>
              <w:left w:val="nil"/>
              <w:bottom w:val="nil"/>
              <w:right w:val="nil"/>
            </w:tcBorders>
            <w:vAlign w:val="center"/>
          </w:tcPr>
          <w:p w14:paraId="4A3A0036" w14:textId="77777777" w:rsidR="000C35AF" w:rsidRPr="00D72219" w:rsidRDefault="000C35AF" w:rsidP="009238AE">
            <w:pPr>
              <w:pStyle w:val="Regresjonstabell"/>
              <w:jc w:val="right"/>
              <w:rPr>
                <w:sz w:val="15"/>
                <w:szCs w:val="15"/>
              </w:rPr>
            </w:pPr>
            <w:r w:rsidRPr="00D72219">
              <w:rPr>
                <w:color w:val="000000"/>
                <w:sz w:val="15"/>
                <w:szCs w:val="15"/>
              </w:rPr>
              <w:t>(51.907)</w:t>
            </w:r>
          </w:p>
        </w:tc>
        <w:tc>
          <w:tcPr>
            <w:tcW w:w="1393" w:type="dxa"/>
            <w:tcBorders>
              <w:top w:val="nil"/>
              <w:left w:val="nil"/>
              <w:bottom w:val="nil"/>
              <w:right w:val="nil"/>
            </w:tcBorders>
            <w:vAlign w:val="center"/>
          </w:tcPr>
          <w:p w14:paraId="2E26EF49" w14:textId="77777777" w:rsidR="000C35AF" w:rsidRPr="00D72219" w:rsidRDefault="000C35AF" w:rsidP="009238AE">
            <w:pPr>
              <w:pStyle w:val="Regresjonstabell"/>
              <w:jc w:val="right"/>
              <w:rPr>
                <w:sz w:val="15"/>
                <w:szCs w:val="15"/>
              </w:rPr>
            </w:pPr>
            <w:r w:rsidRPr="00D72219">
              <w:rPr>
                <w:color w:val="000000"/>
                <w:sz w:val="15"/>
                <w:szCs w:val="15"/>
              </w:rPr>
              <w:t>(55.444)</w:t>
            </w:r>
          </w:p>
        </w:tc>
        <w:tc>
          <w:tcPr>
            <w:tcW w:w="1440" w:type="dxa"/>
            <w:tcBorders>
              <w:top w:val="nil"/>
              <w:left w:val="nil"/>
              <w:bottom w:val="nil"/>
              <w:right w:val="nil"/>
            </w:tcBorders>
            <w:vAlign w:val="center"/>
          </w:tcPr>
          <w:p w14:paraId="26B68AEE" w14:textId="77777777" w:rsidR="000C35AF" w:rsidRPr="00D72219" w:rsidRDefault="000C35AF" w:rsidP="009238AE">
            <w:pPr>
              <w:pStyle w:val="Regresjonstabell"/>
              <w:jc w:val="right"/>
              <w:rPr>
                <w:sz w:val="15"/>
                <w:szCs w:val="15"/>
              </w:rPr>
            </w:pPr>
            <w:r w:rsidRPr="00D72219">
              <w:rPr>
                <w:color w:val="000000"/>
                <w:sz w:val="15"/>
                <w:szCs w:val="15"/>
              </w:rPr>
              <w:t>(51.016)</w:t>
            </w:r>
          </w:p>
        </w:tc>
        <w:tc>
          <w:tcPr>
            <w:tcW w:w="1393" w:type="dxa"/>
            <w:tcBorders>
              <w:top w:val="nil"/>
              <w:left w:val="nil"/>
              <w:bottom w:val="nil"/>
              <w:right w:val="nil"/>
            </w:tcBorders>
            <w:vAlign w:val="center"/>
          </w:tcPr>
          <w:p w14:paraId="43FC83E8" w14:textId="77777777" w:rsidR="000C35AF" w:rsidRPr="00D72219" w:rsidRDefault="000C35AF" w:rsidP="009238AE">
            <w:pPr>
              <w:pStyle w:val="Regresjonstabell"/>
              <w:jc w:val="right"/>
              <w:rPr>
                <w:sz w:val="15"/>
                <w:szCs w:val="15"/>
              </w:rPr>
            </w:pPr>
            <w:r w:rsidRPr="00D72219">
              <w:rPr>
                <w:color w:val="000000"/>
                <w:sz w:val="15"/>
                <w:szCs w:val="15"/>
              </w:rPr>
              <w:t>(51.812)</w:t>
            </w:r>
          </w:p>
        </w:tc>
        <w:tc>
          <w:tcPr>
            <w:tcW w:w="1440" w:type="dxa"/>
            <w:tcBorders>
              <w:top w:val="nil"/>
              <w:left w:val="nil"/>
              <w:bottom w:val="nil"/>
              <w:right w:val="nil"/>
            </w:tcBorders>
            <w:vAlign w:val="center"/>
          </w:tcPr>
          <w:p w14:paraId="495D4501" w14:textId="77777777" w:rsidR="000C35AF" w:rsidRPr="00D72219" w:rsidRDefault="000C35AF" w:rsidP="009238AE">
            <w:pPr>
              <w:pStyle w:val="Regresjonstabell"/>
              <w:jc w:val="right"/>
              <w:rPr>
                <w:sz w:val="15"/>
                <w:szCs w:val="15"/>
              </w:rPr>
            </w:pPr>
            <w:r w:rsidRPr="00D72219">
              <w:rPr>
                <w:color w:val="000000"/>
                <w:sz w:val="15"/>
                <w:szCs w:val="15"/>
              </w:rPr>
              <w:t>(53.486)</w:t>
            </w:r>
          </w:p>
        </w:tc>
        <w:tc>
          <w:tcPr>
            <w:tcW w:w="1440" w:type="dxa"/>
            <w:tcBorders>
              <w:top w:val="nil"/>
              <w:left w:val="nil"/>
              <w:bottom w:val="nil"/>
              <w:right w:val="single" w:sz="4" w:space="0" w:color="auto"/>
            </w:tcBorders>
            <w:vAlign w:val="center"/>
          </w:tcPr>
          <w:p w14:paraId="1A2D1C85" w14:textId="77777777" w:rsidR="000C35AF" w:rsidRPr="00D72219" w:rsidRDefault="000C35AF" w:rsidP="009238AE">
            <w:pPr>
              <w:pStyle w:val="Regresjonstabell"/>
              <w:jc w:val="right"/>
              <w:rPr>
                <w:sz w:val="15"/>
                <w:szCs w:val="15"/>
              </w:rPr>
            </w:pPr>
            <w:r w:rsidRPr="00D72219">
              <w:rPr>
                <w:color w:val="000000"/>
                <w:sz w:val="15"/>
                <w:szCs w:val="15"/>
              </w:rPr>
              <w:t>(58.208)</w:t>
            </w:r>
          </w:p>
        </w:tc>
      </w:tr>
      <w:tr w:rsidR="000C35AF" w:rsidRPr="0055149C" w14:paraId="440AA2C6"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0E3EE832" w14:textId="77777777" w:rsidR="000C35AF" w:rsidRPr="0055149C" w:rsidRDefault="000C35AF" w:rsidP="009238AE">
            <w:pPr>
              <w:pStyle w:val="Regresjonstabell"/>
              <w:rPr>
                <w:sz w:val="15"/>
                <w:szCs w:val="15"/>
              </w:rPr>
            </w:pPr>
            <w:r w:rsidRPr="0055149C">
              <w:rPr>
                <w:sz w:val="15"/>
                <w:szCs w:val="15"/>
              </w:rPr>
              <w:t>Innbyggere 23 til 66 år</w:t>
            </w:r>
          </w:p>
        </w:tc>
        <w:tc>
          <w:tcPr>
            <w:tcW w:w="1393" w:type="dxa"/>
            <w:tcBorders>
              <w:top w:val="nil"/>
              <w:left w:val="single" w:sz="4" w:space="0" w:color="auto"/>
              <w:bottom w:val="nil"/>
              <w:right w:val="nil"/>
            </w:tcBorders>
            <w:vAlign w:val="bottom"/>
          </w:tcPr>
          <w:p w14:paraId="1E5E803C" w14:textId="77777777" w:rsidR="000C35AF" w:rsidRPr="00D72219" w:rsidRDefault="000C35AF" w:rsidP="009238AE">
            <w:pPr>
              <w:pStyle w:val="Regresjonstabell"/>
              <w:jc w:val="right"/>
              <w:rPr>
                <w:sz w:val="15"/>
                <w:szCs w:val="15"/>
              </w:rPr>
            </w:pPr>
            <w:r w:rsidRPr="00D72219">
              <w:rPr>
                <w:color w:val="000000"/>
                <w:sz w:val="15"/>
                <w:szCs w:val="15"/>
              </w:rPr>
              <w:t>11.834</w:t>
            </w:r>
          </w:p>
        </w:tc>
        <w:tc>
          <w:tcPr>
            <w:tcW w:w="1393" w:type="dxa"/>
            <w:tcBorders>
              <w:top w:val="nil"/>
              <w:left w:val="nil"/>
              <w:bottom w:val="nil"/>
              <w:right w:val="nil"/>
            </w:tcBorders>
            <w:vAlign w:val="bottom"/>
          </w:tcPr>
          <w:p w14:paraId="2A6A4EDF" w14:textId="77777777" w:rsidR="000C35AF" w:rsidRPr="00D72219" w:rsidRDefault="000C35AF" w:rsidP="009238AE">
            <w:pPr>
              <w:pStyle w:val="Regresjonstabell"/>
              <w:jc w:val="right"/>
              <w:rPr>
                <w:sz w:val="15"/>
                <w:szCs w:val="15"/>
              </w:rPr>
            </w:pPr>
            <w:r w:rsidRPr="00D72219">
              <w:rPr>
                <w:color w:val="000000"/>
                <w:sz w:val="15"/>
                <w:szCs w:val="15"/>
              </w:rPr>
              <w:t>8.052</w:t>
            </w:r>
          </w:p>
        </w:tc>
        <w:tc>
          <w:tcPr>
            <w:tcW w:w="1393" w:type="dxa"/>
            <w:tcBorders>
              <w:top w:val="nil"/>
              <w:left w:val="nil"/>
              <w:bottom w:val="nil"/>
              <w:right w:val="nil"/>
            </w:tcBorders>
            <w:vAlign w:val="bottom"/>
          </w:tcPr>
          <w:p w14:paraId="4B608904" w14:textId="77777777" w:rsidR="000C35AF" w:rsidRPr="00D72219" w:rsidRDefault="000C35AF" w:rsidP="009238AE">
            <w:pPr>
              <w:pStyle w:val="Regresjonstabell"/>
              <w:jc w:val="right"/>
              <w:rPr>
                <w:sz w:val="15"/>
                <w:szCs w:val="15"/>
              </w:rPr>
            </w:pPr>
            <w:r w:rsidRPr="00D72219">
              <w:rPr>
                <w:color w:val="000000"/>
                <w:sz w:val="15"/>
                <w:szCs w:val="15"/>
              </w:rPr>
              <w:t>14.684</w:t>
            </w:r>
          </w:p>
        </w:tc>
        <w:tc>
          <w:tcPr>
            <w:tcW w:w="1393" w:type="dxa"/>
            <w:tcBorders>
              <w:top w:val="nil"/>
              <w:left w:val="nil"/>
              <w:bottom w:val="nil"/>
              <w:right w:val="nil"/>
            </w:tcBorders>
            <w:vAlign w:val="bottom"/>
          </w:tcPr>
          <w:p w14:paraId="51754DA5" w14:textId="77777777" w:rsidR="000C35AF" w:rsidRPr="00D72219" w:rsidRDefault="000C35AF" w:rsidP="009238AE">
            <w:pPr>
              <w:pStyle w:val="Regresjonstabell"/>
              <w:jc w:val="right"/>
              <w:rPr>
                <w:sz w:val="15"/>
                <w:szCs w:val="15"/>
              </w:rPr>
            </w:pPr>
            <w:r w:rsidRPr="00D72219">
              <w:rPr>
                <w:color w:val="000000"/>
                <w:sz w:val="15"/>
                <w:szCs w:val="15"/>
              </w:rPr>
              <w:t>16.282</w:t>
            </w:r>
          </w:p>
        </w:tc>
        <w:tc>
          <w:tcPr>
            <w:tcW w:w="1440" w:type="dxa"/>
            <w:tcBorders>
              <w:top w:val="nil"/>
              <w:left w:val="nil"/>
              <w:bottom w:val="nil"/>
              <w:right w:val="nil"/>
            </w:tcBorders>
            <w:vAlign w:val="bottom"/>
          </w:tcPr>
          <w:p w14:paraId="1C30A210" w14:textId="77777777" w:rsidR="000C35AF" w:rsidRPr="00D72219" w:rsidRDefault="000C35AF" w:rsidP="009238AE">
            <w:pPr>
              <w:pStyle w:val="Regresjonstabell"/>
              <w:jc w:val="right"/>
              <w:rPr>
                <w:sz w:val="15"/>
                <w:szCs w:val="15"/>
              </w:rPr>
            </w:pPr>
            <w:r w:rsidRPr="00D72219">
              <w:rPr>
                <w:color w:val="000000"/>
                <w:sz w:val="15"/>
                <w:szCs w:val="15"/>
              </w:rPr>
              <w:t>-25.869</w:t>
            </w:r>
          </w:p>
        </w:tc>
        <w:tc>
          <w:tcPr>
            <w:tcW w:w="1393" w:type="dxa"/>
            <w:tcBorders>
              <w:top w:val="nil"/>
              <w:left w:val="nil"/>
              <w:bottom w:val="nil"/>
              <w:right w:val="nil"/>
            </w:tcBorders>
            <w:vAlign w:val="bottom"/>
          </w:tcPr>
          <w:p w14:paraId="10C6019A" w14:textId="77777777" w:rsidR="000C35AF" w:rsidRPr="00D72219" w:rsidRDefault="000C35AF" w:rsidP="009238AE">
            <w:pPr>
              <w:pStyle w:val="Regresjonstabell"/>
              <w:jc w:val="right"/>
              <w:rPr>
                <w:sz w:val="15"/>
                <w:szCs w:val="15"/>
              </w:rPr>
            </w:pPr>
            <w:r w:rsidRPr="00D72219">
              <w:rPr>
                <w:color w:val="000000"/>
                <w:sz w:val="15"/>
                <w:szCs w:val="15"/>
              </w:rPr>
              <w:t>-21.283</w:t>
            </w:r>
          </w:p>
        </w:tc>
        <w:tc>
          <w:tcPr>
            <w:tcW w:w="1440" w:type="dxa"/>
            <w:tcBorders>
              <w:top w:val="nil"/>
              <w:left w:val="nil"/>
              <w:bottom w:val="nil"/>
              <w:right w:val="nil"/>
            </w:tcBorders>
            <w:vAlign w:val="bottom"/>
          </w:tcPr>
          <w:p w14:paraId="173836DB" w14:textId="77777777" w:rsidR="000C35AF" w:rsidRPr="00D72219" w:rsidRDefault="000C35AF" w:rsidP="009238AE">
            <w:pPr>
              <w:pStyle w:val="Regresjonstabell"/>
              <w:jc w:val="right"/>
              <w:rPr>
                <w:sz w:val="15"/>
                <w:szCs w:val="15"/>
              </w:rPr>
            </w:pPr>
            <w:r w:rsidRPr="00D72219">
              <w:rPr>
                <w:color w:val="000000"/>
                <w:sz w:val="15"/>
                <w:szCs w:val="15"/>
              </w:rPr>
              <w:t>-38.358</w:t>
            </w:r>
          </w:p>
        </w:tc>
        <w:tc>
          <w:tcPr>
            <w:tcW w:w="1440" w:type="dxa"/>
            <w:tcBorders>
              <w:top w:val="nil"/>
              <w:left w:val="nil"/>
              <w:bottom w:val="nil"/>
              <w:right w:val="single" w:sz="4" w:space="0" w:color="auto"/>
            </w:tcBorders>
            <w:vAlign w:val="bottom"/>
          </w:tcPr>
          <w:p w14:paraId="629D3517" w14:textId="77777777" w:rsidR="000C35AF" w:rsidRPr="00D72219" w:rsidRDefault="000C35AF" w:rsidP="009238AE">
            <w:pPr>
              <w:pStyle w:val="Regresjonstabell"/>
              <w:jc w:val="right"/>
              <w:rPr>
                <w:sz w:val="15"/>
                <w:szCs w:val="15"/>
              </w:rPr>
            </w:pPr>
            <w:r w:rsidRPr="00D72219">
              <w:rPr>
                <w:color w:val="000000"/>
                <w:sz w:val="15"/>
                <w:szCs w:val="15"/>
              </w:rPr>
              <w:t>-51.038</w:t>
            </w:r>
          </w:p>
        </w:tc>
      </w:tr>
      <w:tr w:rsidR="000C35AF" w:rsidRPr="0055149C" w14:paraId="7671CC1C"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67136397" w14:textId="77777777" w:rsidR="000C35AF" w:rsidRPr="0055149C" w:rsidRDefault="000C35AF" w:rsidP="009238AE">
            <w:pPr>
              <w:pStyle w:val="Regresjonstabell"/>
              <w:rPr>
                <w:sz w:val="15"/>
                <w:szCs w:val="15"/>
              </w:rPr>
            </w:pPr>
            <w:r w:rsidRPr="0055149C">
              <w:rPr>
                <w:sz w:val="15"/>
                <w:szCs w:val="15"/>
              </w:rPr>
              <w:t>(Kriterium 7)</w:t>
            </w:r>
          </w:p>
        </w:tc>
        <w:tc>
          <w:tcPr>
            <w:tcW w:w="1393" w:type="dxa"/>
            <w:tcBorders>
              <w:top w:val="nil"/>
              <w:left w:val="single" w:sz="4" w:space="0" w:color="auto"/>
              <w:bottom w:val="nil"/>
              <w:right w:val="nil"/>
            </w:tcBorders>
            <w:vAlign w:val="center"/>
          </w:tcPr>
          <w:p w14:paraId="6DE073A4" w14:textId="77777777" w:rsidR="000C35AF" w:rsidRPr="00D72219" w:rsidRDefault="000C35AF" w:rsidP="009238AE">
            <w:pPr>
              <w:pStyle w:val="Regresjonstabell"/>
              <w:jc w:val="right"/>
              <w:rPr>
                <w:sz w:val="15"/>
                <w:szCs w:val="15"/>
              </w:rPr>
            </w:pPr>
            <w:r w:rsidRPr="00D72219">
              <w:rPr>
                <w:color w:val="000000"/>
                <w:sz w:val="15"/>
                <w:szCs w:val="15"/>
              </w:rPr>
              <w:t>(39.871)</w:t>
            </w:r>
          </w:p>
        </w:tc>
        <w:tc>
          <w:tcPr>
            <w:tcW w:w="1393" w:type="dxa"/>
            <w:tcBorders>
              <w:top w:val="nil"/>
              <w:left w:val="nil"/>
              <w:bottom w:val="nil"/>
              <w:right w:val="nil"/>
            </w:tcBorders>
            <w:vAlign w:val="center"/>
          </w:tcPr>
          <w:p w14:paraId="56C147F9" w14:textId="77777777" w:rsidR="000C35AF" w:rsidRPr="00D72219" w:rsidRDefault="000C35AF" w:rsidP="009238AE">
            <w:pPr>
              <w:pStyle w:val="Regresjonstabell"/>
              <w:jc w:val="right"/>
              <w:rPr>
                <w:sz w:val="15"/>
                <w:szCs w:val="15"/>
              </w:rPr>
            </w:pPr>
            <w:r w:rsidRPr="00D72219">
              <w:rPr>
                <w:color w:val="000000"/>
                <w:sz w:val="15"/>
                <w:szCs w:val="15"/>
              </w:rPr>
              <w:t>(41.225)</w:t>
            </w:r>
          </w:p>
        </w:tc>
        <w:tc>
          <w:tcPr>
            <w:tcW w:w="1393" w:type="dxa"/>
            <w:tcBorders>
              <w:top w:val="nil"/>
              <w:left w:val="nil"/>
              <w:bottom w:val="nil"/>
              <w:right w:val="nil"/>
            </w:tcBorders>
            <w:vAlign w:val="center"/>
          </w:tcPr>
          <w:p w14:paraId="4FF2FCCA" w14:textId="77777777" w:rsidR="000C35AF" w:rsidRPr="00D72219" w:rsidRDefault="000C35AF" w:rsidP="009238AE">
            <w:pPr>
              <w:pStyle w:val="Regresjonstabell"/>
              <w:jc w:val="right"/>
              <w:rPr>
                <w:sz w:val="15"/>
                <w:szCs w:val="15"/>
              </w:rPr>
            </w:pPr>
            <w:r w:rsidRPr="00D72219">
              <w:rPr>
                <w:color w:val="000000"/>
                <w:sz w:val="15"/>
                <w:szCs w:val="15"/>
              </w:rPr>
              <w:t>(46.520)</w:t>
            </w:r>
          </w:p>
        </w:tc>
        <w:tc>
          <w:tcPr>
            <w:tcW w:w="1393" w:type="dxa"/>
            <w:tcBorders>
              <w:top w:val="nil"/>
              <w:left w:val="nil"/>
              <w:bottom w:val="nil"/>
              <w:right w:val="nil"/>
            </w:tcBorders>
            <w:vAlign w:val="center"/>
          </w:tcPr>
          <w:p w14:paraId="37D8A959" w14:textId="77777777" w:rsidR="000C35AF" w:rsidRPr="00D72219" w:rsidRDefault="000C35AF" w:rsidP="009238AE">
            <w:pPr>
              <w:pStyle w:val="Regresjonstabell"/>
              <w:jc w:val="right"/>
              <w:rPr>
                <w:sz w:val="15"/>
                <w:szCs w:val="15"/>
              </w:rPr>
            </w:pPr>
            <w:r w:rsidRPr="00D72219">
              <w:rPr>
                <w:color w:val="000000"/>
                <w:sz w:val="15"/>
                <w:szCs w:val="15"/>
              </w:rPr>
              <w:t>(51.363)</w:t>
            </w:r>
          </w:p>
        </w:tc>
        <w:tc>
          <w:tcPr>
            <w:tcW w:w="1440" w:type="dxa"/>
            <w:tcBorders>
              <w:top w:val="nil"/>
              <w:left w:val="nil"/>
              <w:bottom w:val="nil"/>
              <w:right w:val="nil"/>
            </w:tcBorders>
            <w:vAlign w:val="center"/>
          </w:tcPr>
          <w:p w14:paraId="0DE59E9E" w14:textId="77777777" w:rsidR="000C35AF" w:rsidRPr="00D72219" w:rsidRDefault="000C35AF" w:rsidP="009238AE">
            <w:pPr>
              <w:pStyle w:val="Regresjonstabell"/>
              <w:jc w:val="right"/>
              <w:rPr>
                <w:sz w:val="15"/>
                <w:szCs w:val="15"/>
              </w:rPr>
            </w:pPr>
            <w:r w:rsidRPr="00D72219">
              <w:rPr>
                <w:color w:val="000000"/>
                <w:sz w:val="15"/>
                <w:szCs w:val="15"/>
              </w:rPr>
              <w:t>(36.159)</w:t>
            </w:r>
          </w:p>
        </w:tc>
        <w:tc>
          <w:tcPr>
            <w:tcW w:w="1393" w:type="dxa"/>
            <w:tcBorders>
              <w:top w:val="nil"/>
              <w:left w:val="nil"/>
              <w:bottom w:val="nil"/>
              <w:right w:val="nil"/>
            </w:tcBorders>
            <w:vAlign w:val="center"/>
          </w:tcPr>
          <w:p w14:paraId="3D02BA5D" w14:textId="77777777" w:rsidR="000C35AF" w:rsidRPr="00D72219" w:rsidRDefault="000C35AF" w:rsidP="009238AE">
            <w:pPr>
              <w:pStyle w:val="Regresjonstabell"/>
              <w:jc w:val="right"/>
              <w:rPr>
                <w:sz w:val="15"/>
                <w:szCs w:val="15"/>
              </w:rPr>
            </w:pPr>
            <w:r w:rsidRPr="00D72219">
              <w:rPr>
                <w:color w:val="000000"/>
                <w:sz w:val="15"/>
                <w:szCs w:val="15"/>
              </w:rPr>
              <w:t>(37.374)</w:t>
            </w:r>
          </w:p>
        </w:tc>
        <w:tc>
          <w:tcPr>
            <w:tcW w:w="1440" w:type="dxa"/>
            <w:tcBorders>
              <w:top w:val="nil"/>
              <w:left w:val="nil"/>
              <w:bottom w:val="nil"/>
              <w:right w:val="nil"/>
            </w:tcBorders>
            <w:vAlign w:val="center"/>
          </w:tcPr>
          <w:p w14:paraId="2CB446A5" w14:textId="77777777" w:rsidR="000C35AF" w:rsidRPr="00D72219" w:rsidRDefault="000C35AF" w:rsidP="009238AE">
            <w:pPr>
              <w:pStyle w:val="Regresjonstabell"/>
              <w:jc w:val="right"/>
              <w:rPr>
                <w:sz w:val="15"/>
                <w:szCs w:val="15"/>
              </w:rPr>
            </w:pPr>
            <w:r w:rsidRPr="00D72219">
              <w:rPr>
                <w:color w:val="000000"/>
                <w:sz w:val="15"/>
                <w:szCs w:val="15"/>
              </w:rPr>
              <w:t>(39.745)</w:t>
            </w:r>
          </w:p>
        </w:tc>
        <w:tc>
          <w:tcPr>
            <w:tcW w:w="1440" w:type="dxa"/>
            <w:tcBorders>
              <w:top w:val="nil"/>
              <w:left w:val="nil"/>
              <w:bottom w:val="nil"/>
              <w:right w:val="single" w:sz="4" w:space="0" w:color="auto"/>
            </w:tcBorders>
            <w:vAlign w:val="center"/>
          </w:tcPr>
          <w:p w14:paraId="1B06FF03" w14:textId="77777777" w:rsidR="000C35AF" w:rsidRPr="00D72219" w:rsidRDefault="000C35AF" w:rsidP="009238AE">
            <w:pPr>
              <w:pStyle w:val="Regresjonstabell"/>
              <w:jc w:val="right"/>
              <w:rPr>
                <w:sz w:val="15"/>
                <w:szCs w:val="15"/>
              </w:rPr>
            </w:pPr>
            <w:r w:rsidRPr="00D72219">
              <w:rPr>
                <w:color w:val="000000"/>
                <w:sz w:val="15"/>
                <w:szCs w:val="15"/>
              </w:rPr>
              <w:t>(45.203)</w:t>
            </w:r>
          </w:p>
        </w:tc>
      </w:tr>
      <w:tr w:rsidR="000C35AF" w:rsidRPr="0055149C" w14:paraId="7D8D6C84"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06B04CF4" w14:textId="77777777" w:rsidR="000C35AF" w:rsidRPr="0055149C" w:rsidRDefault="000C35AF" w:rsidP="009238AE">
            <w:pPr>
              <w:pStyle w:val="Regresjonstabell"/>
              <w:rPr>
                <w:color w:val="000000"/>
                <w:sz w:val="15"/>
                <w:szCs w:val="15"/>
              </w:rPr>
            </w:pPr>
            <w:r w:rsidRPr="0055149C">
              <w:rPr>
                <w:color w:val="000000"/>
                <w:sz w:val="15"/>
                <w:szCs w:val="15"/>
              </w:rPr>
              <w:t>Innbyggere 67 til 79 år</w:t>
            </w:r>
          </w:p>
        </w:tc>
        <w:tc>
          <w:tcPr>
            <w:tcW w:w="1393" w:type="dxa"/>
            <w:tcBorders>
              <w:top w:val="nil"/>
              <w:left w:val="single" w:sz="4" w:space="0" w:color="auto"/>
              <w:bottom w:val="nil"/>
              <w:right w:val="nil"/>
            </w:tcBorders>
            <w:vAlign w:val="bottom"/>
          </w:tcPr>
          <w:p w14:paraId="3484ED01" w14:textId="77777777" w:rsidR="000C35AF" w:rsidRPr="00D72219" w:rsidRDefault="000C35AF" w:rsidP="009238AE">
            <w:pPr>
              <w:pStyle w:val="Regresjonstabell"/>
              <w:jc w:val="right"/>
              <w:rPr>
                <w:sz w:val="15"/>
                <w:szCs w:val="15"/>
              </w:rPr>
            </w:pPr>
            <w:r w:rsidRPr="00D72219">
              <w:rPr>
                <w:color w:val="000000"/>
                <w:sz w:val="15"/>
                <w:szCs w:val="15"/>
              </w:rPr>
              <w:t>18.429</w:t>
            </w:r>
          </w:p>
        </w:tc>
        <w:tc>
          <w:tcPr>
            <w:tcW w:w="1393" w:type="dxa"/>
            <w:tcBorders>
              <w:top w:val="nil"/>
              <w:left w:val="nil"/>
              <w:bottom w:val="nil"/>
              <w:right w:val="nil"/>
            </w:tcBorders>
            <w:vAlign w:val="bottom"/>
          </w:tcPr>
          <w:p w14:paraId="6A851A53" w14:textId="77777777" w:rsidR="000C35AF" w:rsidRPr="00D72219" w:rsidRDefault="000C35AF" w:rsidP="009238AE">
            <w:pPr>
              <w:pStyle w:val="Regresjonstabell"/>
              <w:jc w:val="right"/>
              <w:rPr>
                <w:color w:val="000000"/>
                <w:sz w:val="15"/>
                <w:szCs w:val="15"/>
              </w:rPr>
            </w:pPr>
            <w:r w:rsidRPr="00D72219">
              <w:rPr>
                <w:color w:val="000000"/>
                <w:sz w:val="15"/>
                <w:szCs w:val="15"/>
              </w:rPr>
              <w:t>17.978</w:t>
            </w:r>
          </w:p>
        </w:tc>
        <w:tc>
          <w:tcPr>
            <w:tcW w:w="1393" w:type="dxa"/>
            <w:tcBorders>
              <w:top w:val="nil"/>
              <w:left w:val="nil"/>
              <w:bottom w:val="nil"/>
              <w:right w:val="nil"/>
            </w:tcBorders>
            <w:vAlign w:val="bottom"/>
          </w:tcPr>
          <w:p w14:paraId="0F4FCFA0" w14:textId="77777777" w:rsidR="000C35AF" w:rsidRPr="00D72219" w:rsidRDefault="000C35AF" w:rsidP="009238AE">
            <w:pPr>
              <w:pStyle w:val="Regresjonstabell"/>
              <w:jc w:val="right"/>
              <w:rPr>
                <w:sz w:val="15"/>
                <w:szCs w:val="15"/>
              </w:rPr>
            </w:pPr>
            <w:r w:rsidRPr="00D72219">
              <w:rPr>
                <w:color w:val="000000"/>
                <w:sz w:val="15"/>
                <w:szCs w:val="15"/>
              </w:rPr>
              <w:t>23.977</w:t>
            </w:r>
          </w:p>
        </w:tc>
        <w:tc>
          <w:tcPr>
            <w:tcW w:w="1393" w:type="dxa"/>
            <w:tcBorders>
              <w:top w:val="nil"/>
              <w:left w:val="nil"/>
              <w:bottom w:val="nil"/>
              <w:right w:val="nil"/>
            </w:tcBorders>
            <w:vAlign w:val="bottom"/>
          </w:tcPr>
          <w:p w14:paraId="03DCEF11" w14:textId="77777777" w:rsidR="000C35AF" w:rsidRPr="00D72219" w:rsidRDefault="000C35AF" w:rsidP="009238AE">
            <w:pPr>
              <w:pStyle w:val="Regresjonstabell"/>
              <w:jc w:val="right"/>
              <w:rPr>
                <w:color w:val="000000"/>
                <w:sz w:val="15"/>
                <w:szCs w:val="15"/>
              </w:rPr>
            </w:pPr>
            <w:r w:rsidRPr="00D72219">
              <w:rPr>
                <w:color w:val="000000"/>
                <w:sz w:val="15"/>
                <w:szCs w:val="15"/>
              </w:rPr>
              <w:t>27.236</w:t>
            </w:r>
          </w:p>
        </w:tc>
        <w:tc>
          <w:tcPr>
            <w:tcW w:w="1440" w:type="dxa"/>
            <w:tcBorders>
              <w:top w:val="nil"/>
              <w:left w:val="nil"/>
              <w:bottom w:val="nil"/>
              <w:right w:val="nil"/>
            </w:tcBorders>
            <w:vAlign w:val="bottom"/>
          </w:tcPr>
          <w:p w14:paraId="4DCC0CA8" w14:textId="77777777" w:rsidR="000C35AF" w:rsidRPr="00D72219" w:rsidRDefault="000C35AF" w:rsidP="009238AE">
            <w:pPr>
              <w:pStyle w:val="Regresjonstabell"/>
              <w:jc w:val="right"/>
              <w:rPr>
                <w:sz w:val="15"/>
                <w:szCs w:val="15"/>
              </w:rPr>
            </w:pPr>
            <w:r w:rsidRPr="00D72219">
              <w:rPr>
                <w:color w:val="000000"/>
                <w:sz w:val="15"/>
                <w:szCs w:val="15"/>
              </w:rPr>
              <w:t>-10.560</w:t>
            </w:r>
          </w:p>
        </w:tc>
        <w:tc>
          <w:tcPr>
            <w:tcW w:w="1393" w:type="dxa"/>
            <w:tcBorders>
              <w:top w:val="nil"/>
              <w:left w:val="nil"/>
              <w:bottom w:val="nil"/>
              <w:right w:val="nil"/>
            </w:tcBorders>
            <w:vAlign w:val="bottom"/>
          </w:tcPr>
          <w:p w14:paraId="280E6CB0" w14:textId="77777777" w:rsidR="000C35AF" w:rsidRPr="00D72219" w:rsidRDefault="000C35AF" w:rsidP="009238AE">
            <w:pPr>
              <w:pStyle w:val="Regresjonstabell"/>
              <w:jc w:val="right"/>
              <w:rPr>
                <w:color w:val="000000"/>
                <w:sz w:val="15"/>
                <w:szCs w:val="15"/>
              </w:rPr>
            </w:pPr>
            <w:r w:rsidRPr="00D72219">
              <w:rPr>
                <w:color w:val="000000"/>
                <w:sz w:val="15"/>
                <w:szCs w:val="15"/>
              </w:rPr>
              <w:t>1.405</w:t>
            </w:r>
          </w:p>
        </w:tc>
        <w:tc>
          <w:tcPr>
            <w:tcW w:w="1440" w:type="dxa"/>
            <w:tcBorders>
              <w:top w:val="nil"/>
              <w:left w:val="nil"/>
              <w:bottom w:val="nil"/>
              <w:right w:val="nil"/>
            </w:tcBorders>
            <w:vAlign w:val="bottom"/>
          </w:tcPr>
          <w:p w14:paraId="4C6C65BE" w14:textId="77777777" w:rsidR="000C35AF" w:rsidRPr="00D72219" w:rsidRDefault="000C35AF" w:rsidP="009238AE">
            <w:pPr>
              <w:pStyle w:val="Regresjonstabell"/>
              <w:jc w:val="right"/>
              <w:rPr>
                <w:sz w:val="15"/>
                <w:szCs w:val="15"/>
              </w:rPr>
            </w:pPr>
            <w:r w:rsidRPr="00D72219">
              <w:rPr>
                <w:color w:val="000000"/>
                <w:sz w:val="15"/>
                <w:szCs w:val="15"/>
              </w:rPr>
              <w:t>-14.443</w:t>
            </w:r>
          </w:p>
        </w:tc>
        <w:tc>
          <w:tcPr>
            <w:tcW w:w="1440" w:type="dxa"/>
            <w:tcBorders>
              <w:top w:val="nil"/>
              <w:left w:val="nil"/>
              <w:bottom w:val="nil"/>
              <w:right w:val="single" w:sz="4" w:space="0" w:color="auto"/>
            </w:tcBorders>
            <w:vAlign w:val="bottom"/>
          </w:tcPr>
          <w:p w14:paraId="758800A3" w14:textId="77777777" w:rsidR="000C35AF" w:rsidRPr="00D72219" w:rsidRDefault="000C35AF" w:rsidP="009238AE">
            <w:pPr>
              <w:pStyle w:val="Regresjonstabell"/>
              <w:jc w:val="right"/>
              <w:rPr>
                <w:color w:val="000000"/>
                <w:sz w:val="15"/>
                <w:szCs w:val="15"/>
              </w:rPr>
            </w:pPr>
            <w:r w:rsidRPr="00D72219">
              <w:rPr>
                <w:color w:val="000000"/>
                <w:sz w:val="15"/>
                <w:szCs w:val="15"/>
              </w:rPr>
              <w:t>-18.540</w:t>
            </w:r>
          </w:p>
        </w:tc>
      </w:tr>
      <w:tr w:rsidR="000C35AF" w:rsidRPr="0055149C" w14:paraId="516716B4"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3588F52C" w14:textId="77777777" w:rsidR="000C35AF" w:rsidRPr="0055149C" w:rsidRDefault="000C35AF" w:rsidP="009238AE">
            <w:pPr>
              <w:pStyle w:val="Regresjonstabell"/>
              <w:rPr>
                <w:color w:val="000000"/>
                <w:sz w:val="15"/>
                <w:szCs w:val="15"/>
              </w:rPr>
            </w:pPr>
            <w:r w:rsidRPr="0055149C">
              <w:rPr>
                <w:sz w:val="15"/>
                <w:szCs w:val="15"/>
              </w:rPr>
              <w:t>(Kriterium 8)</w:t>
            </w:r>
          </w:p>
        </w:tc>
        <w:tc>
          <w:tcPr>
            <w:tcW w:w="1393" w:type="dxa"/>
            <w:tcBorders>
              <w:top w:val="nil"/>
              <w:left w:val="single" w:sz="4" w:space="0" w:color="auto"/>
              <w:bottom w:val="nil"/>
              <w:right w:val="nil"/>
            </w:tcBorders>
            <w:vAlign w:val="center"/>
          </w:tcPr>
          <w:p w14:paraId="62325E24" w14:textId="77777777" w:rsidR="000C35AF" w:rsidRPr="00D72219" w:rsidRDefault="000C35AF" w:rsidP="009238AE">
            <w:pPr>
              <w:pStyle w:val="Regresjonstabell"/>
              <w:jc w:val="right"/>
              <w:rPr>
                <w:sz w:val="15"/>
                <w:szCs w:val="15"/>
              </w:rPr>
            </w:pPr>
            <w:r w:rsidRPr="00D72219">
              <w:rPr>
                <w:color w:val="000000"/>
                <w:sz w:val="15"/>
                <w:szCs w:val="15"/>
              </w:rPr>
              <w:t>(44.630)</w:t>
            </w:r>
          </w:p>
        </w:tc>
        <w:tc>
          <w:tcPr>
            <w:tcW w:w="1393" w:type="dxa"/>
            <w:tcBorders>
              <w:top w:val="nil"/>
              <w:left w:val="nil"/>
              <w:bottom w:val="nil"/>
              <w:right w:val="nil"/>
            </w:tcBorders>
            <w:vAlign w:val="center"/>
          </w:tcPr>
          <w:p w14:paraId="41527E05" w14:textId="77777777" w:rsidR="000C35AF" w:rsidRPr="00D72219" w:rsidRDefault="000C35AF" w:rsidP="009238AE">
            <w:pPr>
              <w:pStyle w:val="Regresjonstabell"/>
              <w:jc w:val="right"/>
              <w:rPr>
                <w:color w:val="000000"/>
                <w:sz w:val="15"/>
                <w:szCs w:val="15"/>
              </w:rPr>
            </w:pPr>
            <w:r w:rsidRPr="00D72219">
              <w:rPr>
                <w:color w:val="000000"/>
                <w:sz w:val="15"/>
                <w:szCs w:val="15"/>
              </w:rPr>
              <w:t>(45.956)</w:t>
            </w:r>
          </w:p>
        </w:tc>
        <w:tc>
          <w:tcPr>
            <w:tcW w:w="1393" w:type="dxa"/>
            <w:tcBorders>
              <w:top w:val="nil"/>
              <w:left w:val="nil"/>
              <w:bottom w:val="nil"/>
              <w:right w:val="nil"/>
            </w:tcBorders>
            <w:vAlign w:val="center"/>
          </w:tcPr>
          <w:p w14:paraId="14B951B9" w14:textId="77777777" w:rsidR="000C35AF" w:rsidRPr="00D72219" w:rsidRDefault="000C35AF" w:rsidP="009238AE">
            <w:pPr>
              <w:pStyle w:val="Regresjonstabell"/>
              <w:jc w:val="right"/>
              <w:rPr>
                <w:sz w:val="15"/>
                <w:szCs w:val="15"/>
              </w:rPr>
            </w:pPr>
            <w:r w:rsidRPr="00D72219">
              <w:rPr>
                <w:color w:val="000000"/>
                <w:sz w:val="15"/>
                <w:szCs w:val="15"/>
              </w:rPr>
              <w:t>(51.118)</w:t>
            </w:r>
          </w:p>
        </w:tc>
        <w:tc>
          <w:tcPr>
            <w:tcW w:w="1393" w:type="dxa"/>
            <w:tcBorders>
              <w:top w:val="nil"/>
              <w:left w:val="nil"/>
              <w:bottom w:val="nil"/>
              <w:right w:val="nil"/>
            </w:tcBorders>
            <w:vAlign w:val="center"/>
          </w:tcPr>
          <w:p w14:paraId="2480D9C2" w14:textId="77777777" w:rsidR="000C35AF" w:rsidRPr="00D72219" w:rsidRDefault="000C35AF" w:rsidP="009238AE">
            <w:pPr>
              <w:pStyle w:val="Regresjonstabell"/>
              <w:jc w:val="right"/>
              <w:rPr>
                <w:color w:val="000000"/>
                <w:sz w:val="15"/>
                <w:szCs w:val="15"/>
              </w:rPr>
            </w:pPr>
            <w:r w:rsidRPr="00D72219">
              <w:rPr>
                <w:color w:val="000000"/>
                <w:sz w:val="15"/>
                <w:szCs w:val="15"/>
              </w:rPr>
              <w:t>(55.981)</w:t>
            </w:r>
          </w:p>
        </w:tc>
        <w:tc>
          <w:tcPr>
            <w:tcW w:w="1440" w:type="dxa"/>
            <w:tcBorders>
              <w:top w:val="nil"/>
              <w:left w:val="nil"/>
              <w:bottom w:val="nil"/>
              <w:right w:val="nil"/>
            </w:tcBorders>
            <w:vAlign w:val="center"/>
          </w:tcPr>
          <w:p w14:paraId="7E2EC01D" w14:textId="77777777" w:rsidR="000C35AF" w:rsidRPr="00D72219" w:rsidRDefault="000C35AF" w:rsidP="009238AE">
            <w:pPr>
              <w:pStyle w:val="Regresjonstabell"/>
              <w:jc w:val="right"/>
              <w:rPr>
                <w:sz w:val="15"/>
                <w:szCs w:val="15"/>
              </w:rPr>
            </w:pPr>
            <w:r w:rsidRPr="00D72219">
              <w:rPr>
                <w:color w:val="000000"/>
                <w:sz w:val="15"/>
                <w:szCs w:val="15"/>
              </w:rPr>
              <w:t>(46.498)</w:t>
            </w:r>
          </w:p>
        </w:tc>
        <w:tc>
          <w:tcPr>
            <w:tcW w:w="1393" w:type="dxa"/>
            <w:tcBorders>
              <w:top w:val="nil"/>
              <w:left w:val="nil"/>
              <w:bottom w:val="nil"/>
              <w:right w:val="nil"/>
            </w:tcBorders>
            <w:vAlign w:val="center"/>
          </w:tcPr>
          <w:p w14:paraId="628D142A" w14:textId="77777777" w:rsidR="000C35AF" w:rsidRPr="00D72219" w:rsidRDefault="000C35AF" w:rsidP="009238AE">
            <w:pPr>
              <w:pStyle w:val="Regresjonstabell"/>
              <w:jc w:val="right"/>
              <w:rPr>
                <w:color w:val="000000"/>
                <w:sz w:val="15"/>
                <w:szCs w:val="15"/>
              </w:rPr>
            </w:pPr>
            <w:r w:rsidRPr="00D72219">
              <w:rPr>
                <w:color w:val="000000"/>
                <w:sz w:val="15"/>
                <w:szCs w:val="15"/>
              </w:rPr>
              <w:t>(47.482)</w:t>
            </w:r>
          </w:p>
        </w:tc>
        <w:tc>
          <w:tcPr>
            <w:tcW w:w="1440" w:type="dxa"/>
            <w:tcBorders>
              <w:top w:val="nil"/>
              <w:left w:val="nil"/>
              <w:bottom w:val="nil"/>
              <w:right w:val="nil"/>
            </w:tcBorders>
            <w:vAlign w:val="center"/>
          </w:tcPr>
          <w:p w14:paraId="594B845F" w14:textId="77777777" w:rsidR="000C35AF" w:rsidRPr="00D72219" w:rsidRDefault="000C35AF" w:rsidP="009238AE">
            <w:pPr>
              <w:pStyle w:val="Regresjonstabell"/>
              <w:jc w:val="right"/>
              <w:rPr>
                <w:sz w:val="15"/>
                <w:szCs w:val="15"/>
              </w:rPr>
            </w:pPr>
            <w:r w:rsidRPr="00D72219">
              <w:rPr>
                <w:color w:val="000000"/>
                <w:sz w:val="15"/>
                <w:szCs w:val="15"/>
              </w:rPr>
              <w:t>(48.983)</w:t>
            </w:r>
          </w:p>
        </w:tc>
        <w:tc>
          <w:tcPr>
            <w:tcW w:w="1440" w:type="dxa"/>
            <w:tcBorders>
              <w:top w:val="nil"/>
              <w:left w:val="nil"/>
              <w:bottom w:val="nil"/>
              <w:right w:val="single" w:sz="4" w:space="0" w:color="auto"/>
            </w:tcBorders>
            <w:vAlign w:val="center"/>
          </w:tcPr>
          <w:p w14:paraId="412206AE" w14:textId="77777777" w:rsidR="000C35AF" w:rsidRPr="00D72219" w:rsidRDefault="000C35AF" w:rsidP="009238AE">
            <w:pPr>
              <w:pStyle w:val="Regresjonstabell"/>
              <w:jc w:val="right"/>
              <w:rPr>
                <w:color w:val="000000"/>
                <w:sz w:val="15"/>
                <w:szCs w:val="15"/>
              </w:rPr>
            </w:pPr>
            <w:r w:rsidRPr="00D72219">
              <w:rPr>
                <w:color w:val="000000"/>
                <w:sz w:val="15"/>
                <w:szCs w:val="15"/>
              </w:rPr>
              <w:t>(53.832)</w:t>
            </w:r>
          </w:p>
        </w:tc>
      </w:tr>
      <w:tr w:rsidR="000C35AF" w:rsidRPr="0055149C" w14:paraId="5109867F"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ADEDAE4" w14:textId="77777777" w:rsidR="000C35AF" w:rsidRPr="0055149C" w:rsidRDefault="000C35AF" w:rsidP="009238AE">
            <w:pPr>
              <w:pStyle w:val="Regresjonstabell"/>
              <w:rPr>
                <w:color w:val="000000"/>
                <w:sz w:val="15"/>
                <w:szCs w:val="15"/>
              </w:rPr>
            </w:pPr>
            <w:r w:rsidRPr="0055149C">
              <w:rPr>
                <w:sz w:val="15"/>
                <w:szCs w:val="15"/>
              </w:rPr>
              <w:t>Innbyggere 80 til 89 år</w:t>
            </w:r>
          </w:p>
        </w:tc>
        <w:tc>
          <w:tcPr>
            <w:tcW w:w="1393" w:type="dxa"/>
            <w:tcBorders>
              <w:top w:val="nil"/>
              <w:left w:val="single" w:sz="4" w:space="0" w:color="auto"/>
              <w:bottom w:val="nil"/>
              <w:right w:val="nil"/>
            </w:tcBorders>
            <w:vAlign w:val="bottom"/>
          </w:tcPr>
          <w:p w14:paraId="5280656C" w14:textId="77777777" w:rsidR="000C35AF" w:rsidRPr="00D72219" w:rsidRDefault="000C35AF" w:rsidP="009238AE">
            <w:pPr>
              <w:pStyle w:val="Regresjonstabell"/>
              <w:jc w:val="right"/>
              <w:rPr>
                <w:sz w:val="15"/>
                <w:szCs w:val="15"/>
              </w:rPr>
            </w:pPr>
            <w:r w:rsidRPr="00D72219">
              <w:rPr>
                <w:color w:val="000000"/>
                <w:sz w:val="15"/>
                <w:szCs w:val="15"/>
              </w:rPr>
              <w:t>174.553***</w:t>
            </w:r>
          </w:p>
        </w:tc>
        <w:tc>
          <w:tcPr>
            <w:tcW w:w="1393" w:type="dxa"/>
            <w:tcBorders>
              <w:top w:val="nil"/>
              <w:left w:val="nil"/>
              <w:bottom w:val="nil"/>
              <w:right w:val="nil"/>
            </w:tcBorders>
            <w:vAlign w:val="bottom"/>
          </w:tcPr>
          <w:p w14:paraId="22BFBF2C" w14:textId="77777777" w:rsidR="000C35AF" w:rsidRPr="00D72219" w:rsidRDefault="000C35AF" w:rsidP="009238AE">
            <w:pPr>
              <w:pStyle w:val="Regresjonstabell"/>
              <w:jc w:val="right"/>
              <w:rPr>
                <w:color w:val="000000"/>
                <w:sz w:val="15"/>
                <w:szCs w:val="15"/>
              </w:rPr>
            </w:pPr>
            <w:r w:rsidRPr="00D72219">
              <w:rPr>
                <w:color w:val="000000"/>
                <w:sz w:val="15"/>
                <w:szCs w:val="15"/>
              </w:rPr>
              <w:t>174.553***</w:t>
            </w:r>
          </w:p>
        </w:tc>
        <w:tc>
          <w:tcPr>
            <w:tcW w:w="1393" w:type="dxa"/>
            <w:tcBorders>
              <w:top w:val="nil"/>
              <w:left w:val="nil"/>
              <w:bottom w:val="nil"/>
              <w:right w:val="nil"/>
            </w:tcBorders>
            <w:vAlign w:val="bottom"/>
          </w:tcPr>
          <w:p w14:paraId="3115B3C8" w14:textId="77777777" w:rsidR="000C35AF" w:rsidRPr="00D72219" w:rsidRDefault="000C35AF" w:rsidP="009238AE">
            <w:pPr>
              <w:pStyle w:val="Regresjonstabell"/>
              <w:jc w:val="right"/>
              <w:rPr>
                <w:sz w:val="15"/>
                <w:szCs w:val="15"/>
              </w:rPr>
            </w:pPr>
            <w:r w:rsidRPr="00D72219">
              <w:rPr>
                <w:color w:val="000000"/>
                <w:sz w:val="15"/>
                <w:szCs w:val="15"/>
              </w:rPr>
              <w:t>192.751***</w:t>
            </w:r>
          </w:p>
        </w:tc>
        <w:tc>
          <w:tcPr>
            <w:tcW w:w="1393" w:type="dxa"/>
            <w:tcBorders>
              <w:top w:val="nil"/>
              <w:left w:val="nil"/>
              <w:bottom w:val="nil"/>
              <w:right w:val="nil"/>
            </w:tcBorders>
            <w:vAlign w:val="bottom"/>
          </w:tcPr>
          <w:p w14:paraId="289ECD5C" w14:textId="77777777" w:rsidR="000C35AF" w:rsidRPr="00D72219" w:rsidRDefault="000C35AF" w:rsidP="009238AE">
            <w:pPr>
              <w:pStyle w:val="Regresjonstabell"/>
              <w:jc w:val="right"/>
              <w:rPr>
                <w:color w:val="000000"/>
                <w:sz w:val="15"/>
                <w:szCs w:val="15"/>
              </w:rPr>
            </w:pPr>
            <w:r w:rsidRPr="00D72219">
              <w:rPr>
                <w:color w:val="000000"/>
                <w:sz w:val="15"/>
                <w:szCs w:val="15"/>
              </w:rPr>
              <w:t>203.142***</w:t>
            </w:r>
          </w:p>
        </w:tc>
        <w:tc>
          <w:tcPr>
            <w:tcW w:w="1440" w:type="dxa"/>
            <w:tcBorders>
              <w:top w:val="nil"/>
              <w:left w:val="nil"/>
              <w:bottom w:val="nil"/>
              <w:right w:val="nil"/>
            </w:tcBorders>
            <w:vAlign w:val="bottom"/>
          </w:tcPr>
          <w:p w14:paraId="6F3903C2" w14:textId="77777777" w:rsidR="000C35AF" w:rsidRPr="00D72219" w:rsidRDefault="000C35AF" w:rsidP="009238AE">
            <w:pPr>
              <w:pStyle w:val="Regresjonstabell"/>
              <w:jc w:val="right"/>
              <w:rPr>
                <w:sz w:val="15"/>
                <w:szCs w:val="15"/>
              </w:rPr>
            </w:pPr>
            <w:r w:rsidRPr="00D72219">
              <w:rPr>
                <w:color w:val="000000"/>
                <w:sz w:val="15"/>
                <w:szCs w:val="15"/>
              </w:rPr>
              <w:t>169.386**</w:t>
            </w:r>
          </w:p>
        </w:tc>
        <w:tc>
          <w:tcPr>
            <w:tcW w:w="1393" w:type="dxa"/>
            <w:tcBorders>
              <w:top w:val="nil"/>
              <w:left w:val="nil"/>
              <w:bottom w:val="nil"/>
              <w:right w:val="nil"/>
            </w:tcBorders>
            <w:vAlign w:val="bottom"/>
          </w:tcPr>
          <w:p w14:paraId="7952124C" w14:textId="77777777" w:rsidR="000C35AF" w:rsidRPr="00D72219" w:rsidRDefault="000C35AF" w:rsidP="009238AE">
            <w:pPr>
              <w:pStyle w:val="Regresjonstabell"/>
              <w:jc w:val="right"/>
              <w:rPr>
                <w:color w:val="000000"/>
                <w:sz w:val="15"/>
                <w:szCs w:val="15"/>
              </w:rPr>
            </w:pPr>
            <w:r w:rsidRPr="00D72219">
              <w:rPr>
                <w:color w:val="000000"/>
                <w:sz w:val="15"/>
                <w:szCs w:val="15"/>
              </w:rPr>
              <w:t>172.710**</w:t>
            </w:r>
          </w:p>
        </w:tc>
        <w:tc>
          <w:tcPr>
            <w:tcW w:w="1440" w:type="dxa"/>
            <w:tcBorders>
              <w:top w:val="nil"/>
              <w:left w:val="nil"/>
              <w:bottom w:val="nil"/>
              <w:right w:val="nil"/>
            </w:tcBorders>
            <w:vAlign w:val="bottom"/>
          </w:tcPr>
          <w:p w14:paraId="5C94F24E" w14:textId="77777777" w:rsidR="000C35AF" w:rsidRPr="00D72219" w:rsidRDefault="000C35AF" w:rsidP="009238AE">
            <w:pPr>
              <w:pStyle w:val="Regresjonstabell"/>
              <w:jc w:val="right"/>
              <w:rPr>
                <w:sz w:val="15"/>
                <w:szCs w:val="15"/>
              </w:rPr>
            </w:pPr>
            <w:r w:rsidRPr="00D72219">
              <w:rPr>
                <w:color w:val="000000"/>
                <w:sz w:val="15"/>
                <w:szCs w:val="15"/>
              </w:rPr>
              <w:t>180.657**</w:t>
            </w:r>
          </w:p>
        </w:tc>
        <w:tc>
          <w:tcPr>
            <w:tcW w:w="1440" w:type="dxa"/>
            <w:tcBorders>
              <w:top w:val="nil"/>
              <w:left w:val="nil"/>
              <w:bottom w:val="nil"/>
              <w:right w:val="single" w:sz="4" w:space="0" w:color="auto"/>
            </w:tcBorders>
            <w:vAlign w:val="bottom"/>
          </w:tcPr>
          <w:p w14:paraId="59208E8C" w14:textId="77777777" w:rsidR="000C35AF" w:rsidRPr="00D72219" w:rsidRDefault="000C35AF" w:rsidP="009238AE">
            <w:pPr>
              <w:pStyle w:val="Regresjonstabell"/>
              <w:jc w:val="right"/>
              <w:rPr>
                <w:color w:val="000000"/>
                <w:sz w:val="15"/>
                <w:szCs w:val="15"/>
              </w:rPr>
            </w:pPr>
            <w:r w:rsidRPr="00D72219">
              <w:rPr>
                <w:color w:val="000000"/>
                <w:sz w:val="15"/>
                <w:szCs w:val="15"/>
              </w:rPr>
              <w:t>191.960**</w:t>
            </w:r>
          </w:p>
        </w:tc>
      </w:tr>
      <w:tr w:rsidR="000C35AF" w:rsidRPr="0055149C" w14:paraId="2879F49C"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57996B7" w14:textId="77777777" w:rsidR="000C35AF" w:rsidRPr="0055149C" w:rsidRDefault="000C35AF" w:rsidP="009238AE">
            <w:pPr>
              <w:pStyle w:val="Regresjonstabell"/>
              <w:rPr>
                <w:color w:val="000000"/>
                <w:sz w:val="15"/>
                <w:szCs w:val="15"/>
              </w:rPr>
            </w:pPr>
            <w:r w:rsidRPr="0055149C">
              <w:rPr>
                <w:sz w:val="15"/>
                <w:szCs w:val="15"/>
              </w:rPr>
              <w:t>(Kriterium 9)</w:t>
            </w:r>
          </w:p>
        </w:tc>
        <w:tc>
          <w:tcPr>
            <w:tcW w:w="1393" w:type="dxa"/>
            <w:tcBorders>
              <w:top w:val="nil"/>
              <w:left w:val="single" w:sz="4" w:space="0" w:color="auto"/>
              <w:bottom w:val="nil"/>
              <w:right w:val="nil"/>
            </w:tcBorders>
            <w:vAlign w:val="center"/>
          </w:tcPr>
          <w:p w14:paraId="5497EFDA" w14:textId="77777777" w:rsidR="000C35AF" w:rsidRPr="00D72219" w:rsidRDefault="000C35AF" w:rsidP="009238AE">
            <w:pPr>
              <w:pStyle w:val="Regresjonstabell"/>
              <w:jc w:val="right"/>
              <w:rPr>
                <w:sz w:val="15"/>
                <w:szCs w:val="15"/>
              </w:rPr>
            </w:pPr>
            <w:r w:rsidRPr="00D72219">
              <w:rPr>
                <w:color w:val="000000"/>
                <w:sz w:val="15"/>
                <w:szCs w:val="15"/>
              </w:rPr>
              <w:t>(57.876)</w:t>
            </w:r>
          </w:p>
        </w:tc>
        <w:tc>
          <w:tcPr>
            <w:tcW w:w="1393" w:type="dxa"/>
            <w:tcBorders>
              <w:top w:val="nil"/>
              <w:left w:val="nil"/>
              <w:bottom w:val="nil"/>
              <w:right w:val="nil"/>
            </w:tcBorders>
            <w:vAlign w:val="center"/>
          </w:tcPr>
          <w:p w14:paraId="63D96452" w14:textId="77777777" w:rsidR="000C35AF" w:rsidRPr="00D72219" w:rsidRDefault="000C35AF" w:rsidP="009238AE">
            <w:pPr>
              <w:pStyle w:val="Regresjonstabell"/>
              <w:jc w:val="right"/>
              <w:rPr>
                <w:color w:val="000000"/>
                <w:sz w:val="15"/>
                <w:szCs w:val="15"/>
              </w:rPr>
            </w:pPr>
            <w:r w:rsidRPr="00D72219">
              <w:rPr>
                <w:color w:val="000000"/>
                <w:sz w:val="15"/>
                <w:szCs w:val="15"/>
              </w:rPr>
              <w:t>(59.286)</w:t>
            </w:r>
          </w:p>
        </w:tc>
        <w:tc>
          <w:tcPr>
            <w:tcW w:w="1393" w:type="dxa"/>
            <w:tcBorders>
              <w:top w:val="nil"/>
              <w:left w:val="nil"/>
              <w:bottom w:val="nil"/>
              <w:right w:val="nil"/>
            </w:tcBorders>
            <w:vAlign w:val="center"/>
          </w:tcPr>
          <w:p w14:paraId="25EA8DBC" w14:textId="77777777" w:rsidR="000C35AF" w:rsidRPr="00D72219" w:rsidRDefault="000C35AF" w:rsidP="009238AE">
            <w:pPr>
              <w:pStyle w:val="Regresjonstabell"/>
              <w:jc w:val="right"/>
              <w:rPr>
                <w:sz w:val="15"/>
                <w:szCs w:val="15"/>
              </w:rPr>
            </w:pPr>
            <w:r w:rsidRPr="00D72219">
              <w:rPr>
                <w:color w:val="000000"/>
                <w:sz w:val="15"/>
                <w:szCs w:val="15"/>
              </w:rPr>
              <w:t>(63.283)</w:t>
            </w:r>
          </w:p>
        </w:tc>
        <w:tc>
          <w:tcPr>
            <w:tcW w:w="1393" w:type="dxa"/>
            <w:tcBorders>
              <w:top w:val="nil"/>
              <w:left w:val="nil"/>
              <w:bottom w:val="nil"/>
              <w:right w:val="nil"/>
            </w:tcBorders>
            <w:vAlign w:val="center"/>
          </w:tcPr>
          <w:p w14:paraId="324C2703" w14:textId="77777777" w:rsidR="000C35AF" w:rsidRPr="00D72219" w:rsidRDefault="000C35AF" w:rsidP="009238AE">
            <w:pPr>
              <w:pStyle w:val="Regresjonstabell"/>
              <w:jc w:val="right"/>
              <w:rPr>
                <w:color w:val="000000"/>
                <w:sz w:val="15"/>
                <w:szCs w:val="15"/>
              </w:rPr>
            </w:pPr>
            <w:r w:rsidRPr="00D72219">
              <w:rPr>
                <w:color w:val="000000"/>
                <w:sz w:val="15"/>
                <w:szCs w:val="15"/>
              </w:rPr>
              <w:t>(69.479)</w:t>
            </w:r>
          </w:p>
        </w:tc>
        <w:tc>
          <w:tcPr>
            <w:tcW w:w="1440" w:type="dxa"/>
            <w:tcBorders>
              <w:top w:val="nil"/>
              <w:left w:val="nil"/>
              <w:bottom w:val="nil"/>
              <w:right w:val="nil"/>
            </w:tcBorders>
            <w:vAlign w:val="center"/>
          </w:tcPr>
          <w:p w14:paraId="2E815D08" w14:textId="77777777" w:rsidR="000C35AF" w:rsidRPr="00D72219" w:rsidRDefault="000C35AF" w:rsidP="009238AE">
            <w:pPr>
              <w:pStyle w:val="Regresjonstabell"/>
              <w:jc w:val="right"/>
              <w:rPr>
                <w:sz w:val="15"/>
                <w:szCs w:val="15"/>
              </w:rPr>
            </w:pPr>
            <w:r w:rsidRPr="00D72219">
              <w:rPr>
                <w:color w:val="000000"/>
                <w:sz w:val="15"/>
                <w:szCs w:val="15"/>
              </w:rPr>
              <w:t>(70.244)</w:t>
            </w:r>
          </w:p>
        </w:tc>
        <w:tc>
          <w:tcPr>
            <w:tcW w:w="1393" w:type="dxa"/>
            <w:tcBorders>
              <w:top w:val="nil"/>
              <w:left w:val="nil"/>
              <w:bottom w:val="nil"/>
              <w:right w:val="nil"/>
            </w:tcBorders>
            <w:vAlign w:val="center"/>
          </w:tcPr>
          <w:p w14:paraId="33DAC590" w14:textId="77777777" w:rsidR="000C35AF" w:rsidRPr="00D72219" w:rsidRDefault="000C35AF" w:rsidP="009238AE">
            <w:pPr>
              <w:pStyle w:val="Regresjonstabell"/>
              <w:jc w:val="right"/>
              <w:rPr>
                <w:color w:val="000000"/>
                <w:sz w:val="15"/>
                <w:szCs w:val="15"/>
              </w:rPr>
            </w:pPr>
            <w:r w:rsidRPr="00D72219">
              <w:rPr>
                <w:color w:val="000000"/>
                <w:sz w:val="15"/>
                <w:szCs w:val="15"/>
              </w:rPr>
              <w:t>(70.286)</w:t>
            </w:r>
          </w:p>
        </w:tc>
        <w:tc>
          <w:tcPr>
            <w:tcW w:w="1440" w:type="dxa"/>
            <w:tcBorders>
              <w:top w:val="nil"/>
              <w:left w:val="nil"/>
              <w:bottom w:val="nil"/>
              <w:right w:val="nil"/>
            </w:tcBorders>
            <w:vAlign w:val="center"/>
          </w:tcPr>
          <w:p w14:paraId="6AD9EDFE" w14:textId="77777777" w:rsidR="000C35AF" w:rsidRPr="00D72219" w:rsidRDefault="000C35AF" w:rsidP="009238AE">
            <w:pPr>
              <w:pStyle w:val="Regresjonstabell"/>
              <w:jc w:val="right"/>
              <w:rPr>
                <w:sz w:val="15"/>
                <w:szCs w:val="15"/>
              </w:rPr>
            </w:pPr>
            <w:r w:rsidRPr="00D72219">
              <w:rPr>
                <w:color w:val="000000"/>
                <w:sz w:val="15"/>
                <w:szCs w:val="15"/>
              </w:rPr>
              <w:t>(74.902)</w:t>
            </w:r>
          </w:p>
        </w:tc>
        <w:tc>
          <w:tcPr>
            <w:tcW w:w="1440" w:type="dxa"/>
            <w:tcBorders>
              <w:top w:val="nil"/>
              <w:left w:val="nil"/>
              <w:bottom w:val="nil"/>
              <w:right w:val="single" w:sz="4" w:space="0" w:color="auto"/>
            </w:tcBorders>
            <w:vAlign w:val="center"/>
          </w:tcPr>
          <w:p w14:paraId="458C0A75" w14:textId="77777777" w:rsidR="000C35AF" w:rsidRPr="00D72219" w:rsidRDefault="000C35AF" w:rsidP="009238AE">
            <w:pPr>
              <w:pStyle w:val="Regresjonstabell"/>
              <w:jc w:val="right"/>
              <w:rPr>
                <w:color w:val="000000"/>
                <w:sz w:val="15"/>
                <w:szCs w:val="15"/>
              </w:rPr>
            </w:pPr>
            <w:r w:rsidRPr="00D72219">
              <w:rPr>
                <w:color w:val="000000"/>
                <w:sz w:val="15"/>
                <w:szCs w:val="15"/>
              </w:rPr>
              <w:t>(86.749)</w:t>
            </w:r>
          </w:p>
        </w:tc>
      </w:tr>
      <w:tr w:rsidR="000C35AF" w:rsidRPr="0055149C" w14:paraId="655B9A49"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69A9D0CC" w14:textId="77777777" w:rsidR="000C35AF" w:rsidRPr="0055149C" w:rsidRDefault="000C35AF" w:rsidP="009238AE">
            <w:pPr>
              <w:pStyle w:val="Regresjonstabell"/>
              <w:rPr>
                <w:color w:val="000000"/>
                <w:sz w:val="15"/>
                <w:szCs w:val="15"/>
              </w:rPr>
            </w:pPr>
            <w:r w:rsidRPr="0055149C">
              <w:rPr>
                <w:color w:val="000000"/>
                <w:sz w:val="15"/>
                <w:szCs w:val="15"/>
              </w:rPr>
              <w:t>Gradert basiskriterium</w:t>
            </w:r>
          </w:p>
        </w:tc>
        <w:tc>
          <w:tcPr>
            <w:tcW w:w="1393" w:type="dxa"/>
            <w:tcBorders>
              <w:top w:val="nil"/>
              <w:left w:val="single" w:sz="4" w:space="0" w:color="auto"/>
              <w:bottom w:val="nil"/>
              <w:right w:val="nil"/>
            </w:tcBorders>
            <w:vAlign w:val="bottom"/>
          </w:tcPr>
          <w:p w14:paraId="32BC10EE" w14:textId="77777777" w:rsidR="000C35AF" w:rsidRPr="00D72219" w:rsidRDefault="000C35AF" w:rsidP="009238AE">
            <w:pPr>
              <w:pStyle w:val="Regresjonstabell"/>
              <w:jc w:val="right"/>
              <w:rPr>
                <w:sz w:val="15"/>
                <w:szCs w:val="15"/>
              </w:rPr>
            </w:pPr>
            <w:r w:rsidRPr="00D72219">
              <w:rPr>
                <w:color w:val="000000"/>
                <w:sz w:val="15"/>
                <w:szCs w:val="15"/>
              </w:rPr>
              <w:t>970.056</w:t>
            </w:r>
          </w:p>
        </w:tc>
        <w:tc>
          <w:tcPr>
            <w:tcW w:w="1393" w:type="dxa"/>
            <w:tcBorders>
              <w:top w:val="nil"/>
              <w:left w:val="nil"/>
              <w:bottom w:val="nil"/>
              <w:right w:val="nil"/>
            </w:tcBorders>
            <w:vAlign w:val="bottom"/>
          </w:tcPr>
          <w:p w14:paraId="73E246BC" w14:textId="77777777" w:rsidR="000C35AF" w:rsidRPr="00D72219" w:rsidRDefault="000C35AF" w:rsidP="009238AE">
            <w:pPr>
              <w:pStyle w:val="Regresjonstabell"/>
              <w:jc w:val="right"/>
              <w:rPr>
                <w:color w:val="000000"/>
                <w:sz w:val="15"/>
                <w:szCs w:val="15"/>
              </w:rPr>
            </w:pPr>
            <w:r w:rsidRPr="00D72219">
              <w:rPr>
                <w:color w:val="000000"/>
                <w:sz w:val="15"/>
                <w:szCs w:val="15"/>
              </w:rPr>
              <w:t>1,355.723</w:t>
            </w:r>
          </w:p>
        </w:tc>
        <w:tc>
          <w:tcPr>
            <w:tcW w:w="1393" w:type="dxa"/>
            <w:tcBorders>
              <w:top w:val="nil"/>
              <w:left w:val="nil"/>
              <w:bottom w:val="nil"/>
              <w:right w:val="nil"/>
            </w:tcBorders>
            <w:vAlign w:val="bottom"/>
          </w:tcPr>
          <w:p w14:paraId="4AC0970D" w14:textId="77777777" w:rsidR="000C35AF" w:rsidRPr="00D72219" w:rsidRDefault="000C35AF" w:rsidP="009238AE">
            <w:pPr>
              <w:pStyle w:val="Regresjonstabell"/>
              <w:jc w:val="right"/>
              <w:rPr>
                <w:sz w:val="15"/>
                <w:szCs w:val="15"/>
              </w:rPr>
            </w:pPr>
            <w:r w:rsidRPr="00D72219">
              <w:rPr>
                <w:color w:val="000000"/>
                <w:sz w:val="15"/>
                <w:szCs w:val="15"/>
              </w:rPr>
              <w:t>1,722.258</w:t>
            </w:r>
          </w:p>
        </w:tc>
        <w:tc>
          <w:tcPr>
            <w:tcW w:w="1393" w:type="dxa"/>
            <w:tcBorders>
              <w:top w:val="nil"/>
              <w:left w:val="nil"/>
              <w:bottom w:val="nil"/>
              <w:right w:val="nil"/>
            </w:tcBorders>
            <w:vAlign w:val="bottom"/>
          </w:tcPr>
          <w:p w14:paraId="596FB832" w14:textId="77777777" w:rsidR="000C35AF" w:rsidRPr="00D72219" w:rsidRDefault="000C35AF" w:rsidP="009238AE">
            <w:pPr>
              <w:pStyle w:val="Regresjonstabell"/>
              <w:jc w:val="right"/>
              <w:rPr>
                <w:color w:val="000000"/>
                <w:sz w:val="15"/>
                <w:szCs w:val="15"/>
              </w:rPr>
            </w:pPr>
            <w:r w:rsidRPr="00D72219">
              <w:rPr>
                <w:color w:val="000000"/>
                <w:sz w:val="15"/>
                <w:szCs w:val="15"/>
              </w:rPr>
              <w:t>2,179.404</w:t>
            </w:r>
          </w:p>
        </w:tc>
        <w:tc>
          <w:tcPr>
            <w:tcW w:w="1440" w:type="dxa"/>
            <w:tcBorders>
              <w:top w:val="nil"/>
              <w:left w:val="nil"/>
              <w:bottom w:val="nil"/>
              <w:right w:val="nil"/>
            </w:tcBorders>
            <w:vAlign w:val="bottom"/>
          </w:tcPr>
          <w:p w14:paraId="2DFA3447" w14:textId="77777777" w:rsidR="000C35AF" w:rsidRPr="00D72219" w:rsidRDefault="000C35AF" w:rsidP="009238AE">
            <w:pPr>
              <w:pStyle w:val="Regresjonstabell"/>
              <w:jc w:val="right"/>
              <w:rPr>
                <w:sz w:val="15"/>
                <w:szCs w:val="15"/>
              </w:rPr>
            </w:pPr>
            <w:r w:rsidRPr="00D72219">
              <w:rPr>
                <w:color w:val="000000"/>
                <w:sz w:val="15"/>
                <w:szCs w:val="15"/>
              </w:rPr>
              <w:t>1,975.147</w:t>
            </w:r>
          </w:p>
        </w:tc>
        <w:tc>
          <w:tcPr>
            <w:tcW w:w="1393" w:type="dxa"/>
            <w:tcBorders>
              <w:top w:val="nil"/>
              <w:left w:val="nil"/>
              <w:bottom w:val="nil"/>
              <w:right w:val="nil"/>
            </w:tcBorders>
            <w:vAlign w:val="bottom"/>
          </w:tcPr>
          <w:p w14:paraId="72B440A9" w14:textId="77777777" w:rsidR="000C35AF" w:rsidRPr="00D72219" w:rsidRDefault="000C35AF" w:rsidP="009238AE">
            <w:pPr>
              <w:pStyle w:val="Regresjonstabell"/>
              <w:jc w:val="right"/>
              <w:rPr>
                <w:color w:val="000000"/>
                <w:sz w:val="15"/>
                <w:szCs w:val="15"/>
              </w:rPr>
            </w:pPr>
            <w:r w:rsidRPr="00D72219">
              <w:rPr>
                <w:color w:val="000000"/>
                <w:sz w:val="15"/>
                <w:szCs w:val="15"/>
              </w:rPr>
              <w:t>2,462.987</w:t>
            </w:r>
          </w:p>
        </w:tc>
        <w:tc>
          <w:tcPr>
            <w:tcW w:w="1440" w:type="dxa"/>
            <w:tcBorders>
              <w:top w:val="nil"/>
              <w:left w:val="nil"/>
              <w:bottom w:val="nil"/>
              <w:right w:val="nil"/>
            </w:tcBorders>
            <w:vAlign w:val="bottom"/>
          </w:tcPr>
          <w:p w14:paraId="08218E6E" w14:textId="77777777" w:rsidR="000C35AF" w:rsidRPr="00D72219" w:rsidRDefault="000C35AF" w:rsidP="009238AE">
            <w:pPr>
              <w:pStyle w:val="Regresjonstabell"/>
              <w:jc w:val="right"/>
              <w:rPr>
                <w:sz w:val="15"/>
                <w:szCs w:val="15"/>
              </w:rPr>
            </w:pPr>
            <w:r w:rsidRPr="00D72219">
              <w:rPr>
                <w:color w:val="000000"/>
                <w:sz w:val="15"/>
                <w:szCs w:val="15"/>
              </w:rPr>
              <w:t>2,346.546</w:t>
            </w:r>
          </w:p>
        </w:tc>
        <w:tc>
          <w:tcPr>
            <w:tcW w:w="1440" w:type="dxa"/>
            <w:tcBorders>
              <w:top w:val="nil"/>
              <w:left w:val="nil"/>
              <w:bottom w:val="nil"/>
              <w:right w:val="single" w:sz="4" w:space="0" w:color="auto"/>
            </w:tcBorders>
            <w:vAlign w:val="bottom"/>
          </w:tcPr>
          <w:p w14:paraId="0A61CF55" w14:textId="77777777" w:rsidR="000C35AF" w:rsidRPr="00D72219" w:rsidRDefault="000C35AF" w:rsidP="009238AE">
            <w:pPr>
              <w:pStyle w:val="Regresjonstabell"/>
              <w:jc w:val="right"/>
              <w:rPr>
                <w:color w:val="000000"/>
                <w:sz w:val="15"/>
                <w:szCs w:val="15"/>
              </w:rPr>
            </w:pPr>
            <w:r w:rsidRPr="00D72219">
              <w:rPr>
                <w:color w:val="000000"/>
                <w:sz w:val="15"/>
                <w:szCs w:val="15"/>
              </w:rPr>
              <w:t>2,719.119</w:t>
            </w:r>
          </w:p>
        </w:tc>
      </w:tr>
      <w:tr w:rsidR="000C35AF" w:rsidRPr="0055149C" w14:paraId="6F0B9A6A"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063ADB62" w14:textId="77777777" w:rsidR="000C35AF" w:rsidRPr="0055149C" w:rsidRDefault="000C35AF" w:rsidP="009238AE">
            <w:pPr>
              <w:pStyle w:val="Regresjonstabell"/>
              <w:rPr>
                <w:color w:val="000000"/>
                <w:sz w:val="15"/>
                <w:szCs w:val="15"/>
              </w:rPr>
            </w:pPr>
            <w:r w:rsidRPr="0055149C">
              <w:rPr>
                <w:sz w:val="15"/>
                <w:szCs w:val="15"/>
              </w:rPr>
              <w:t>(Kriterium 12)</w:t>
            </w:r>
          </w:p>
        </w:tc>
        <w:tc>
          <w:tcPr>
            <w:tcW w:w="1393" w:type="dxa"/>
            <w:tcBorders>
              <w:top w:val="nil"/>
              <w:left w:val="single" w:sz="4" w:space="0" w:color="auto"/>
              <w:bottom w:val="nil"/>
              <w:right w:val="nil"/>
            </w:tcBorders>
            <w:vAlign w:val="center"/>
          </w:tcPr>
          <w:p w14:paraId="1AFEF18E" w14:textId="77777777" w:rsidR="000C35AF" w:rsidRPr="00D72219" w:rsidRDefault="000C35AF" w:rsidP="009238AE">
            <w:pPr>
              <w:pStyle w:val="Regresjonstabell"/>
              <w:jc w:val="right"/>
              <w:rPr>
                <w:sz w:val="15"/>
                <w:szCs w:val="15"/>
              </w:rPr>
            </w:pPr>
            <w:r w:rsidRPr="00D72219">
              <w:rPr>
                <w:color w:val="000000"/>
                <w:sz w:val="15"/>
                <w:szCs w:val="15"/>
              </w:rPr>
              <w:t>(2,779.632)</w:t>
            </w:r>
          </w:p>
        </w:tc>
        <w:tc>
          <w:tcPr>
            <w:tcW w:w="1393" w:type="dxa"/>
            <w:tcBorders>
              <w:top w:val="nil"/>
              <w:left w:val="nil"/>
              <w:bottom w:val="nil"/>
              <w:right w:val="nil"/>
            </w:tcBorders>
            <w:vAlign w:val="center"/>
          </w:tcPr>
          <w:p w14:paraId="41859BD8" w14:textId="77777777" w:rsidR="000C35AF" w:rsidRPr="00D72219" w:rsidRDefault="000C35AF" w:rsidP="009238AE">
            <w:pPr>
              <w:pStyle w:val="Regresjonstabell"/>
              <w:jc w:val="right"/>
              <w:rPr>
                <w:color w:val="000000"/>
                <w:sz w:val="15"/>
                <w:szCs w:val="15"/>
              </w:rPr>
            </w:pPr>
            <w:r w:rsidRPr="00D72219">
              <w:rPr>
                <w:color w:val="000000"/>
                <w:sz w:val="15"/>
                <w:szCs w:val="15"/>
              </w:rPr>
              <w:t>(2,794.698)</w:t>
            </w:r>
          </w:p>
        </w:tc>
        <w:tc>
          <w:tcPr>
            <w:tcW w:w="1393" w:type="dxa"/>
            <w:tcBorders>
              <w:top w:val="nil"/>
              <w:left w:val="nil"/>
              <w:bottom w:val="nil"/>
              <w:right w:val="nil"/>
            </w:tcBorders>
            <w:vAlign w:val="center"/>
          </w:tcPr>
          <w:p w14:paraId="3DB87D58" w14:textId="77777777" w:rsidR="000C35AF" w:rsidRPr="00D72219" w:rsidRDefault="000C35AF" w:rsidP="009238AE">
            <w:pPr>
              <w:pStyle w:val="Regresjonstabell"/>
              <w:jc w:val="right"/>
              <w:rPr>
                <w:sz w:val="15"/>
                <w:szCs w:val="15"/>
              </w:rPr>
            </w:pPr>
            <w:r w:rsidRPr="00D72219">
              <w:rPr>
                <w:color w:val="000000"/>
                <w:sz w:val="15"/>
                <w:szCs w:val="15"/>
              </w:rPr>
              <w:t>(2,974.270)</w:t>
            </w:r>
          </w:p>
        </w:tc>
        <w:tc>
          <w:tcPr>
            <w:tcW w:w="1393" w:type="dxa"/>
            <w:tcBorders>
              <w:top w:val="nil"/>
              <w:left w:val="nil"/>
              <w:bottom w:val="nil"/>
              <w:right w:val="nil"/>
            </w:tcBorders>
            <w:vAlign w:val="center"/>
          </w:tcPr>
          <w:p w14:paraId="69AD6492" w14:textId="77777777" w:rsidR="000C35AF" w:rsidRPr="00D72219" w:rsidRDefault="000C35AF" w:rsidP="009238AE">
            <w:pPr>
              <w:pStyle w:val="Regresjonstabell"/>
              <w:jc w:val="right"/>
              <w:rPr>
                <w:color w:val="000000"/>
                <w:sz w:val="15"/>
                <w:szCs w:val="15"/>
              </w:rPr>
            </w:pPr>
            <w:r w:rsidRPr="00D72219">
              <w:rPr>
                <w:color w:val="000000"/>
                <w:sz w:val="15"/>
                <w:szCs w:val="15"/>
              </w:rPr>
              <w:t>(3,179.384)</w:t>
            </w:r>
          </w:p>
        </w:tc>
        <w:tc>
          <w:tcPr>
            <w:tcW w:w="1440" w:type="dxa"/>
            <w:tcBorders>
              <w:top w:val="nil"/>
              <w:left w:val="nil"/>
              <w:bottom w:val="nil"/>
              <w:right w:val="nil"/>
            </w:tcBorders>
            <w:vAlign w:val="center"/>
          </w:tcPr>
          <w:p w14:paraId="3BF81972" w14:textId="77777777" w:rsidR="000C35AF" w:rsidRPr="00D72219" w:rsidRDefault="000C35AF" w:rsidP="009238AE">
            <w:pPr>
              <w:pStyle w:val="Regresjonstabell"/>
              <w:jc w:val="right"/>
              <w:rPr>
                <w:sz w:val="15"/>
                <w:szCs w:val="15"/>
              </w:rPr>
            </w:pPr>
            <w:r w:rsidRPr="00D72219">
              <w:rPr>
                <w:color w:val="000000"/>
                <w:sz w:val="15"/>
                <w:szCs w:val="15"/>
              </w:rPr>
              <w:t>(3,196.135)</w:t>
            </w:r>
          </w:p>
        </w:tc>
        <w:tc>
          <w:tcPr>
            <w:tcW w:w="1393" w:type="dxa"/>
            <w:tcBorders>
              <w:top w:val="nil"/>
              <w:left w:val="nil"/>
              <w:bottom w:val="nil"/>
              <w:right w:val="nil"/>
            </w:tcBorders>
            <w:vAlign w:val="center"/>
          </w:tcPr>
          <w:p w14:paraId="37F4ED2D" w14:textId="77777777" w:rsidR="000C35AF" w:rsidRPr="00D72219" w:rsidRDefault="000C35AF" w:rsidP="009238AE">
            <w:pPr>
              <w:pStyle w:val="Regresjonstabell"/>
              <w:jc w:val="right"/>
              <w:rPr>
                <w:color w:val="000000"/>
                <w:sz w:val="15"/>
                <w:szCs w:val="15"/>
              </w:rPr>
            </w:pPr>
            <w:r w:rsidRPr="00D72219">
              <w:rPr>
                <w:color w:val="000000"/>
                <w:sz w:val="15"/>
                <w:szCs w:val="15"/>
              </w:rPr>
              <w:t>(3,264.459)</w:t>
            </w:r>
          </w:p>
        </w:tc>
        <w:tc>
          <w:tcPr>
            <w:tcW w:w="1440" w:type="dxa"/>
            <w:tcBorders>
              <w:top w:val="nil"/>
              <w:left w:val="nil"/>
              <w:bottom w:val="nil"/>
              <w:right w:val="nil"/>
            </w:tcBorders>
            <w:vAlign w:val="center"/>
          </w:tcPr>
          <w:p w14:paraId="4A3BAB1E" w14:textId="77777777" w:rsidR="000C35AF" w:rsidRPr="00D72219" w:rsidRDefault="000C35AF" w:rsidP="009238AE">
            <w:pPr>
              <w:pStyle w:val="Regresjonstabell"/>
              <w:jc w:val="right"/>
              <w:rPr>
                <w:sz w:val="15"/>
                <w:szCs w:val="15"/>
              </w:rPr>
            </w:pPr>
            <w:r w:rsidRPr="00D72219">
              <w:rPr>
                <w:color w:val="000000"/>
                <w:sz w:val="15"/>
                <w:szCs w:val="15"/>
              </w:rPr>
              <w:t>(3,468.756)</w:t>
            </w:r>
          </w:p>
        </w:tc>
        <w:tc>
          <w:tcPr>
            <w:tcW w:w="1440" w:type="dxa"/>
            <w:tcBorders>
              <w:top w:val="nil"/>
              <w:left w:val="nil"/>
              <w:bottom w:val="nil"/>
              <w:right w:val="single" w:sz="4" w:space="0" w:color="auto"/>
            </w:tcBorders>
            <w:vAlign w:val="center"/>
          </w:tcPr>
          <w:p w14:paraId="6E207A95" w14:textId="77777777" w:rsidR="000C35AF" w:rsidRPr="00D72219" w:rsidRDefault="000C35AF" w:rsidP="009238AE">
            <w:pPr>
              <w:pStyle w:val="Regresjonstabell"/>
              <w:jc w:val="right"/>
              <w:rPr>
                <w:color w:val="000000"/>
                <w:sz w:val="15"/>
                <w:szCs w:val="15"/>
              </w:rPr>
            </w:pPr>
            <w:r w:rsidRPr="00D72219">
              <w:rPr>
                <w:color w:val="000000"/>
                <w:sz w:val="15"/>
                <w:szCs w:val="15"/>
              </w:rPr>
              <w:t>(3,853.588)</w:t>
            </w:r>
          </w:p>
        </w:tc>
      </w:tr>
      <w:tr w:rsidR="000C35AF" w:rsidRPr="0055149C" w14:paraId="3C40B064"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2B2FD11D" w14:textId="77777777" w:rsidR="000C35AF" w:rsidRPr="0055149C" w:rsidRDefault="000C35AF" w:rsidP="009238AE">
            <w:pPr>
              <w:pStyle w:val="Regresjonstabell"/>
              <w:rPr>
                <w:color w:val="000000"/>
                <w:sz w:val="15"/>
                <w:szCs w:val="15"/>
              </w:rPr>
            </w:pPr>
            <w:r w:rsidRPr="0055149C">
              <w:rPr>
                <w:sz w:val="15"/>
                <w:szCs w:val="15"/>
              </w:rPr>
              <w:t>Reiseavstand innen sone</w:t>
            </w:r>
          </w:p>
        </w:tc>
        <w:tc>
          <w:tcPr>
            <w:tcW w:w="1393" w:type="dxa"/>
            <w:tcBorders>
              <w:top w:val="nil"/>
              <w:left w:val="single" w:sz="4" w:space="0" w:color="auto"/>
              <w:bottom w:val="nil"/>
              <w:right w:val="nil"/>
            </w:tcBorders>
            <w:vAlign w:val="bottom"/>
          </w:tcPr>
          <w:p w14:paraId="64762212" w14:textId="77777777" w:rsidR="000C35AF" w:rsidRPr="00D72219" w:rsidRDefault="000C35AF" w:rsidP="009238AE">
            <w:pPr>
              <w:pStyle w:val="Regresjonstabell"/>
              <w:jc w:val="right"/>
              <w:rPr>
                <w:sz w:val="15"/>
                <w:szCs w:val="15"/>
              </w:rPr>
            </w:pPr>
            <w:r w:rsidRPr="00D72219">
              <w:rPr>
                <w:color w:val="000000"/>
                <w:sz w:val="15"/>
                <w:szCs w:val="15"/>
              </w:rPr>
              <w:t>0.032</w:t>
            </w:r>
          </w:p>
        </w:tc>
        <w:tc>
          <w:tcPr>
            <w:tcW w:w="1393" w:type="dxa"/>
            <w:tcBorders>
              <w:top w:val="nil"/>
              <w:left w:val="nil"/>
              <w:bottom w:val="nil"/>
              <w:right w:val="nil"/>
            </w:tcBorders>
            <w:vAlign w:val="bottom"/>
          </w:tcPr>
          <w:p w14:paraId="2305F2E5" w14:textId="77777777" w:rsidR="000C35AF" w:rsidRPr="00D72219" w:rsidRDefault="000C35AF" w:rsidP="009238AE">
            <w:pPr>
              <w:pStyle w:val="Regresjonstabell"/>
              <w:jc w:val="right"/>
              <w:rPr>
                <w:color w:val="000000"/>
                <w:sz w:val="15"/>
                <w:szCs w:val="15"/>
              </w:rPr>
            </w:pPr>
            <w:r w:rsidRPr="00D72219">
              <w:rPr>
                <w:color w:val="000000"/>
                <w:sz w:val="15"/>
                <w:szCs w:val="15"/>
              </w:rPr>
              <w:t>0.049</w:t>
            </w:r>
          </w:p>
        </w:tc>
        <w:tc>
          <w:tcPr>
            <w:tcW w:w="1393" w:type="dxa"/>
            <w:tcBorders>
              <w:top w:val="nil"/>
              <w:left w:val="nil"/>
              <w:bottom w:val="nil"/>
              <w:right w:val="nil"/>
            </w:tcBorders>
            <w:vAlign w:val="bottom"/>
          </w:tcPr>
          <w:p w14:paraId="3643F350" w14:textId="77777777" w:rsidR="000C35AF" w:rsidRPr="00D72219" w:rsidRDefault="000C35AF" w:rsidP="009238AE">
            <w:pPr>
              <w:pStyle w:val="Regresjonstabell"/>
              <w:jc w:val="right"/>
              <w:rPr>
                <w:sz w:val="15"/>
                <w:szCs w:val="15"/>
              </w:rPr>
            </w:pPr>
            <w:r w:rsidRPr="00D72219">
              <w:rPr>
                <w:color w:val="000000"/>
                <w:sz w:val="15"/>
                <w:szCs w:val="15"/>
              </w:rPr>
              <w:t>0.062</w:t>
            </w:r>
          </w:p>
        </w:tc>
        <w:tc>
          <w:tcPr>
            <w:tcW w:w="1393" w:type="dxa"/>
            <w:tcBorders>
              <w:top w:val="nil"/>
              <w:left w:val="nil"/>
              <w:bottom w:val="nil"/>
              <w:right w:val="nil"/>
            </w:tcBorders>
            <w:vAlign w:val="bottom"/>
          </w:tcPr>
          <w:p w14:paraId="67DA1FC6" w14:textId="77777777" w:rsidR="000C35AF" w:rsidRPr="00D72219" w:rsidRDefault="000C35AF" w:rsidP="009238AE">
            <w:pPr>
              <w:pStyle w:val="Regresjonstabell"/>
              <w:jc w:val="right"/>
              <w:rPr>
                <w:color w:val="000000"/>
                <w:sz w:val="15"/>
                <w:szCs w:val="15"/>
              </w:rPr>
            </w:pPr>
            <w:r w:rsidRPr="00D72219">
              <w:rPr>
                <w:color w:val="000000"/>
                <w:sz w:val="15"/>
                <w:szCs w:val="15"/>
              </w:rPr>
              <w:t>0.079</w:t>
            </w:r>
          </w:p>
        </w:tc>
        <w:tc>
          <w:tcPr>
            <w:tcW w:w="1440" w:type="dxa"/>
            <w:tcBorders>
              <w:top w:val="nil"/>
              <w:left w:val="nil"/>
              <w:bottom w:val="nil"/>
              <w:right w:val="nil"/>
            </w:tcBorders>
            <w:vAlign w:val="bottom"/>
          </w:tcPr>
          <w:p w14:paraId="3601D55C" w14:textId="77777777" w:rsidR="000C35AF" w:rsidRPr="00D72219" w:rsidRDefault="000C35AF" w:rsidP="009238AE">
            <w:pPr>
              <w:pStyle w:val="Regresjonstabell"/>
              <w:jc w:val="right"/>
              <w:rPr>
                <w:sz w:val="15"/>
                <w:szCs w:val="15"/>
              </w:rPr>
            </w:pPr>
            <w:r w:rsidRPr="00D72219">
              <w:rPr>
                <w:color w:val="000000"/>
                <w:sz w:val="15"/>
                <w:szCs w:val="15"/>
              </w:rPr>
              <w:t>0.050</w:t>
            </w:r>
          </w:p>
        </w:tc>
        <w:tc>
          <w:tcPr>
            <w:tcW w:w="1393" w:type="dxa"/>
            <w:tcBorders>
              <w:top w:val="nil"/>
              <w:left w:val="nil"/>
              <w:bottom w:val="nil"/>
              <w:right w:val="nil"/>
            </w:tcBorders>
            <w:vAlign w:val="bottom"/>
          </w:tcPr>
          <w:p w14:paraId="7F62E982" w14:textId="77777777" w:rsidR="000C35AF" w:rsidRPr="00D72219" w:rsidRDefault="000C35AF" w:rsidP="009238AE">
            <w:pPr>
              <w:pStyle w:val="Regresjonstabell"/>
              <w:jc w:val="right"/>
              <w:rPr>
                <w:color w:val="000000"/>
                <w:sz w:val="15"/>
                <w:szCs w:val="15"/>
              </w:rPr>
            </w:pPr>
            <w:r w:rsidRPr="00D72219">
              <w:rPr>
                <w:color w:val="000000"/>
                <w:sz w:val="15"/>
                <w:szCs w:val="15"/>
              </w:rPr>
              <w:t>0.065</w:t>
            </w:r>
          </w:p>
        </w:tc>
        <w:tc>
          <w:tcPr>
            <w:tcW w:w="1440" w:type="dxa"/>
            <w:tcBorders>
              <w:top w:val="nil"/>
              <w:left w:val="nil"/>
              <w:bottom w:val="nil"/>
              <w:right w:val="nil"/>
            </w:tcBorders>
            <w:vAlign w:val="bottom"/>
          </w:tcPr>
          <w:p w14:paraId="10A51E2F" w14:textId="77777777" w:rsidR="000C35AF" w:rsidRPr="00D72219" w:rsidRDefault="000C35AF" w:rsidP="009238AE">
            <w:pPr>
              <w:pStyle w:val="Regresjonstabell"/>
              <w:jc w:val="right"/>
              <w:rPr>
                <w:sz w:val="15"/>
                <w:szCs w:val="15"/>
              </w:rPr>
            </w:pPr>
            <w:r w:rsidRPr="00D72219">
              <w:rPr>
                <w:color w:val="000000"/>
                <w:sz w:val="15"/>
                <w:szCs w:val="15"/>
              </w:rPr>
              <w:t>0.055</w:t>
            </w:r>
          </w:p>
        </w:tc>
        <w:tc>
          <w:tcPr>
            <w:tcW w:w="1440" w:type="dxa"/>
            <w:tcBorders>
              <w:top w:val="nil"/>
              <w:left w:val="nil"/>
              <w:bottom w:val="nil"/>
              <w:right w:val="single" w:sz="4" w:space="0" w:color="auto"/>
            </w:tcBorders>
            <w:vAlign w:val="bottom"/>
          </w:tcPr>
          <w:p w14:paraId="2983B197" w14:textId="77777777" w:rsidR="000C35AF" w:rsidRPr="00D72219" w:rsidRDefault="000C35AF" w:rsidP="009238AE">
            <w:pPr>
              <w:pStyle w:val="Regresjonstabell"/>
              <w:jc w:val="right"/>
              <w:rPr>
                <w:color w:val="000000"/>
                <w:sz w:val="15"/>
                <w:szCs w:val="15"/>
              </w:rPr>
            </w:pPr>
            <w:r w:rsidRPr="00D72219">
              <w:rPr>
                <w:color w:val="000000"/>
                <w:sz w:val="15"/>
                <w:szCs w:val="15"/>
              </w:rPr>
              <w:t>0.059</w:t>
            </w:r>
          </w:p>
        </w:tc>
      </w:tr>
      <w:tr w:rsidR="000C35AF" w:rsidRPr="0055149C" w14:paraId="3C29A7F6"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18BBD18F" w14:textId="77777777" w:rsidR="000C35AF" w:rsidRPr="0055149C" w:rsidRDefault="000C35AF" w:rsidP="009238AE">
            <w:pPr>
              <w:pStyle w:val="Regresjonstabell"/>
              <w:rPr>
                <w:color w:val="000000"/>
                <w:sz w:val="15"/>
                <w:szCs w:val="15"/>
              </w:rPr>
            </w:pPr>
            <w:r w:rsidRPr="0055149C">
              <w:rPr>
                <w:color w:val="000000"/>
                <w:sz w:val="15"/>
                <w:szCs w:val="15"/>
              </w:rPr>
              <w:t>(Kriterium 13)</w:t>
            </w:r>
          </w:p>
        </w:tc>
        <w:tc>
          <w:tcPr>
            <w:tcW w:w="1393" w:type="dxa"/>
            <w:tcBorders>
              <w:top w:val="nil"/>
              <w:left w:val="single" w:sz="4" w:space="0" w:color="auto"/>
              <w:bottom w:val="nil"/>
              <w:right w:val="nil"/>
            </w:tcBorders>
            <w:vAlign w:val="center"/>
          </w:tcPr>
          <w:p w14:paraId="78631DA2" w14:textId="77777777" w:rsidR="000C35AF" w:rsidRPr="00D72219" w:rsidRDefault="000C35AF" w:rsidP="009238AE">
            <w:pPr>
              <w:pStyle w:val="Regresjonstabell"/>
              <w:jc w:val="right"/>
              <w:rPr>
                <w:sz w:val="15"/>
                <w:szCs w:val="15"/>
              </w:rPr>
            </w:pPr>
            <w:r w:rsidRPr="00D72219">
              <w:rPr>
                <w:color w:val="000000"/>
                <w:sz w:val="15"/>
                <w:szCs w:val="15"/>
              </w:rPr>
              <w:t>(0.069)</w:t>
            </w:r>
          </w:p>
        </w:tc>
        <w:tc>
          <w:tcPr>
            <w:tcW w:w="1393" w:type="dxa"/>
            <w:tcBorders>
              <w:top w:val="nil"/>
              <w:left w:val="nil"/>
              <w:bottom w:val="nil"/>
              <w:right w:val="nil"/>
            </w:tcBorders>
            <w:vAlign w:val="center"/>
          </w:tcPr>
          <w:p w14:paraId="0D74C305" w14:textId="77777777" w:rsidR="000C35AF" w:rsidRPr="00D72219" w:rsidRDefault="000C35AF" w:rsidP="009238AE">
            <w:pPr>
              <w:pStyle w:val="Regresjonstabell"/>
              <w:jc w:val="right"/>
              <w:rPr>
                <w:color w:val="000000"/>
                <w:sz w:val="15"/>
                <w:szCs w:val="15"/>
              </w:rPr>
            </w:pPr>
            <w:r w:rsidRPr="00D72219">
              <w:rPr>
                <w:color w:val="000000"/>
                <w:sz w:val="15"/>
                <w:szCs w:val="15"/>
              </w:rPr>
              <w:t>(0.071)</w:t>
            </w:r>
          </w:p>
        </w:tc>
        <w:tc>
          <w:tcPr>
            <w:tcW w:w="1393" w:type="dxa"/>
            <w:tcBorders>
              <w:top w:val="nil"/>
              <w:left w:val="nil"/>
              <w:bottom w:val="nil"/>
              <w:right w:val="nil"/>
            </w:tcBorders>
            <w:vAlign w:val="center"/>
          </w:tcPr>
          <w:p w14:paraId="536A5156" w14:textId="77777777" w:rsidR="000C35AF" w:rsidRPr="00D72219" w:rsidRDefault="000C35AF" w:rsidP="009238AE">
            <w:pPr>
              <w:pStyle w:val="Regresjonstabell"/>
              <w:jc w:val="right"/>
              <w:rPr>
                <w:sz w:val="15"/>
                <w:szCs w:val="15"/>
              </w:rPr>
            </w:pPr>
            <w:r w:rsidRPr="00D72219">
              <w:rPr>
                <w:color w:val="000000"/>
                <w:sz w:val="15"/>
                <w:szCs w:val="15"/>
              </w:rPr>
              <w:t>(0.077)</w:t>
            </w:r>
          </w:p>
        </w:tc>
        <w:tc>
          <w:tcPr>
            <w:tcW w:w="1393" w:type="dxa"/>
            <w:tcBorders>
              <w:top w:val="nil"/>
              <w:left w:val="nil"/>
              <w:bottom w:val="nil"/>
              <w:right w:val="nil"/>
            </w:tcBorders>
            <w:vAlign w:val="center"/>
          </w:tcPr>
          <w:p w14:paraId="30BF24C3" w14:textId="77777777" w:rsidR="000C35AF" w:rsidRPr="00D72219" w:rsidRDefault="000C35AF" w:rsidP="009238AE">
            <w:pPr>
              <w:pStyle w:val="Regresjonstabell"/>
              <w:jc w:val="right"/>
              <w:rPr>
                <w:color w:val="000000"/>
                <w:sz w:val="15"/>
                <w:szCs w:val="15"/>
              </w:rPr>
            </w:pPr>
            <w:r w:rsidRPr="00D72219">
              <w:rPr>
                <w:color w:val="000000"/>
                <w:sz w:val="15"/>
                <w:szCs w:val="15"/>
              </w:rPr>
              <w:t>(0.087)</w:t>
            </w:r>
          </w:p>
        </w:tc>
        <w:tc>
          <w:tcPr>
            <w:tcW w:w="1440" w:type="dxa"/>
            <w:tcBorders>
              <w:top w:val="nil"/>
              <w:left w:val="nil"/>
              <w:bottom w:val="nil"/>
              <w:right w:val="nil"/>
            </w:tcBorders>
            <w:vAlign w:val="center"/>
          </w:tcPr>
          <w:p w14:paraId="2FF2227C" w14:textId="77777777" w:rsidR="000C35AF" w:rsidRPr="00D72219" w:rsidRDefault="000C35AF" w:rsidP="009238AE">
            <w:pPr>
              <w:pStyle w:val="Regresjonstabell"/>
              <w:jc w:val="right"/>
              <w:rPr>
                <w:sz w:val="15"/>
                <w:szCs w:val="15"/>
              </w:rPr>
            </w:pPr>
            <w:r w:rsidRPr="00D72219">
              <w:rPr>
                <w:color w:val="000000"/>
                <w:sz w:val="15"/>
                <w:szCs w:val="15"/>
              </w:rPr>
              <w:t>(0.086)</w:t>
            </w:r>
          </w:p>
        </w:tc>
        <w:tc>
          <w:tcPr>
            <w:tcW w:w="1393" w:type="dxa"/>
            <w:tcBorders>
              <w:top w:val="nil"/>
              <w:left w:val="nil"/>
              <w:bottom w:val="nil"/>
              <w:right w:val="nil"/>
            </w:tcBorders>
            <w:vAlign w:val="center"/>
          </w:tcPr>
          <w:p w14:paraId="7721BA1F" w14:textId="77777777" w:rsidR="000C35AF" w:rsidRPr="00D72219" w:rsidRDefault="000C35AF" w:rsidP="009238AE">
            <w:pPr>
              <w:pStyle w:val="Regresjonstabell"/>
              <w:jc w:val="right"/>
              <w:rPr>
                <w:color w:val="000000"/>
                <w:sz w:val="15"/>
                <w:szCs w:val="15"/>
              </w:rPr>
            </w:pPr>
            <w:r w:rsidRPr="00D72219">
              <w:rPr>
                <w:color w:val="000000"/>
                <w:sz w:val="15"/>
                <w:szCs w:val="15"/>
              </w:rPr>
              <w:t>(0.085)</w:t>
            </w:r>
          </w:p>
        </w:tc>
        <w:tc>
          <w:tcPr>
            <w:tcW w:w="1440" w:type="dxa"/>
            <w:tcBorders>
              <w:top w:val="nil"/>
              <w:left w:val="nil"/>
              <w:bottom w:val="nil"/>
              <w:right w:val="nil"/>
            </w:tcBorders>
            <w:vAlign w:val="center"/>
          </w:tcPr>
          <w:p w14:paraId="63EE379D" w14:textId="77777777" w:rsidR="000C35AF" w:rsidRPr="00D72219" w:rsidRDefault="000C35AF" w:rsidP="009238AE">
            <w:pPr>
              <w:pStyle w:val="Regresjonstabell"/>
              <w:jc w:val="right"/>
              <w:rPr>
                <w:sz w:val="15"/>
                <w:szCs w:val="15"/>
              </w:rPr>
            </w:pPr>
            <w:r w:rsidRPr="00D72219">
              <w:rPr>
                <w:color w:val="000000"/>
                <w:sz w:val="15"/>
                <w:szCs w:val="15"/>
              </w:rPr>
              <w:t>(0.087)</w:t>
            </w:r>
          </w:p>
        </w:tc>
        <w:tc>
          <w:tcPr>
            <w:tcW w:w="1440" w:type="dxa"/>
            <w:tcBorders>
              <w:top w:val="nil"/>
              <w:left w:val="nil"/>
              <w:bottom w:val="nil"/>
              <w:right w:val="single" w:sz="4" w:space="0" w:color="auto"/>
            </w:tcBorders>
            <w:vAlign w:val="center"/>
          </w:tcPr>
          <w:p w14:paraId="44D861B8" w14:textId="77777777" w:rsidR="000C35AF" w:rsidRPr="00D72219" w:rsidRDefault="000C35AF" w:rsidP="009238AE">
            <w:pPr>
              <w:pStyle w:val="Regresjonstabell"/>
              <w:jc w:val="right"/>
              <w:rPr>
                <w:color w:val="000000"/>
                <w:sz w:val="15"/>
                <w:szCs w:val="15"/>
              </w:rPr>
            </w:pPr>
            <w:r w:rsidRPr="00D72219">
              <w:rPr>
                <w:color w:val="000000"/>
                <w:sz w:val="15"/>
                <w:szCs w:val="15"/>
              </w:rPr>
              <w:t>(0.100)</w:t>
            </w:r>
          </w:p>
        </w:tc>
      </w:tr>
      <w:tr w:rsidR="000C35AF" w:rsidRPr="0055149C" w14:paraId="677711E7"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251D5339" w14:textId="77777777" w:rsidR="000C35AF" w:rsidRPr="0055149C" w:rsidRDefault="000C35AF" w:rsidP="009238AE">
            <w:pPr>
              <w:pStyle w:val="Regresjonstabell"/>
              <w:rPr>
                <w:color w:val="000000"/>
                <w:sz w:val="15"/>
                <w:szCs w:val="15"/>
              </w:rPr>
            </w:pPr>
            <w:r w:rsidRPr="0055149C">
              <w:rPr>
                <w:color w:val="000000"/>
                <w:sz w:val="15"/>
                <w:szCs w:val="15"/>
              </w:rPr>
              <w:t>Reiseavstand innen nabokrets</w:t>
            </w:r>
          </w:p>
        </w:tc>
        <w:tc>
          <w:tcPr>
            <w:tcW w:w="1393" w:type="dxa"/>
            <w:tcBorders>
              <w:top w:val="nil"/>
              <w:left w:val="single" w:sz="4" w:space="0" w:color="auto"/>
              <w:bottom w:val="nil"/>
              <w:right w:val="nil"/>
            </w:tcBorders>
            <w:vAlign w:val="bottom"/>
          </w:tcPr>
          <w:p w14:paraId="710E76CA" w14:textId="77777777" w:rsidR="000C35AF" w:rsidRPr="00D72219" w:rsidRDefault="000C35AF" w:rsidP="009238AE">
            <w:pPr>
              <w:pStyle w:val="Regresjonstabell"/>
              <w:jc w:val="right"/>
              <w:rPr>
                <w:sz w:val="15"/>
                <w:szCs w:val="15"/>
              </w:rPr>
            </w:pPr>
            <w:r w:rsidRPr="00D72219">
              <w:rPr>
                <w:color w:val="000000"/>
                <w:sz w:val="15"/>
                <w:szCs w:val="15"/>
              </w:rPr>
              <w:t>-0.166</w:t>
            </w:r>
          </w:p>
        </w:tc>
        <w:tc>
          <w:tcPr>
            <w:tcW w:w="1393" w:type="dxa"/>
            <w:tcBorders>
              <w:top w:val="nil"/>
              <w:left w:val="nil"/>
              <w:bottom w:val="nil"/>
              <w:right w:val="nil"/>
            </w:tcBorders>
            <w:vAlign w:val="bottom"/>
          </w:tcPr>
          <w:p w14:paraId="52F00F5B" w14:textId="77777777" w:rsidR="000C35AF" w:rsidRPr="00D72219" w:rsidRDefault="000C35AF" w:rsidP="009238AE">
            <w:pPr>
              <w:pStyle w:val="Regresjonstabell"/>
              <w:jc w:val="right"/>
              <w:rPr>
                <w:color w:val="000000"/>
                <w:sz w:val="15"/>
                <w:szCs w:val="15"/>
              </w:rPr>
            </w:pPr>
            <w:r w:rsidRPr="00D72219">
              <w:rPr>
                <w:color w:val="000000"/>
                <w:sz w:val="15"/>
                <w:szCs w:val="15"/>
              </w:rPr>
              <w:t>-0.229</w:t>
            </w:r>
          </w:p>
        </w:tc>
        <w:tc>
          <w:tcPr>
            <w:tcW w:w="1393" w:type="dxa"/>
            <w:tcBorders>
              <w:top w:val="nil"/>
              <w:left w:val="nil"/>
              <w:bottom w:val="nil"/>
              <w:right w:val="nil"/>
            </w:tcBorders>
            <w:vAlign w:val="bottom"/>
          </w:tcPr>
          <w:p w14:paraId="5E89E628" w14:textId="77777777" w:rsidR="000C35AF" w:rsidRPr="00D72219" w:rsidRDefault="000C35AF" w:rsidP="009238AE">
            <w:pPr>
              <w:pStyle w:val="Regresjonstabell"/>
              <w:jc w:val="right"/>
              <w:rPr>
                <w:sz w:val="15"/>
                <w:szCs w:val="15"/>
              </w:rPr>
            </w:pPr>
            <w:r w:rsidRPr="00D72219">
              <w:rPr>
                <w:color w:val="000000"/>
                <w:sz w:val="15"/>
                <w:szCs w:val="15"/>
              </w:rPr>
              <w:t>-0.259</w:t>
            </w:r>
          </w:p>
        </w:tc>
        <w:tc>
          <w:tcPr>
            <w:tcW w:w="1393" w:type="dxa"/>
            <w:tcBorders>
              <w:top w:val="nil"/>
              <w:left w:val="nil"/>
              <w:bottom w:val="nil"/>
              <w:right w:val="nil"/>
            </w:tcBorders>
            <w:vAlign w:val="bottom"/>
          </w:tcPr>
          <w:p w14:paraId="6B4F6D09" w14:textId="77777777" w:rsidR="000C35AF" w:rsidRPr="00D72219" w:rsidRDefault="000C35AF" w:rsidP="009238AE">
            <w:pPr>
              <w:pStyle w:val="Regresjonstabell"/>
              <w:jc w:val="right"/>
              <w:rPr>
                <w:color w:val="000000"/>
                <w:sz w:val="15"/>
                <w:szCs w:val="15"/>
              </w:rPr>
            </w:pPr>
            <w:r w:rsidRPr="00D72219">
              <w:rPr>
                <w:color w:val="000000"/>
                <w:sz w:val="15"/>
                <w:szCs w:val="15"/>
              </w:rPr>
              <w:t>-0.315</w:t>
            </w:r>
          </w:p>
        </w:tc>
        <w:tc>
          <w:tcPr>
            <w:tcW w:w="1440" w:type="dxa"/>
            <w:tcBorders>
              <w:top w:val="nil"/>
              <w:left w:val="nil"/>
              <w:bottom w:val="nil"/>
              <w:right w:val="nil"/>
            </w:tcBorders>
            <w:vAlign w:val="bottom"/>
          </w:tcPr>
          <w:p w14:paraId="6116F0AC" w14:textId="77777777" w:rsidR="000C35AF" w:rsidRPr="00D72219" w:rsidRDefault="000C35AF" w:rsidP="009238AE">
            <w:pPr>
              <w:pStyle w:val="Regresjonstabell"/>
              <w:jc w:val="right"/>
              <w:rPr>
                <w:sz w:val="15"/>
                <w:szCs w:val="15"/>
              </w:rPr>
            </w:pPr>
            <w:r w:rsidRPr="00D72219">
              <w:rPr>
                <w:color w:val="000000"/>
                <w:sz w:val="15"/>
                <w:szCs w:val="15"/>
              </w:rPr>
              <w:t>-0.345</w:t>
            </w:r>
          </w:p>
        </w:tc>
        <w:tc>
          <w:tcPr>
            <w:tcW w:w="1393" w:type="dxa"/>
            <w:tcBorders>
              <w:top w:val="nil"/>
              <w:left w:val="nil"/>
              <w:bottom w:val="nil"/>
              <w:right w:val="nil"/>
            </w:tcBorders>
            <w:vAlign w:val="bottom"/>
          </w:tcPr>
          <w:p w14:paraId="481BE0CF" w14:textId="77777777" w:rsidR="000C35AF" w:rsidRPr="00D72219" w:rsidRDefault="000C35AF" w:rsidP="009238AE">
            <w:pPr>
              <w:pStyle w:val="Regresjonstabell"/>
              <w:jc w:val="right"/>
              <w:rPr>
                <w:color w:val="000000"/>
                <w:sz w:val="15"/>
                <w:szCs w:val="15"/>
              </w:rPr>
            </w:pPr>
            <w:r w:rsidRPr="00D72219">
              <w:rPr>
                <w:color w:val="000000"/>
                <w:sz w:val="15"/>
                <w:szCs w:val="15"/>
              </w:rPr>
              <w:t>-0.362</w:t>
            </w:r>
          </w:p>
        </w:tc>
        <w:tc>
          <w:tcPr>
            <w:tcW w:w="1440" w:type="dxa"/>
            <w:tcBorders>
              <w:top w:val="nil"/>
              <w:left w:val="nil"/>
              <w:bottom w:val="nil"/>
              <w:right w:val="nil"/>
            </w:tcBorders>
            <w:vAlign w:val="bottom"/>
          </w:tcPr>
          <w:p w14:paraId="708C355F" w14:textId="77777777" w:rsidR="000C35AF" w:rsidRPr="00D72219" w:rsidRDefault="000C35AF" w:rsidP="009238AE">
            <w:pPr>
              <w:pStyle w:val="Regresjonstabell"/>
              <w:jc w:val="right"/>
              <w:rPr>
                <w:sz w:val="15"/>
                <w:szCs w:val="15"/>
              </w:rPr>
            </w:pPr>
            <w:r w:rsidRPr="00D72219">
              <w:rPr>
                <w:color w:val="000000"/>
                <w:sz w:val="15"/>
                <w:szCs w:val="15"/>
              </w:rPr>
              <w:t>-0.384</w:t>
            </w:r>
          </w:p>
        </w:tc>
        <w:tc>
          <w:tcPr>
            <w:tcW w:w="1440" w:type="dxa"/>
            <w:tcBorders>
              <w:top w:val="nil"/>
              <w:left w:val="nil"/>
              <w:bottom w:val="nil"/>
              <w:right w:val="single" w:sz="4" w:space="0" w:color="auto"/>
            </w:tcBorders>
            <w:vAlign w:val="bottom"/>
          </w:tcPr>
          <w:p w14:paraId="4DE864FD" w14:textId="77777777" w:rsidR="000C35AF" w:rsidRPr="00D72219" w:rsidRDefault="000C35AF" w:rsidP="009238AE">
            <w:pPr>
              <w:pStyle w:val="Regresjonstabell"/>
              <w:jc w:val="right"/>
              <w:rPr>
                <w:color w:val="000000"/>
                <w:sz w:val="15"/>
                <w:szCs w:val="15"/>
              </w:rPr>
            </w:pPr>
            <w:r w:rsidRPr="00D72219">
              <w:rPr>
                <w:color w:val="000000"/>
                <w:sz w:val="15"/>
                <w:szCs w:val="15"/>
              </w:rPr>
              <w:t>-0.423</w:t>
            </w:r>
          </w:p>
        </w:tc>
      </w:tr>
      <w:tr w:rsidR="000C35AF" w:rsidRPr="0055149C" w14:paraId="08C86D05"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5DF6BC82" w14:textId="77777777" w:rsidR="000C35AF" w:rsidRPr="0055149C" w:rsidRDefault="000C35AF" w:rsidP="009238AE">
            <w:pPr>
              <w:pStyle w:val="Regresjonstabell"/>
              <w:rPr>
                <w:color w:val="000000"/>
                <w:sz w:val="15"/>
                <w:szCs w:val="15"/>
              </w:rPr>
            </w:pPr>
            <w:r w:rsidRPr="0055149C">
              <w:rPr>
                <w:color w:val="000000"/>
                <w:sz w:val="15"/>
                <w:szCs w:val="15"/>
              </w:rPr>
              <w:t>(Kriterium 15)</w:t>
            </w:r>
          </w:p>
        </w:tc>
        <w:tc>
          <w:tcPr>
            <w:tcW w:w="1393" w:type="dxa"/>
            <w:tcBorders>
              <w:top w:val="nil"/>
              <w:left w:val="single" w:sz="4" w:space="0" w:color="auto"/>
              <w:bottom w:val="nil"/>
              <w:right w:val="nil"/>
            </w:tcBorders>
            <w:vAlign w:val="center"/>
          </w:tcPr>
          <w:p w14:paraId="5DAAAF27" w14:textId="77777777" w:rsidR="000C35AF" w:rsidRPr="00D72219" w:rsidRDefault="000C35AF" w:rsidP="009238AE">
            <w:pPr>
              <w:pStyle w:val="Regresjonstabell"/>
              <w:jc w:val="right"/>
              <w:rPr>
                <w:sz w:val="15"/>
                <w:szCs w:val="15"/>
              </w:rPr>
            </w:pPr>
            <w:r w:rsidRPr="00D72219">
              <w:rPr>
                <w:color w:val="000000"/>
                <w:sz w:val="15"/>
                <w:szCs w:val="15"/>
              </w:rPr>
              <w:t>(0.234)</w:t>
            </w:r>
          </w:p>
        </w:tc>
        <w:tc>
          <w:tcPr>
            <w:tcW w:w="1393" w:type="dxa"/>
            <w:tcBorders>
              <w:top w:val="nil"/>
              <w:left w:val="nil"/>
              <w:bottom w:val="nil"/>
              <w:right w:val="nil"/>
            </w:tcBorders>
            <w:vAlign w:val="center"/>
          </w:tcPr>
          <w:p w14:paraId="780E4288" w14:textId="77777777" w:rsidR="000C35AF" w:rsidRPr="00D72219" w:rsidRDefault="000C35AF" w:rsidP="009238AE">
            <w:pPr>
              <w:pStyle w:val="Regresjonstabell"/>
              <w:jc w:val="right"/>
              <w:rPr>
                <w:color w:val="000000"/>
                <w:sz w:val="15"/>
                <w:szCs w:val="15"/>
              </w:rPr>
            </w:pPr>
            <w:r w:rsidRPr="00D72219">
              <w:rPr>
                <w:color w:val="000000"/>
                <w:sz w:val="15"/>
                <w:szCs w:val="15"/>
              </w:rPr>
              <w:t>(0.241)</w:t>
            </w:r>
          </w:p>
        </w:tc>
        <w:tc>
          <w:tcPr>
            <w:tcW w:w="1393" w:type="dxa"/>
            <w:tcBorders>
              <w:top w:val="nil"/>
              <w:left w:val="nil"/>
              <w:bottom w:val="nil"/>
              <w:right w:val="nil"/>
            </w:tcBorders>
            <w:vAlign w:val="center"/>
          </w:tcPr>
          <w:p w14:paraId="561B53AA" w14:textId="77777777" w:rsidR="000C35AF" w:rsidRPr="00D72219" w:rsidRDefault="000C35AF" w:rsidP="009238AE">
            <w:pPr>
              <w:pStyle w:val="Regresjonstabell"/>
              <w:jc w:val="right"/>
              <w:rPr>
                <w:sz w:val="15"/>
                <w:szCs w:val="15"/>
              </w:rPr>
            </w:pPr>
            <w:r w:rsidRPr="00D72219">
              <w:rPr>
                <w:color w:val="000000"/>
                <w:sz w:val="15"/>
                <w:szCs w:val="15"/>
              </w:rPr>
              <w:t>(0.272)</w:t>
            </w:r>
          </w:p>
        </w:tc>
        <w:tc>
          <w:tcPr>
            <w:tcW w:w="1393" w:type="dxa"/>
            <w:tcBorders>
              <w:top w:val="nil"/>
              <w:left w:val="nil"/>
              <w:bottom w:val="nil"/>
              <w:right w:val="nil"/>
            </w:tcBorders>
            <w:vAlign w:val="center"/>
          </w:tcPr>
          <w:p w14:paraId="71658F20" w14:textId="77777777" w:rsidR="000C35AF" w:rsidRPr="00D72219" w:rsidRDefault="000C35AF" w:rsidP="009238AE">
            <w:pPr>
              <w:pStyle w:val="Regresjonstabell"/>
              <w:jc w:val="right"/>
              <w:rPr>
                <w:color w:val="000000"/>
                <w:sz w:val="15"/>
                <w:szCs w:val="15"/>
              </w:rPr>
            </w:pPr>
            <w:r w:rsidRPr="00D72219">
              <w:rPr>
                <w:color w:val="000000"/>
                <w:sz w:val="15"/>
                <w:szCs w:val="15"/>
              </w:rPr>
              <w:t>(0.305)</w:t>
            </w:r>
          </w:p>
        </w:tc>
        <w:tc>
          <w:tcPr>
            <w:tcW w:w="1440" w:type="dxa"/>
            <w:tcBorders>
              <w:top w:val="nil"/>
              <w:left w:val="nil"/>
              <w:bottom w:val="nil"/>
              <w:right w:val="nil"/>
            </w:tcBorders>
            <w:vAlign w:val="center"/>
          </w:tcPr>
          <w:p w14:paraId="6030ADD1" w14:textId="77777777" w:rsidR="000C35AF" w:rsidRPr="00D72219" w:rsidRDefault="000C35AF" w:rsidP="009238AE">
            <w:pPr>
              <w:pStyle w:val="Regresjonstabell"/>
              <w:jc w:val="right"/>
              <w:rPr>
                <w:sz w:val="15"/>
                <w:szCs w:val="15"/>
              </w:rPr>
            </w:pPr>
            <w:r w:rsidRPr="00D72219">
              <w:rPr>
                <w:color w:val="000000"/>
                <w:sz w:val="15"/>
                <w:szCs w:val="15"/>
              </w:rPr>
              <w:t>(0.252)</w:t>
            </w:r>
          </w:p>
        </w:tc>
        <w:tc>
          <w:tcPr>
            <w:tcW w:w="1393" w:type="dxa"/>
            <w:tcBorders>
              <w:top w:val="nil"/>
              <w:left w:val="nil"/>
              <w:bottom w:val="nil"/>
              <w:right w:val="nil"/>
            </w:tcBorders>
            <w:vAlign w:val="center"/>
          </w:tcPr>
          <w:p w14:paraId="46891A0B" w14:textId="77777777" w:rsidR="000C35AF" w:rsidRPr="00D72219" w:rsidRDefault="000C35AF" w:rsidP="009238AE">
            <w:pPr>
              <w:pStyle w:val="Regresjonstabell"/>
              <w:jc w:val="right"/>
              <w:rPr>
                <w:color w:val="000000"/>
                <w:sz w:val="15"/>
                <w:szCs w:val="15"/>
              </w:rPr>
            </w:pPr>
            <w:r w:rsidRPr="00D72219">
              <w:rPr>
                <w:color w:val="000000"/>
                <w:sz w:val="15"/>
                <w:szCs w:val="15"/>
              </w:rPr>
              <w:t>(0.257)</w:t>
            </w:r>
          </w:p>
        </w:tc>
        <w:tc>
          <w:tcPr>
            <w:tcW w:w="1440" w:type="dxa"/>
            <w:tcBorders>
              <w:top w:val="nil"/>
              <w:left w:val="nil"/>
              <w:bottom w:val="nil"/>
              <w:right w:val="nil"/>
            </w:tcBorders>
            <w:vAlign w:val="center"/>
          </w:tcPr>
          <w:p w14:paraId="14B90026" w14:textId="77777777" w:rsidR="000C35AF" w:rsidRPr="00D72219" w:rsidRDefault="000C35AF" w:rsidP="009238AE">
            <w:pPr>
              <w:pStyle w:val="Regresjonstabell"/>
              <w:jc w:val="right"/>
              <w:rPr>
                <w:sz w:val="15"/>
                <w:szCs w:val="15"/>
              </w:rPr>
            </w:pPr>
            <w:r w:rsidRPr="00D72219">
              <w:rPr>
                <w:color w:val="000000"/>
                <w:sz w:val="15"/>
                <w:szCs w:val="15"/>
              </w:rPr>
              <w:t>(0.267)</w:t>
            </w:r>
          </w:p>
        </w:tc>
        <w:tc>
          <w:tcPr>
            <w:tcW w:w="1440" w:type="dxa"/>
            <w:tcBorders>
              <w:top w:val="nil"/>
              <w:left w:val="nil"/>
              <w:bottom w:val="nil"/>
              <w:right w:val="single" w:sz="4" w:space="0" w:color="auto"/>
            </w:tcBorders>
            <w:vAlign w:val="center"/>
          </w:tcPr>
          <w:p w14:paraId="184777B7" w14:textId="77777777" w:rsidR="000C35AF" w:rsidRPr="00D72219" w:rsidRDefault="000C35AF" w:rsidP="009238AE">
            <w:pPr>
              <w:pStyle w:val="Regresjonstabell"/>
              <w:jc w:val="right"/>
              <w:rPr>
                <w:color w:val="000000"/>
                <w:sz w:val="15"/>
                <w:szCs w:val="15"/>
              </w:rPr>
            </w:pPr>
            <w:r w:rsidRPr="00D72219">
              <w:rPr>
                <w:color w:val="000000"/>
                <w:sz w:val="15"/>
                <w:szCs w:val="15"/>
              </w:rPr>
              <w:t>(0.310)</w:t>
            </w:r>
          </w:p>
        </w:tc>
      </w:tr>
      <w:tr w:rsidR="000C35AF" w:rsidRPr="0055149C" w14:paraId="3796CA2D"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0C0AFB83" w14:textId="77777777" w:rsidR="000C35AF" w:rsidRPr="0055149C" w:rsidRDefault="000C35AF" w:rsidP="009238AE">
            <w:pPr>
              <w:pStyle w:val="Regresjonstabell"/>
              <w:rPr>
                <w:sz w:val="15"/>
                <w:szCs w:val="15"/>
              </w:rPr>
            </w:pPr>
            <w:r w:rsidRPr="0055149C">
              <w:rPr>
                <w:sz w:val="15"/>
                <w:szCs w:val="15"/>
              </w:rPr>
              <w:t>Psykisk utviklingshemmet på minst 16 år</w:t>
            </w:r>
          </w:p>
        </w:tc>
        <w:tc>
          <w:tcPr>
            <w:tcW w:w="1393" w:type="dxa"/>
            <w:tcBorders>
              <w:top w:val="nil"/>
              <w:left w:val="single" w:sz="4" w:space="0" w:color="auto"/>
              <w:bottom w:val="nil"/>
              <w:right w:val="nil"/>
            </w:tcBorders>
            <w:vAlign w:val="bottom"/>
          </w:tcPr>
          <w:p w14:paraId="1C5F87E4" w14:textId="77777777" w:rsidR="000C35AF" w:rsidRPr="00D72219" w:rsidRDefault="000C35AF" w:rsidP="009238AE">
            <w:pPr>
              <w:pStyle w:val="Regresjonstabell"/>
              <w:jc w:val="right"/>
              <w:rPr>
                <w:sz w:val="15"/>
                <w:szCs w:val="15"/>
              </w:rPr>
            </w:pPr>
            <w:r w:rsidRPr="00D72219">
              <w:rPr>
                <w:color w:val="000000"/>
                <w:sz w:val="15"/>
                <w:szCs w:val="15"/>
              </w:rPr>
              <w:t>518.502***</w:t>
            </w:r>
          </w:p>
        </w:tc>
        <w:tc>
          <w:tcPr>
            <w:tcW w:w="1393" w:type="dxa"/>
            <w:tcBorders>
              <w:top w:val="nil"/>
              <w:left w:val="nil"/>
              <w:bottom w:val="nil"/>
              <w:right w:val="nil"/>
            </w:tcBorders>
            <w:vAlign w:val="bottom"/>
          </w:tcPr>
          <w:p w14:paraId="17ECEB41" w14:textId="77777777" w:rsidR="000C35AF" w:rsidRPr="00D72219" w:rsidRDefault="000C35AF" w:rsidP="009238AE">
            <w:pPr>
              <w:pStyle w:val="Regresjonstabell"/>
              <w:jc w:val="right"/>
              <w:rPr>
                <w:color w:val="000000"/>
                <w:sz w:val="15"/>
                <w:szCs w:val="15"/>
              </w:rPr>
            </w:pPr>
            <w:r w:rsidRPr="00D72219">
              <w:rPr>
                <w:color w:val="000000"/>
                <w:sz w:val="15"/>
                <w:szCs w:val="15"/>
              </w:rPr>
              <w:t>491.366**</w:t>
            </w:r>
          </w:p>
        </w:tc>
        <w:tc>
          <w:tcPr>
            <w:tcW w:w="1393" w:type="dxa"/>
            <w:tcBorders>
              <w:top w:val="nil"/>
              <w:left w:val="nil"/>
              <w:bottom w:val="nil"/>
              <w:right w:val="nil"/>
            </w:tcBorders>
            <w:vAlign w:val="bottom"/>
          </w:tcPr>
          <w:p w14:paraId="7709E3A4" w14:textId="77777777" w:rsidR="000C35AF" w:rsidRPr="00D72219" w:rsidRDefault="000C35AF" w:rsidP="009238AE">
            <w:pPr>
              <w:pStyle w:val="Regresjonstabell"/>
              <w:jc w:val="right"/>
              <w:rPr>
                <w:sz w:val="15"/>
                <w:szCs w:val="15"/>
              </w:rPr>
            </w:pPr>
            <w:r w:rsidRPr="00D72219">
              <w:rPr>
                <w:color w:val="000000"/>
                <w:sz w:val="15"/>
                <w:szCs w:val="15"/>
              </w:rPr>
              <w:t>493.701**</w:t>
            </w:r>
          </w:p>
        </w:tc>
        <w:tc>
          <w:tcPr>
            <w:tcW w:w="1393" w:type="dxa"/>
            <w:tcBorders>
              <w:top w:val="nil"/>
              <w:left w:val="nil"/>
              <w:bottom w:val="nil"/>
              <w:right w:val="nil"/>
            </w:tcBorders>
            <w:vAlign w:val="bottom"/>
          </w:tcPr>
          <w:p w14:paraId="516F1246" w14:textId="77777777" w:rsidR="000C35AF" w:rsidRPr="00D72219" w:rsidRDefault="000C35AF" w:rsidP="009238AE">
            <w:pPr>
              <w:pStyle w:val="Regresjonstabell"/>
              <w:jc w:val="right"/>
              <w:rPr>
                <w:color w:val="000000"/>
                <w:sz w:val="15"/>
                <w:szCs w:val="15"/>
              </w:rPr>
            </w:pPr>
            <w:r w:rsidRPr="00D72219">
              <w:rPr>
                <w:color w:val="000000"/>
                <w:sz w:val="15"/>
                <w:szCs w:val="15"/>
              </w:rPr>
              <w:t>478.783**</w:t>
            </w:r>
          </w:p>
        </w:tc>
        <w:tc>
          <w:tcPr>
            <w:tcW w:w="1440" w:type="dxa"/>
            <w:tcBorders>
              <w:top w:val="nil"/>
              <w:left w:val="nil"/>
              <w:bottom w:val="nil"/>
              <w:right w:val="nil"/>
            </w:tcBorders>
            <w:vAlign w:val="bottom"/>
          </w:tcPr>
          <w:p w14:paraId="2D1CDF79" w14:textId="77777777" w:rsidR="000C35AF" w:rsidRPr="00D72219" w:rsidRDefault="000C35AF" w:rsidP="009238AE">
            <w:pPr>
              <w:pStyle w:val="Regresjonstabell"/>
              <w:jc w:val="right"/>
              <w:rPr>
                <w:sz w:val="15"/>
                <w:szCs w:val="15"/>
              </w:rPr>
            </w:pPr>
            <w:r w:rsidRPr="00D72219">
              <w:rPr>
                <w:color w:val="000000"/>
                <w:sz w:val="15"/>
                <w:szCs w:val="15"/>
              </w:rPr>
              <w:t>1,017.336***</w:t>
            </w:r>
          </w:p>
        </w:tc>
        <w:tc>
          <w:tcPr>
            <w:tcW w:w="1393" w:type="dxa"/>
            <w:tcBorders>
              <w:top w:val="nil"/>
              <w:left w:val="nil"/>
              <w:bottom w:val="nil"/>
              <w:right w:val="nil"/>
            </w:tcBorders>
            <w:vAlign w:val="bottom"/>
          </w:tcPr>
          <w:p w14:paraId="47B5E8D8" w14:textId="77777777" w:rsidR="000C35AF" w:rsidRPr="00D72219" w:rsidRDefault="000C35AF" w:rsidP="009238AE">
            <w:pPr>
              <w:pStyle w:val="Regresjonstabell"/>
              <w:jc w:val="right"/>
              <w:rPr>
                <w:color w:val="000000"/>
                <w:sz w:val="15"/>
                <w:szCs w:val="15"/>
              </w:rPr>
            </w:pPr>
            <w:r w:rsidRPr="00D72219">
              <w:rPr>
                <w:color w:val="000000"/>
                <w:sz w:val="15"/>
                <w:szCs w:val="15"/>
              </w:rPr>
              <w:t>982.379***</w:t>
            </w:r>
          </w:p>
        </w:tc>
        <w:tc>
          <w:tcPr>
            <w:tcW w:w="1440" w:type="dxa"/>
            <w:tcBorders>
              <w:top w:val="nil"/>
              <w:left w:val="nil"/>
              <w:bottom w:val="nil"/>
              <w:right w:val="nil"/>
            </w:tcBorders>
            <w:vAlign w:val="bottom"/>
          </w:tcPr>
          <w:p w14:paraId="28B26FAD" w14:textId="77777777" w:rsidR="000C35AF" w:rsidRPr="00D72219" w:rsidRDefault="000C35AF" w:rsidP="009238AE">
            <w:pPr>
              <w:pStyle w:val="Regresjonstabell"/>
              <w:jc w:val="right"/>
              <w:rPr>
                <w:sz w:val="15"/>
                <w:szCs w:val="15"/>
              </w:rPr>
            </w:pPr>
            <w:r w:rsidRPr="00D72219">
              <w:rPr>
                <w:color w:val="000000"/>
                <w:sz w:val="15"/>
                <w:szCs w:val="15"/>
              </w:rPr>
              <w:t>1,014.834***</w:t>
            </w:r>
          </w:p>
        </w:tc>
        <w:tc>
          <w:tcPr>
            <w:tcW w:w="1440" w:type="dxa"/>
            <w:tcBorders>
              <w:top w:val="nil"/>
              <w:left w:val="nil"/>
              <w:bottom w:val="nil"/>
              <w:right w:val="single" w:sz="4" w:space="0" w:color="auto"/>
            </w:tcBorders>
            <w:vAlign w:val="bottom"/>
          </w:tcPr>
          <w:p w14:paraId="60730514" w14:textId="77777777" w:rsidR="000C35AF" w:rsidRPr="00D72219" w:rsidRDefault="000C35AF" w:rsidP="009238AE">
            <w:pPr>
              <w:pStyle w:val="Regresjonstabell"/>
              <w:jc w:val="right"/>
              <w:rPr>
                <w:color w:val="000000"/>
                <w:sz w:val="15"/>
                <w:szCs w:val="15"/>
              </w:rPr>
            </w:pPr>
            <w:r w:rsidRPr="00D72219">
              <w:rPr>
                <w:color w:val="000000"/>
                <w:sz w:val="15"/>
                <w:szCs w:val="15"/>
              </w:rPr>
              <w:t>1,012.426***</w:t>
            </w:r>
          </w:p>
        </w:tc>
      </w:tr>
      <w:tr w:rsidR="000C35AF" w:rsidRPr="0055149C" w14:paraId="0713CFBF"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2ED6E821" w14:textId="77777777" w:rsidR="000C35AF" w:rsidRPr="0055149C" w:rsidRDefault="000C35AF" w:rsidP="009238AE">
            <w:pPr>
              <w:pStyle w:val="Regresjonstabell"/>
              <w:rPr>
                <w:sz w:val="15"/>
                <w:szCs w:val="15"/>
              </w:rPr>
            </w:pPr>
            <w:r w:rsidRPr="0055149C">
              <w:rPr>
                <w:sz w:val="15"/>
                <w:szCs w:val="15"/>
              </w:rPr>
              <w:t>(Kriterium 18)</w:t>
            </w:r>
          </w:p>
        </w:tc>
        <w:tc>
          <w:tcPr>
            <w:tcW w:w="1393" w:type="dxa"/>
            <w:tcBorders>
              <w:top w:val="nil"/>
              <w:left w:val="single" w:sz="4" w:space="0" w:color="auto"/>
              <w:bottom w:val="nil"/>
              <w:right w:val="nil"/>
            </w:tcBorders>
            <w:vAlign w:val="center"/>
          </w:tcPr>
          <w:p w14:paraId="05941448" w14:textId="77777777" w:rsidR="000C35AF" w:rsidRPr="00D72219" w:rsidRDefault="000C35AF" w:rsidP="009238AE">
            <w:pPr>
              <w:pStyle w:val="Regresjonstabell"/>
              <w:jc w:val="right"/>
              <w:rPr>
                <w:sz w:val="15"/>
                <w:szCs w:val="15"/>
              </w:rPr>
            </w:pPr>
            <w:r w:rsidRPr="00D72219">
              <w:rPr>
                <w:color w:val="000000"/>
                <w:sz w:val="15"/>
                <w:szCs w:val="15"/>
              </w:rPr>
              <w:t>(199.550)</w:t>
            </w:r>
          </w:p>
        </w:tc>
        <w:tc>
          <w:tcPr>
            <w:tcW w:w="1393" w:type="dxa"/>
            <w:tcBorders>
              <w:top w:val="nil"/>
              <w:left w:val="nil"/>
              <w:bottom w:val="nil"/>
              <w:right w:val="nil"/>
            </w:tcBorders>
            <w:vAlign w:val="center"/>
          </w:tcPr>
          <w:p w14:paraId="1CDABCEA" w14:textId="77777777" w:rsidR="000C35AF" w:rsidRPr="00D72219" w:rsidRDefault="000C35AF" w:rsidP="009238AE">
            <w:pPr>
              <w:pStyle w:val="Regresjonstabell"/>
              <w:jc w:val="right"/>
              <w:rPr>
                <w:color w:val="000000"/>
                <w:sz w:val="15"/>
                <w:szCs w:val="15"/>
              </w:rPr>
            </w:pPr>
            <w:r w:rsidRPr="00D72219">
              <w:rPr>
                <w:color w:val="000000"/>
                <w:sz w:val="15"/>
                <w:szCs w:val="15"/>
              </w:rPr>
              <w:t>(199.181)</w:t>
            </w:r>
          </w:p>
        </w:tc>
        <w:tc>
          <w:tcPr>
            <w:tcW w:w="1393" w:type="dxa"/>
            <w:tcBorders>
              <w:top w:val="nil"/>
              <w:left w:val="nil"/>
              <w:bottom w:val="nil"/>
              <w:right w:val="nil"/>
            </w:tcBorders>
            <w:vAlign w:val="center"/>
          </w:tcPr>
          <w:p w14:paraId="0E8E1DAD" w14:textId="77777777" w:rsidR="000C35AF" w:rsidRPr="00D72219" w:rsidRDefault="000C35AF" w:rsidP="009238AE">
            <w:pPr>
              <w:pStyle w:val="Regresjonstabell"/>
              <w:jc w:val="right"/>
              <w:rPr>
                <w:sz w:val="15"/>
                <w:szCs w:val="15"/>
              </w:rPr>
            </w:pPr>
            <w:r w:rsidRPr="00D72219">
              <w:rPr>
                <w:color w:val="000000"/>
                <w:sz w:val="15"/>
                <w:szCs w:val="15"/>
              </w:rPr>
              <w:t>(213.790)</w:t>
            </w:r>
          </w:p>
        </w:tc>
        <w:tc>
          <w:tcPr>
            <w:tcW w:w="1393" w:type="dxa"/>
            <w:tcBorders>
              <w:top w:val="nil"/>
              <w:left w:val="nil"/>
              <w:bottom w:val="nil"/>
              <w:right w:val="nil"/>
            </w:tcBorders>
            <w:vAlign w:val="center"/>
          </w:tcPr>
          <w:p w14:paraId="7D151FF4" w14:textId="77777777" w:rsidR="000C35AF" w:rsidRPr="00D72219" w:rsidRDefault="000C35AF" w:rsidP="009238AE">
            <w:pPr>
              <w:pStyle w:val="Regresjonstabell"/>
              <w:jc w:val="right"/>
              <w:rPr>
                <w:color w:val="000000"/>
                <w:sz w:val="15"/>
                <w:szCs w:val="15"/>
              </w:rPr>
            </w:pPr>
            <w:r w:rsidRPr="00D72219">
              <w:rPr>
                <w:color w:val="000000"/>
                <w:sz w:val="15"/>
                <w:szCs w:val="15"/>
              </w:rPr>
              <w:t>(226.088)</w:t>
            </w:r>
          </w:p>
        </w:tc>
        <w:tc>
          <w:tcPr>
            <w:tcW w:w="1440" w:type="dxa"/>
            <w:tcBorders>
              <w:top w:val="nil"/>
              <w:left w:val="nil"/>
              <w:bottom w:val="nil"/>
              <w:right w:val="nil"/>
            </w:tcBorders>
            <w:vAlign w:val="center"/>
          </w:tcPr>
          <w:p w14:paraId="2E77D6FE" w14:textId="77777777" w:rsidR="000C35AF" w:rsidRPr="00D72219" w:rsidRDefault="000C35AF" w:rsidP="009238AE">
            <w:pPr>
              <w:pStyle w:val="Regresjonstabell"/>
              <w:jc w:val="right"/>
              <w:rPr>
                <w:sz w:val="15"/>
                <w:szCs w:val="15"/>
              </w:rPr>
            </w:pPr>
            <w:r w:rsidRPr="00D72219">
              <w:rPr>
                <w:color w:val="000000"/>
                <w:sz w:val="15"/>
                <w:szCs w:val="15"/>
              </w:rPr>
              <w:t>(292.231)</w:t>
            </w:r>
          </w:p>
        </w:tc>
        <w:tc>
          <w:tcPr>
            <w:tcW w:w="1393" w:type="dxa"/>
            <w:tcBorders>
              <w:top w:val="nil"/>
              <w:left w:val="nil"/>
              <w:bottom w:val="nil"/>
              <w:right w:val="nil"/>
            </w:tcBorders>
            <w:vAlign w:val="center"/>
          </w:tcPr>
          <w:p w14:paraId="467F91C9" w14:textId="77777777" w:rsidR="000C35AF" w:rsidRPr="00D72219" w:rsidRDefault="000C35AF" w:rsidP="009238AE">
            <w:pPr>
              <w:pStyle w:val="Regresjonstabell"/>
              <w:jc w:val="right"/>
              <w:rPr>
                <w:color w:val="000000"/>
                <w:sz w:val="15"/>
                <w:szCs w:val="15"/>
              </w:rPr>
            </w:pPr>
            <w:r w:rsidRPr="00D72219">
              <w:rPr>
                <w:color w:val="000000"/>
                <w:sz w:val="15"/>
                <w:szCs w:val="15"/>
              </w:rPr>
              <w:t>(300.125)</w:t>
            </w:r>
          </w:p>
        </w:tc>
        <w:tc>
          <w:tcPr>
            <w:tcW w:w="1440" w:type="dxa"/>
            <w:tcBorders>
              <w:top w:val="nil"/>
              <w:left w:val="nil"/>
              <w:bottom w:val="nil"/>
              <w:right w:val="nil"/>
            </w:tcBorders>
            <w:vAlign w:val="center"/>
          </w:tcPr>
          <w:p w14:paraId="270898BF" w14:textId="77777777" w:rsidR="000C35AF" w:rsidRPr="00D72219" w:rsidRDefault="000C35AF" w:rsidP="009238AE">
            <w:pPr>
              <w:pStyle w:val="Regresjonstabell"/>
              <w:jc w:val="right"/>
              <w:rPr>
                <w:sz w:val="15"/>
                <w:szCs w:val="15"/>
              </w:rPr>
            </w:pPr>
            <w:r w:rsidRPr="00D72219">
              <w:rPr>
                <w:color w:val="000000"/>
                <w:sz w:val="15"/>
                <w:szCs w:val="15"/>
              </w:rPr>
              <w:t>(309.391)</w:t>
            </w:r>
          </w:p>
        </w:tc>
        <w:tc>
          <w:tcPr>
            <w:tcW w:w="1440" w:type="dxa"/>
            <w:tcBorders>
              <w:top w:val="nil"/>
              <w:left w:val="nil"/>
              <w:bottom w:val="nil"/>
              <w:right w:val="single" w:sz="4" w:space="0" w:color="auto"/>
            </w:tcBorders>
            <w:vAlign w:val="center"/>
          </w:tcPr>
          <w:p w14:paraId="0FD8B13B" w14:textId="77777777" w:rsidR="000C35AF" w:rsidRPr="00D72219" w:rsidRDefault="000C35AF" w:rsidP="009238AE">
            <w:pPr>
              <w:pStyle w:val="Regresjonstabell"/>
              <w:jc w:val="right"/>
              <w:rPr>
                <w:color w:val="000000"/>
                <w:sz w:val="15"/>
                <w:szCs w:val="15"/>
              </w:rPr>
            </w:pPr>
            <w:r w:rsidRPr="00D72219">
              <w:rPr>
                <w:color w:val="000000"/>
                <w:sz w:val="15"/>
                <w:szCs w:val="15"/>
              </w:rPr>
              <w:t>(333.815)</w:t>
            </w:r>
          </w:p>
        </w:tc>
      </w:tr>
      <w:tr w:rsidR="000C35AF" w:rsidRPr="0055149C" w14:paraId="29470E70"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1E15856A" w14:textId="77777777" w:rsidR="000C35AF" w:rsidRPr="0055149C" w:rsidRDefault="000C35AF" w:rsidP="009238AE">
            <w:pPr>
              <w:pStyle w:val="Regresjonstabell"/>
              <w:rPr>
                <w:sz w:val="15"/>
                <w:szCs w:val="15"/>
              </w:rPr>
            </w:pPr>
            <w:r w:rsidRPr="0055149C">
              <w:rPr>
                <w:sz w:val="15"/>
                <w:szCs w:val="15"/>
              </w:rPr>
              <w:t>Ikke gift på minst 67 år</w:t>
            </w:r>
          </w:p>
        </w:tc>
        <w:tc>
          <w:tcPr>
            <w:tcW w:w="1393" w:type="dxa"/>
            <w:tcBorders>
              <w:top w:val="nil"/>
              <w:left w:val="single" w:sz="4" w:space="0" w:color="auto"/>
              <w:bottom w:val="nil"/>
              <w:right w:val="nil"/>
            </w:tcBorders>
            <w:vAlign w:val="bottom"/>
          </w:tcPr>
          <w:p w14:paraId="3AAC01BC" w14:textId="77777777" w:rsidR="000C35AF" w:rsidRPr="00D72219" w:rsidRDefault="000C35AF" w:rsidP="009238AE">
            <w:pPr>
              <w:pStyle w:val="Regresjonstabell"/>
              <w:jc w:val="right"/>
              <w:rPr>
                <w:sz w:val="15"/>
                <w:szCs w:val="15"/>
              </w:rPr>
            </w:pPr>
            <w:r w:rsidRPr="00D72219">
              <w:rPr>
                <w:color w:val="000000"/>
                <w:sz w:val="15"/>
                <w:szCs w:val="15"/>
              </w:rPr>
              <w:t>22.561</w:t>
            </w:r>
          </w:p>
        </w:tc>
        <w:tc>
          <w:tcPr>
            <w:tcW w:w="1393" w:type="dxa"/>
            <w:tcBorders>
              <w:top w:val="nil"/>
              <w:left w:val="nil"/>
              <w:bottom w:val="nil"/>
              <w:right w:val="nil"/>
            </w:tcBorders>
            <w:vAlign w:val="bottom"/>
          </w:tcPr>
          <w:p w14:paraId="73CB550C" w14:textId="77777777" w:rsidR="000C35AF" w:rsidRPr="00D72219" w:rsidRDefault="000C35AF" w:rsidP="009238AE">
            <w:pPr>
              <w:pStyle w:val="Regresjonstabell"/>
              <w:jc w:val="right"/>
              <w:rPr>
                <w:color w:val="000000"/>
                <w:sz w:val="15"/>
                <w:szCs w:val="15"/>
              </w:rPr>
            </w:pPr>
            <w:r w:rsidRPr="00D72219">
              <w:rPr>
                <w:color w:val="000000"/>
                <w:sz w:val="15"/>
                <w:szCs w:val="15"/>
              </w:rPr>
              <w:t>21.959</w:t>
            </w:r>
          </w:p>
        </w:tc>
        <w:tc>
          <w:tcPr>
            <w:tcW w:w="1393" w:type="dxa"/>
            <w:tcBorders>
              <w:top w:val="nil"/>
              <w:left w:val="nil"/>
              <w:bottom w:val="nil"/>
              <w:right w:val="nil"/>
            </w:tcBorders>
            <w:vAlign w:val="bottom"/>
          </w:tcPr>
          <w:p w14:paraId="5A8A9FB3" w14:textId="77777777" w:rsidR="000C35AF" w:rsidRPr="00D72219" w:rsidRDefault="000C35AF" w:rsidP="009238AE">
            <w:pPr>
              <w:pStyle w:val="Regresjonstabell"/>
              <w:jc w:val="right"/>
              <w:rPr>
                <w:sz w:val="15"/>
                <w:szCs w:val="15"/>
              </w:rPr>
            </w:pPr>
            <w:r w:rsidRPr="00D72219">
              <w:rPr>
                <w:color w:val="000000"/>
                <w:sz w:val="15"/>
                <w:szCs w:val="15"/>
              </w:rPr>
              <w:t>19.512</w:t>
            </w:r>
          </w:p>
        </w:tc>
        <w:tc>
          <w:tcPr>
            <w:tcW w:w="1393" w:type="dxa"/>
            <w:tcBorders>
              <w:top w:val="nil"/>
              <w:left w:val="nil"/>
              <w:bottom w:val="nil"/>
              <w:right w:val="nil"/>
            </w:tcBorders>
            <w:vAlign w:val="bottom"/>
          </w:tcPr>
          <w:p w14:paraId="131D7710" w14:textId="77777777" w:rsidR="000C35AF" w:rsidRPr="00D72219" w:rsidRDefault="000C35AF" w:rsidP="009238AE">
            <w:pPr>
              <w:pStyle w:val="Regresjonstabell"/>
              <w:jc w:val="right"/>
              <w:rPr>
                <w:color w:val="000000"/>
                <w:sz w:val="15"/>
                <w:szCs w:val="15"/>
              </w:rPr>
            </w:pPr>
            <w:r w:rsidRPr="00D72219">
              <w:rPr>
                <w:color w:val="000000"/>
                <w:sz w:val="15"/>
                <w:szCs w:val="15"/>
              </w:rPr>
              <w:t>18.119</w:t>
            </w:r>
          </w:p>
        </w:tc>
        <w:tc>
          <w:tcPr>
            <w:tcW w:w="1440" w:type="dxa"/>
            <w:tcBorders>
              <w:top w:val="nil"/>
              <w:left w:val="nil"/>
              <w:bottom w:val="nil"/>
              <w:right w:val="nil"/>
            </w:tcBorders>
            <w:vAlign w:val="bottom"/>
          </w:tcPr>
          <w:p w14:paraId="6C6D5CE7" w14:textId="77777777" w:rsidR="000C35AF" w:rsidRPr="00D72219" w:rsidRDefault="000C35AF" w:rsidP="009238AE">
            <w:pPr>
              <w:pStyle w:val="Regresjonstabell"/>
              <w:jc w:val="right"/>
              <w:rPr>
                <w:sz w:val="15"/>
                <w:szCs w:val="15"/>
              </w:rPr>
            </w:pPr>
            <w:r w:rsidRPr="00D72219">
              <w:rPr>
                <w:color w:val="000000"/>
                <w:sz w:val="15"/>
                <w:szCs w:val="15"/>
              </w:rPr>
              <w:t>3.946</w:t>
            </w:r>
          </w:p>
        </w:tc>
        <w:tc>
          <w:tcPr>
            <w:tcW w:w="1393" w:type="dxa"/>
            <w:tcBorders>
              <w:top w:val="nil"/>
              <w:left w:val="nil"/>
              <w:bottom w:val="nil"/>
              <w:right w:val="nil"/>
            </w:tcBorders>
            <w:vAlign w:val="bottom"/>
          </w:tcPr>
          <w:p w14:paraId="3A91FDAF" w14:textId="77777777" w:rsidR="000C35AF" w:rsidRPr="00D72219" w:rsidRDefault="000C35AF" w:rsidP="009238AE">
            <w:pPr>
              <w:pStyle w:val="Regresjonstabell"/>
              <w:jc w:val="right"/>
              <w:rPr>
                <w:color w:val="000000"/>
                <w:sz w:val="15"/>
                <w:szCs w:val="15"/>
              </w:rPr>
            </w:pPr>
            <w:r w:rsidRPr="00D72219">
              <w:rPr>
                <w:color w:val="000000"/>
                <w:sz w:val="15"/>
                <w:szCs w:val="15"/>
              </w:rPr>
              <w:t>3.729</w:t>
            </w:r>
          </w:p>
        </w:tc>
        <w:tc>
          <w:tcPr>
            <w:tcW w:w="1440" w:type="dxa"/>
            <w:tcBorders>
              <w:top w:val="nil"/>
              <w:left w:val="nil"/>
              <w:bottom w:val="nil"/>
              <w:right w:val="nil"/>
            </w:tcBorders>
            <w:vAlign w:val="bottom"/>
          </w:tcPr>
          <w:p w14:paraId="0DBDEE7B" w14:textId="77777777" w:rsidR="000C35AF" w:rsidRPr="00D72219" w:rsidRDefault="000C35AF" w:rsidP="009238AE">
            <w:pPr>
              <w:pStyle w:val="Regresjonstabell"/>
              <w:jc w:val="right"/>
              <w:rPr>
                <w:sz w:val="15"/>
                <w:szCs w:val="15"/>
              </w:rPr>
            </w:pPr>
            <w:r w:rsidRPr="00D72219">
              <w:rPr>
                <w:color w:val="000000"/>
                <w:sz w:val="15"/>
                <w:szCs w:val="15"/>
              </w:rPr>
              <w:t>14.963</w:t>
            </w:r>
          </w:p>
        </w:tc>
        <w:tc>
          <w:tcPr>
            <w:tcW w:w="1440" w:type="dxa"/>
            <w:tcBorders>
              <w:top w:val="nil"/>
              <w:left w:val="nil"/>
              <w:bottom w:val="nil"/>
              <w:right w:val="single" w:sz="4" w:space="0" w:color="auto"/>
            </w:tcBorders>
            <w:vAlign w:val="bottom"/>
          </w:tcPr>
          <w:p w14:paraId="4A72983C" w14:textId="77777777" w:rsidR="000C35AF" w:rsidRPr="00D72219" w:rsidRDefault="000C35AF" w:rsidP="009238AE">
            <w:pPr>
              <w:pStyle w:val="Regresjonstabell"/>
              <w:jc w:val="right"/>
              <w:rPr>
                <w:color w:val="000000"/>
                <w:sz w:val="15"/>
                <w:szCs w:val="15"/>
              </w:rPr>
            </w:pPr>
            <w:r w:rsidRPr="00D72219">
              <w:rPr>
                <w:color w:val="000000"/>
                <w:sz w:val="15"/>
                <w:szCs w:val="15"/>
              </w:rPr>
              <w:t>26.246</w:t>
            </w:r>
          </w:p>
        </w:tc>
      </w:tr>
      <w:tr w:rsidR="000C35AF" w:rsidRPr="0055149C" w14:paraId="61992080"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2601B3F5" w14:textId="77777777" w:rsidR="000C35AF" w:rsidRPr="0055149C" w:rsidRDefault="000C35AF" w:rsidP="009238AE">
            <w:pPr>
              <w:pStyle w:val="Regresjonstabell"/>
              <w:rPr>
                <w:sz w:val="15"/>
                <w:szCs w:val="15"/>
              </w:rPr>
            </w:pPr>
            <w:r w:rsidRPr="0055149C">
              <w:rPr>
                <w:sz w:val="15"/>
                <w:szCs w:val="15"/>
              </w:rPr>
              <w:t>(Kriterium 19)</w:t>
            </w:r>
          </w:p>
        </w:tc>
        <w:tc>
          <w:tcPr>
            <w:tcW w:w="1393" w:type="dxa"/>
            <w:tcBorders>
              <w:top w:val="nil"/>
              <w:left w:val="single" w:sz="4" w:space="0" w:color="auto"/>
              <w:bottom w:val="nil"/>
              <w:right w:val="nil"/>
            </w:tcBorders>
            <w:vAlign w:val="center"/>
          </w:tcPr>
          <w:p w14:paraId="2A618C9B" w14:textId="77777777" w:rsidR="000C35AF" w:rsidRPr="00D72219" w:rsidRDefault="000C35AF" w:rsidP="009238AE">
            <w:pPr>
              <w:pStyle w:val="Regresjonstabell"/>
              <w:jc w:val="right"/>
              <w:rPr>
                <w:sz w:val="15"/>
                <w:szCs w:val="15"/>
              </w:rPr>
            </w:pPr>
            <w:r w:rsidRPr="00D72219">
              <w:rPr>
                <w:color w:val="000000"/>
                <w:sz w:val="15"/>
                <w:szCs w:val="15"/>
              </w:rPr>
              <w:t>(39.680)</w:t>
            </w:r>
          </w:p>
        </w:tc>
        <w:tc>
          <w:tcPr>
            <w:tcW w:w="1393" w:type="dxa"/>
            <w:tcBorders>
              <w:top w:val="nil"/>
              <w:left w:val="nil"/>
              <w:bottom w:val="nil"/>
              <w:right w:val="nil"/>
            </w:tcBorders>
            <w:vAlign w:val="center"/>
          </w:tcPr>
          <w:p w14:paraId="7B5BDE89" w14:textId="77777777" w:rsidR="000C35AF" w:rsidRPr="00D72219" w:rsidRDefault="000C35AF" w:rsidP="009238AE">
            <w:pPr>
              <w:pStyle w:val="Regresjonstabell"/>
              <w:jc w:val="right"/>
              <w:rPr>
                <w:color w:val="000000"/>
                <w:sz w:val="15"/>
                <w:szCs w:val="15"/>
              </w:rPr>
            </w:pPr>
            <w:r w:rsidRPr="00D72219">
              <w:rPr>
                <w:color w:val="000000"/>
                <w:sz w:val="15"/>
                <w:szCs w:val="15"/>
              </w:rPr>
              <w:t>(39.733)</w:t>
            </w:r>
          </w:p>
        </w:tc>
        <w:tc>
          <w:tcPr>
            <w:tcW w:w="1393" w:type="dxa"/>
            <w:tcBorders>
              <w:top w:val="nil"/>
              <w:left w:val="nil"/>
              <w:bottom w:val="nil"/>
              <w:right w:val="nil"/>
            </w:tcBorders>
            <w:vAlign w:val="center"/>
          </w:tcPr>
          <w:p w14:paraId="0E7531DF" w14:textId="77777777" w:rsidR="000C35AF" w:rsidRPr="00D72219" w:rsidRDefault="000C35AF" w:rsidP="009238AE">
            <w:pPr>
              <w:pStyle w:val="Regresjonstabell"/>
              <w:jc w:val="right"/>
              <w:rPr>
                <w:sz w:val="15"/>
                <w:szCs w:val="15"/>
              </w:rPr>
            </w:pPr>
            <w:r w:rsidRPr="00D72219">
              <w:rPr>
                <w:color w:val="000000"/>
                <w:sz w:val="15"/>
                <w:szCs w:val="15"/>
              </w:rPr>
              <w:t>(41.758)</w:t>
            </w:r>
          </w:p>
        </w:tc>
        <w:tc>
          <w:tcPr>
            <w:tcW w:w="1393" w:type="dxa"/>
            <w:tcBorders>
              <w:top w:val="nil"/>
              <w:left w:val="nil"/>
              <w:bottom w:val="nil"/>
              <w:right w:val="nil"/>
            </w:tcBorders>
            <w:vAlign w:val="center"/>
          </w:tcPr>
          <w:p w14:paraId="4106F47B" w14:textId="77777777" w:rsidR="000C35AF" w:rsidRPr="00D72219" w:rsidRDefault="000C35AF" w:rsidP="009238AE">
            <w:pPr>
              <w:pStyle w:val="Regresjonstabell"/>
              <w:jc w:val="right"/>
              <w:rPr>
                <w:color w:val="000000"/>
                <w:sz w:val="15"/>
                <w:szCs w:val="15"/>
              </w:rPr>
            </w:pPr>
            <w:r w:rsidRPr="00D72219">
              <w:rPr>
                <w:color w:val="000000"/>
                <w:sz w:val="15"/>
                <w:szCs w:val="15"/>
              </w:rPr>
              <w:t>(44.513)</w:t>
            </w:r>
          </w:p>
        </w:tc>
        <w:tc>
          <w:tcPr>
            <w:tcW w:w="1440" w:type="dxa"/>
            <w:tcBorders>
              <w:top w:val="nil"/>
              <w:left w:val="nil"/>
              <w:bottom w:val="nil"/>
              <w:right w:val="nil"/>
            </w:tcBorders>
            <w:vAlign w:val="center"/>
          </w:tcPr>
          <w:p w14:paraId="42DDDC90" w14:textId="77777777" w:rsidR="000C35AF" w:rsidRPr="00D72219" w:rsidRDefault="000C35AF" w:rsidP="009238AE">
            <w:pPr>
              <w:pStyle w:val="Regresjonstabell"/>
              <w:jc w:val="right"/>
              <w:rPr>
                <w:sz w:val="15"/>
                <w:szCs w:val="15"/>
              </w:rPr>
            </w:pPr>
            <w:r w:rsidRPr="00D72219">
              <w:rPr>
                <w:color w:val="000000"/>
                <w:sz w:val="15"/>
                <w:szCs w:val="15"/>
              </w:rPr>
              <w:t>(56.075)</w:t>
            </w:r>
          </w:p>
        </w:tc>
        <w:tc>
          <w:tcPr>
            <w:tcW w:w="1393" w:type="dxa"/>
            <w:tcBorders>
              <w:top w:val="nil"/>
              <w:left w:val="nil"/>
              <w:bottom w:val="nil"/>
              <w:right w:val="nil"/>
            </w:tcBorders>
            <w:vAlign w:val="center"/>
          </w:tcPr>
          <w:p w14:paraId="54635DE6" w14:textId="77777777" w:rsidR="000C35AF" w:rsidRPr="00D72219" w:rsidRDefault="000C35AF" w:rsidP="009238AE">
            <w:pPr>
              <w:pStyle w:val="Regresjonstabell"/>
              <w:jc w:val="right"/>
              <w:rPr>
                <w:color w:val="000000"/>
                <w:sz w:val="15"/>
                <w:szCs w:val="15"/>
              </w:rPr>
            </w:pPr>
            <w:r w:rsidRPr="00D72219">
              <w:rPr>
                <w:color w:val="000000"/>
                <w:sz w:val="15"/>
                <w:szCs w:val="15"/>
              </w:rPr>
              <w:t>(56.276)</w:t>
            </w:r>
          </w:p>
        </w:tc>
        <w:tc>
          <w:tcPr>
            <w:tcW w:w="1440" w:type="dxa"/>
            <w:tcBorders>
              <w:top w:val="nil"/>
              <w:left w:val="nil"/>
              <w:bottom w:val="nil"/>
              <w:right w:val="nil"/>
            </w:tcBorders>
            <w:vAlign w:val="center"/>
          </w:tcPr>
          <w:p w14:paraId="03161561" w14:textId="77777777" w:rsidR="000C35AF" w:rsidRPr="00D72219" w:rsidRDefault="000C35AF" w:rsidP="009238AE">
            <w:pPr>
              <w:pStyle w:val="Regresjonstabell"/>
              <w:jc w:val="right"/>
              <w:rPr>
                <w:sz w:val="15"/>
                <w:szCs w:val="15"/>
              </w:rPr>
            </w:pPr>
            <w:r w:rsidRPr="00D72219">
              <w:rPr>
                <w:color w:val="000000"/>
                <w:sz w:val="15"/>
                <w:szCs w:val="15"/>
              </w:rPr>
              <w:t>(58.331)</w:t>
            </w:r>
          </w:p>
        </w:tc>
        <w:tc>
          <w:tcPr>
            <w:tcW w:w="1440" w:type="dxa"/>
            <w:tcBorders>
              <w:top w:val="nil"/>
              <w:left w:val="nil"/>
              <w:bottom w:val="nil"/>
              <w:right w:val="single" w:sz="4" w:space="0" w:color="auto"/>
            </w:tcBorders>
            <w:vAlign w:val="center"/>
          </w:tcPr>
          <w:p w14:paraId="013ECF08" w14:textId="77777777" w:rsidR="000C35AF" w:rsidRPr="00D72219" w:rsidRDefault="000C35AF" w:rsidP="009238AE">
            <w:pPr>
              <w:pStyle w:val="Regresjonstabell"/>
              <w:jc w:val="right"/>
              <w:rPr>
                <w:color w:val="000000"/>
                <w:sz w:val="15"/>
                <w:szCs w:val="15"/>
              </w:rPr>
            </w:pPr>
            <w:r w:rsidRPr="00D72219">
              <w:rPr>
                <w:color w:val="000000"/>
                <w:sz w:val="15"/>
                <w:szCs w:val="15"/>
              </w:rPr>
              <w:t>(63.776)</w:t>
            </w:r>
          </w:p>
        </w:tc>
      </w:tr>
      <w:tr w:rsidR="000C35AF" w:rsidRPr="0055149C" w14:paraId="6CA75000"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A80C0FC" w14:textId="77777777" w:rsidR="000C35AF" w:rsidRPr="0055149C" w:rsidRDefault="000C35AF" w:rsidP="009238AE">
            <w:pPr>
              <w:pStyle w:val="Regresjonstabell"/>
              <w:rPr>
                <w:sz w:val="15"/>
                <w:szCs w:val="15"/>
              </w:rPr>
            </w:pPr>
            <w:r w:rsidRPr="0055149C">
              <w:rPr>
                <w:sz w:val="15"/>
                <w:szCs w:val="15"/>
              </w:rPr>
              <w:t>Dødelighetskriterium</w:t>
            </w:r>
          </w:p>
        </w:tc>
        <w:tc>
          <w:tcPr>
            <w:tcW w:w="1393" w:type="dxa"/>
            <w:tcBorders>
              <w:top w:val="nil"/>
              <w:left w:val="single" w:sz="4" w:space="0" w:color="auto"/>
              <w:bottom w:val="nil"/>
              <w:right w:val="nil"/>
            </w:tcBorders>
            <w:vAlign w:val="bottom"/>
          </w:tcPr>
          <w:p w14:paraId="48785F42" w14:textId="77777777" w:rsidR="000C35AF" w:rsidRPr="00D72219" w:rsidRDefault="000C35AF" w:rsidP="009238AE">
            <w:pPr>
              <w:pStyle w:val="Regresjonstabell"/>
              <w:jc w:val="right"/>
              <w:rPr>
                <w:sz w:val="15"/>
                <w:szCs w:val="15"/>
              </w:rPr>
            </w:pPr>
            <w:r w:rsidRPr="00D72219">
              <w:rPr>
                <w:color w:val="000000"/>
                <w:sz w:val="15"/>
                <w:szCs w:val="15"/>
              </w:rPr>
              <w:t>288.785</w:t>
            </w:r>
          </w:p>
        </w:tc>
        <w:tc>
          <w:tcPr>
            <w:tcW w:w="1393" w:type="dxa"/>
            <w:tcBorders>
              <w:top w:val="nil"/>
              <w:left w:val="nil"/>
              <w:bottom w:val="nil"/>
              <w:right w:val="nil"/>
            </w:tcBorders>
            <w:vAlign w:val="bottom"/>
          </w:tcPr>
          <w:p w14:paraId="4CEB4D67" w14:textId="77777777" w:rsidR="000C35AF" w:rsidRPr="00D72219" w:rsidRDefault="000C35AF" w:rsidP="009238AE">
            <w:pPr>
              <w:pStyle w:val="Regresjonstabell"/>
              <w:jc w:val="right"/>
              <w:rPr>
                <w:color w:val="000000"/>
                <w:sz w:val="15"/>
                <w:szCs w:val="15"/>
              </w:rPr>
            </w:pPr>
            <w:r w:rsidRPr="00D72219">
              <w:rPr>
                <w:color w:val="000000"/>
                <w:sz w:val="15"/>
                <w:szCs w:val="15"/>
              </w:rPr>
              <w:t>315.679</w:t>
            </w:r>
          </w:p>
        </w:tc>
        <w:tc>
          <w:tcPr>
            <w:tcW w:w="1393" w:type="dxa"/>
            <w:tcBorders>
              <w:top w:val="nil"/>
              <w:left w:val="nil"/>
              <w:bottom w:val="nil"/>
              <w:right w:val="nil"/>
            </w:tcBorders>
            <w:vAlign w:val="bottom"/>
          </w:tcPr>
          <w:p w14:paraId="7A054DDE" w14:textId="77777777" w:rsidR="000C35AF" w:rsidRPr="00D72219" w:rsidRDefault="000C35AF" w:rsidP="009238AE">
            <w:pPr>
              <w:pStyle w:val="Regresjonstabell"/>
              <w:jc w:val="right"/>
              <w:rPr>
                <w:sz w:val="15"/>
                <w:szCs w:val="15"/>
              </w:rPr>
            </w:pPr>
            <w:r w:rsidRPr="00D72219">
              <w:rPr>
                <w:color w:val="000000"/>
                <w:sz w:val="15"/>
                <w:szCs w:val="15"/>
              </w:rPr>
              <w:t>368.984</w:t>
            </w:r>
          </w:p>
        </w:tc>
        <w:tc>
          <w:tcPr>
            <w:tcW w:w="1393" w:type="dxa"/>
            <w:tcBorders>
              <w:top w:val="nil"/>
              <w:left w:val="nil"/>
              <w:bottom w:val="nil"/>
              <w:right w:val="nil"/>
            </w:tcBorders>
            <w:vAlign w:val="bottom"/>
          </w:tcPr>
          <w:p w14:paraId="38893B9B" w14:textId="77777777" w:rsidR="000C35AF" w:rsidRPr="00D72219" w:rsidRDefault="000C35AF" w:rsidP="009238AE">
            <w:pPr>
              <w:pStyle w:val="Regresjonstabell"/>
              <w:jc w:val="right"/>
              <w:rPr>
                <w:color w:val="000000"/>
                <w:sz w:val="15"/>
                <w:szCs w:val="15"/>
              </w:rPr>
            </w:pPr>
            <w:r w:rsidRPr="00D72219">
              <w:rPr>
                <w:color w:val="000000"/>
                <w:sz w:val="15"/>
                <w:szCs w:val="15"/>
              </w:rPr>
              <w:t>414.688</w:t>
            </w:r>
          </w:p>
        </w:tc>
        <w:tc>
          <w:tcPr>
            <w:tcW w:w="1440" w:type="dxa"/>
            <w:tcBorders>
              <w:top w:val="nil"/>
              <w:left w:val="nil"/>
              <w:bottom w:val="nil"/>
              <w:right w:val="nil"/>
            </w:tcBorders>
            <w:vAlign w:val="bottom"/>
          </w:tcPr>
          <w:p w14:paraId="03C069D3" w14:textId="77777777" w:rsidR="000C35AF" w:rsidRPr="00D72219" w:rsidRDefault="000C35AF" w:rsidP="009238AE">
            <w:pPr>
              <w:pStyle w:val="Regresjonstabell"/>
              <w:jc w:val="right"/>
              <w:rPr>
                <w:sz w:val="15"/>
                <w:szCs w:val="15"/>
              </w:rPr>
            </w:pPr>
            <w:r w:rsidRPr="00D72219">
              <w:rPr>
                <w:color w:val="000000"/>
                <w:sz w:val="15"/>
                <w:szCs w:val="15"/>
              </w:rPr>
              <w:t>-373.163</w:t>
            </w:r>
          </w:p>
        </w:tc>
        <w:tc>
          <w:tcPr>
            <w:tcW w:w="1393" w:type="dxa"/>
            <w:tcBorders>
              <w:top w:val="nil"/>
              <w:left w:val="nil"/>
              <w:bottom w:val="nil"/>
              <w:right w:val="nil"/>
            </w:tcBorders>
            <w:vAlign w:val="bottom"/>
          </w:tcPr>
          <w:p w14:paraId="07A88631" w14:textId="77777777" w:rsidR="000C35AF" w:rsidRPr="00D72219" w:rsidRDefault="000C35AF" w:rsidP="009238AE">
            <w:pPr>
              <w:pStyle w:val="Regresjonstabell"/>
              <w:jc w:val="right"/>
              <w:rPr>
                <w:color w:val="000000"/>
                <w:sz w:val="15"/>
                <w:szCs w:val="15"/>
              </w:rPr>
            </w:pPr>
            <w:r w:rsidRPr="00D72219">
              <w:rPr>
                <w:color w:val="000000"/>
                <w:sz w:val="15"/>
                <w:szCs w:val="15"/>
              </w:rPr>
              <w:t>-436.986</w:t>
            </w:r>
          </w:p>
        </w:tc>
        <w:tc>
          <w:tcPr>
            <w:tcW w:w="1440" w:type="dxa"/>
            <w:tcBorders>
              <w:top w:val="nil"/>
              <w:left w:val="nil"/>
              <w:bottom w:val="nil"/>
              <w:right w:val="nil"/>
            </w:tcBorders>
            <w:vAlign w:val="bottom"/>
          </w:tcPr>
          <w:p w14:paraId="6730C4AA" w14:textId="77777777" w:rsidR="000C35AF" w:rsidRPr="00D72219" w:rsidRDefault="000C35AF" w:rsidP="009238AE">
            <w:pPr>
              <w:pStyle w:val="Regresjonstabell"/>
              <w:jc w:val="right"/>
              <w:rPr>
                <w:sz w:val="15"/>
                <w:szCs w:val="15"/>
              </w:rPr>
            </w:pPr>
            <w:r w:rsidRPr="00D72219">
              <w:rPr>
                <w:color w:val="000000"/>
                <w:sz w:val="15"/>
                <w:szCs w:val="15"/>
              </w:rPr>
              <w:t>-291.094</w:t>
            </w:r>
          </w:p>
        </w:tc>
        <w:tc>
          <w:tcPr>
            <w:tcW w:w="1440" w:type="dxa"/>
            <w:tcBorders>
              <w:top w:val="nil"/>
              <w:left w:val="nil"/>
              <w:bottom w:val="nil"/>
              <w:right w:val="single" w:sz="4" w:space="0" w:color="auto"/>
            </w:tcBorders>
            <w:vAlign w:val="bottom"/>
          </w:tcPr>
          <w:p w14:paraId="54F596CE" w14:textId="77777777" w:rsidR="000C35AF" w:rsidRPr="00D72219" w:rsidRDefault="000C35AF" w:rsidP="009238AE">
            <w:pPr>
              <w:pStyle w:val="Regresjonstabell"/>
              <w:jc w:val="right"/>
              <w:rPr>
                <w:color w:val="000000"/>
                <w:sz w:val="15"/>
                <w:szCs w:val="15"/>
              </w:rPr>
            </w:pPr>
            <w:r w:rsidRPr="00D72219">
              <w:rPr>
                <w:color w:val="000000"/>
                <w:sz w:val="15"/>
                <w:szCs w:val="15"/>
              </w:rPr>
              <w:t>-206.999</w:t>
            </w:r>
          </w:p>
        </w:tc>
      </w:tr>
      <w:tr w:rsidR="000C35AF" w:rsidRPr="0055149C" w14:paraId="0CEEC327"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69B4F0CE" w14:textId="77777777" w:rsidR="000C35AF" w:rsidRPr="0055149C" w:rsidRDefault="000C35AF" w:rsidP="009238AE">
            <w:pPr>
              <w:pStyle w:val="Regresjonstabell"/>
              <w:rPr>
                <w:sz w:val="15"/>
                <w:szCs w:val="15"/>
              </w:rPr>
            </w:pPr>
            <w:r w:rsidRPr="0055149C">
              <w:rPr>
                <w:sz w:val="15"/>
                <w:szCs w:val="15"/>
              </w:rPr>
              <w:t>(Kriterium 20)</w:t>
            </w:r>
          </w:p>
        </w:tc>
        <w:tc>
          <w:tcPr>
            <w:tcW w:w="1393" w:type="dxa"/>
            <w:tcBorders>
              <w:top w:val="nil"/>
              <w:left w:val="single" w:sz="4" w:space="0" w:color="auto"/>
              <w:bottom w:val="nil"/>
              <w:right w:val="nil"/>
            </w:tcBorders>
            <w:vAlign w:val="center"/>
          </w:tcPr>
          <w:p w14:paraId="5D8702C0" w14:textId="77777777" w:rsidR="000C35AF" w:rsidRPr="00D72219" w:rsidRDefault="000C35AF" w:rsidP="009238AE">
            <w:pPr>
              <w:pStyle w:val="Regresjonstabell"/>
              <w:jc w:val="right"/>
              <w:rPr>
                <w:sz w:val="15"/>
                <w:szCs w:val="15"/>
              </w:rPr>
            </w:pPr>
            <w:r w:rsidRPr="00D72219">
              <w:rPr>
                <w:color w:val="000000"/>
                <w:sz w:val="15"/>
                <w:szCs w:val="15"/>
              </w:rPr>
              <w:t>(392.084)</w:t>
            </w:r>
          </w:p>
        </w:tc>
        <w:tc>
          <w:tcPr>
            <w:tcW w:w="1393" w:type="dxa"/>
            <w:tcBorders>
              <w:top w:val="nil"/>
              <w:left w:val="nil"/>
              <w:bottom w:val="nil"/>
              <w:right w:val="nil"/>
            </w:tcBorders>
            <w:vAlign w:val="center"/>
          </w:tcPr>
          <w:p w14:paraId="1F815984" w14:textId="77777777" w:rsidR="000C35AF" w:rsidRPr="00D72219" w:rsidRDefault="000C35AF" w:rsidP="009238AE">
            <w:pPr>
              <w:pStyle w:val="Regresjonstabell"/>
              <w:jc w:val="right"/>
              <w:rPr>
                <w:color w:val="000000"/>
                <w:sz w:val="15"/>
                <w:szCs w:val="15"/>
              </w:rPr>
            </w:pPr>
            <w:r w:rsidRPr="00D72219">
              <w:rPr>
                <w:color w:val="000000"/>
                <w:sz w:val="15"/>
                <w:szCs w:val="15"/>
              </w:rPr>
              <w:t>(399.262)</w:t>
            </w:r>
          </w:p>
        </w:tc>
        <w:tc>
          <w:tcPr>
            <w:tcW w:w="1393" w:type="dxa"/>
            <w:tcBorders>
              <w:top w:val="nil"/>
              <w:left w:val="nil"/>
              <w:bottom w:val="nil"/>
              <w:right w:val="nil"/>
            </w:tcBorders>
            <w:vAlign w:val="center"/>
          </w:tcPr>
          <w:p w14:paraId="4053E7A8" w14:textId="77777777" w:rsidR="000C35AF" w:rsidRPr="00D72219" w:rsidRDefault="000C35AF" w:rsidP="009238AE">
            <w:pPr>
              <w:pStyle w:val="Regresjonstabell"/>
              <w:jc w:val="right"/>
              <w:rPr>
                <w:sz w:val="15"/>
                <w:szCs w:val="15"/>
              </w:rPr>
            </w:pPr>
            <w:r w:rsidRPr="00D72219">
              <w:rPr>
                <w:color w:val="000000"/>
                <w:sz w:val="15"/>
                <w:szCs w:val="15"/>
              </w:rPr>
              <w:t>(417.613)</w:t>
            </w:r>
          </w:p>
        </w:tc>
        <w:tc>
          <w:tcPr>
            <w:tcW w:w="1393" w:type="dxa"/>
            <w:tcBorders>
              <w:top w:val="nil"/>
              <w:left w:val="nil"/>
              <w:bottom w:val="nil"/>
              <w:right w:val="nil"/>
            </w:tcBorders>
            <w:vAlign w:val="center"/>
          </w:tcPr>
          <w:p w14:paraId="6DEAF58A" w14:textId="77777777" w:rsidR="000C35AF" w:rsidRPr="00D72219" w:rsidRDefault="000C35AF" w:rsidP="009238AE">
            <w:pPr>
              <w:pStyle w:val="Regresjonstabell"/>
              <w:jc w:val="right"/>
              <w:rPr>
                <w:color w:val="000000"/>
                <w:sz w:val="15"/>
                <w:szCs w:val="15"/>
              </w:rPr>
            </w:pPr>
            <w:r w:rsidRPr="00D72219">
              <w:rPr>
                <w:color w:val="000000"/>
                <w:sz w:val="15"/>
                <w:szCs w:val="15"/>
              </w:rPr>
              <w:t>(442.815)</w:t>
            </w:r>
          </w:p>
        </w:tc>
        <w:tc>
          <w:tcPr>
            <w:tcW w:w="1440" w:type="dxa"/>
            <w:tcBorders>
              <w:top w:val="nil"/>
              <w:left w:val="nil"/>
              <w:bottom w:val="nil"/>
              <w:right w:val="nil"/>
            </w:tcBorders>
            <w:vAlign w:val="center"/>
          </w:tcPr>
          <w:p w14:paraId="69DAA358" w14:textId="77777777" w:rsidR="000C35AF" w:rsidRPr="00D72219" w:rsidRDefault="000C35AF" w:rsidP="009238AE">
            <w:pPr>
              <w:pStyle w:val="Regresjonstabell"/>
              <w:jc w:val="right"/>
              <w:rPr>
                <w:sz w:val="15"/>
                <w:szCs w:val="15"/>
              </w:rPr>
            </w:pPr>
            <w:r w:rsidRPr="00D72219">
              <w:rPr>
                <w:color w:val="000000"/>
                <w:sz w:val="15"/>
                <w:szCs w:val="15"/>
              </w:rPr>
              <w:t>(477.722)</w:t>
            </w:r>
          </w:p>
        </w:tc>
        <w:tc>
          <w:tcPr>
            <w:tcW w:w="1393" w:type="dxa"/>
            <w:tcBorders>
              <w:top w:val="nil"/>
              <w:left w:val="nil"/>
              <w:bottom w:val="nil"/>
              <w:right w:val="nil"/>
            </w:tcBorders>
            <w:vAlign w:val="center"/>
          </w:tcPr>
          <w:p w14:paraId="03B95CAF" w14:textId="77777777" w:rsidR="000C35AF" w:rsidRPr="00D72219" w:rsidRDefault="000C35AF" w:rsidP="009238AE">
            <w:pPr>
              <w:pStyle w:val="Regresjonstabell"/>
              <w:jc w:val="right"/>
              <w:rPr>
                <w:color w:val="000000"/>
                <w:sz w:val="15"/>
                <w:szCs w:val="15"/>
              </w:rPr>
            </w:pPr>
            <w:r w:rsidRPr="00D72219">
              <w:rPr>
                <w:color w:val="000000"/>
                <w:sz w:val="15"/>
                <w:szCs w:val="15"/>
              </w:rPr>
              <w:t>(494.337)</w:t>
            </w:r>
          </w:p>
        </w:tc>
        <w:tc>
          <w:tcPr>
            <w:tcW w:w="1440" w:type="dxa"/>
            <w:tcBorders>
              <w:top w:val="nil"/>
              <w:left w:val="nil"/>
              <w:bottom w:val="nil"/>
              <w:right w:val="nil"/>
            </w:tcBorders>
            <w:vAlign w:val="center"/>
          </w:tcPr>
          <w:p w14:paraId="792566C2" w14:textId="77777777" w:rsidR="000C35AF" w:rsidRPr="00D72219" w:rsidRDefault="000C35AF" w:rsidP="009238AE">
            <w:pPr>
              <w:pStyle w:val="Regresjonstabell"/>
              <w:jc w:val="right"/>
              <w:rPr>
                <w:sz w:val="15"/>
                <w:szCs w:val="15"/>
              </w:rPr>
            </w:pPr>
            <w:r w:rsidRPr="00D72219">
              <w:rPr>
                <w:color w:val="000000"/>
                <w:sz w:val="15"/>
                <w:szCs w:val="15"/>
              </w:rPr>
              <w:t>(526.245)</w:t>
            </w:r>
          </w:p>
        </w:tc>
        <w:tc>
          <w:tcPr>
            <w:tcW w:w="1440" w:type="dxa"/>
            <w:tcBorders>
              <w:top w:val="nil"/>
              <w:left w:val="nil"/>
              <w:bottom w:val="nil"/>
              <w:right w:val="single" w:sz="4" w:space="0" w:color="auto"/>
            </w:tcBorders>
            <w:vAlign w:val="center"/>
          </w:tcPr>
          <w:p w14:paraId="2AE421BB" w14:textId="77777777" w:rsidR="000C35AF" w:rsidRPr="00D72219" w:rsidRDefault="000C35AF" w:rsidP="009238AE">
            <w:pPr>
              <w:pStyle w:val="Regresjonstabell"/>
              <w:jc w:val="right"/>
              <w:rPr>
                <w:color w:val="000000"/>
                <w:sz w:val="15"/>
                <w:szCs w:val="15"/>
              </w:rPr>
            </w:pPr>
            <w:r w:rsidRPr="00D72219">
              <w:rPr>
                <w:color w:val="000000"/>
                <w:sz w:val="15"/>
                <w:szCs w:val="15"/>
              </w:rPr>
              <w:t>(600.022)</w:t>
            </w:r>
          </w:p>
        </w:tc>
      </w:tr>
      <w:tr w:rsidR="000C35AF" w:rsidRPr="0055149C" w14:paraId="2725C1D2"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3EC155D5" w14:textId="77777777" w:rsidR="000C35AF" w:rsidRPr="0055149C" w:rsidRDefault="000C35AF" w:rsidP="009238AE">
            <w:pPr>
              <w:pStyle w:val="Regresjonstabell"/>
              <w:rPr>
                <w:color w:val="000000"/>
                <w:sz w:val="15"/>
                <w:szCs w:val="15"/>
              </w:rPr>
            </w:pPr>
            <w:r w:rsidRPr="0055149C">
              <w:rPr>
                <w:sz w:val="15"/>
                <w:szCs w:val="15"/>
              </w:rPr>
              <w:t>Samlede frie inntekter</w:t>
            </w:r>
          </w:p>
        </w:tc>
        <w:tc>
          <w:tcPr>
            <w:tcW w:w="1393" w:type="dxa"/>
            <w:tcBorders>
              <w:top w:val="nil"/>
              <w:left w:val="single" w:sz="4" w:space="0" w:color="auto"/>
              <w:bottom w:val="nil"/>
              <w:right w:val="nil"/>
            </w:tcBorders>
            <w:vAlign w:val="bottom"/>
          </w:tcPr>
          <w:p w14:paraId="1A069BBB" w14:textId="77777777" w:rsidR="000C35AF" w:rsidRPr="00D72219" w:rsidRDefault="000C35AF" w:rsidP="009238AE">
            <w:pPr>
              <w:pStyle w:val="Regresjonstabell"/>
              <w:jc w:val="right"/>
              <w:rPr>
                <w:sz w:val="15"/>
                <w:szCs w:val="15"/>
              </w:rPr>
            </w:pPr>
            <w:r w:rsidRPr="00D72219">
              <w:rPr>
                <w:color w:val="000000"/>
                <w:sz w:val="15"/>
                <w:szCs w:val="15"/>
              </w:rPr>
              <w:t>0.315***</w:t>
            </w:r>
          </w:p>
        </w:tc>
        <w:tc>
          <w:tcPr>
            <w:tcW w:w="1393" w:type="dxa"/>
            <w:tcBorders>
              <w:top w:val="nil"/>
              <w:left w:val="nil"/>
              <w:bottom w:val="nil"/>
              <w:right w:val="nil"/>
            </w:tcBorders>
            <w:vAlign w:val="bottom"/>
          </w:tcPr>
          <w:p w14:paraId="0A911620" w14:textId="77777777" w:rsidR="000C35AF" w:rsidRPr="00D72219" w:rsidRDefault="000C35AF" w:rsidP="009238AE">
            <w:pPr>
              <w:pStyle w:val="Regresjonstabell"/>
              <w:jc w:val="right"/>
              <w:rPr>
                <w:color w:val="000000"/>
                <w:sz w:val="15"/>
                <w:szCs w:val="15"/>
              </w:rPr>
            </w:pPr>
            <w:r w:rsidRPr="00D72219">
              <w:rPr>
                <w:color w:val="000000"/>
                <w:sz w:val="15"/>
                <w:szCs w:val="15"/>
              </w:rPr>
              <w:t>0.326***</w:t>
            </w:r>
          </w:p>
        </w:tc>
        <w:tc>
          <w:tcPr>
            <w:tcW w:w="1393" w:type="dxa"/>
            <w:tcBorders>
              <w:top w:val="nil"/>
              <w:left w:val="nil"/>
              <w:bottom w:val="nil"/>
              <w:right w:val="nil"/>
            </w:tcBorders>
            <w:vAlign w:val="bottom"/>
          </w:tcPr>
          <w:p w14:paraId="7B0A7E25" w14:textId="77777777" w:rsidR="000C35AF" w:rsidRPr="00D72219" w:rsidRDefault="000C35AF" w:rsidP="009238AE">
            <w:pPr>
              <w:pStyle w:val="Regresjonstabell"/>
              <w:jc w:val="right"/>
              <w:rPr>
                <w:sz w:val="15"/>
                <w:szCs w:val="15"/>
              </w:rPr>
            </w:pPr>
            <w:r w:rsidRPr="00D72219">
              <w:rPr>
                <w:color w:val="000000"/>
                <w:sz w:val="15"/>
                <w:szCs w:val="15"/>
              </w:rPr>
              <w:t>0.333***</w:t>
            </w:r>
          </w:p>
        </w:tc>
        <w:tc>
          <w:tcPr>
            <w:tcW w:w="1393" w:type="dxa"/>
            <w:tcBorders>
              <w:top w:val="nil"/>
              <w:left w:val="nil"/>
              <w:bottom w:val="nil"/>
              <w:right w:val="nil"/>
            </w:tcBorders>
            <w:vAlign w:val="bottom"/>
          </w:tcPr>
          <w:p w14:paraId="5C965E4E" w14:textId="77777777" w:rsidR="000C35AF" w:rsidRPr="00D72219" w:rsidRDefault="000C35AF" w:rsidP="009238AE">
            <w:pPr>
              <w:pStyle w:val="Regresjonstabell"/>
              <w:jc w:val="right"/>
              <w:rPr>
                <w:color w:val="000000"/>
                <w:sz w:val="15"/>
                <w:szCs w:val="15"/>
              </w:rPr>
            </w:pPr>
            <w:r w:rsidRPr="00D72219">
              <w:rPr>
                <w:color w:val="000000"/>
                <w:sz w:val="15"/>
                <w:szCs w:val="15"/>
              </w:rPr>
              <w:t>0.344***</w:t>
            </w:r>
          </w:p>
        </w:tc>
        <w:tc>
          <w:tcPr>
            <w:tcW w:w="1440" w:type="dxa"/>
            <w:tcBorders>
              <w:top w:val="nil"/>
              <w:left w:val="nil"/>
              <w:bottom w:val="nil"/>
              <w:right w:val="nil"/>
            </w:tcBorders>
            <w:vAlign w:val="bottom"/>
          </w:tcPr>
          <w:p w14:paraId="0FACC2C3" w14:textId="77777777" w:rsidR="000C35AF" w:rsidRPr="00D72219" w:rsidRDefault="000C35AF" w:rsidP="009238AE">
            <w:pPr>
              <w:pStyle w:val="Regresjonstabell"/>
              <w:jc w:val="right"/>
              <w:rPr>
                <w:sz w:val="15"/>
                <w:szCs w:val="15"/>
              </w:rPr>
            </w:pPr>
            <w:r w:rsidRPr="00D72219">
              <w:rPr>
                <w:color w:val="000000"/>
                <w:sz w:val="15"/>
                <w:szCs w:val="15"/>
              </w:rPr>
              <w:t>0.335***</w:t>
            </w:r>
          </w:p>
        </w:tc>
        <w:tc>
          <w:tcPr>
            <w:tcW w:w="1393" w:type="dxa"/>
            <w:tcBorders>
              <w:top w:val="nil"/>
              <w:left w:val="nil"/>
              <w:bottom w:val="nil"/>
              <w:right w:val="nil"/>
            </w:tcBorders>
            <w:vAlign w:val="bottom"/>
          </w:tcPr>
          <w:p w14:paraId="71B85FF2" w14:textId="77777777" w:rsidR="000C35AF" w:rsidRPr="00D72219" w:rsidRDefault="000C35AF" w:rsidP="009238AE">
            <w:pPr>
              <w:pStyle w:val="Regresjonstabell"/>
              <w:jc w:val="right"/>
              <w:rPr>
                <w:color w:val="000000"/>
                <w:sz w:val="15"/>
                <w:szCs w:val="15"/>
              </w:rPr>
            </w:pPr>
            <w:r w:rsidRPr="00D72219">
              <w:rPr>
                <w:color w:val="000000"/>
                <w:sz w:val="15"/>
                <w:szCs w:val="15"/>
              </w:rPr>
              <w:t>0.339***</w:t>
            </w:r>
          </w:p>
        </w:tc>
        <w:tc>
          <w:tcPr>
            <w:tcW w:w="1440" w:type="dxa"/>
            <w:tcBorders>
              <w:top w:val="nil"/>
              <w:left w:val="nil"/>
              <w:bottom w:val="nil"/>
              <w:right w:val="nil"/>
            </w:tcBorders>
            <w:vAlign w:val="bottom"/>
          </w:tcPr>
          <w:p w14:paraId="4945AE17" w14:textId="77777777" w:rsidR="000C35AF" w:rsidRPr="00D72219" w:rsidRDefault="000C35AF" w:rsidP="009238AE">
            <w:pPr>
              <w:pStyle w:val="Regresjonstabell"/>
              <w:jc w:val="right"/>
              <w:rPr>
                <w:sz w:val="15"/>
                <w:szCs w:val="15"/>
              </w:rPr>
            </w:pPr>
            <w:r w:rsidRPr="00D72219">
              <w:rPr>
                <w:color w:val="000000"/>
                <w:sz w:val="15"/>
                <w:szCs w:val="15"/>
              </w:rPr>
              <w:t>0.347***</w:t>
            </w:r>
          </w:p>
        </w:tc>
        <w:tc>
          <w:tcPr>
            <w:tcW w:w="1440" w:type="dxa"/>
            <w:tcBorders>
              <w:top w:val="nil"/>
              <w:left w:val="nil"/>
              <w:bottom w:val="nil"/>
              <w:right w:val="single" w:sz="4" w:space="0" w:color="auto"/>
            </w:tcBorders>
            <w:vAlign w:val="bottom"/>
          </w:tcPr>
          <w:p w14:paraId="113486D8" w14:textId="77777777" w:rsidR="000C35AF" w:rsidRPr="00D72219" w:rsidRDefault="000C35AF" w:rsidP="009238AE">
            <w:pPr>
              <w:pStyle w:val="Regresjonstabell"/>
              <w:jc w:val="right"/>
              <w:rPr>
                <w:color w:val="000000"/>
                <w:sz w:val="15"/>
                <w:szCs w:val="15"/>
              </w:rPr>
            </w:pPr>
            <w:r w:rsidRPr="00D72219">
              <w:rPr>
                <w:color w:val="000000"/>
                <w:sz w:val="15"/>
                <w:szCs w:val="15"/>
              </w:rPr>
              <w:t>0.360***</w:t>
            </w:r>
          </w:p>
        </w:tc>
      </w:tr>
      <w:tr w:rsidR="000C35AF" w:rsidRPr="0055149C" w14:paraId="30F14BE9"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6E89555A" w14:textId="77777777" w:rsidR="000C35AF" w:rsidRPr="0055149C" w:rsidRDefault="000C35AF" w:rsidP="009238AE">
            <w:pPr>
              <w:pStyle w:val="Regresjonstabell"/>
              <w:rPr>
                <w:color w:val="000000"/>
                <w:sz w:val="15"/>
                <w:szCs w:val="15"/>
              </w:rPr>
            </w:pPr>
            <w:r w:rsidRPr="0055149C">
              <w:rPr>
                <w:sz w:val="15"/>
                <w:szCs w:val="15"/>
              </w:rPr>
              <w:t>(i tusener kroner)</w:t>
            </w:r>
          </w:p>
        </w:tc>
        <w:tc>
          <w:tcPr>
            <w:tcW w:w="1393" w:type="dxa"/>
            <w:tcBorders>
              <w:top w:val="nil"/>
              <w:left w:val="single" w:sz="4" w:space="0" w:color="auto"/>
              <w:bottom w:val="nil"/>
              <w:right w:val="nil"/>
            </w:tcBorders>
            <w:vAlign w:val="center"/>
          </w:tcPr>
          <w:p w14:paraId="259C4326" w14:textId="77777777" w:rsidR="000C35AF" w:rsidRPr="00D72219" w:rsidRDefault="000C35AF" w:rsidP="009238AE">
            <w:pPr>
              <w:pStyle w:val="Regresjonstabell"/>
              <w:jc w:val="right"/>
              <w:rPr>
                <w:sz w:val="15"/>
                <w:szCs w:val="15"/>
              </w:rPr>
            </w:pPr>
            <w:r w:rsidRPr="00D72219">
              <w:rPr>
                <w:color w:val="000000"/>
                <w:sz w:val="15"/>
                <w:szCs w:val="15"/>
              </w:rPr>
              <w:t>(0.055)</w:t>
            </w:r>
          </w:p>
        </w:tc>
        <w:tc>
          <w:tcPr>
            <w:tcW w:w="1393" w:type="dxa"/>
            <w:tcBorders>
              <w:top w:val="nil"/>
              <w:left w:val="nil"/>
              <w:bottom w:val="nil"/>
              <w:right w:val="nil"/>
            </w:tcBorders>
            <w:vAlign w:val="center"/>
          </w:tcPr>
          <w:p w14:paraId="76C8E08B" w14:textId="77777777" w:rsidR="000C35AF" w:rsidRPr="00D72219" w:rsidRDefault="000C35AF" w:rsidP="009238AE">
            <w:pPr>
              <w:pStyle w:val="Regresjonstabell"/>
              <w:jc w:val="right"/>
              <w:rPr>
                <w:color w:val="000000"/>
                <w:sz w:val="15"/>
                <w:szCs w:val="15"/>
              </w:rPr>
            </w:pPr>
            <w:r w:rsidRPr="00D72219">
              <w:rPr>
                <w:color w:val="000000"/>
                <w:sz w:val="15"/>
                <w:szCs w:val="15"/>
              </w:rPr>
              <w:t>(0.053)</w:t>
            </w:r>
          </w:p>
        </w:tc>
        <w:tc>
          <w:tcPr>
            <w:tcW w:w="1393" w:type="dxa"/>
            <w:tcBorders>
              <w:top w:val="nil"/>
              <w:left w:val="nil"/>
              <w:bottom w:val="nil"/>
              <w:right w:val="nil"/>
            </w:tcBorders>
            <w:vAlign w:val="center"/>
          </w:tcPr>
          <w:p w14:paraId="135B293D" w14:textId="77777777" w:rsidR="000C35AF" w:rsidRPr="00D72219" w:rsidRDefault="000C35AF" w:rsidP="009238AE">
            <w:pPr>
              <w:pStyle w:val="Regresjonstabell"/>
              <w:jc w:val="right"/>
              <w:rPr>
                <w:sz w:val="15"/>
                <w:szCs w:val="15"/>
              </w:rPr>
            </w:pPr>
            <w:r w:rsidRPr="00D72219">
              <w:rPr>
                <w:color w:val="000000"/>
                <w:sz w:val="15"/>
                <w:szCs w:val="15"/>
              </w:rPr>
              <w:t>(0.054)</w:t>
            </w:r>
          </w:p>
        </w:tc>
        <w:tc>
          <w:tcPr>
            <w:tcW w:w="1393" w:type="dxa"/>
            <w:tcBorders>
              <w:top w:val="nil"/>
              <w:left w:val="nil"/>
              <w:bottom w:val="nil"/>
              <w:right w:val="nil"/>
            </w:tcBorders>
            <w:vAlign w:val="center"/>
          </w:tcPr>
          <w:p w14:paraId="2B49BCA3" w14:textId="77777777" w:rsidR="000C35AF" w:rsidRPr="00D72219" w:rsidRDefault="000C35AF" w:rsidP="009238AE">
            <w:pPr>
              <w:pStyle w:val="Regresjonstabell"/>
              <w:jc w:val="right"/>
              <w:rPr>
                <w:color w:val="000000"/>
                <w:sz w:val="15"/>
                <w:szCs w:val="15"/>
              </w:rPr>
            </w:pPr>
            <w:r w:rsidRPr="00D72219">
              <w:rPr>
                <w:color w:val="000000"/>
                <w:sz w:val="15"/>
                <w:szCs w:val="15"/>
              </w:rPr>
              <w:t>(0.055)</w:t>
            </w:r>
          </w:p>
        </w:tc>
        <w:tc>
          <w:tcPr>
            <w:tcW w:w="1440" w:type="dxa"/>
            <w:tcBorders>
              <w:top w:val="nil"/>
              <w:left w:val="nil"/>
              <w:bottom w:val="nil"/>
              <w:right w:val="nil"/>
            </w:tcBorders>
            <w:vAlign w:val="center"/>
          </w:tcPr>
          <w:p w14:paraId="46D68AE3" w14:textId="77777777" w:rsidR="000C35AF" w:rsidRPr="00D72219" w:rsidRDefault="000C35AF" w:rsidP="009238AE">
            <w:pPr>
              <w:pStyle w:val="Regresjonstabell"/>
              <w:jc w:val="right"/>
              <w:rPr>
                <w:sz w:val="15"/>
                <w:szCs w:val="15"/>
              </w:rPr>
            </w:pPr>
            <w:r w:rsidRPr="00D72219">
              <w:rPr>
                <w:color w:val="000000"/>
                <w:sz w:val="15"/>
                <w:szCs w:val="15"/>
              </w:rPr>
              <w:t>(0.042)</w:t>
            </w:r>
          </w:p>
        </w:tc>
        <w:tc>
          <w:tcPr>
            <w:tcW w:w="1393" w:type="dxa"/>
            <w:tcBorders>
              <w:top w:val="nil"/>
              <w:left w:val="nil"/>
              <w:bottom w:val="nil"/>
              <w:right w:val="nil"/>
            </w:tcBorders>
            <w:vAlign w:val="center"/>
          </w:tcPr>
          <w:p w14:paraId="2F9AFFDB" w14:textId="77777777" w:rsidR="000C35AF" w:rsidRPr="00D72219" w:rsidRDefault="000C35AF" w:rsidP="009238AE">
            <w:pPr>
              <w:pStyle w:val="Regresjonstabell"/>
              <w:jc w:val="right"/>
              <w:rPr>
                <w:color w:val="000000"/>
                <w:sz w:val="15"/>
                <w:szCs w:val="15"/>
              </w:rPr>
            </w:pPr>
            <w:r w:rsidRPr="00D72219">
              <w:rPr>
                <w:color w:val="000000"/>
                <w:sz w:val="15"/>
                <w:szCs w:val="15"/>
              </w:rPr>
              <w:t>(0.042)</w:t>
            </w:r>
          </w:p>
        </w:tc>
        <w:tc>
          <w:tcPr>
            <w:tcW w:w="1440" w:type="dxa"/>
            <w:tcBorders>
              <w:top w:val="nil"/>
              <w:left w:val="nil"/>
              <w:bottom w:val="nil"/>
              <w:right w:val="nil"/>
            </w:tcBorders>
            <w:vAlign w:val="center"/>
          </w:tcPr>
          <w:p w14:paraId="685642C8" w14:textId="77777777" w:rsidR="000C35AF" w:rsidRPr="00D72219" w:rsidRDefault="000C35AF" w:rsidP="009238AE">
            <w:pPr>
              <w:pStyle w:val="Regresjonstabell"/>
              <w:jc w:val="right"/>
              <w:rPr>
                <w:sz w:val="15"/>
                <w:szCs w:val="15"/>
              </w:rPr>
            </w:pPr>
            <w:r w:rsidRPr="00D72219">
              <w:rPr>
                <w:color w:val="000000"/>
                <w:sz w:val="15"/>
                <w:szCs w:val="15"/>
              </w:rPr>
              <w:t>(0.044)</w:t>
            </w:r>
          </w:p>
        </w:tc>
        <w:tc>
          <w:tcPr>
            <w:tcW w:w="1440" w:type="dxa"/>
            <w:tcBorders>
              <w:top w:val="nil"/>
              <w:left w:val="nil"/>
              <w:bottom w:val="nil"/>
              <w:right w:val="single" w:sz="4" w:space="0" w:color="auto"/>
            </w:tcBorders>
            <w:vAlign w:val="center"/>
          </w:tcPr>
          <w:p w14:paraId="504CE4C5" w14:textId="77777777" w:rsidR="000C35AF" w:rsidRPr="00D72219" w:rsidRDefault="000C35AF" w:rsidP="009238AE">
            <w:pPr>
              <w:pStyle w:val="Regresjonstabell"/>
              <w:jc w:val="right"/>
              <w:rPr>
                <w:color w:val="000000"/>
                <w:sz w:val="15"/>
                <w:szCs w:val="15"/>
              </w:rPr>
            </w:pPr>
            <w:r w:rsidRPr="00D72219">
              <w:rPr>
                <w:color w:val="000000"/>
                <w:sz w:val="15"/>
                <w:szCs w:val="15"/>
              </w:rPr>
              <w:t>(0.049)</w:t>
            </w:r>
          </w:p>
        </w:tc>
      </w:tr>
      <w:tr w:rsidR="000C35AF" w:rsidRPr="0055149C" w14:paraId="5A54A0DE"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33F9E42A" w14:textId="77777777" w:rsidR="000C35AF" w:rsidRPr="0055149C" w:rsidRDefault="000C35AF" w:rsidP="009238AE">
            <w:pPr>
              <w:pStyle w:val="Regresjonstabell"/>
              <w:rPr>
                <w:sz w:val="15"/>
                <w:szCs w:val="15"/>
              </w:rPr>
            </w:pPr>
            <w:r w:rsidRPr="0055149C">
              <w:rPr>
                <w:color w:val="000000"/>
                <w:sz w:val="15"/>
                <w:szCs w:val="15"/>
              </w:rPr>
              <w:t>Konstantleddet</w:t>
            </w:r>
          </w:p>
        </w:tc>
        <w:tc>
          <w:tcPr>
            <w:tcW w:w="1393" w:type="dxa"/>
            <w:tcBorders>
              <w:top w:val="nil"/>
              <w:left w:val="single" w:sz="4" w:space="0" w:color="auto"/>
              <w:bottom w:val="nil"/>
              <w:right w:val="nil"/>
            </w:tcBorders>
            <w:vAlign w:val="bottom"/>
          </w:tcPr>
          <w:p w14:paraId="14B2F3C8" w14:textId="77777777" w:rsidR="000C35AF" w:rsidRPr="00D72219" w:rsidRDefault="000C35AF" w:rsidP="009238AE">
            <w:pPr>
              <w:pStyle w:val="Regresjonstabell"/>
              <w:jc w:val="right"/>
              <w:rPr>
                <w:sz w:val="15"/>
                <w:szCs w:val="15"/>
              </w:rPr>
            </w:pPr>
            <w:r w:rsidRPr="00D72219">
              <w:rPr>
                <w:color w:val="000000"/>
                <w:sz w:val="15"/>
                <w:szCs w:val="15"/>
              </w:rPr>
              <w:t>-7.581</w:t>
            </w:r>
          </w:p>
        </w:tc>
        <w:tc>
          <w:tcPr>
            <w:tcW w:w="1393" w:type="dxa"/>
            <w:tcBorders>
              <w:top w:val="nil"/>
              <w:left w:val="nil"/>
              <w:bottom w:val="nil"/>
              <w:right w:val="nil"/>
            </w:tcBorders>
            <w:vAlign w:val="bottom"/>
          </w:tcPr>
          <w:p w14:paraId="303EEEF0" w14:textId="77777777" w:rsidR="000C35AF" w:rsidRPr="00D72219" w:rsidRDefault="000C35AF" w:rsidP="009238AE">
            <w:pPr>
              <w:pStyle w:val="Regresjonstabell"/>
              <w:jc w:val="right"/>
              <w:rPr>
                <w:sz w:val="15"/>
                <w:szCs w:val="15"/>
              </w:rPr>
            </w:pPr>
            <w:r w:rsidRPr="00D72219">
              <w:rPr>
                <w:color w:val="000000"/>
                <w:sz w:val="15"/>
                <w:szCs w:val="15"/>
              </w:rPr>
              <w:t>-4.460</w:t>
            </w:r>
          </w:p>
        </w:tc>
        <w:tc>
          <w:tcPr>
            <w:tcW w:w="1393" w:type="dxa"/>
            <w:tcBorders>
              <w:top w:val="nil"/>
              <w:left w:val="nil"/>
              <w:bottom w:val="nil"/>
              <w:right w:val="nil"/>
            </w:tcBorders>
            <w:vAlign w:val="bottom"/>
          </w:tcPr>
          <w:p w14:paraId="79613843" w14:textId="77777777" w:rsidR="000C35AF" w:rsidRPr="00D72219" w:rsidRDefault="000C35AF" w:rsidP="009238AE">
            <w:pPr>
              <w:pStyle w:val="Regresjonstabell"/>
              <w:jc w:val="right"/>
              <w:rPr>
                <w:sz w:val="15"/>
                <w:szCs w:val="15"/>
              </w:rPr>
            </w:pPr>
            <w:r w:rsidRPr="00D72219">
              <w:rPr>
                <w:color w:val="000000"/>
                <w:sz w:val="15"/>
                <w:szCs w:val="15"/>
              </w:rPr>
              <w:t>-10.832</w:t>
            </w:r>
          </w:p>
        </w:tc>
        <w:tc>
          <w:tcPr>
            <w:tcW w:w="1393" w:type="dxa"/>
            <w:tcBorders>
              <w:top w:val="nil"/>
              <w:left w:val="nil"/>
              <w:bottom w:val="nil"/>
              <w:right w:val="nil"/>
            </w:tcBorders>
            <w:vAlign w:val="bottom"/>
          </w:tcPr>
          <w:p w14:paraId="21B862B2" w14:textId="77777777" w:rsidR="000C35AF" w:rsidRPr="00D72219" w:rsidRDefault="000C35AF" w:rsidP="009238AE">
            <w:pPr>
              <w:pStyle w:val="Regresjonstabell"/>
              <w:jc w:val="right"/>
              <w:rPr>
                <w:sz w:val="15"/>
                <w:szCs w:val="15"/>
              </w:rPr>
            </w:pPr>
            <w:r w:rsidRPr="00D72219">
              <w:rPr>
                <w:color w:val="000000"/>
                <w:sz w:val="15"/>
                <w:szCs w:val="15"/>
              </w:rPr>
              <w:t>-12.743</w:t>
            </w:r>
          </w:p>
        </w:tc>
        <w:tc>
          <w:tcPr>
            <w:tcW w:w="1440" w:type="dxa"/>
            <w:tcBorders>
              <w:top w:val="nil"/>
              <w:left w:val="nil"/>
              <w:bottom w:val="nil"/>
              <w:right w:val="nil"/>
            </w:tcBorders>
            <w:vAlign w:val="bottom"/>
          </w:tcPr>
          <w:p w14:paraId="39AEFFFC" w14:textId="77777777" w:rsidR="000C35AF" w:rsidRPr="00D72219" w:rsidRDefault="000C35AF" w:rsidP="009238AE">
            <w:pPr>
              <w:pStyle w:val="Regresjonstabell"/>
              <w:jc w:val="right"/>
              <w:rPr>
                <w:sz w:val="15"/>
                <w:szCs w:val="15"/>
              </w:rPr>
            </w:pPr>
            <w:r w:rsidRPr="00D72219">
              <w:rPr>
                <w:color w:val="000000"/>
                <w:sz w:val="15"/>
                <w:szCs w:val="15"/>
              </w:rPr>
              <w:t>42.589</w:t>
            </w:r>
          </w:p>
        </w:tc>
        <w:tc>
          <w:tcPr>
            <w:tcW w:w="1393" w:type="dxa"/>
            <w:tcBorders>
              <w:top w:val="nil"/>
              <w:left w:val="nil"/>
              <w:bottom w:val="nil"/>
              <w:right w:val="nil"/>
            </w:tcBorders>
            <w:vAlign w:val="bottom"/>
          </w:tcPr>
          <w:p w14:paraId="099F3EAB" w14:textId="77777777" w:rsidR="000C35AF" w:rsidRPr="00D72219" w:rsidRDefault="000C35AF" w:rsidP="009238AE">
            <w:pPr>
              <w:pStyle w:val="Regresjonstabell"/>
              <w:jc w:val="right"/>
              <w:rPr>
                <w:sz w:val="15"/>
                <w:szCs w:val="15"/>
              </w:rPr>
            </w:pPr>
            <w:r w:rsidRPr="00D72219">
              <w:rPr>
                <w:color w:val="000000"/>
                <w:sz w:val="15"/>
                <w:szCs w:val="15"/>
              </w:rPr>
              <w:t>38.138</w:t>
            </w:r>
          </w:p>
        </w:tc>
        <w:tc>
          <w:tcPr>
            <w:tcW w:w="1440" w:type="dxa"/>
            <w:tcBorders>
              <w:top w:val="nil"/>
              <w:left w:val="nil"/>
              <w:bottom w:val="nil"/>
              <w:right w:val="nil"/>
            </w:tcBorders>
            <w:vAlign w:val="bottom"/>
          </w:tcPr>
          <w:p w14:paraId="3D33CA9D" w14:textId="77777777" w:rsidR="000C35AF" w:rsidRPr="00D72219" w:rsidRDefault="000C35AF" w:rsidP="009238AE">
            <w:pPr>
              <w:pStyle w:val="Regresjonstabell"/>
              <w:jc w:val="right"/>
              <w:rPr>
                <w:sz w:val="15"/>
                <w:szCs w:val="15"/>
              </w:rPr>
            </w:pPr>
            <w:r w:rsidRPr="00D72219">
              <w:rPr>
                <w:color w:val="000000"/>
                <w:sz w:val="15"/>
                <w:szCs w:val="15"/>
              </w:rPr>
              <w:t>50.532</w:t>
            </w:r>
          </w:p>
        </w:tc>
        <w:tc>
          <w:tcPr>
            <w:tcW w:w="1440" w:type="dxa"/>
            <w:tcBorders>
              <w:top w:val="nil"/>
              <w:left w:val="nil"/>
              <w:bottom w:val="nil"/>
              <w:right w:val="single" w:sz="4" w:space="0" w:color="auto"/>
            </w:tcBorders>
            <w:vAlign w:val="bottom"/>
          </w:tcPr>
          <w:p w14:paraId="06F0AE1F" w14:textId="77777777" w:rsidR="000C35AF" w:rsidRPr="00D72219" w:rsidRDefault="000C35AF" w:rsidP="009238AE">
            <w:pPr>
              <w:pStyle w:val="Regresjonstabell"/>
              <w:jc w:val="right"/>
              <w:rPr>
                <w:sz w:val="15"/>
                <w:szCs w:val="15"/>
              </w:rPr>
            </w:pPr>
            <w:r w:rsidRPr="00D72219">
              <w:rPr>
                <w:color w:val="000000"/>
                <w:sz w:val="15"/>
                <w:szCs w:val="15"/>
              </w:rPr>
              <w:t>58.668</w:t>
            </w:r>
          </w:p>
        </w:tc>
      </w:tr>
      <w:tr w:rsidR="000C35AF" w:rsidRPr="0055149C" w14:paraId="61A6CD81"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BAC5B08" w14:textId="77777777" w:rsidR="000C35AF" w:rsidRPr="0055149C" w:rsidRDefault="000C35AF" w:rsidP="009238AE">
            <w:pPr>
              <w:pStyle w:val="Regresjonstabell"/>
              <w:rPr>
                <w:sz w:val="15"/>
                <w:szCs w:val="15"/>
              </w:rPr>
            </w:pPr>
            <w:r w:rsidRPr="0055149C">
              <w:rPr>
                <w:sz w:val="15"/>
                <w:szCs w:val="15"/>
              </w:rPr>
              <w:t>(skjæringspunktet)</w:t>
            </w:r>
          </w:p>
        </w:tc>
        <w:tc>
          <w:tcPr>
            <w:tcW w:w="1393" w:type="dxa"/>
            <w:tcBorders>
              <w:top w:val="nil"/>
              <w:left w:val="single" w:sz="4" w:space="0" w:color="auto"/>
              <w:bottom w:val="nil"/>
              <w:right w:val="nil"/>
            </w:tcBorders>
            <w:vAlign w:val="center"/>
          </w:tcPr>
          <w:p w14:paraId="1E2D41D0" w14:textId="77777777" w:rsidR="000C35AF" w:rsidRPr="00D72219" w:rsidRDefault="000C35AF" w:rsidP="009238AE">
            <w:pPr>
              <w:pStyle w:val="Regresjonstabell"/>
              <w:jc w:val="right"/>
              <w:rPr>
                <w:sz w:val="15"/>
                <w:szCs w:val="15"/>
              </w:rPr>
            </w:pPr>
            <w:r w:rsidRPr="00D72219">
              <w:rPr>
                <w:color w:val="000000"/>
                <w:sz w:val="15"/>
                <w:szCs w:val="15"/>
              </w:rPr>
              <w:t>(38.174)</w:t>
            </w:r>
          </w:p>
        </w:tc>
        <w:tc>
          <w:tcPr>
            <w:tcW w:w="1393" w:type="dxa"/>
            <w:tcBorders>
              <w:top w:val="nil"/>
              <w:left w:val="nil"/>
              <w:bottom w:val="nil"/>
              <w:right w:val="nil"/>
            </w:tcBorders>
            <w:vAlign w:val="center"/>
          </w:tcPr>
          <w:p w14:paraId="49427E70" w14:textId="77777777" w:rsidR="000C35AF" w:rsidRPr="00D72219" w:rsidRDefault="000C35AF" w:rsidP="009238AE">
            <w:pPr>
              <w:pStyle w:val="Regresjonstabell"/>
              <w:jc w:val="right"/>
              <w:rPr>
                <w:sz w:val="15"/>
                <w:szCs w:val="15"/>
              </w:rPr>
            </w:pPr>
            <w:r w:rsidRPr="00D72219">
              <w:rPr>
                <w:color w:val="000000"/>
                <w:sz w:val="15"/>
                <w:szCs w:val="15"/>
              </w:rPr>
              <w:t>(39.482)</w:t>
            </w:r>
          </w:p>
        </w:tc>
        <w:tc>
          <w:tcPr>
            <w:tcW w:w="1393" w:type="dxa"/>
            <w:tcBorders>
              <w:top w:val="nil"/>
              <w:left w:val="nil"/>
              <w:bottom w:val="nil"/>
              <w:right w:val="nil"/>
            </w:tcBorders>
            <w:vAlign w:val="center"/>
          </w:tcPr>
          <w:p w14:paraId="16F9592B" w14:textId="77777777" w:rsidR="000C35AF" w:rsidRPr="00D72219" w:rsidRDefault="000C35AF" w:rsidP="009238AE">
            <w:pPr>
              <w:pStyle w:val="Regresjonstabell"/>
              <w:jc w:val="right"/>
              <w:rPr>
                <w:sz w:val="15"/>
                <w:szCs w:val="15"/>
              </w:rPr>
            </w:pPr>
            <w:r w:rsidRPr="00D72219">
              <w:rPr>
                <w:color w:val="000000"/>
                <w:sz w:val="15"/>
                <w:szCs w:val="15"/>
              </w:rPr>
              <w:t>(44.497)</w:t>
            </w:r>
          </w:p>
        </w:tc>
        <w:tc>
          <w:tcPr>
            <w:tcW w:w="1393" w:type="dxa"/>
            <w:tcBorders>
              <w:top w:val="nil"/>
              <w:left w:val="nil"/>
              <w:bottom w:val="nil"/>
              <w:right w:val="nil"/>
            </w:tcBorders>
            <w:vAlign w:val="center"/>
          </w:tcPr>
          <w:p w14:paraId="76DE8F39" w14:textId="77777777" w:rsidR="000C35AF" w:rsidRPr="00D72219" w:rsidRDefault="000C35AF" w:rsidP="009238AE">
            <w:pPr>
              <w:pStyle w:val="Regresjonstabell"/>
              <w:jc w:val="right"/>
              <w:rPr>
                <w:sz w:val="15"/>
                <w:szCs w:val="15"/>
              </w:rPr>
            </w:pPr>
            <w:r w:rsidRPr="00D72219">
              <w:rPr>
                <w:color w:val="000000"/>
                <w:sz w:val="15"/>
                <w:szCs w:val="15"/>
              </w:rPr>
              <w:t>(49.085)</w:t>
            </w:r>
          </w:p>
        </w:tc>
        <w:tc>
          <w:tcPr>
            <w:tcW w:w="1440" w:type="dxa"/>
            <w:tcBorders>
              <w:top w:val="nil"/>
              <w:left w:val="nil"/>
              <w:bottom w:val="nil"/>
              <w:right w:val="nil"/>
            </w:tcBorders>
            <w:vAlign w:val="center"/>
          </w:tcPr>
          <w:p w14:paraId="53297E48" w14:textId="77777777" w:rsidR="000C35AF" w:rsidRPr="00D72219" w:rsidRDefault="000C35AF" w:rsidP="009238AE">
            <w:pPr>
              <w:pStyle w:val="Regresjonstabell"/>
              <w:jc w:val="right"/>
              <w:rPr>
                <w:sz w:val="15"/>
                <w:szCs w:val="15"/>
              </w:rPr>
            </w:pPr>
            <w:r w:rsidRPr="00D72219">
              <w:rPr>
                <w:color w:val="000000"/>
                <w:sz w:val="15"/>
                <w:szCs w:val="15"/>
              </w:rPr>
              <w:t>(33.743)</w:t>
            </w:r>
          </w:p>
        </w:tc>
        <w:tc>
          <w:tcPr>
            <w:tcW w:w="1393" w:type="dxa"/>
            <w:tcBorders>
              <w:top w:val="nil"/>
              <w:left w:val="nil"/>
              <w:bottom w:val="nil"/>
              <w:right w:val="nil"/>
            </w:tcBorders>
            <w:vAlign w:val="center"/>
          </w:tcPr>
          <w:p w14:paraId="79DE84AB" w14:textId="77777777" w:rsidR="000C35AF" w:rsidRPr="00D72219" w:rsidRDefault="000C35AF" w:rsidP="009238AE">
            <w:pPr>
              <w:pStyle w:val="Regresjonstabell"/>
              <w:jc w:val="right"/>
              <w:rPr>
                <w:sz w:val="15"/>
                <w:szCs w:val="15"/>
              </w:rPr>
            </w:pPr>
            <w:r w:rsidRPr="00D72219">
              <w:rPr>
                <w:color w:val="000000"/>
                <w:sz w:val="15"/>
                <w:szCs w:val="15"/>
              </w:rPr>
              <w:t>(34.769)</w:t>
            </w:r>
          </w:p>
        </w:tc>
        <w:tc>
          <w:tcPr>
            <w:tcW w:w="1440" w:type="dxa"/>
            <w:tcBorders>
              <w:top w:val="nil"/>
              <w:left w:val="nil"/>
              <w:bottom w:val="nil"/>
              <w:right w:val="nil"/>
            </w:tcBorders>
            <w:vAlign w:val="center"/>
          </w:tcPr>
          <w:p w14:paraId="68947F44" w14:textId="77777777" w:rsidR="000C35AF" w:rsidRPr="00D72219" w:rsidRDefault="000C35AF" w:rsidP="009238AE">
            <w:pPr>
              <w:pStyle w:val="Regresjonstabell"/>
              <w:jc w:val="right"/>
              <w:rPr>
                <w:sz w:val="15"/>
                <w:szCs w:val="15"/>
              </w:rPr>
            </w:pPr>
            <w:r w:rsidRPr="00D72219">
              <w:rPr>
                <w:color w:val="000000"/>
                <w:sz w:val="15"/>
                <w:szCs w:val="15"/>
              </w:rPr>
              <w:t>(36.629)</w:t>
            </w:r>
          </w:p>
        </w:tc>
        <w:tc>
          <w:tcPr>
            <w:tcW w:w="1440" w:type="dxa"/>
            <w:tcBorders>
              <w:top w:val="nil"/>
              <w:left w:val="nil"/>
              <w:bottom w:val="nil"/>
              <w:right w:val="single" w:sz="4" w:space="0" w:color="auto"/>
            </w:tcBorders>
            <w:vAlign w:val="center"/>
          </w:tcPr>
          <w:p w14:paraId="23E34A51" w14:textId="77777777" w:rsidR="000C35AF" w:rsidRPr="00D72219" w:rsidRDefault="000C35AF" w:rsidP="009238AE">
            <w:pPr>
              <w:pStyle w:val="Regresjonstabell"/>
              <w:jc w:val="right"/>
              <w:rPr>
                <w:sz w:val="15"/>
                <w:szCs w:val="15"/>
              </w:rPr>
            </w:pPr>
            <w:r w:rsidRPr="00D72219">
              <w:rPr>
                <w:color w:val="000000"/>
                <w:sz w:val="15"/>
                <w:szCs w:val="15"/>
              </w:rPr>
              <w:t>(41.279)</w:t>
            </w:r>
          </w:p>
        </w:tc>
      </w:tr>
      <w:tr w:rsidR="000C35AF" w:rsidRPr="0055149C" w14:paraId="31D90359"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5726C406" w14:textId="77777777" w:rsidR="000C35AF" w:rsidRPr="0055149C" w:rsidRDefault="000C35AF" w:rsidP="009238AE">
            <w:pPr>
              <w:pStyle w:val="Regresjonstabell"/>
              <w:rPr>
                <w:sz w:val="15"/>
                <w:szCs w:val="15"/>
              </w:rPr>
            </w:pPr>
            <w:r w:rsidRPr="0055149C">
              <w:rPr>
                <w:color w:val="000000"/>
                <w:sz w:val="15"/>
                <w:szCs w:val="15"/>
              </w:rPr>
              <w:t>Observasjoner</w:t>
            </w:r>
          </w:p>
        </w:tc>
        <w:tc>
          <w:tcPr>
            <w:tcW w:w="1393" w:type="dxa"/>
            <w:tcBorders>
              <w:top w:val="nil"/>
              <w:left w:val="single" w:sz="4" w:space="0" w:color="auto"/>
              <w:bottom w:val="nil"/>
              <w:right w:val="nil"/>
            </w:tcBorders>
            <w:vAlign w:val="bottom"/>
          </w:tcPr>
          <w:p w14:paraId="053B052E"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393" w:type="dxa"/>
            <w:tcBorders>
              <w:top w:val="nil"/>
              <w:left w:val="nil"/>
              <w:bottom w:val="nil"/>
              <w:right w:val="nil"/>
            </w:tcBorders>
            <w:vAlign w:val="bottom"/>
          </w:tcPr>
          <w:p w14:paraId="444277DF"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393" w:type="dxa"/>
            <w:tcBorders>
              <w:top w:val="nil"/>
              <w:left w:val="nil"/>
              <w:bottom w:val="nil"/>
              <w:right w:val="nil"/>
            </w:tcBorders>
            <w:vAlign w:val="bottom"/>
          </w:tcPr>
          <w:p w14:paraId="44FD8EC3"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393" w:type="dxa"/>
            <w:tcBorders>
              <w:top w:val="nil"/>
              <w:left w:val="nil"/>
              <w:bottom w:val="nil"/>
              <w:right w:val="nil"/>
            </w:tcBorders>
            <w:vAlign w:val="bottom"/>
          </w:tcPr>
          <w:p w14:paraId="4E5AA621"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440" w:type="dxa"/>
            <w:tcBorders>
              <w:top w:val="nil"/>
              <w:left w:val="nil"/>
              <w:bottom w:val="nil"/>
              <w:right w:val="nil"/>
            </w:tcBorders>
            <w:vAlign w:val="bottom"/>
          </w:tcPr>
          <w:p w14:paraId="06A43149" w14:textId="77777777" w:rsidR="000C35AF" w:rsidRPr="00D72219" w:rsidRDefault="000C35AF" w:rsidP="009238AE">
            <w:pPr>
              <w:pStyle w:val="Regresjonstabell"/>
              <w:jc w:val="right"/>
              <w:rPr>
                <w:sz w:val="15"/>
                <w:szCs w:val="15"/>
              </w:rPr>
            </w:pPr>
            <w:r w:rsidRPr="00D72219">
              <w:rPr>
                <w:color w:val="000000"/>
                <w:sz w:val="15"/>
                <w:szCs w:val="15"/>
              </w:rPr>
              <w:t>322</w:t>
            </w:r>
          </w:p>
        </w:tc>
        <w:tc>
          <w:tcPr>
            <w:tcW w:w="1393" w:type="dxa"/>
            <w:tcBorders>
              <w:top w:val="nil"/>
              <w:left w:val="nil"/>
              <w:bottom w:val="nil"/>
              <w:right w:val="nil"/>
            </w:tcBorders>
            <w:vAlign w:val="bottom"/>
          </w:tcPr>
          <w:p w14:paraId="64036335" w14:textId="77777777" w:rsidR="000C35AF" w:rsidRPr="00D72219" w:rsidRDefault="000C35AF" w:rsidP="009238AE">
            <w:pPr>
              <w:pStyle w:val="Regresjonstabell"/>
              <w:jc w:val="right"/>
              <w:rPr>
                <w:sz w:val="15"/>
                <w:szCs w:val="15"/>
              </w:rPr>
            </w:pPr>
            <w:r w:rsidRPr="00D72219">
              <w:rPr>
                <w:color w:val="000000"/>
                <w:sz w:val="15"/>
                <w:szCs w:val="15"/>
              </w:rPr>
              <w:t>322</w:t>
            </w:r>
          </w:p>
        </w:tc>
        <w:tc>
          <w:tcPr>
            <w:tcW w:w="1440" w:type="dxa"/>
            <w:tcBorders>
              <w:top w:val="nil"/>
              <w:left w:val="nil"/>
              <w:bottom w:val="nil"/>
              <w:right w:val="nil"/>
            </w:tcBorders>
            <w:vAlign w:val="bottom"/>
          </w:tcPr>
          <w:p w14:paraId="7101D01A" w14:textId="77777777" w:rsidR="000C35AF" w:rsidRPr="00D72219" w:rsidRDefault="000C35AF" w:rsidP="009238AE">
            <w:pPr>
              <w:pStyle w:val="Regresjonstabell"/>
              <w:jc w:val="right"/>
              <w:rPr>
                <w:sz w:val="15"/>
                <w:szCs w:val="15"/>
              </w:rPr>
            </w:pPr>
            <w:r w:rsidRPr="00D72219">
              <w:rPr>
                <w:color w:val="000000"/>
                <w:sz w:val="15"/>
                <w:szCs w:val="15"/>
              </w:rPr>
              <w:t>322</w:t>
            </w:r>
          </w:p>
        </w:tc>
        <w:tc>
          <w:tcPr>
            <w:tcW w:w="1440" w:type="dxa"/>
            <w:tcBorders>
              <w:top w:val="nil"/>
              <w:left w:val="nil"/>
              <w:bottom w:val="nil"/>
              <w:right w:val="single" w:sz="4" w:space="0" w:color="auto"/>
            </w:tcBorders>
            <w:vAlign w:val="bottom"/>
          </w:tcPr>
          <w:p w14:paraId="6D996C34" w14:textId="77777777" w:rsidR="000C35AF" w:rsidRPr="00D72219" w:rsidRDefault="000C35AF" w:rsidP="009238AE">
            <w:pPr>
              <w:pStyle w:val="Regresjonstabell"/>
              <w:jc w:val="right"/>
              <w:rPr>
                <w:sz w:val="15"/>
                <w:szCs w:val="15"/>
              </w:rPr>
            </w:pPr>
            <w:r w:rsidRPr="00D72219">
              <w:rPr>
                <w:color w:val="000000"/>
                <w:sz w:val="15"/>
                <w:szCs w:val="15"/>
              </w:rPr>
              <w:t>322</w:t>
            </w:r>
          </w:p>
        </w:tc>
      </w:tr>
      <w:tr w:rsidR="000C35AF" w:rsidRPr="0055149C" w14:paraId="258C2601" w14:textId="77777777" w:rsidTr="009238AE">
        <w:tc>
          <w:tcPr>
            <w:tcW w:w="2707"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6D623BEE" w14:textId="77777777" w:rsidR="000C35AF" w:rsidRPr="0055149C" w:rsidRDefault="000C35AF" w:rsidP="009238AE">
            <w:pPr>
              <w:pStyle w:val="Regresjonstabell"/>
              <w:rPr>
                <w:sz w:val="15"/>
                <w:szCs w:val="15"/>
                <w:vertAlign w:val="superscript"/>
              </w:rPr>
            </w:pPr>
            <w:r w:rsidRPr="0055149C">
              <w:rPr>
                <w:sz w:val="15"/>
                <w:szCs w:val="15"/>
              </w:rPr>
              <w:t>R</w:t>
            </w:r>
            <w:r w:rsidRPr="0055149C">
              <w:rPr>
                <w:sz w:val="15"/>
                <w:szCs w:val="15"/>
                <w:vertAlign w:val="superscript"/>
              </w:rPr>
              <w:t>2</w:t>
            </w:r>
          </w:p>
        </w:tc>
        <w:tc>
          <w:tcPr>
            <w:tcW w:w="1393" w:type="dxa"/>
            <w:tcBorders>
              <w:top w:val="nil"/>
              <w:left w:val="single" w:sz="4" w:space="0" w:color="auto"/>
              <w:bottom w:val="single" w:sz="4" w:space="0" w:color="auto"/>
              <w:right w:val="nil"/>
            </w:tcBorders>
            <w:vAlign w:val="bottom"/>
          </w:tcPr>
          <w:p w14:paraId="6CA2080D" w14:textId="77777777" w:rsidR="000C35AF" w:rsidRPr="00D72219" w:rsidRDefault="000C35AF" w:rsidP="009238AE">
            <w:pPr>
              <w:pStyle w:val="Regresjonstabell"/>
              <w:jc w:val="right"/>
              <w:rPr>
                <w:sz w:val="15"/>
                <w:szCs w:val="15"/>
              </w:rPr>
            </w:pPr>
            <w:r w:rsidRPr="00D72219">
              <w:rPr>
                <w:color w:val="000000"/>
                <w:sz w:val="15"/>
                <w:szCs w:val="15"/>
              </w:rPr>
              <w:t>0.801</w:t>
            </w:r>
          </w:p>
        </w:tc>
        <w:tc>
          <w:tcPr>
            <w:tcW w:w="1393" w:type="dxa"/>
            <w:tcBorders>
              <w:top w:val="nil"/>
              <w:left w:val="nil"/>
              <w:bottom w:val="single" w:sz="4" w:space="0" w:color="auto"/>
              <w:right w:val="nil"/>
            </w:tcBorders>
            <w:vAlign w:val="bottom"/>
          </w:tcPr>
          <w:p w14:paraId="1F1BDED3" w14:textId="77777777" w:rsidR="000C35AF" w:rsidRPr="00D72219" w:rsidRDefault="000C35AF" w:rsidP="009238AE">
            <w:pPr>
              <w:pStyle w:val="Regresjonstabell"/>
              <w:jc w:val="right"/>
              <w:rPr>
                <w:sz w:val="15"/>
                <w:szCs w:val="15"/>
              </w:rPr>
            </w:pPr>
            <w:r w:rsidRPr="00D72219">
              <w:rPr>
                <w:color w:val="000000"/>
                <w:sz w:val="15"/>
                <w:szCs w:val="15"/>
              </w:rPr>
              <w:t>0.805</w:t>
            </w:r>
          </w:p>
        </w:tc>
        <w:tc>
          <w:tcPr>
            <w:tcW w:w="1393" w:type="dxa"/>
            <w:tcBorders>
              <w:top w:val="nil"/>
              <w:left w:val="nil"/>
              <w:bottom w:val="single" w:sz="4" w:space="0" w:color="auto"/>
              <w:right w:val="nil"/>
            </w:tcBorders>
            <w:vAlign w:val="bottom"/>
          </w:tcPr>
          <w:p w14:paraId="0B40011F" w14:textId="77777777" w:rsidR="000C35AF" w:rsidRPr="00D72219" w:rsidRDefault="000C35AF" w:rsidP="009238AE">
            <w:pPr>
              <w:pStyle w:val="Regresjonstabell"/>
              <w:jc w:val="right"/>
              <w:rPr>
                <w:sz w:val="15"/>
                <w:szCs w:val="15"/>
              </w:rPr>
            </w:pPr>
            <w:r w:rsidRPr="00D72219">
              <w:rPr>
                <w:color w:val="000000"/>
                <w:sz w:val="15"/>
                <w:szCs w:val="15"/>
              </w:rPr>
              <w:t>0.801</w:t>
            </w:r>
          </w:p>
        </w:tc>
        <w:tc>
          <w:tcPr>
            <w:tcW w:w="1393" w:type="dxa"/>
            <w:tcBorders>
              <w:top w:val="nil"/>
              <w:left w:val="nil"/>
              <w:bottom w:val="single" w:sz="4" w:space="0" w:color="auto"/>
              <w:right w:val="nil"/>
            </w:tcBorders>
            <w:vAlign w:val="bottom"/>
          </w:tcPr>
          <w:p w14:paraId="3177CC24" w14:textId="77777777" w:rsidR="000C35AF" w:rsidRPr="00D72219" w:rsidRDefault="000C35AF" w:rsidP="009238AE">
            <w:pPr>
              <w:pStyle w:val="Regresjonstabell"/>
              <w:jc w:val="right"/>
              <w:rPr>
                <w:sz w:val="15"/>
                <w:szCs w:val="15"/>
              </w:rPr>
            </w:pPr>
            <w:r w:rsidRPr="00D72219">
              <w:rPr>
                <w:color w:val="000000"/>
                <w:sz w:val="15"/>
                <w:szCs w:val="15"/>
              </w:rPr>
              <w:t>0.793</w:t>
            </w:r>
          </w:p>
        </w:tc>
        <w:tc>
          <w:tcPr>
            <w:tcW w:w="1440" w:type="dxa"/>
            <w:tcBorders>
              <w:top w:val="nil"/>
              <w:left w:val="nil"/>
              <w:bottom w:val="single" w:sz="4" w:space="0" w:color="auto"/>
              <w:right w:val="nil"/>
            </w:tcBorders>
            <w:vAlign w:val="bottom"/>
          </w:tcPr>
          <w:p w14:paraId="5BDF5EAA" w14:textId="77777777" w:rsidR="000C35AF" w:rsidRPr="00D72219" w:rsidRDefault="000C35AF" w:rsidP="009238AE">
            <w:pPr>
              <w:pStyle w:val="Regresjonstabell"/>
              <w:jc w:val="right"/>
              <w:rPr>
                <w:sz w:val="15"/>
                <w:szCs w:val="15"/>
              </w:rPr>
            </w:pPr>
            <w:r w:rsidRPr="00D72219">
              <w:rPr>
                <w:color w:val="000000"/>
                <w:sz w:val="15"/>
                <w:szCs w:val="15"/>
              </w:rPr>
              <w:t>0.785</w:t>
            </w:r>
          </w:p>
        </w:tc>
        <w:tc>
          <w:tcPr>
            <w:tcW w:w="1393" w:type="dxa"/>
            <w:tcBorders>
              <w:top w:val="nil"/>
              <w:left w:val="nil"/>
              <w:bottom w:val="single" w:sz="4" w:space="0" w:color="auto"/>
              <w:right w:val="nil"/>
            </w:tcBorders>
            <w:vAlign w:val="bottom"/>
          </w:tcPr>
          <w:p w14:paraId="233F7494" w14:textId="77777777" w:rsidR="000C35AF" w:rsidRPr="00D72219" w:rsidRDefault="000C35AF" w:rsidP="009238AE">
            <w:pPr>
              <w:pStyle w:val="Regresjonstabell"/>
              <w:jc w:val="right"/>
              <w:rPr>
                <w:sz w:val="15"/>
                <w:szCs w:val="15"/>
              </w:rPr>
            </w:pPr>
            <w:r w:rsidRPr="00D72219">
              <w:rPr>
                <w:color w:val="000000"/>
                <w:sz w:val="15"/>
                <w:szCs w:val="15"/>
              </w:rPr>
              <w:t>0.790</w:t>
            </w:r>
          </w:p>
        </w:tc>
        <w:tc>
          <w:tcPr>
            <w:tcW w:w="1440" w:type="dxa"/>
            <w:tcBorders>
              <w:top w:val="nil"/>
              <w:left w:val="nil"/>
              <w:bottom w:val="single" w:sz="4" w:space="0" w:color="auto"/>
              <w:right w:val="nil"/>
            </w:tcBorders>
            <w:vAlign w:val="bottom"/>
          </w:tcPr>
          <w:p w14:paraId="54681CEB" w14:textId="77777777" w:rsidR="000C35AF" w:rsidRPr="00D72219" w:rsidRDefault="000C35AF" w:rsidP="009238AE">
            <w:pPr>
              <w:pStyle w:val="Regresjonstabell"/>
              <w:jc w:val="right"/>
              <w:rPr>
                <w:sz w:val="15"/>
                <w:szCs w:val="15"/>
              </w:rPr>
            </w:pPr>
            <w:r w:rsidRPr="00D72219">
              <w:rPr>
                <w:color w:val="000000"/>
                <w:sz w:val="15"/>
                <w:szCs w:val="15"/>
              </w:rPr>
              <w:t>0.788</w:t>
            </w:r>
          </w:p>
        </w:tc>
        <w:tc>
          <w:tcPr>
            <w:tcW w:w="1440" w:type="dxa"/>
            <w:tcBorders>
              <w:top w:val="nil"/>
              <w:left w:val="nil"/>
              <w:bottom w:val="single" w:sz="4" w:space="0" w:color="auto"/>
              <w:right w:val="single" w:sz="4" w:space="0" w:color="auto"/>
            </w:tcBorders>
            <w:vAlign w:val="bottom"/>
          </w:tcPr>
          <w:p w14:paraId="392A4454" w14:textId="77777777" w:rsidR="000C35AF" w:rsidRPr="00D72219" w:rsidRDefault="000C35AF" w:rsidP="009238AE">
            <w:pPr>
              <w:pStyle w:val="Regresjonstabell"/>
              <w:jc w:val="right"/>
              <w:rPr>
                <w:sz w:val="15"/>
                <w:szCs w:val="15"/>
              </w:rPr>
            </w:pPr>
            <w:r w:rsidRPr="00D72219">
              <w:rPr>
                <w:color w:val="000000"/>
                <w:sz w:val="15"/>
                <w:szCs w:val="15"/>
              </w:rPr>
              <w:t>0.775</w:t>
            </w:r>
          </w:p>
        </w:tc>
      </w:tr>
    </w:tbl>
    <w:p w14:paraId="0C9AC5E4" w14:textId="77777777" w:rsidR="000C35AF" w:rsidRPr="0055149C" w:rsidRDefault="000C35AF" w:rsidP="000C35AF">
      <w:pPr>
        <w:pStyle w:val="Billedtekst-forklaring"/>
        <w:ind w:left="0" w:firstLine="0"/>
      </w:pPr>
      <w:r w:rsidRPr="0055149C">
        <w:t xml:space="preserve">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 </w:t>
      </w:r>
    </w:p>
    <w:p w14:paraId="28A660EB" w14:textId="77777777" w:rsidR="000C35AF" w:rsidRPr="0055149C" w:rsidRDefault="000C35AF" w:rsidP="000C35AF">
      <w:pPr>
        <w:pStyle w:val="Source"/>
        <w:rPr>
          <w:lang w:eastAsia="nb-NO"/>
        </w:rPr>
      </w:pPr>
      <w:r w:rsidRPr="0055149C">
        <w:rPr>
          <w:lang w:eastAsia="nb-NO"/>
        </w:rPr>
        <w:t>Kilde: Vista Analyse</w:t>
      </w:r>
    </w:p>
    <w:p w14:paraId="11E0EDD7" w14:textId="4046FDAC" w:rsidR="000C35AF" w:rsidRPr="0055149C" w:rsidRDefault="000C35AF" w:rsidP="000C35AF">
      <w:pPr>
        <w:pStyle w:val="Bildetekst"/>
      </w:pPr>
      <w:r w:rsidRPr="0055149C">
        <w:lastRenderedPageBreak/>
        <w:t xml:space="preserve">Tabell </w:t>
      </w:r>
      <w:fldSimple w:instr=" STYLEREF 1 \s ">
        <w:r w:rsidR="009B1DA8">
          <w:rPr>
            <w:noProof/>
          </w:rPr>
          <w:t>4</w:t>
        </w:r>
      </w:fldSimple>
      <w:r w:rsidRPr="0055149C">
        <w:t>.</w:t>
      </w:r>
      <w:fldSimple w:instr=" SEQ Tabell \* ARABIC \s 1 ">
        <w:r w:rsidR="009B1DA8">
          <w:rPr>
            <w:noProof/>
          </w:rPr>
          <w:t>18</w:t>
        </w:r>
      </w:fldSimple>
      <w:r w:rsidRPr="0055149C">
        <w:t xml:space="preserve"> </w:t>
      </w:r>
      <w:r w:rsidRPr="0055149C">
        <w:tab/>
        <w:t xml:space="preserve">Regresjoner ved minste kvadraters metode, der kostnadene innen helse og omsorg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694"/>
        <w:gridCol w:w="1440"/>
        <w:gridCol w:w="1440"/>
        <w:gridCol w:w="1440"/>
        <w:gridCol w:w="1382"/>
        <w:gridCol w:w="1382"/>
        <w:gridCol w:w="1382"/>
        <w:gridCol w:w="1392"/>
        <w:gridCol w:w="1440"/>
      </w:tblGrid>
      <w:tr w:rsidR="000C35AF" w:rsidRPr="0055149C" w14:paraId="24E5D6B6" w14:textId="77777777" w:rsidTr="009238AE">
        <w:tc>
          <w:tcPr>
            <w:tcW w:w="2694" w:type="dxa"/>
            <w:tcBorders>
              <w:top w:val="single" w:sz="4" w:space="0" w:color="auto"/>
              <w:left w:val="single" w:sz="4" w:space="0" w:color="auto"/>
              <w:bottom w:val="nil"/>
              <w:right w:val="nil"/>
            </w:tcBorders>
            <w:shd w:val="clear" w:color="auto" w:fill="3672B0" w:themeFill="accent2"/>
          </w:tcPr>
          <w:p w14:paraId="7D111C1B" w14:textId="77777777" w:rsidR="000C35AF" w:rsidRPr="0055149C" w:rsidRDefault="000C35AF" w:rsidP="009238AE">
            <w:pPr>
              <w:pStyle w:val="Regresjonstabell"/>
              <w:rPr>
                <w:b/>
                <w:bCs/>
                <w:color w:val="FFFFFF" w:themeColor="background1"/>
                <w:sz w:val="15"/>
                <w:szCs w:val="15"/>
              </w:rPr>
            </w:pPr>
          </w:p>
        </w:tc>
        <w:tc>
          <w:tcPr>
            <w:tcW w:w="1440" w:type="dxa"/>
            <w:tcBorders>
              <w:top w:val="single" w:sz="4" w:space="0" w:color="auto"/>
              <w:left w:val="nil"/>
              <w:bottom w:val="nil"/>
              <w:right w:val="nil"/>
            </w:tcBorders>
            <w:shd w:val="clear" w:color="auto" w:fill="3672B0" w:themeFill="accent2"/>
          </w:tcPr>
          <w:p w14:paraId="14703132"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(1)</w:t>
            </w:r>
          </w:p>
        </w:tc>
        <w:tc>
          <w:tcPr>
            <w:tcW w:w="1440" w:type="dxa"/>
            <w:tcBorders>
              <w:top w:val="single" w:sz="4" w:space="0" w:color="auto"/>
              <w:left w:val="nil"/>
              <w:bottom w:val="nil"/>
              <w:right w:val="nil"/>
            </w:tcBorders>
            <w:shd w:val="clear" w:color="auto" w:fill="3672B0" w:themeFill="accent2"/>
          </w:tcPr>
          <w:p w14:paraId="2F1C0888"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w:t>
            </w:r>
          </w:p>
        </w:tc>
        <w:tc>
          <w:tcPr>
            <w:tcW w:w="1440" w:type="dxa"/>
            <w:tcBorders>
              <w:top w:val="single" w:sz="4" w:space="0" w:color="auto"/>
              <w:left w:val="nil"/>
              <w:bottom w:val="nil"/>
              <w:right w:val="nil"/>
            </w:tcBorders>
            <w:shd w:val="clear" w:color="auto" w:fill="3672B0" w:themeFill="accent2"/>
          </w:tcPr>
          <w:p w14:paraId="61801A2D"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(3)</w:t>
            </w:r>
          </w:p>
        </w:tc>
        <w:tc>
          <w:tcPr>
            <w:tcW w:w="1382" w:type="dxa"/>
            <w:tcBorders>
              <w:top w:val="single" w:sz="4" w:space="0" w:color="auto"/>
              <w:left w:val="nil"/>
              <w:bottom w:val="nil"/>
              <w:right w:val="nil"/>
            </w:tcBorders>
            <w:shd w:val="clear" w:color="auto" w:fill="3672B0" w:themeFill="accent2"/>
          </w:tcPr>
          <w:p w14:paraId="0A79293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(4)</w:t>
            </w:r>
          </w:p>
        </w:tc>
        <w:tc>
          <w:tcPr>
            <w:tcW w:w="1382" w:type="dxa"/>
            <w:tcBorders>
              <w:top w:val="single" w:sz="4" w:space="0" w:color="auto"/>
              <w:left w:val="nil"/>
              <w:bottom w:val="nil"/>
              <w:right w:val="nil"/>
            </w:tcBorders>
            <w:shd w:val="clear" w:color="auto" w:fill="3672B0" w:themeFill="accent2"/>
          </w:tcPr>
          <w:p w14:paraId="652EAF91"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(5)</w:t>
            </w:r>
          </w:p>
        </w:tc>
        <w:tc>
          <w:tcPr>
            <w:tcW w:w="1382" w:type="dxa"/>
            <w:tcBorders>
              <w:top w:val="single" w:sz="4" w:space="0" w:color="auto"/>
              <w:left w:val="nil"/>
              <w:bottom w:val="nil"/>
              <w:right w:val="nil"/>
            </w:tcBorders>
            <w:shd w:val="clear" w:color="auto" w:fill="3672B0" w:themeFill="accent2"/>
          </w:tcPr>
          <w:p w14:paraId="4B123B4C"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(6)</w:t>
            </w:r>
          </w:p>
        </w:tc>
        <w:tc>
          <w:tcPr>
            <w:tcW w:w="1392" w:type="dxa"/>
            <w:tcBorders>
              <w:top w:val="single" w:sz="4" w:space="0" w:color="auto"/>
              <w:left w:val="nil"/>
              <w:bottom w:val="nil"/>
              <w:right w:val="nil"/>
            </w:tcBorders>
            <w:shd w:val="clear" w:color="auto" w:fill="3672B0" w:themeFill="accent2"/>
          </w:tcPr>
          <w:p w14:paraId="1579A27C"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(7)</w:t>
            </w:r>
          </w:p>
        </w:tc>
        <w:tc>
          <w:tcPr>
            <w:tcW w:w="1440" w:type="dxa"/>
            <w:tcBorders>
              <w:top w:val="single" w:sz="4" w:space="0" w:color="auto"/>
              <w:left w:val="nil"/>
              <w:bottom w:val="nil"/>
              <w:right w:val="single" w:sz="4" w:space="0" w:color="auto"/>
            </w:tcBorders>
            <w:shd w:val="clear" w:color="auto" w:fill="3672B0" w:themeFill="accent2"/>
          </w:tcPr>
          <w:p w14:paraId="765B3AA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(8)</w:t>
            </w:r>
          </w:p>
        </w:tc>
      </w:tr>
      <w:tr w:rsidR="000C35AF" w:rsidRPr="0055149C" w14:paraId="668C023F" w14:textId="77777777" w:rsidTr="009238AE">
        <w:tc>
          <w:tcPr>
            <w:tcW w:w="2694" w:type="dxa"/>
            <w:tcBorders>
              <w:top w:val="nil"/>
              <w:left w:val="single" w:sz="4" w:space="0" w:color="auto"/>
              <w:bottom w:val="single" w:sz="4" w:space="0" w:color="auto"/>
              <w:right w:val="nil"/>
            </w:tcBorders>
            <w:shd w:val="clear" w:color="auto" w:fill="3672B0" w:themeFill="accent2"/>
          </w:tcPr>
          <w:p w14:paraId="206AC6E1" w14:textId="77777777" w:rsidR="000C35AF" w:rsidRPr="0055149C" w:rsidRDefault="000C35AF" w:rsidP="009238AE">
            <w:pPr>
              <w:pStyle w:val="Regresjonstabell"/>
              <w:rPr>
                <w:b/>
                <w:bCs/>
                <w:color w:val="FFFFFF" w:themeColor="background1"/>
                <w:sz w:val="15"/>
                <w:szCs w:val="15"/>
              </w:rPr>
            </w:pPr>
          </w:p>
        </w:tc>
        <w:tc>
          <w:tcPr>
            <w:tcW w:w="1440" w:type="dxa"/>
            <w:tcBorders>
              <w:top w:val="nil"/>
              <w:left w:val="nil"/>
              <w:bottom w:val="single" w:sz="4" w:space="0" w:color="auto"/>
              <w:right w:val="nil"/>
            </w:tcBorders>
            <w:shd w:val="clear" w:color="auto" w:fill="3672B0" w:themeFill="accent2"/>
          </w:tcPr>
          <w:p w14:paraId="3B5C7982"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nil"/>
            </w:tcBorders>
            <w:shd w:val="clear" w:color="auto" w:fill="3672B0" w:themeFill="accent2"/>
          </w:tcPr>
          <w:p w14:paraId="65AE4CE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nil"/>
            </w:tcBorders>
            <w:shd w:val="clear" w:color="auto" w:fill="3672B0" w:themeFill="accent2"/>
          </w:tcPr>
          <w:p w14:paraId="6AC97AEE"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82" w:type="dxa"/>
            <w:tcBorders>
              <w:top w:val="nil"/>
              <w:left w:val="nil"/>
              <w:bottom w:val="single" w:sz="4" w:space="0" w:color="auto"/>
              <w:right w:val="nil"/>
            </w:tcBorders>
            <w:shd w:val="clear" w:color="auto" w:fill="3672B0" w:themeFill="accent2"/>
          </w:tcPr>
          <w:p w14:paraId="4E7DF911"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82" w:type="dxa"/>
            <w:tcBorders>
              <w:top w:val="nil"/>
              <w:left w:val="nil"/>
              <w:bottom w:val="single" w:sz="4" w:space="0" w:color="auto"/>
              <w:right w:val="nil"/>
            </w:tcBorders>
            <w:shd w:val="clear" w:color="auto" w:fill="3672B0" w:themeFill="accent2"/>
          </w:tcPr>
          <w:p w14:paraId="51C8DDB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82" w:type="dxa"/>
            <w:tcBorders>
              <w:top w:val="nil"/>
              <w:left w:val="nil"/>
              <w:bottom w:val="single" w:sz="4" w:space="0" w:color="auto"/>
              <w:right w:val="nil"/>
            </w:tcBorders>
            <w:shd w:val="clear" w:color="auto" w:fill="3672B0" w:themeFill="accent2"/>
          </w:tcPr>
          <w:p w14:paraId="21EE757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92" w:type="dxa"/>
            <w:tcBorders>
              <w:top w:val="nil"/>
              <w:left w:val="nil"/>
              <w:bottom w:val="single" w:sz="4" w:space="0" w:color="auto"/>
              <w:right w:val="nil"/>
            </w:tcBorders>
            <w:shd w:val="clear" w:color="auto" w:fill="3672B0" w:themeFill="accent2"/>
          </w:tcPr>
          <w:p w14:paraId="541D5B14"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single" w:sz="4" w:space="0" w:color="auto"/>
            </w:tcBorders>
            <w:shd w:val="clear" w:color="auto" w:fill="3672B0" w:themeFill="accent2"/>
          </w:tcPr>
          <w:p w14:paraId="053BE9FB"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r>
      <w:tr w:rsidR="000C35AF" w:rsidRPr="0055149C" w14:paraId="1CD79B48" w14:textId="77777777" w:rsidTr="009238AE">
        <w:tc>
          <w:tcPr>
            <w:tcW w:w="2694" w:type="dxa"/>
            <w:tcBorders>
              <w:top w:val="single" w:sz="4" w:space="0" w:color="auto"/>
              <w:left w:val="single" w:sz="4" w:space="0" w:color="auto"/>
              <w:bottom w:val="nil"/>
              <w:right w:val="single" w:sz="4" w:space="0" w:color="auto"/>
            </w:tcBorders>
            <w:shd w:val="clear" w:color="auto" w:fill="A9C6E4" w:themeFill="accent2" w:themeFillTint="66"/>
          </w:tcPr>
          <w:p w14:paraId="243F1057" w14:textId="77777777" w:rsidR="000C35AF" w:rsidRPr="0055149C" w:rsidRDefault="000C35AF" w:rsidP="009238AE">
            <w:pPr>
              <w:pStyle w:val="Regresjonstabell"/>
              <w:rPr>
                <w:sz w:val="15"/>
                <w:szCs w:val="15"/>
              </w:rPr>
            </w:pPr>
            <w:r w:rsidRPr="0055149C">
              <w:rPr>
                <w:sz w:val="15"/>
                <w:szCs w:val="15"/>
              </w:rPr>
              <w:t>Innbyggere 0 til 1 år</w:t>
            </w:r>
          </w:p>
        </w:tc>
        <w:tc>
          <w:tcPr>
            <w:tcW w:w="1440" w:type="dxa"/>
            <w:tcBorders>
              <w:top w:val="single" w:sz="4" w:space="0" w:color="auto"/>
              <w:left w:val="single" w:sz="4" w:space="0" w:color="auto"/>
              <w:bottom w:val="nil"/>
              <w:right w:val="nil"/>
            </w:tcBorders>
            <w:vAlign w:val="bottom"/>
          </w:tcPr>
          <w:p w14:paraId="2262B133" w14:textId="77777777" w:rsidR="000C35AF" w:rsidRPr="00113056" w:rsidRDefault="000C35AF" w:rsidP="009238AE">
            <w:pPr>
              <w:pStyle w:val="Regresjonstabell"/>
              <w:jc w:val="right"/>
              <w:rPr>
                <w:sz w:val="15"/>
                <w:szCs w:val="15"/>
              </w:rPr>
            </w:pPr>
            <w:r w:rsidRPr="00113056">
              <w:rPr>
                <w:color w:val="000000"/>
                <w:sz w:val="15"/>
                <w:szCs w:val="15"/>
              </w:rPr>
              <w:t>149.594</w:t>
            </w:r>
          </w:p>
        </w:tc>
        <w:tc>
          <w:tcPr>
            <w:tcW w:w="1440" w:type="dxa"/>
            <w:tcBorders>
              <w:top w:val="single" w:sz="4" w:space="0" w:color="auto"/>
              <w:left w:val="nil"/>
              <w:bottom w:val="nil"/>
              <w:right w:val="nil"/>
            </w:tcBorders>
            <w:vAlign w:val="bottom"/>
          </w:tcPr>
          <w:p w14:paraId="3F34B1F7" w14:textId="77777777" w:rsidR="000C35AF" w:rsidRPr="00113056" w:rsidRDefault="000C35AF" w:rsidP="009238AE">
            <w:pPr>
              <w:pStyle w:val="Regresjonstabell"/>
              <w:jc w:val="right"/>
              <w:rPr>
                <w:sz w:val="15"/>
                <w:szCs w:val="15"/>
              </w:rPr>
            </w:pPr>
            <w:r w:rsidRPr="00113056">
              <w:rPr>
                <w:color w:val="000000"/>
                <w:sz w:val="15"/>
                <w:szCs w:val="15"/>
              </w:rPr>
              <w:t>133.042</w:t>
            </w:r>
          </w:p>
        </w:tc>
        <w:tc>
          <w:tcPr>
            <w:tcW w:w="1440" w:type="dxa"/>
            <w:tcBorders>
              <w:top w:val="single" w:sz="4" w:space="0" w:color="auto"/>
              <w:left w:val="nil"/>
              <w:bottom w:val="nil"/>
              <w:right w:val="nil"/>
            </w:tcBorders>
            <w:vAlign w:val="bottom"/>
          </w:tcPr>
          <w:p w14:paraId="639C32A9" w14:textId="77777777" w:rsidR="000C35AF" w:rsidRPr="00113056" w:rsidRDefault="000C35AF" w:rsidP="009238AE">
            <w:pPr>
              <w:pStyle w:val="Regresjonstabell"/>
              <w:jc w:val="right"/>
              <w:rPr>
                <w:sz w:val="15"/>
                <w:szCs w:val="15"/>
              </w:rPr>
            </w:pPr>
            <w:r w:rsidRPr="00113056">
              <w:rPr>
                <w:color w:val="000000"/>
                <w:sz w:val="15"/>
                <w:szCs w:val="15"/>
              </w:rPr>
              <w:t>16.552</w:t>
            </w:r>
          </w:p>
        </w:tc>
        <w:tc>
          <w:tcPr>
            <w:tcW w:w="1382" w:type="dxa"/>
            <w:tcBorders>
              <w:top w:val="single" w:sz="4" w:space="0" w:color="auto"/>
              <w:left w:val="nil"/>
              <w:bottom w:val="nil"/>
              <w:right w:val="nil"/>
            </w:tcBorders>
            <w:vAlign w:val="bottom"/>
          </w:tcPr>
          <w:p w14:paraId="7A5066BE" w14:textId="77777777" w:rsidR="000C35AF" w:rsidRPr="00113056" w:rsidRDefault="000C35AF" w:rsidP="009238AE">
            <w:pPr>
              <w:pStyle w:val="Regresjonstabell"/>
              <w:jc w:val="right"/>
              <w:rPr>
                <w:sz w:val="15"/>
                <w:szCs w:val="15"/>
              </w:rPr>
            </w:pPr>
            <w:r w:rsidRPr="00113056">
              <w:rPr>
                <w:color w:val="000000"/>
                <w:sz w:val="15"/>
                <w:szCs w:val="15"/>
              </w:rPr>
              <w:t>-0.126</w:t>
            </w:r>
          </w:p>
        </w:tc>
        <w:tc>
          <w:tcPr>
            <w:tcW w:w="1382" w:type="dxa"/>
            <w:tcBorders>
              <w:top w:val="single" w:sz="4" w:space="0" w:color="auto"/>
              <w:left w:val="nil"/>
              <w:bottom w:val="nil"/>
              <w:right w:val="nil"/>
            </w:tcBorders>
            <w:vAlign w:val="bottom"/>
          </w:tcPr>
          <w:p w14:paraId="79826FB2" w14:textId="77777777" w:rsidR="000C35AF" w:rsidRPr="00113056" w:rsidRDefault="000C35AF" w:rsidP="009238AE">
            <w:pPr>
              <w:pStyle w:val="Regresjonstabell"/>
              <w:jc w:val="right"/>
              <w:rPr>
                <w:sz w:val="15"/>
                <w:szCs w:val="15"/>
              </w:rPr>
            </w:pPr>
            <w:r w:rsidRPr="00113056">
              <w:rPr>
                <w:color w:val="000000"/>
                <w:sz w:val="15"/>
                <w:szCs w:val="15"/>
              </w:rPr>
              <w:t>31.468</w:t>
            </w:r>
          </w:p>
        </w:tc>
        <w:tc>
          <w:tcPr>
            <w:tcW w:w="1382" w:type="dxa"/>
            <w:tcBorders>
              <w:top w:val="single" w:sz="4" w:space="0" w:color="auto"/>
              <w:left w:val="nil"/>
              <w:bottom w:val="nil"/>
              <w:right w:val="nil"/>
            </w:tcBorders>
            <w:vAlign w:val="bottom"/>
          </w:tcPr>
          <w:p w14:paraId="1C03F66E" w14:textId="77777777" w:rsidR="000C35AF" w:rsidRPr="00113056" w:rsidRDefault="000C35AF" w:rsidP="009238AE">
            <w:pPr>
              <w:pStyle w:val="Regresjonstabell"/>
              <w:jc w:val="right"/>
              <w:rPr>
                <w:sz w:val="15"/>
                <w:szCs w:val="15"/>
              </w:rPr>
            </w:pPr>
            <w:r w:rsidRPr="00113056">
              <w:rPr>
                <w:color w:val="000000"/>
                <w:sz w:val="15"/>
                <w:szCs w:val="15"/>
              </w:rPr>
              <w:t>31.490</w:t>
            </w:r>
          </w:p>
        </w:tc>
        <w:tc>
          <w:tcPr>
            <w:tcW w:w="1392" w:type="dxa"/>
            <w:tcBorders>
              <w:top w:val="single" w:sz="4" w:space="0" w:color="auto"/>
              <w:left w:val="nil"/>
              <w:bottom w:val="nil"/>
              <w:right w:val="nil"/>
            </w:tcBorders>
            <w:vAlign w:val="bottom"/>
          </w:tcPr>
          <w:p w14:paraId="5F1189B0" w14:textId="77777777" w:rsidR="000C35AF" w:rsidRPr="00113056" w:rsidRDefault="000C35AF" w:rsidP="009238AE">
            <w:pPr>
              <w:pStyle w:val="Regresjonstabell"/>
              <w:jc w:val="right"/>
              <w:rPr>
                <w:sz w:val="15"/>
                <w:szCs w:val="15"/>
              </w:rPr>
            </w:pPr>
            <w:r w:rsidRPr="00113056">
              <w:rPr>
                <w:color w:val="000000"/>
                <w:sz w:val="15"/>
                <w:szCs w:val="15"/>
              </w:rPr>
              <w:t>62.958</w:t>
            </w:r>
          </w:p>
        </w:tc>
        <w:tc>
          <w:tcPr>
            <w:tcW w:w="1440" w:type="dxa"/>
            <w:tcBorders>
              <w:top w:val="single" w:sz="4" w:space="0" w:color="auto"/>
              <w:left w:val="nil"/>
              <w:bottom w:val="nil"/>
              <w:right w:val="single" w:sz="4" w:space="0" w:color="auto"/>
            </w:tcBorders>
            <w:vAlign w:val="bottom"/>
          </w:tcPr>
          <w:p w14:paraId="3EDC19D3" w14:textId="77777777" w:rsidR="000C35AF" w:rsidRPr="00113056" w:rsidRDefault="000C35AF" w:rsidP="009238AE">
            <w:pPr>
              <w:pStyle w:val="Regresjonstabell"/>
              <w:jc w:val="right"/>
              <w:rPr>
                <w:sz w:val="15"/>
                <w:szCs w:val="15"/>
              </w:rPr>
            </w:pPr>
            <w:r w:rsidRPr="00113056">
              <w:rPr>
                <w:color w:val="000000"/>
                <w:sz w:val="15"/>
                <w:szCs w:val="15"/>
              </w:rPr>
              <w:t>212.551</w:t>
            </w:r>
          </w:p>
        </w:tc>
      </w:tr>
      <w:tr w:rsidR="000C35AF" w:rsidRPr="0055149C" w14:paraId="0FCC22C3"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166CD4A7" w14:textId="77777777" w:rsidR="000C35AF" w:rsidRPr="0055149C" w:rsidRDefault="000C35AF" w:rsidP="009238AE">
            <w:pPr>
              <w:pStyle w:val="Regresjonstabell"/>
              <w:rPr>
                <w:sz w:val="15"/>
                <w:szCs w:val="15"/>
              </w:rPr>
            </w:pPr>
            <w:r w:rsidRPr="0055149C">
              <w:rPr>
                <w:sz w:val="15"/>
                <w:szCs w:val="15"/>
              </w:rPr>
              <w:t>(Kriterium 3)</w:t>
            </w:r>
          </w:p>
        </w:tc>
        <w:tc>
          <w:tcPr>
            <w:tcW w:w="1440" w:type="dxa"/>
            <w:tcBorders>
              <w:top w:val="nil"/>
              <w:left w:val="single" w:sz="4" w:space="0" w:color="auto"/>
              <w:bottom w:val="nil"/>
              <w:right w:val="nil"/>
            </w:tcBorders>
            <w:vAlign w:val="center"/>
          </w:tcPr>
          <w:p w14:paraId="6826C6AF" w14:textId="77777777" w:rsidR="000C35AF" w:rsidRPr="00113056" w:rsidRDefault="000C35AF" w:rsidP="009238AE">
            <w:pPr>
              <w:pStyle w:val="Regresjonstabell"/>
              <w:jc w:val="right"/>
              <w:rPr>
                <w:sz w:val="15"/>
                <w:szCs w:val="15"/>
              </w:rPr>
            </w:pPr>
            <w:r w:rsidRPr="00113056">
              <w:rPr>
                <w:color w:val="000000"/>
                <w:sz w:val="15"/>
                <w:szCs w:val="15"/>
              </w:rPr>
              <w:t>(173.469)</w:t>
            </w:r>
          </w:p>
        </w:tc>
        <w:tc>
          <w:tcPr>
            <w:tcW w:w="1440" w:type="dxa"/>
            <w:tcBorders>
              <w:top w:val="nil"/>
              <w:left w:val="nil"/>
              <w:bottom w:val="nil"/>
              <w:right w:val="nil"/>
            </w:tcBorders>
            <w:vAlign w:val="center"/>
          </w:tcPr>
          <w:p w14:paraId="32A1145F" w14:textId="77777777" w:rsidR="000C35AF" w:rsidRPr="00113056" w:rsidRDefault="000C35AF" w:rsidP="009238AE">
            <w:pPr>
              <w:pStyle w:val="Regresjonstabell"/>
              <w:jc w:val="right"/>
              <w:rPr>
                <w:sz w:val="15"/>
                <w:szCs w:val="15"/>
              </w:rPr>
            </w:pPr>
            <w:r w:rsidRPr="00113056">
              <w:rPr>
                <w:color w:val="000000"/>
                <w:sz w:val="15"/>
                <w:szCs w:val="15"/>
              </w:rPr>
              <w:t>(146.581)</w:t>
            </w:r>
          </w:p>
        </w:tc>
        <w:tc>
          <w:tcPr>
            <w:tcW w:w="1440" w:type="dxa"/>
            <w:tcBorders>
              <w:top w:val="nil"/>
              <w:left w:val="nil"/>
              <w:bottom w:val="nil"/>
              <w:right w:val="nil"/>
            </w:tcBorders>
            <w:vAlign w:val="center"/>
          </w:tcPr>
          <w:p w14:paraId="68975075" w14:textId="77777777" w:rsidR="000C35AF" w:rsidRPr="00113056" w:rsidRDefault="000C35AF" w:rsidP="009238AE">
            <w:pPr>
              <w:pStyle w:val="Regresjonstabell"/>
              <w:jc w:val="right"/>
              <w:rPr>
                <w:sz w:val="15"/>
                <w:szCs w:val="15"/>
              </w:rPr>
            </w:pPr>
            <w:r w:rsidRPr="00113056">
              <w:rPr>
                <w:color w:val="000000"/>
                <w:sz w:val="15"/>
                <w:szCs w:val="15"/>
              </w:rPr>
              <w:t>(81.557)</w:t>
            </w:r>
          </w:p>
        </w:tc>
        <w:tc>
          <w:tcPr>
            <w:tcW w:w="1382" w:type="dxa"/>
            <w:tcBorders>
              <w:top w:val="nil"/>
              <w:left w:val="nil"/>
              <w:bottom w:val="nil"/>
              <w:right w:val="nil"/>
            </w:tcBorders>
            <w:vAlign w:val="center"/>
          </w:tcPr>
          <w:p w14:paraId="0FF69171" w14:textId="77777777" w:rsidR="000C35AF" w:rsidRPr="00113056" w:rsidRDefault="000C35AF" w:rsidP="009238AE">
            <w:pPr>
              <w:pStyle w:val="Regresjonstabell"/>
              <w:jc w:val="right"/>
              <w:rPr>
                <w:sz w:val="15"/>
                <w:szCs w:val="15"/>
              </w:rPr>
            </w:pPr>
            <w:r w:rsidRPr="00113056">
              <w:rPr>
                <w:color w:val="000000"/>
                <w:sz w:val="15"/>
                <w:szCs w:val="15"/>
              </w:rPr>
              <w:t>(19.783)</w:t>
            </w:r>
          </w:p>
        </w:tc>
        <w:tc>
          <w:tcPr>
            <w:tcW w:w="1382" w:type="dxa"/>
            <w:tcBorders>
              <w:top w:val="nil"/>
              <w:left w:val="nil"/>
              <w:bottom w:val="nil"/>
              <w:right w:val="nil"/>
            </w:tcBorders>
            <w:vAlign w:val="center"/>
          </w:tcPr>
          <w:p w14:paraId="013655F9" w14:textId="77777777" w:rsidR="000C35AF" w:rsidRPr="00113056" w:rsidRDefault="000C35AF" w:rsidP="009238AE">
            <w:pPr>
              <w:pStyle w:val="Regresjonstabell"/>
              <w:jc w:val="right"/>
              <w:rPr>
                <w:sz w:val="15"/>
                <w:szCs w:val="15"/>
              </w:rPr>
            </w:pPr>
            <w:r w:rsidRPr="00113056">
              <w:rPr>
                <w:color w:val="000000"/>
                <w:sz w:val="15"/>
                <w:szCs w:val="15"/>
              </w:rPr>
              <w:t>(45.492)</w:t>
            </w:r>
          </w:p>
        </w:tc>
        <w:tc>
          <w:tcPr>
            <w:tcW w:w="1382" w:type="dxa"/>
            <w:tcBorders>
              <w:top w:val="nil"/>
              <w:left w:val="nil"/>
              <w:bottom w:val="nil"/>
              <w:right w:val="nil"/>
            </w:tcBorders>
            <w:vAlign w:val="center"/>
          </w:tcPr>
          <w:p w14:paraId="1C8CF498" w14:textId="77777777" w:rsidR="000C35AF" w:rsidRPr="00113056" w:rsidRDefault="000C35AF" w:rsidP="009238AE">
            <w:pPr>
              <w:pStyle w:val="Regresjonstabell"/>
              <w:jc w:val="right"/>
              <w:rPr>
                <w:sz w:val="15"/>
                <w:szCs w:val="15"/>
              </w:rPr>
            </w:pPr>
            <w:r w:rsidRPr="00113056">
              <w:rPr>
                <w:color w:val="000000"/>
                <w:sz w:val="15"/>
                <w:szCs w:val="15"/>
              </w:rPr>
              <w:t>(46.113)</w:t>
            </w:r>
          </w:p>
        </w:tc>
        <w:tc>
          <w:tcPr>
            <w:tcW w:w="1392" w:type="dxa"/>
            <w:tcBorders>
              <w:top w:val="nil"/>
              <w:left w:val="nil"/>
              <w:bottom w:val="nil"/>
              <w:right w:val="nil"/>
            </w:tcBorders>
            <w:vAlign w:val="center"/>
          </w:tcPr>
          <w:p w14:paraId="66903B77" w14:textId="77777777" w:rsidR="000C35AF" w:rsidRPr="00113056" w:rsidRDefault="000C35AF" w:rsidP="009238AE">
            <w:pPr>
              <w:pStyle w:val="Regresjonstabell"/>
              <w:jc w:val="right"/>
              <w:rPr>
                <w:sz w:val="15"/>
                <w:szCs w:val="15"/>
              </w:rPr>
            </w:pPr>
            <w:r w:rsidRPr="00113056">
              <w:rPr>
                <w:color w:val="000000"/>
                <w:sz w:val="15"/>
                <w:szCs w:val="15"/>
              </w:rPr>
              <w:t>(91.605)</w:t>
            </w:r>
          </w:p>
        </w:tc>
        <w:tc>
          <w:tcPr>
            <w:tcW w:w="1440" w:type="dxa"/>
            <w:tcBorders>
              <w:top w:val="nil"/>
              <w:left w:val="nil"/>
              <w:bottom w:val="nil"/>
              <w:right w:val="single" w:sz="4" w:space="0" w:color="auto"/>
            </w:tcBorders>
            <w:vAlign w:val="center"/>
          </w:tcPr>
          <w:p w14:paraId="46463E2D" w14:textId="77777777" w:rsidR="000C35AF" w:rsidRPr="00113056" w:rsidRDefault="000C35AF" w:rsidP="009238AE">
            <w:pPr>
              <w:pStyle w:val="Regresjonstabell"/>
              <w:jc w:val="right"/>
              <w:rPr>
                <w:sz w:val="15"/>
                <w:szCs w:val="15"/>
              </w:rPr>
            </w:pPr>
            <w:r w:rsidRPr="00113056">
              <w:rPr>
                <w:color w:val="000000"/>
                <w:sz w:val="15"/>
                <w:szCs w:val="15"/>
              </w:rPr>
              <w:t>(212.862)</w:t>
            </w:r>
          </w:p>
        </w:tc>
      </w:tr>
      <w:tr w:rsidR="000C35AF" w:rsidRPr="0055149C" w14:paraId="2BBF71E6"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255E4139" w14:textId="77777777" w:rsidR="000C35AF" w:rsidRPr="0055149C" w:rsidRDefault="000C35AF" w:rsidP="009238AE">
            <w:pPr>
              <w:pStyle w:val="Regresjonstabell"/>
              <w:rPr>
                <w:sz w:val="15"/>
                <w:szCs w:val="15"/>
              </w:rPr>
            </w:pPr>
            <w:r w:rsidRPr="0055149C">
              <w:rPr>
                <w:sz w:val="15"/>
                <w:szCs w:val="15"/>
              </w:rPr>
              <w:t>Innbyggere 2 til 5 år</w:t>
            </w:r>
          </w:p>
        </w:tc>
        <w:tc>
          <w:tcPr>
            <w:tcW w:w="1440" w:type="dxa"/>
            <w:tcBorders>
              <w:top w:val="nil"/>
              <w:left w:val="single" w:sz="4" w:space="0" w:color="auto"/>
              <w:bottom w:val="nil"/>
              <w:right w:val="nil"/>
            </w:tcBorders>
            <w:vAlign w:val="bottom"/>
          </w:tcPr>
          <w:p w14:paraId="2BF8EBE5" w14:textId="77777777" w:rsidR="000C35AF" w:rsidRPr="00113056" w:rsidRDefault="000C35AF" w:rsidP="009238AE">
            <w:pPr>
              <w:pStyle w:val="Regresjonstabell"/>
              <w:jc w:val="right"/>
              <w:rPr>
                <w:sz w:val="15"/>
                <w:szCs w:val="15"/>
              </w:rPr>
            </w:pPr>
            <w:r w:rsidRPr="00113056">
              <w:rPr>
                <w:color w:val="000000"/>
                <w:sz w:val="15"/>
                <w:szCs w:val="15"/>
              </w:rPr>
              <w:t>-250.850**</w:t>
            </w:r>
          </w:p>
        </w:tc>
        <w:tc>
          <w:tcPr>
            <w:tcW w:w="1440" w:type="dxa"/>
            <w:tcBorders>
              <w:top w:val="nil"/>
              <w:left w:val="nil"/>
              <w:bottom w:val="nil"/>
              <w:right w:val="nil"/>
            </w:tcBorders>
            <w:vAlign w:val="bottom"/>
          </w:tcPr>
          <w:p w14:paraId="077E6EE9" w14:textId="77777777" w:rsidR="000C35AF" w:rsidRPr="00113056" w:rsidRDefault="000C35AF" w:rsidP="009238AE">
            <w:pPr>
              <w:pStyle w:val="Regresjonstabell"/>
              <w:jc w:val="right"/>
              <w:rPr>
                <w:sz w:val="15"/>
                <w:szCs w:val="15"/>
              </w:rPr>
            </w:pPr>
            <w:r w:rsidRPr="00113056">
              <w:rPr>
                <w:color w:val="000000"/>
                <w:sz w:val="15"/>
                <w:szCs w:val="15"/>
              </w:rPr>
              <w:t>-214.018**</w:t>
            </w:r>
          </w:p>
        </w:tc>
        <w:tc>
          <w:tcPr>
            <w:tcW w:w="1440" w:type="dxa"/>
            <w:tcBorders>
              <w:top w:val="nil"/>
              <w:left w:val="nil"/>
              <w:bottom w:val="nil"/>
              <w:right w:val="nil"/>
            </w:tcBorders>
            <w:vAlign w:val="bottom"/>
          </w:tcPr>
          <w:p w14:paraId="18719566" w14:textId="77777777" w:rsidR="000C35AF" w:rsidRPr="00113056" w:rsidRDefault="000C35AF" w:rsidP="009238AE">
            <w:pPr>
              <w:pStyle w:val="Regresjonstabell"/>
              <w:jc w:val="right"/>
              <w:rPr>
                <w:sz w:val="15"/>
                <w:szCs w:val="15"/>
              </w:rPr>
            </w:pPr>
            <w:r w:rsidRPr="00113056">
              <w:rPr>
                <w:color w:val="000000"/>
                <w:sz w:val="15"/>
                <w:szCs w:val="15"/>
              </w:rPr>
              <w:t>-36.832</w:t>
            </w:r>
          </w:p>
        </w:tc>
        <w:tc>
          <w:tcPr>
            <w:tcW w:w="1382" w:type="dxa"/>
            <w:tcBorders>
              <w:top w:val="nil"/>
              <w:left w:val="nil"/>
              <w:bottom w:val="nil"/>
              <w:right w:val="nil"/>
            </w:tcBorders>
            <w:vAlign w:val="bottom"/>
          </w:tcPr>
          <w:p w14:paraId="587D18BC" w14:textId="77777777" w:rsidR="000C35AF" w:rsidRPr="00113056" w:rsidRDefault="000C35AF" w:rsidP="009238AE">
            <w:pPr>
              <w:pStyle w:val="Regresjonstabell"/>
              <w:jc w:val="right"/>
              <w:rPr>
                <w:sz w:val="15"/>
                <w:szCs w:val="15"/>
              </w:rPr>
            </w:pPr>
            <w:r w:rsidRPr="00113056">
              <w:rPr>
                <w:color w:val="000000"/>
                <w:sz w:val="15"/>
                <w:szCs w:val="15"/>
              </w:rPr>
              <w:t>7.939</w:t>
            </w:r>
          </w:p>
        </w:tc>
        <w:tc>
          <w:tcPr>
            <w:tcW w:w="1382" w:type="dxa"/>
            <w:tcBorders>
              <w:top w:val="nil"/>
              <w:left w:val="nil"/>
              <w:bottom w:val="nil"/>
              <w:right w:val="nil"/>
            </w:tcBorders>
            <w:vAlign w:val="bottom"/>
          </w:tcPr>
          <w:p w14:paraId="522AC45B" w14:textId="77777777" w:rsidR="000C35AF" w:rsidRPr="00113056" w:rsidRDefault="000C35AF" w:rsidP="009238AE">
            <w:pPr>
              <w:pStyle w:val="Regresjonstabell"/>
              <w:jc w:val="right"/>
              <w:rPr>
                <w:sz w:val="15"/>
                <w:szCs w:val="15"/>
              </w:rPr>
            </w:pPr>
            <w:r w:rsidRPr="00113056">
              <w:rPr>
                <w:color w:val="000000"/>
                <w:sz w:val="15"/>
                <w:szCs w:val="15"/>
              </w:rPr>
              <w:t>-1.002</w:t>
            </w:r>
          </w:p>
        </w:tc>
        <w:tc>
          <w:tcPr>
            <w:tcW w:w="1382" w:type="dxa"/>
            <w:tcBorders>
              <w:top w:val="nil"/>
              <w:left w:val="nil"/>
              <w:bottom w:val="nil"/>
              <w:right w:val="nil"/>
            </w:tcBorders>
            <w:vAlign w:val="bottom"/>
          </w:tcPr>
          <w:p w14:paraId="4DBBABA7" w14:textId="77777777" w:rsidR="000C35AF" w:rsidRPr="00113056" w:rsidRDefault="000C35AF" w:rsidP="009238AE">
            <w:pPr>
              <w:pStyle w:val="Regresjonstabell"/>
              <w:jc w:val="right"/>
              <w:rPr>
                <w:sz w:val="15"/>
                <w:szCs w:val="15"/>
              </w:rPr>
            </w:pPr>
            <w:r w:rsidRPr="00113056">
              <w:rPr>
                <w:color w:val="000000"/>
                <w:sz w:val="15"/>
                <w:szCs w:val="15"/>
              </w:rPr>
              <w:t>-1.374</w:t>
            </w:r>
          </w:p>
        </w:tc>
        <w:tc>
          <w:tcPr>
            <w:tcW w:w="1392" w:type="dxa"/>
            <w:tcBorders>
              <w:top w:val="nil"/>
              <w:left w:val="nil"/>
              <w:bottom w:val="nil"/>
              <w:right w:val="nil"/>
            </w:tcBorders>
            <w:vAlign w:val="bottom"/>
          </w:tcPr>
          <w:p w14:paraId="33B50248" w14:textId="77777777" w:rsidR="000C35AF" w:rsidRPr="00113056" w:rsidRDefault="000C35AF" w:rsidP="009238AE">
            <w:pPr>
              <w:pStyle w:val="Regresjonstabell"/>
              <w:jc w:val="right"/>
              <w:rPr>
                <w:sz w:val="15"/>
                <w:szCs w:val="15"/>
              </w:rPr>
            </w:pPr>
            <w:r w:rsidRPr="00113056">
              <w:rPr>
                <w:color w:val="000000"/>
                <w:sz w:val="15"/>
                <w:szCs w:val="15"/>
              </w:rPr>
              <w:t>-2.375</w:t>
            </w:r>
          </w:p>
        </w:tc>
        <w:tc>
          <w:tcPr>
            <w:tcW w:w="1440" w:type="dxa"/>
            <w:tcBorders>
              <w:top w:val="nil"/>
              <w:left w:val="nil"/>
              <w:bottom w:val="nil"/>
              <w:right w:val="single" w:sz="4" w:space="0" w:color="auto"/>
            </w:tcBorders>
            <w:vAlign w:val="bottom"/>
          </w:tcPr>
          <w:p w14:paraId="42254B1D" w14:textId="77777777" w:rsidR="000C35AF" w:rsidRPr="00113056" w:rsidRDefault="000C35AF" w:rsidP="009238AE">
            <w:pPr>
              <w:pStyle w:val="Regresjonstabell"/>
              <w:jc w:val="right"/>
              <w:rPr>
                <w:sz w:val="15"/>
                <w:szCs w:val="15"/>
              </w:rPr>
            </w:pPr>
            <w:r w:rsidRPr="00113056">
              <w:rPr>
                <w:color w:val="000000"/>
                <w:sz w:val="15"/>
                <w:szCs w:val="15"/>
              </w:rPr>
              <w:t>-253.225**</w:t>
            </w:r>
          </w:p>
        </w:tc>
      </w:tr>
      <w:tr w:rsidR="000C35AF" w:rsidRPr="0055149C" w14:paraId="56E0884A"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6A8160A4" w14:textId="77777777" w:rsidR="000C35AF" w:rsidRPr="0055149C" w:rsidRDefault="000C35AF" w:rsidP="009238AE">
            <w:pPr>
              <w:pStyle w:val="Regresjonstabell"/>
              <w:rPr>
                <w:sz w:val="15"/>
                <w:szCs w:val="15"/>
              </w:rPr>
            </w:pPr>
            <w:r w:rsidRPr="0055149C">
              <w:rPr>
                <w:sz w:val="15"/>
                <w:szCs w:val="15"/>
              </w:rPr>
              <w:t>(Kriterium 4)</w:t>
            </w:r>
          </w:p>
        </w:tc>
        <w:tc>
          <w:tcPr>
            <w:tcW w:w="1440" w:type="dxa"/>
            <w:tcBorders>
              <w:top w:val="nil"/>
              <w:left w:val="single" w:sz="4" w:space="0" w:color="auto"/>
              <w:bottom w:val="nil"/>
              <w:right w:val="nil"/>
            </w:tcBorders>
            <w:vAlign w:val="center"/>
          </w:tcPr>
          <w:p w14:paraId="0065567D" w14:textId="77777777" w:rsidR="000C35AF" w:rsidRPr="00113056" w:rsidRDefault="000C35AF" w:rsidP="009238AE">
            <w:pPr>
              <w:pStyle w:val="Regresjonstabell"/>
              <w:jc w:val="right"/>
              <w:rPr>
                <w:sz w:val="15"/>
                <w:szCs w:val="15"/>
              </w:rPr>
            </w:pPr>
            <w:r w:rsidRPr="00113056">
              <w:rPr>
                <w:color w:val="000000"/>
                <w:sz w:val="15"/>
                <w:szCs w:val="15"/>
              </w:rPr>
              <w:t>(112.670)</w:t>
            </w:r>
          </w:p>
        </w:tc>
        <w:tc>
          <w:tcPr>
            <w:tcW w:w="1440" w:type="dxa"/>
            <w:tcBorders>
              <w:top w:val="nil"/>
              <w:left w:val="nil"/>
              <w:bottom w:val="nil"/>
              <w:right w:val="nil"/>
            </w:tcBorders>
            <w:vAlign w:val="center"/>
          </w:tcPr>
          <w:p w14:paraId="4AB3A3E5" w14:textId="77777777" w:rsidR="000C35AF" w:rsidRPr="00113056" w:rsidRDefault="000C35AF" w:rsidP="009238AE">
            <w:pPr>
              <w:pStyle w:val="Regresjonstabell"/>
              <w:jc w:val="right"/>
              <w:rPr>
                <w:sz w:val="15"/>
                <w:szCs w:val="15"/>
              </w:rPr>
            </w:pPr>
            <w:r w:rsidRPr="00113056">
              <w:rPr>
                <w:color w:val="000000"/>
                <w:sz w:val="15"/>
                <w:szCs w:val="15"/>
              </w:rPr>
              <w:t>(89.771)</w:t>
            </w:r>
          </w:p>
        </w:tc>
        <w:tc>
          <w:tcPr>
            <w:tcW w:w="1440" w:type="dxa"/>
            <w:tcBorders>
              <w:top w:val="nil"/>
              <w:left w:val="nil"/>
              <w:bottom w:val="nil"/>
              <w:right w:val="nil"/>
            </w:tcBorders>
            <w:vAlign w:val="center"/>
          </w:tcPr>
          <w:p w14:paraId="68A361A8" w14:textId="77777777" w:rsidR="000C35AF" w:rsidRPr="00113056" w:rsidRDefault="000C35AF" w:rsidP="009238AE">
            <w:pPr>
              <w:pStyle w:val="Regresjonstabell"/>
              <w:jc w:val="right"/>
              <w:rPr>
                <w:sz w:val="15"/>
                <w:szCs w:val="15"/>
              </w:rPr>
            </w:pPr>
            <w:r w:rsidRPr="00113056">
              <w:rPr>
                <w:color w:val="000000"/>
                <w:sz w:val="15"/>
                <w:szCs w:val="15"/>
              </w:rPr>
              <w:t>(62.732)</w:t>
            </w:r>
          </w:p>
        </w:tc>
        <w:tc>
          <w:tcPr>
            <w:tcW w:w="1382" w:type="dxa"/>
            <w:tcBorders>
              <w:top w:val="nil"/>
              <w:left w:val="nil"/>
              <w:bottom w:val="nil"/>
              <w:right w:val="nil"/>
            </w:tcBorders>
            <w:vAlign w:val="center"/>
          </w:tcPr>
          <w:p w14:paraId="5EE64D9C" w14:textId="77777777" w:rsidR="000C35AF" w:rsidRPr="00113056" w:rsidRDefault="000C35AF" w:rsidP="009238AE">
            <w:pPr>
              <w:pStyle w:val="Regresjonstabell"/>
              <w:jc w:val="right"/>
              <w:rPr>
                <w:sz w:val="15"/>
                <w:szCs w:val="15"/>
              </w:rPr>
            </w:pPr>
            <w:r w:rsidRPr="00113056">
              <w:rPr>
                <w:color w:val="000000"/>
                <w:sz w:val="15"/>
                <w:szCs w:val="15"/>
              </w:rPr>
              <w:t>(8.234)</w:t>
            </w:r>
          </w:p>
        </w:tc>
        <w:tc>
          <w:tcPr>
            <w:tcW w:w="1382" w:type="dxa"/>
            <w:tcBorders>
              <w:top w:val="nil"/>
              <w:left w:val="nil"/>
              <w:bottom w:val="nil"/>
              <w:right w:val="nil"/>
            </w:tcBorders>
            <w:vAlign w:val="center"/>
          </w:tcPr>
          <w:p w14:paraId="443C42DF" w14:textId="77777777" w:rsidR="000C35AF" w:rsidRPr="00113056" w:rsidRDefault="000C35AF" w:rsidP="009238AE">
            <w:pPr>
              <w:pStyle w:val="Regresjonstabell"/>
              <w:jc w:val="right"/>
              <w:rPr>
                <w:sz w:val="15"/>
                <w:szCs w:val="15"/>
              </w:rPr>
            </w:pPr>
            <w:r w:rsidRPr="00113056">
              <w:rPr>
                <w:color w:val="000000"/>
                <w:sz w:val="15"/>
                <w:szCs w:val="15"/>
              </w:rPr>
              <w:t>(21.239)</w:t>
            </w:r>
          </w:p>
        </w:tc>
        <w:tc>
          <w:tcPr>
            <w:tcW w:w="1382" w:type="dxa"/>
            <w:tcBorders>
              <w:top w:val="nil"/>
              <w:left w:val="nil"/>
              <w:bottom w:val="nil"/>
              <w:right w:val="nil"/>
            </w:tcBorders>
            <w:vAlign w:val="center"/>
          </w:tcPr>
          <w:p w14:paraId="56DE3FC0" w14:textId="77777777" w:rsidR="000C35AF" w:rsidRPr="00113056" w:rsidRDefault="000C35AF" w:rsidP="009238AE">
            <w:pPr>
              <w:pStyle w:val="Regresjonstabell"/>
              <w:jc w:val="right"/>
              <w:rPr>
                <w:sz w:val="15"/>
                <w:szCs w:val="15"/>
              </w:rPr>
            </w:pPr>
            <w:r w:rsidRPr="00113056">
              <w:rPr>
                <w:color w:val="000000"/>
                <w:sz w:val="15"/>
                <w:szCs w:val="15"/>
              </w:rPr>
              <w:t>(21.522)</w:t>
            </w:r>
          </w:p>
        </w:tc>
        <w:tc>
          <w:tcPr>
            <w:tcW w:w="1392" w:type="dxa"/>
            <w:tcBorders>
              <w:top w:val="nil"/>
              <w:left w:val="nil"/>
              <w:bottom w:val="nil"/>
              <w:right w:val="nil"/>
            </w:tcBorders>
            <w:vAlign w:val="center"/>
          </w:tcPr>
          <w:p w14:paraId="27408151" w14:textId="77777777" w:rsidR="000C35AF" w:rsidRPr="00113056" w:rsidRDefault="000C35AF" w:rsidP="009238AE">
            <w:pPr>
              <w:pStyle w:val="Regresjonstabell"/>
              <w:jc w:val="right"/>
              <w:rPr>
                <w:sz w:val="15"/>
                <w:szCs w:val="15"/>
              </w:rPr>
            </w:pPr>
            <w:r w:rsidRPr="00113056">
              <w:rPr>
                <w:color w:val="000000"/>
                <w:sz w:val="15"/>
                <w:szCs w:val="15"/>
              </w:rPr>
              <w:t>(42.760)</w:t>
            </w:r>
          </w:p>
        </w:tc>
        <w:tc>
          <w:tcPr>
            <w:tcW w:w="1440" w:type="dxa"/>
            <w:tcBorders>
              <w:top w:val="nil"/>
              <w:left w:val="nil"/>
              <w:bottom w:val="nil"/>
              <w:right w:val="single" w:sz="4" w:space="0" w:color="auto"/>
            </w:tcBorders>
            <w:vAlign w:val="center"/>
          </w:tcPr>
          <w:p w14:paraId="70ADCEB9" w14:textId="77777777" w:rsidR="000C35AF" w:rsidRPr="00113056" w:rsidRDefault="000C35AF" w:rsidP="009238AE">
            <w:pPr>
              <w:pStyle w:val="Regresjonstabell"/>
              <w:jc w:val="right"/>
              <w:rPr>
                <w:sz w:val="15"/>
                <w:szCs w:val="15"/>
              </w:rPr>
            </w:pPr>
            <w:r w:rsidRPr="00113056">
              <w:rPr>
                <w:color w:val="000000"/>
                <w:sz w:val="15"/>
                <w:szCs w:val="15"/>
              </w:rPr>
              <w:t>(127.324)</w:t>
            </w:r>
          </w:p>
        </w:tc>
      </w:tr>
      <w:tr w:rsidR="000C35AF" w:rsidRPr="0055149C" w14:paraId="6E9EA00D"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7ED96D19" w14:textId="77777777" w:rsidR="000C35AF" w:rsidRPr="0055149C" w:rsidRDefault="000C35AF" w:rsidP="009238AE">
            <w:pPr>
              <w:pStyle w:val="Regresjonstabell"/>
              <w:rPr>
                <w:sz w:val="15"/>
                <w:szCs w:val="15"/>
              </w:rPr>
            </w:pPr>
            <w:r w:rsidRPr="0055149C">
              <w:rPr>
                <w:sz w:val="15"/>
                <w:szCs w:val="15"/>
              </w:rPr>
              <w:t>Innbyggere 6 til 15 år</w:t>
            </w:r>
          </w:p>
        </w:tc>
        <w:tc>
          <w:tcPr>
            <w:tcW w:w="1440" w:type="dxa"/>
            <w:tcBorders>
              <w:top w:val="nil"/>
              <w:left w:val="single" w:sz="4" w:space="0" w:color="auto"/>
              <w:bottom w:val="nil"/>
              <w:right w:val="nil"/>
            </w:tcBorders>
            <w:vAlign w:val="bottom"/>
          </w:tcPr>
          <w:p w14:paraId="763B5FB3" w14:textId="77777777" w:rsidR="000C35AF" w:rsidRPr="00113056" w:rsidRDefault="000C35AF" w:rsidP="009238AE">
            <w:pPr>
              <w:pStyle w:val="Regresjonstabell"/>
              <w:jc w:val="right"/>
              <w:rPr>
                <w:sz w:val="15"/>
                <w:szCs w:val="15"/>
              </w:rPr>
            </w:pPr>
            <w:r w:rsidRPr="00113056">
              <w:rPr>
                <w:color w:val="000000"/>
                <w:sz w:val="15"/>
                <w:szCs w:val="15"/>
              </w:rPr>
              <w:t>-107.089**</w:t>
            </w:r>
          </w:p>
        </w:tc>
        <w:tc>
          <w:tcPr>
            <w:tcW w:w="1440" w:type="dxa"/>
            <w:tcBorders>
              <w:top w:val="nil"/>
              <w:left w:val="nil"/>
              <w:bottom w:val="nil"/>
              <w:right w:val="nil"/>
            </w:tcBorders>
            <w:vAlign w:val="bottom"/>
          </w:tcPr>
          <w:p w14:paraId="5ED34D89" w14:textId="77777777" w:rsidR="000C35AF" w:rsidRPr="00113056" w:rsidRDefault="000C35AF" w:rsidP="009238AE">
            <w:pPr>
              <w:pStyle w:val="Regresjonstabell"/>
              <w:jc w:val="right"/>
              <w:rPr>
                <w:sz w:val="15"/>
                <w:szCs w:val="15"/>
              </w:rPr>
            </w:pPr>
            <w:r w:rsidRPr="00113056">
              <w:rPr>
                <w:color w:val="000000"/>
                <w:sz w:val="15"/>
                <w:szCs w:val="15"/>
              </w:rPr>
              <w:t>-45.187</w:t>
            </w:r>
          </w:p>
        </w:tc>
        <w:tc>
          <w:tcPr>
            <w:tcW w:w="1440" w:type="dxa"/>
            <w:tcBorders>
              <w:top w:val="nil"/>
              <w:left w:val="nil"/>
              <w:bottom w:val="nil"/>
              <w:right w:val="nil"/>
            </w:tcBorders>
            <w:vAlign w:val="bottom"/>
          </w:tcPr>
          <w:p w14:paraId="6B52762E" w14:textId="77777777" w:rsidR="000C35AF" w:rsidRPr="00113056" w:rsidRDefault="000C35AF" w:rsidP="009238AE">
            <w:pPr>
              <w:pStyle w:val="Regresjonstabell"/>
              <w:jc w:val="right"/>
              <w:rPr>
                <w:sz w:val="15"/>
                <w:szCs w:val="15"/>
              </w:rPr>
            </w:pPr>
            <w:r w:rsidRPr="00113056">
              <w:rPr>
                <w:color w:val="000000"/>
                <w:sz w:val="15"/>
                <w:szCs w:val="15"/>
              </w:rPr>
              <w:t>-61.902**</w:t>
            </w:r>
          </w:p>
        </w:tc>
        <w:tc>
          <w:tcPr>
            <w:tcW w:w="1382" w:type="dxa"/>
            <w:tcBorders>
              <w:top w:val="nil"/>
              <w:left w:val="nil"/>
              <w:bottom w:val="nil"/>
              <w:right w:val="nil"/>
            </w:tcBorders>
            <w:vAlign w:val="bottom"/>
          </w:tcPr>
          <w:p w14:paraId="558CB4C0" w14:textId="77777777" w:rsidR="000C35AF" w:rsidRPr="00113056" w:rsidRDefault="000C35AF" w:rsidP="009238AE">
            <w:pPr>
              <w:pStyle w:val="Regresjonstabell"/>
              <w:jc w:val="right"/>
              <w:rPr>
                <w:sz w:val="15"/>
                <w:szCs w:val="15"/>
              </w:rPr>
            </w:pPr>
            <w:r w:rsidRPr="00113056">
              <w:rPr>
                <w:color w:val="000000"/>
                <w:sz w:val="15"/>
                <w:szCs w:val="15"/>
              </w:rPr>
              <w:t>-0.349</w:t>
            </w:r>
          </w:p>
        </w:tc>
        <w:tc>
          <w:tcPr>
            <w:tcW w:w="1382" w:type="dxa"/>
            <w:tcBorders>
              <w:top w:val="nil"/>
              <w:left w:val="nil"/>
              <w:bottom w:val="nil"/>
              <w:right w:val="nil"/>
            </w:tcBorders>
            <w:vAlign w:val="bottom"/>
          </w:tcPr>
          <w:p w14:paraId="11FF1546" w14:textId="77777777" w:rsidR="000C35AF" w:rsidRPr="00113056" w:rsidRDefault="000C35AF" w:rsidP="009238AE">
            <w:pPr>
              <w:pStyle w:val="Regresjonstabell"/>
              <w:jc w:val="right"/>
              <w:rPr>
                <w:sz w:val="15"/>
                <w:szCs w:val="15"/>
              </w:rPr>
            </w:pPr>
            <w:r w:rsidRPr="00113056">
              <w:rPr>
                <w:color w:val="000000"/>
                <w:sz w:val="15"/>
                <w:szCs w:val="15"/>
              </w:rPr>
              <w:t>-20.788*</w:t>
            </w:r>
          </w:p>
        </w:tc>
        <w:tc>
          <w:tcPr>
            <w:tcW w:w="1382" w:type="dxa"/>
            <w:tcBorders>
              <w:top w:val="nil"/>
              <w:left w:val="nil"/>
              <w:bottom w:val="nil"/>
              <w:right w:val="nil"/>
            </w:tcBorders>
            <w:vAlign w:val="bottom"/>
          </w:tcPr>
          <w:p w14:paraId="01DFEB03" w14:textId="77777777" w:rsidR="000C35AF" w:rsidRPr="00113056" w:rsidRDefault="000C35AF" w:rsidP="009238AE">
            <w:pPr>
              <w:pStyle w:val="Regresjonstabell"/>
              <w:jc w:val="right"/>
              <w:rPr>
                <w:sz w:val="15"/>
                <w:szCs w:val="15"/>
              </w:rPr>
            </w:pPr>
            <w:r w:rsidRPr="00113056">
              <w:rPr>
                <w:color w:val="000000"/>
                <w:sz w:val="15"/>
                <w:szCs w:val="15"/>
              </w:rPr>
              <w:t>-21.142*</w:t>
            </w:r>
          </w:p>
        </w:tc>
        <w:tc>
          <w:tcPr>
            <w:tcW w:w="1392" w:type="dxa"/>
            <w:tcBorders>
              <w:top w:val="nil"/>
              <w:left w:val="nil"/>
              <w:bottom w:val="nil"/>
              <w:right w:val="nil"/>
            </w:tcBorders>
            <w:vAlign w:val="bottom"/>
          </w:tcPr>
          <w:p w14:paraId="064777A2" w14:textId="77777777" w:rsidR="000C35AF" w:rsidRPr="00113056" w:rsidRDefault="000C35AF" w:rsidP="009238AE">
            <w:pPr>
              <w:pStyle w:val="Regresjonstabell"/>
              <w:jc w:val="right"/>
              <w:rPr>
                <w:sz w:val="15"/>
                <w:szCs w:val="15"/>
              </w:rPr>
            </w:pPr>
            <w:r w:rsidRPr="00113056">
              <w:rPr>
                <w:color w:val="000000"/>
                <w:sz w:val="15"/>
                <w:szCs w:val="15"/>
              </w:rPr>
              <w:t>-41.930*</w:t>
            </w:r>
          </w:p>
        </w:tc>
        <w:tc>
          <w:tcPr>
            <w:tcW w:w="1440" w:type="dxa"/>
            <w:tcBorders>
              <w:top w:val="nil"/>
              <w:left w:val="nil"/>
              <w:bottom w:val="nil"/>
              <w:right w:val="single" w:sz="4" w:space="0" w:color="auto"/>
            </w:tcBorders>
            <w:vAlign w:val="bottom"/>
          </w:tcPr>
          <w:p w14:paraId="7EC53567" w14:textId="77777777" w:rsidR="000C35AF" w:rsidRPr="00113056" w:rsidRDefault="000C35AF" w:rsidP="009238AE">
            <w:pPr>
              <w:pStyle w:val="Regresjonstabell"/>
              <w:jc w:val="right"/>
              <w:rPr>
                <w:sz w:val="15"/>
                <w:szCs w:val="15"/>
              </w:rPr>
            </w:pPr>
            <w:r w:rsidRPr="00113056">
              <w:rPr>
                <w:color w:val="000000"/>
                <w:sz w:val="15"/>
                <w:szCs w:val="15"/>
              </w:rPr>
              <w:t>-149.019***</w:t>
            </w:r>
          </w:p>
        </w:tc>
      </w:tr>
      <w:tr w:rsidR="000C35AF" w:rsidRPr="0055149C" w14:paraId="71E7F8F6"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566EF627" w14:textId="77777777" w:rsidR="000C35AF" w:rsidRPr="0055149C" w:rsidRDefault="000C35AF" w:rsidP="009238AE">
            <w:pPr>
              <w:pStyle w:val="Regresjonstabell"/>
              <w:rPr>
                <w:sz w:val="15"/>
                <w:szCs w:val="15"/>
              </w:rPr>
            </w:pPr>
            <w:r w:rsidRPr="0055149C">
              <w:rPr>
                <w:sz w:val="15"/>
                <w:szCs w:val="15"/>
              </w:rPr>
              <w:t>(Kriterium 5)</w:t>
            </w:r>
          </w:p>
        </w:tc>
        <w:tc>
          <w:tcPr>
            <w:tcW w:w="1440" w:type="dxa"/>
            <w:tcBorders>
              <w:top w:val="nil"/>
              <w:left w:val="single" w:sz="4" w:space="0" w:color="auto"/>
              <w:bottom w:val="nil"/>
              <w:right w:val="nil"/>
            </w:tcBorders>
            <w:vAlign w:val="center"/>
          </w:tcPr>
          <w:p w14:paraId="79E61181" w14:textId="77777777" w:rsidR="000C35AF" w:rsidRPr="00113056" w:rsidRDefault="000C35AF" w:rsidP="009238AE">
            <w:pPr>
              <w:pStyle w:val="Regresjonstabell"/>
              <w:jc w:val="right"/>
              <w:rPr>
                <w:sz w:val="15"/>
                <w:szCs w:val="15"/>
              </w:rPr>
            </w:pPr>
            <w:r w:rsidRPr="00113056">
              <w:rPr>
                <w:color w:val="000000"/>
                <w:sz w:val="15"/>
                <w:szCs w:val="15"/>
              </w:rPr>
              <w:t>(42.473)</w:t>
            </w:r>
          </w:p>
        </w:tc>
        <w:tc>
          <w:tcPr>
            <w:tcW w:w="1440" w:type="dxa"/>
            <w:tcBorders>
              <w:top w:val="nil"/>
              <w:left w:val="nil"/>
              <w:bottom w:val="nil"/>
              <w:right w:val="nil"/>
            </w:tcBorders>
            <w:vAlign w:val="center"/>
          </w:tcPr>
          <w:p w14:paraId="0A3A6BD1" w14:textId="77777777" w:rsidR="000C35AF" w:rsidRPr="00113056" w:rsidRDefault="000C35AF" w:rsidP="009238AE">
            <w:pPr>
              <w:pStyle w:val="Regresjonstabell"/>
              <w:jc w:val="right"/>
              <w:rPr>
                <w:sz w:val="15"/>
                <w:szCs w:val="15"/>
              </w:rPr>
            </w:pPr>
            <w:r w:rsidRPr="00113056">
              <w:rPr>
                <w:color w:val="000000"/>
                <w:sz w:val="15"/>
                <w:szCs w:val="15"/>
              </w:rPr>
              <w:t>(43.258)</w:t>
            </w:r>
          </w:p>
        </w:tc>
        <w:tc>
          <w:tcPr>
            <w:tcW w:w="1440" w:type="dxa"/>
            <w:tcBorders>
              <w:top w:val="nil"/>
              <w:left w:val="nil"/>
              <w:bottom w:val="nil"/>
              <w:right w:val="nil"/>
            </w:tcBorders>
            <w:vAlign w:val="center"/>
          </w:tcPr>
          <w:p w14:paraId="7E46DE67" w14:textId="77777777" w:rsidR="000C35AF" w:rsidRPr="00113056" w:rsidRDefault="000C35AF" w:rsidP="009238AE">
            <w:pPr>
              <w:pStyle w:val="Regresjonstabell"/>
              <w:jc w:val="right"/>
              <w:rPr>
                <w:sz w:val="15"/>
                <w:szCs w:val="15"/>
              </w:rPr>
            </w:pPr>
            <w:r w:rsidRPr="00113056">
              <w:rPr>
                <w:color w:val="000000"/>
                <w:sz w:val="15"/>
                <w:szCs w:val="15"/>
              </w:rPr>
              <w:t>(24.580)</w:t>
            </w:r>
          </w:p>
        </w:tc>
        <w:tc>
          <w:tcPr>
            <w:tcW w:w="1382" w:type="dxa"/>
            <w:tcBorders>
              <w:top w:val="nil"/>
              <w:left w:val="nil"/>
              <w:bottom w:val="nil"/>
              <w:right w:val="nil"/>
            </w:tcBorders>
            <w:vAlign w:val="center"/>
          </w:tcPr>
          <w:p w14:paraId="7FCF1F6F" w14:textId="77777777" w:rsidR="000C35AF" w:rsidRPr="00113056" w:rsidRDefault="000C35AF" w:rsidP="009238AE">
            <w:pPr>
              <w:pStyle w:val="Regresjonstabell"/>
              <w:jc w:val="right"/>
              <w:rPr>
                <w:sz w:val="15"/>
                <w:szCs w:val="15"/>
              </w:rPr>
            </w:pPr>
            <w:r w:rsidRPr="00113056">
              <w:rPr>
                <w:color w:val="000000"/>
                <w:sz w:val="15"/>
                <w:szCs w:val="15"/>
              </w:rPr>
              <w:t>(5.138)</w:t>
            </w:r>
          </w:p>
        </w:tc>
        <w:tc>
          <w:tcPr>
            <w:tcW w:w="1382" w:type="dxa"/>
            <w:tcBorders>
              <w:top w:val="nil"/>
              <w:left w:val="nil"/>
              <w:bottom w:val="nil"/>
              <w:right w:val="nil"/>
            </w:tcBorders>
            <w:vAlign w:val="center"/>
          </w:tcPr>
          <w:p w14:paraId="47F5D5A4" w14:textId="77777777" w:rsidR="000C35AF" w:rsidRPr="00113056" w:rsidRDefault="000C35AF" w:rsidP="009238AE">
            <w:pPr>
              <w:pStyle w:val="Regresjonstabell"/>
              <w:jc w:val="right"/>
              <w:rPr>
                <w:sz w:val="15"/>
                <w:szCs w:val="15"/>
              </w:rPr>
            </w:pPr>
            <w:r w:rsidRPr="00113056">
              <w:rPr>
                <w:color w:val="000000"/>
                <w:sz w:val="15"/>
                <w:szCs w:val="15"/>
              </w:rPr>
              <w:t>(11.939)</w:t>
            </w:r>
          </w:p>
        </w:tc>
        <w:tc>
          <w:tcPr>
            <w:tcW w:w="1382" w:type="dxa"/>
            <w:tcBorders>
              <w:top w:val="nil"/>
              <w:left w:val="nil"/>
              <w:bottom w:val="nil"/>
              <w:right w:val="nil"/>
            </w:tcBorders>
            <w:vAlign w:val="center"/>
          </w:tcPr>
          <w:p w14:paraId="3D11D935" w14:textId="77777777" w:rsidR="000C35AF" w:rsidRPr="00113056" w:rsidRDefault="000C35AF" w:rsidP="009238AE">
            <w:pPr>
              <w:pStyle w:val="Regresjonstabell"/>
              <w:jc w:val="right"/>
              <w:rPr>
                <w:sz w:val="15"/>
                <w:szCs w:val="15"/>
              </w:rPr>
            </w:pPr>
            <w:r w:rsidRPr="00113056">
              <w:rPr>
                <w:color w:val="000000"/>
                <w:sz w:val="15"/>
                <w:szCs w:val="15"/>
              </w:rPr>
              <w:t>(12.104)</w:t>
            </w:r>
          </w:p>
        </w:tc>
        <w:tc>
          <w:tcPr>
            <w:tcW w:w="1392" w:type="dxa"/>
            <w:tcBorders>
              <w:top w:val="nil"/>
              <w:left w:val="nil"/>
              <w:bottom w:val="nil"/>
              <w:right w:val="nil"/>
            </w:tcBorders>
            <w:vAlign w:val="center"/>
          </w:tcPr>
          <w:p w14:paraId="70C69DEB" w14:textId="77777777" w:rsidR="000C35AF" w:rsidRPr="00113056" w:rsidRDefault="000C35AF" w:rsidP="009238AE">
            <w:pPr>
              <w:pStyle w:val="Regresjonstabell"/>
              <w:jc w:val="right"/>
              <w:rPr>
                <w:sz w:val="15"/>
                <w:szCs w:val="15"/>
              </w:rPr>
            </w:pPr>
            <w:r w:rsidRPr="00113056">
              <w:rPr>
                <w:color w:val="000000"/>
                <w:sz w:val="15"/>
                <w:szCs w:val="15"/>
              </w:rPr>
              <w:t>(24.043)</w:t>
            </w:r>
          </w:p>
        </w:tc>
        <w:tc>
          <w:tcPr>
            <w:tcW w:w="1440" w:type="dxa"/>
            <w:tcBorders>
              <w:top w:val="nil"/>
              <w:left w:val="nil"/>
              <w:bottom w:val="nil"/>
              <w:right w:val="single" w:sz="4" w:space="0" w:color="auto"/>
            </w:tcBorders>
            <w:vAlign w:val="center"/>
          </w:tcPr>
          <w:p w14:paraId="0EA52E25" w14:textId="77777777" w:rsidR="000C35AF" w:rsidRPr="00113056" w:rsidRDefault="000C35AF" w:rsidP="009238AE">
            <w:pPr>
              <w:pStyle w:val="Regresjonstabell"/>
              <w:jc w:val="right"/>
              <w:rPr>
                <w:sz w:val="15"/>
                <w:szCs w:val="15"/>
              </w:rPr>
            </w:pPr>
            <w:r w:rsidRPr="00113056">
              <w:rPr>
                <w:color w:val="000000"/>
                <w:sz w:val="15"/>
                <w:szCs w:val="15"/>
              </w:rPr>
              <w:t>(48.968)</w:t>
            </w:r>
          </w:p>
        </w:tc>
      </w:tr>
      <w:tr w:rsidR="000C35AF" w:rsidRPr="0055149C" w14:paraId="449B6B0D"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6B46E60F" w14:textId="77777777" w:rsidR="000C35AF" w:rsidRPr="0055149C" w:rsidRDefault="000C35AF" w:rsidP="009238AE">
            <w:pPr>
              <w:pStyle w:val="Regresjonstabell"/>
              <w:rPr>
                <w:sz w:val="15"/>
                <w:szCs w:val="15"/>
              </w:rPr>
            </w:pPr>
            <w:r w:rsidRPr="0055149C">
              <w:rPr>
                <w:color w:val="000000"/>
                <w:sz w:val="15"/>
                <w:szCs w:val="15"/>
              </w:rPr>
              <w:t>Innbyggere 16 til 22 år</w:t>
            </w:r>
          </w:p>
        </w:tc>
        <w:tc>
          <w:tcPr>
            <w:tcW w:w="1440" w:type="dxa"/>
            <w:tcBorders>
              <w:top w:val="nil"/>
              <w:left w:val="single" w:sz="4" w:space="0" w:color="auto"/>
              <w:bottom w:val="nil"/>
              <w:right w:val="nil"/>
            </w:tcBorders>
            <w:vAlign w:val="bottom"/>
          </w:tcPr>
          <w:p w14:paraId="19F4AE7C" w14:textId="77777777" w:rsidR="000C35AF" w:rsidRPr="00113056" w:rsidRDefault="000C35AF" w:rsidP="009238AE">
            <w:pPr>
              <w:pStyle w:val="Regresjonstabell"/>
              <w:jc w:val="right"/>
              <w:rPr>
                <w:sz w:val="15"/>
                <w:szCs w:val="15"/>
              </w:rPr>
            </w:pPr>
            <w:r w:rsidRPr="00113056">
              <w:rPr>
                <w:color w:val="000000"/>
                <w:sz w:val="15"/>
                <w:szCs w:val="15"/>
              </w:rPr>
              <w:t>-15.627</w:t>
            </w:r>
          </w:p>
        </w:tc>
        <w:tc>
          <w:tcPr>
            <w:tcW w:w="1440" w:type="dxa"/>
            <w:tcBorders>
              <w:top w:val="nil"/>
              <w:left w:val="nil"/>
              <w:bottom w:val="nil"/>
              <w:right w:val="nil"/>
            </w:tcBorders>
            <w:vAlign w:val="bottom"/>
          </w:tcPr>
          <w:p w14:paraId="5AD68737" w14:textId="77777777" w:rsidR="000C35AF" w:rsidRPr="00113056" w:rsidRDefault="000C35AF" w:rsidP="009238AE">
            <w:pPr>
              <w:pStyle w:val="Regresjonstabell"/>
              <w:jc w:val="right"/>
              <w:rPr>
                <w:sz w:val="15"/>
                <w:szCs w:val="15"/>
              </w:rPr>
            </w:pPr>
            <w:r w:rsidRPr="00113056">
              <w:rPr>
                <w:color w:val="000000"/>
                <w:sz w:val="15"/>
                <w:szCs w:val="15"/>
              </w:rPr>
              <w:t>-38.864</w:t>
            </w:r>
          </w:p>
        </w:tc>
        <w:tc>
          <w:tcPr>
            <w:tcW w:w="1440" w:type="dxa"/>
            <w:tcBorders>
              <w:top w:val="nil"/>
              <w:left w:val="nil"/>
              <w:bottom w:val="nil"/>
              <w:right w:val="nil"/>
            </w:tcBorders>
            <w:vAlign w:val="bottom"/>
          </w:tcPr>
          <w:p w14:paraId="730E1D59" w14:textId="77777777" w:rsidR="000C35AF" w:rsidRPr="00113056" w:rsidRDefault="000C35AF" w:rsidP="009238AE">
            <w:pPr>
              <w:pStyle w:val="Regresjonstabell"/>
              <w:jc w:val="right"/>
              <w:rPr>
                <w:sz w:val="15"/>
                <w:szCs w:val="15"/>
              </w:rPr>
            </w:pPr>
            <w:r w:rsidRPr="00113056">
              <w:rPr>
                <w:color w:val="000000"/>
                <w:sz w:val="15"/>
                <w:szCs w:val="15"/>
              </w:rPr>
              <w:t>23.237</w:t>
            </w:r>
          </w:p>
        </w:tc>
        <w:tc>
          <w:tcPr>
            <w:tcW w:w="1382" w:type="dxa"/>
            <w:tcBorders>
              <w:top w:val="nil"/>
              <w:left w:val="nil"/>
              <w:bottom w:val="nil"/>
              <w:right w:val="nil"/>
            </w:tcBorders>
            <w:vAlign w:val="bottom"/>
          </w:tcPr>
          <w:p w14:paraId="7F88CD66" w14:textId="77777777" w:rsidR="000C35AF" w:rsidRPr="00113056" w:rsidRDefault="000C35AF" w:rsidP="009238AE">
            <w:pPr>
              <w:pStyle w:val="Regresjonstabell"/>
              <w:jc w:val="right"/>
              <w:rPr>
                <w:sz w:val="15"/>
                <w:szCs w:val="15"/>
              </w:rPr>
            </w:pPr>
            <w:r w:rsidRPr="00113056">
              <w:rPr>
                <w:color w:val="000000"/>
                <w:sz w:val="15"/>
                <w:szCs w:val="15"/>
              </w:rPr>
              <w:t>11.194*</w:t>
            </w:r>
          </w:p>
        </w:tc>
        <w:tc>
          <w:tcPr>
            <w:tcW w:w="1382" w:type="dxa"/>
            <w:tcBorders>
              <w:top w:val="nil"/>
              <w:left w:val="nil"/>
              <w:bottom w:val="nil"/>
              <w:right w:val="nil"/>
            </w:tcBorders>
            <w:vAlign w:val="bottom"/>
          </w:tcPr>
          <w:p w14:paraId="3E3CBBD0" w14:textId="77777777" w:rsidR="000C35AF" w:rsidRPr="00113056" w:rsidRDefault="000C35AF" w:rsidP="009238AE">
            <w:pPr>
              <w:pStyle w:val="Regresjonstabell"/>
              <w:jc w:val="right"/>
              <w:rPr>
                <w:sz w:val="15"/>
                <w:szCs w:val="15"/>
              </w:rPr>
            </w:pPr>
            <w:r w:rsidRPr="00113056">
              <w:rPr>
                <w:color w:val="000000"/>
                <w:sz w:val="15"/>
                <w:szCs w:val="15"/>
              </w:rPr>
              <w:t>3.078</w:t>
            </w:r>
          </w:p>
        </w:tc>
        <w:tc>
          <w:tcPr>
            <w:tcW w:w="1382" w:type="dxa"/>
            <w:tcBorders>
              <w:top w:val="nil"/>
              <w:left w:val="nil"/>
              <w:bottom w:val="nil"/>
              <w:right w:val="nil"/>
            </w:tcBorders>
            <w:vAlign w:val="bottom"/>
          </w:tcPr>
          <w:p w14:paraId="3AFDFAD9" w14:textId="77777777" w:rsidR="000C35AF" w:rsidRPr="00113056" w:rsidRDefault="000C35AF" w:rsidP="009238AE">
            <w:pPr>
              <w:pStyle w:val="Regresjonstabell"/>
              <w:jc w:val="right"/>
              <w:rPr>
                <w:sz w:val="15"/>
                <w:szCs w:val="15"/>
              </w:rPr>
            </w:pPr>
            <w:r w:rsidRPr="00113056">
              <w:rPr>
                <w:color w:val="000000"/>
                <w:sz w:val="15"/>
                <w:szCs w:val="15"/>
              </w:rPr>
              <w:t>2.807</w:t>
            </w:r>
          </w:p>
        </w:tc>
        <w:tc>
          <w:tcPr>
            <w:tcW w:w="1392" w:type="dxa"/>
            <w:tcBorders>
              <w:top w:val="nil"/>
              <w:left w:val="nil"/>
              <w:bottom w:val="nil"/>
              <w:right w:val="nil"/>
            </w:tcBorders>
            <w:vAlign w:val="bottom"/>
          </w:tcPr>
          <w:p w14:paraId="3C8D19F8" w14:textId="77777777" w:rsidR="000C35AF" w:rsidRPr="00113056" w:rsidRDefault="000C35AF" w:rsidP="009238AE">
            <w:pPr>
              <w:pStyle w:val="Regresjonstabell"/>
              <w:jc w:val="right"/>
              <w:rPr>
                <w:sz w:val="15"/>
                <w:szCs w:val="15"/>
              </w:rPr>
            </w:pPr>
            <w:r w:rsidRPr="00113056">
              <w:rPr>
                <w:color w:val="000000"/>
                <w:sz w:val="15"/>
                <w:szCs w:val="15"/>
              </w:rPr>
              <w:t>5.886</w:t>
            </w:r>
          </w:p>
        </w:tc>
        <w:tc>
          <w:tcPr>
            <w:tcW w:w="1440" w:type="dxa"/>
            <w:tcBorders>
              <w:top w:val="nil"/>
              <w:left w:val="nil"/>
              <w:bottom w:val="nil"/>
              <w:right w:val="single" w:sz="4" w:space="0" w:color="auto"/>
            </w:tcBorders>
            <w:vAlign w:val="bottom"/>
          </w:tcPr>
          <w:p w14:paraId="0C2A0F58" w14:textId="77777777" w:rsidR="000C35AF" w:rsidRPr="00113056" w:rsidRDefault="000C35AF" w:rsidP="009238AE">
            <w:pPr>
              <w:pStyle w:val="Regresjonstabell"/>
              <w:jc w:val="right"/>
              <w:rPr>
                <w:sz w:val="15"/>
                <w:szCs w:val="15"/>
              </w:rPr>
            </w:pPr>
            <w:r w:rsidRPr="00113056">
              <w:rPr>
                <w:color w:val="000000"/>
                <w:sz w:val="15"/>
                <w:szCs w:val="15"/>
              </w:rPr>
              <w:t>-9.742</w:t>
            </w:r>
          </w:p>
        </w:tc>
      </w:tr>
      <w:tr w:rsidR="000C35AF" w:rsidRPr="0055149C" w14:paraId="6B2DB9DA"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1966A186" w14:textId="77777777" w:rsidR="000C35AF" w:rsidRPr="0055149C" w:rsidRDefault="000C35AF" w:rsidP="009238AE">
            <w:pPr>
              <w:pStyle w:val="Regresjonstabell"/>
              <w:rPr>
                <w:sz w:val="15"/>
                <w:szCs w:val="15"/>
              </w:rPr>
            </w:pPr>
            <w:r w:rsidRPr="0055149C">
              <w:rPr>
                <w:sz w:val="15"/>
                <w:szCs w:val="15"/>
              </w:rPr>
              <w:t>(Kriterium 6)</w:t>
            </w:r>
          </w:p>
        </w:tc>
        <w:tc>
          <w:tcPr>
            <w:tcW w:w="1440" w:type="dxa"/>
            <w:tcBorders>
              <w:top w:val="nil"/>
              <w:left w:val="single" w:sz="4" w:space="0" w:color="auto"/>
              <w:bottom w:val="nil"/>
              <w:right w:val="nil"/>
            </w:tcBorders>
            <w:vAlign w:val="center"/>
          </w:tcPr>
          <w:p w14:paraId="114F5651" w14:textId="77777777" w:rsidR="000C35AF" w:rsidRPr="00113056" w:rsidRDefault="000C35AF" w:rsidP="009238AE">
            <w:pPr>
              <w:pStyle w:val="Regresjonstabell"/>
              <w:jc w:val="right"/>
              <w:rPr>
                <w:sz w:val="15"/>
                <w:szCs w:val="15"/>
              </w:rPr>
            </w:pPr>
            <w:r w:rsidRPr="00113056">
              <w:rPr>
                <w:color w:val="000000"/>
                <w:sz w:val="15"/>
                <w:szCs w:val="15"/>
              </w:rPr>
              <w:t>(51.016)</w:t>
            </w:r>
          </w:p>
        </w:tc>
        <w:tc>
          <w:tcPr>
            <w:tcW w:w="1440" w:type="dxa"/>
            <w:tcBorders>
              <w:top w:val="nil"/>
              <w:left w:val="nil"/>
              <w:bottom w:val="nil"/>
              <w:right w:val="nil"/>
            </w:tcBorders>
            <w:vAlign w:val="center"/>
          </w:tcPr>
          <w:p w14:paraId="2BAF2397" w14:textId="77777777" w:rsidR="000C35AF" w:rsidRPr="00113056" w:rsidRDefault="000C35AF" w:rsidP="009238AE">
            <w:pPr>
              <w:pStyle w:val="Regresjonstabell"/>
              <w:jc w:val="right"/>
              <w:rPr>
                <w:sz w:val="15"/>
                <w:szCs w:val="15"/>
              </w:rPr>
            </w:pPr>
            <w:r w:rsidRPr="00113056">
              <w:rPr>
                <w:color w:val="000000"/>
                <w:sz w:val="15"/>
                <w:szCs w:val="15"/>
              </w:rPr>
              <w:t>(46.639)</w:t>
            </w:r>
          </w:p>
        </w:tc>
        <w:tc>
          <w:tcPr>
            <w:tcW w:w="1440" w:type="dxa"/>
            <w:tcBorders>
              <w:top w:val="nil"/>
              <w:left w:val="nil"/>
              <w:bottom w:val="nil"/>
              <w:right w:val="nil"/>
            </w:tcBorders>
            <w:vAlign w:val="center"/>
          </w:tcPr>
          <w:p w14:paraId="78F51A3D" w14:textId="77777777" w:rsidR="000C35AF" w:rsidRPr="00113056" w:rsidRDefault="000C35AF" w:rsidP="009238AE">
            <w:pPr>
              <w:pStyle w:val="Regresjonstabell"/>
              <w:jc w:val="right"/>
              <w:rPr>
                <w:sz w:val="15"/>
                <w:szCs w:val="15"/>
              </w:rPr>
            </w:pPr>
            <w:r w:rsidRPr="00113056">
              <w:rPr>
                <w:color w:val="000000"/>
                <w:sz w:val="15"/>
                <w:szCs w:val="15"/>
              </w:rPr>
              <w:t>(27.664)</w:t>
            </w:r>
          </w:p>
        </w:tc>
        <w:tc>
          <w:tcPr>
            <w:tcW w:w="1382" w:type="dxa"/>
            <w:tcBorders>
              <w:top w:val="nil"/>
              <w:left w:val="nil"/>
              <w:bottom w:val="nil"/>
              <w:right w:val="nil"/>
            </w:tcBorders>
            <w:vAlign w:val="center"/>
          </w:tcPr>
          <w:p w14:paraId="6DFC93D0" w14:textId="77777777" w:rsidR="000C35AF" w:rsidRPr="00113056" w:rsidRDefault="000C35AF" w:rsidP="009238AE">
            <w:pPr>
              <w:pStyle w:val="Regresjonstabell"/>
              <w:jc w:val="right"/>
              <w:rPr>
                <w:sz w:val="15"/>
                <w:szCs w:val="15"/>
              </w:rPr>
            </w:pPr>
            <w:r w:rsidRPr="00113056">
              <w:rPr>
                <w:color w:val="000000"/>
                <w:sz w:val="15"/>
                <w:szCs w:val="15"/>
              </w:rPr>
              <w:t>(6.277)</w:t>
            </w:r>
          </w:p>
        </w:tc>
        <w:tc>
          <w:tcPr>
            <w:tcW w:w="1382" w:type="dxa"/>
            <w:tcBorders>
              <w:top w:val="nil"/>
              <w:left w:val="nil"/>
              <w:bottom w:val="nil"/>
              <w:right w:val="nil"/>
            </w:tcBorders>
            <w:vAlign w:val="center"/>
          </w:tcPr>
          <w:p w14:paraId="0DBF83EF" w14:textId="77777777" w:rsidR="000C35AF" w:rsidRPr="00113056" w:rsidRDefault="000C35AF" w:rsidP="009238AE">
            <w:pPr>
              <w:pStyle w:val="Regresjonstabell"/>
              <w:jc w:val="right"/>
              <w:rPr>
                <w:sz w:val="15"/>
                <w:szCs w:val="15"/>
              </w:rPr>
            </w:pPr>
            <w:r w:rsidRPr="00113056">
              <w:rPr>
                <w:color w:val="000000"/>
                <w:sz w:val="15"/>
                <w:szCs w:val="15"/>
              </w:rPr>
              <w:t>(11.450)</w:t>
            </w:r>
          </w:p>
        </w:tc>
        <w:tc>
          <w:tcPr>
            <w:tcW w:w="1382" w:type="dxa"/>
            <w:tcBorders>
              <w:top w:val="nil"/>
              <w:left w:val="nil"/>
              <w:bottom w:val="nil"/>
              <w:right w:val="nil"/>
            </w:tcBorders>
            <w:vAlign w:val="center"/>
          </w:tcPr>
          <w:p w14:paraId="0735148F" w14:textId="77777777" w:rsidR="000C35AF" w:rsidRPr="00113056" w:rsidRDefault="000C35AF" w:rsidP="009238AE">
            <w:pPr>
              <w:pStyle w:val="Regresjonstabell"/>
              <w:jc w:val="right"/>
              <w:rPr>
                <w:sz w:val="15"/>
                <w:szCs w:val="15"/>
              </w:rPr>
            </w:pPr>
            <w:r w:rsidRPr="00113056">
              <w:rPr>
                <w:color w:val="000000"/>
                <w:sz w:val="15"/>
                <w:szCs w:val="15"/>
              </w:rPr>
              <w:t>(11.614)</w:t>
            </w:r>
          </w:p>
        </w:tc>
        <w:tc>
          <w:tcPr>
            <w:tcW w:w="1392" w:type="dxa"/>
            <w:tcBorders>
              <w:top w:val="nil"/>
              <w:left w:val="nil"/>
              <w:bottom w:val="nil"/>
              <w:right w:val="nil"/>
            </w:tcBorders>
            <w:vAlign w:val="center"/>
          </w:tcPr>
          <w:p w14:paraId="1A627649" w14:textId="77777777" w:rsidR="000C35AF" w:rsidRPr="00113056" w:rsidRDefault="000C35AF" w:rsidP="009238AE">
            <w:pPr>
              <w:pStyle w:val="Regresjonstabell"/>
              <w:jc w:val="right"/>
              <w:rPr>
                <w:sz w:val="15"/>
                <w:szCs w:val="15"/>
              </w:rPr>
            </w:pPr>
            <w:r w:rsidRPr="00113056">
              <w:rPr>
                <w:color w:val="000000"/>
                <w:sz w:val="15"/>
                <w:szCs w:val="15"/>
              </w:rPr>
              <w:t>(23.064)</w:t>
            </w:r>
          </w:p>
        </w:tc>
        <w:tc>
          <w:tcPr>
            <w:tcW w:w="1440" w:type="dxa"/>
            <w:tcBorders>
              <w:top w:val="nil"/>
              <w:left w:val="nil"/>
              <w:bottom w:val="nil"/>
              <w:right w:val="single" w:sz="4" w:space="0" w:color="auto"/>
            </w:tcBorders>
            <w:vAlign w:val="center"/>
          </w:tcPr>
          <w:p w14:paraId="4E609B2C" w14:textId="77777777" w:rsidR="000C35AF" w:rsidRPr="00113056" w:rsidRDefault="000C35AF" w:rsidP="009238AE">
            <w:pPr>
              <w:pStyle w:val="Regresjonstabell"/>
              <w:jc w:val="right"/>
              <w:rPr>
                <w:sz w:val="15"/>
                <w:szCs w:val="15"/>
              </w:rPr>
            </w:pPr>
            <w:r w:rsidRPr="00113056">
              <w:rPr>
                <w:color w:val="000000"/>
                <w:sz w:val="15"/>
                <w:szCs w:val="15"/>
              </w:rPr>
              <w:t>(58.208)</w:t>
            </w:r>
          </w:p>
        </w:tc>
      </w:tr>
      <w:tr w:rsidR="000C35AF" w:rsidRPr="0055149C" w14:paraId="6D701A79"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543FDC5A" w14:textId="77777777" w:rsidR="000C35AF" w:rsidRPr="0055149C" w:rsidRDefault="000C35AF" w:rsidP="009238AE">
            <w:pPr>
              <w:pStyle w:val="Regresjonstabell"/>
              <w:rPr>
                <w:sz w:val="15"/>
                <w:szCs w:val="15"/>
              </w:rPr>
            </w:pPr>
            <w:r w:rsidRPr="0055149C">
              <w:rPr>
                <w:sz w:val="15"/>
                <w:szCs w:val="15"/>
              </w:rPr>
              <w:t>Innbyggere 23 til 66 år</w:t>
            </w:r>
          </w:p>
        </w:tc>
        <w:tc>
          <w:tcPr>
            <w:tcW w:w="1440" w:type="dxa"/>
            <w:tcBorders>
              <w:top w:val="nil"/>
              <w:left w:val="single" w:sz="4" w:space="0" w:color="auto"/>
              <w:bottom w:val="nil"/>
              <w:right w:val="nil"/>
            </w:tcBorders>
            <w:vAlign w:val="bottom"/>
          </w:tcPr>
          <w:p w14:paraId="30F541C9" w14:textId="77777777" w:rsidR="000C35AF" w:rsidRPr="00113056" w:rsidRDefault="000C35AF" w:rsidP="009238AE">
            <w:pPr>
              <w:pStyle w:val="Regresjonstabell"/>
              <w:jc w:val="right"/>
              <w:rPr>
                <w:sz w:val="15"/>
                <w:szCs w:val="15"/>
              </w:rPr>
            </w:pPr>
            <w:r w:rsidRPr="00113056">
              <w:rPr>
                <w:color w:val="000000"/>
                <w:sz w:val="15"/>
                <w:szCs w:val="15"/>
              </w:rPr>
              <w:t>-25.869</w:t>
            </w:r>
          </w:p>
        </w:tc>
        <w:tc>
          <w:tcPr>
            <w:tcW w:w="1440" w:type="dxa"/>
            <w:tcBorders>
              <w:top w:val="nil"/>
              <w:left w:val="nil"/>
              <w:bottom w:val="nil"/>
              <w:right w:val="nil"/>
            </w:tcBorders>
            <w:vAlign w:val="bottom"/>
          </w:tcPr>
          <w:p w14:paraId="4BE994BC" w14:textId="77777777" w:rsidR="000C35AF" w:rsidRPr="00113056" w:rsidRDefault="000C35AF" w:rsidP="009238AE">
            <w:pPr>
              <w:pStyle w:val="Regresjonstabell"/>
              <w:jc w:val="right"/>
              <w:rPr>
                <w:sz w:val="15"/>
                <w:szCs w:val="15"/>
              </w:rPr>
            </w:pPr>
            <w:r w:rsidRPr="00113056">
              <w:rPr>
                <w:color w:val="000000"/>
                <w:sz w:val="15"/>
                <w:szCs w:val="15"/>
              </w:rPr>
              <w:t>-43.900</w:t>
            </w:r>
          </w:p>
        </w:tc>
        <w:tc>
          <w:tcPr>
            <w:tcW w:w="1440" w:type="dxa"/>
            <w:tcBorders>
              <w:top w:val="nil"/>
              <w:left w:val="nil"/>
              <w:bottom w:val="nil"/>
              <w:right w:val="nil"/>
            </w:tcBorders>
            <w:vAlign w:val="bottom"/>
          </w:tcPr>
          <w:p w14:paraId="5AFBCC88" w14:textId="77777777" w:rsidR="000C35AF" w:rsidRPr="00113056" w:rsidRDefault="000C35AF" w:rsidP="009238AE">
            <w:pPr>
              <w:pStyle w:val="Regresjonstabell"/>
              <w:jc w:val="right"/>
              <w:rPr>
                <w:sz w:val="15"/>
                <w:szCs w:val="15"/>
              </w:rPr>
            </w:pPr>
            <w:r w:rsidRPr="00113056">
              <w:rPr>
                <w:color w:val="000000"/>
                <w:sz w:val="15"/>
                <w:szCs w:val="15"/>
              </w:rPr>
              <w:t>18.031</w:t>
            </w:r>
          </w:p>
        </w:tc>
        <w:tc>
          <w:tcPr>
            <w:tcW w:w="1382" w:type="dxa"/>
            <w:tcBorders>
              <w:top w:val="nil"/>
              <w:left w:val="nil"/>
              <w:bottom w:val="nil"/>
              <w:right w:val="nil"/>
            </w:tcBorders>
            <w:vAlign w:val="bottom"/>
          </w:tcPr>
          <w:p w14:paraId="08E26E40" w14:textId="77777777" w:rsidR="000C35AF" w:rsidRPr="00113056" w:rsidRDefault="000C35AF" w:rsidP="009238AE">
            <w:pPr>
              <w:pStyle w:val="Regresjonstabell"/>
              <w:jc w:val="right"/>
              <w:rPr>
                <w:sz w:val="15"/>
                <w:szCs w:val="15"/>
              </w:rPr>
            </w:pPr>
            <w:r w:rsidRPr="00113056">
              <w:rPr>
                <w:color w:val="000000"/>
                <w:sz w:val="15"/>
                <w:szCs w:val="15"/>
              </w:rPr>
              <w:t>4.587</w:t>
            </w:r>
          </w:p>
        </w:tc>
        <w:tc>
          <w:tcPr>
            <w:tcW w:w="1382" w:type="dxa"/>
            <w:tcBorders>
              <w:top w:val="nil"/>
              <w:left w:val="nil"/>
              <w:bottom w:val="nil"/>
              <w:right w:val="nil"/>
            </w:tcBorders>
            <w:vAlign w:val="bottom"/>
          </w:tcPr>
          <w:p w14:paraId="71AC55DA" w14:textId="77777777" w:rsidR="000C35AF" w:rsidRPr="00113056" w:rsidRDefault="000C35AF" w:rsidP="009238AE">
            <w:pPr>
              <w:pStyle w:val="Regresjonstabell"/>
              <w:jc w:val="right"/>
              <w:rPr>
                <w:sz w:val="15"/>
                <w:szCs w:val="15"/>
              </w:rPr>
            </w:pPr>
            <w:r w:rsidRPr="00113056">
              <w:rPr>
                <w:color w:val="000000"/>
                <w:sz w:val="15"/>
                <w:szCs w:val="15"/>
              </w:rPr>
              <w:t>-12.489</w:t>
            </w:r>
          </w:p>
        </w:tc>
        <w:tc>
          <w:tcPr>
            <w:tcW w:w="1382" w:type="dxa"/>
            <w:tcBorders>
              <w:top w:val="nil"/>
              <w:left w:val="nil"/>
              <w:bottom w:val="nil"/>
              <w:right w:val="nil"/>
            </w:tcBorders>
            <w:vAlign w:val="bottom"/>
          </w:tcPr>
          <w:p w14:paraId="7B668CC5" w14:textId="77777777" w:rsidR="000C35AF" w:rsidRPr="00113056" w:rsidRDefault="000C35AF" w:rsidP="009238AE">
            <w:pPr>
              <w:pStyle w:val="Regresjonstabell"/>
              <w:jc w:val="right"/>
              <w:rPr>
                <w:sz w:val="15"/>
                <w:szCs w:val="15"/>
              </w:rPr>
            </w:pPr>
            <w:r w:rsidRPr="00113056">
              <w:rPr>
                <w:color w:val="000000"/>
                <w:sz w:val="15"/>
                <w:szCs w:val="15"/>
              </w:rPr>
              <w:t>-12.680</w:t>
            </w:r>
          </w:p>
        </w:tc>
        <w:tc>
          <w:tcPr>
            <w:tcW w:w="1392" w:type="dxa"/>
            <w:tcBorders>
              <w:top w:val="nil"/>
              <w:left w:val="nil"/>
              <w:bottom w:val="nil"/>
              <w:right w:val="nil"/>
            </w:tcBorders>
            <w:vAlign w:val="bottom"/>
          </w:tcPr>
          <w:p w14:paraId="28335615" w14:textId="77777777" w:rsidR="000C35AF" w:rsidRPr="00113056" w:rsidRDefault="000C35AF" w:rsidP="009238AE">
            <w:pPr>
              <w:pStyle w:val="Regresjonstabell"/>
              <w:jc w:val="right"/>
              <w:rPr>
                <w:sz w:val="15"/>
                <w:szCs w:val="15"/>
              </w:rPr>
            </w:pPr>
            <w:r w:rsidRPr="00113056">
              <w:rPr>
                <w:color w:val="000000"/>
                <w:sz w:val="15"/>
                <w:szCs w:val="15"/>
              </w:rPr>
              <w:t>-25.169</w:t>
            </w:r>
          </w:p>
        </w:tc>
        <w:tc>
          <w:tcPr>
            <w:tcW w:w="1440" w:type="dxa"/>
            <w:tcBorders>
              <w:top w:val="nil"/>
              <w:left w:val="nil"/>
              <w:bottom w:val="nil"/>
              <w:right w:val="single" w:sz="4" w:space="0" w:color="auto"/>
            </w:tcBorders>
            <w:vAlign w:val="bottom"/>
          </w:tcPr>
          <w:p w14:paraId="547A287D" w14:textId="77777777" w:rsidR="000C35AF" w:rsidRPr="00113056" w:rsidRDefault="000C35AF" w:rsidP="009238AE">
            <w:pPr>
              <w:pStyle w:val="Regresjonstabell"/>
              <w:jc w:val="right"/>
              <w:rPr>
                <w:sz w:val="15"/>
                <w:szCs w:val="15"/>
              </w:rPr>
            </w:pPr>
            <w:r w:rsidRPr="00113056">
              <w:rPr>
                <w:color w:val="000000"/>
                <w:sz w:val="15"/>
                <w:szCs w:val="15"/>
              </w:rPr>
              <w:t>-51.038</w:t>
            </w:r>
          </w:p>
        </w:tc>
      </w:tr>
      <w:tr w:rsidR="000C35AF" w:rsidRPr="0055149C" w14:paraId="02AF8AD8"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00B496B6" w14:textId="77777777" w:rsidR="000C35AF" w:rsidRPr="0055149C" w:rsidRDefault="000C35AF" w:rsidP="009238AE">
            <w:pPr>
              <w:pStyle w:val="Regresjonstabell"/>
              <w:rPr>
                <w:sz w:val="15"/>
                <w:szCs w:val="15"/>
              </w:rPr>
            </w:pPr>
            <w:r w:rsidRPr="0055149C">
              <w:rPr>
                <w:sz w:val="15"/>
                <w:szCs w:val="15"/>
              </w:rPr>
              <w:t>(Kriterium 7)</w:t>
            </w:r>
          </w:p>
        </w:tc>
        <w:tc>
          <w:tcPr>
            <w:tcW w:w="1440" w:type="dxa"/>
            <w:tcBorders>
              <w:top w:val="nil"/>
              <w:left w:val="single" w:sz="4" w:space="0" w:color="auto"/>
              <w:bottom w:val="nil"/>
              <w:right w:val="nil"/>
            </w:tcBorders>
            <w:vAlign w:val="center"/>
          </w:tcPr>
          <w:p w14:paraId="2B06763F" w14:textId="77777777" w:rsidR="000C35AF" w:rsidRPr="00113056" w:rsidRDefault="000C35AF" w:rsidP="009238AE">
            <w:pPr>
              <w:pStyle w:val="Regresjonstabell"/>
              <w:jc w:val="right"/>
              <w:rPr>
                <w:sz w:val="15"/>
                <w:szCs w:val="15"/>
              </w:rPr>
            </w:pPr>
            <w:r w:rsidRPr="00113056">
              <w:rPr>
                <w:color w:val="000000"/>
                <w:sz w:val="15"/>
                <w:szCs w:val="15"/>
              </w:rPr>
              <w:t>(36.159)</w:t>
            </w:r>
          </w:p>
        </w:tc>
        <w:tc>
          <w:tcPr>
            <w:tcW w:w="1440" w:type="dxa"/>
            <w:tcBorders>
              <w:top w:val="nil"/>
              <w:left w:val="nil"/>
              <w:bottom w:val="nil"/>
              <w:right w:val="nil"/>
            </w:tcBorders>
            <w:vAlign w:val="center"/>
          </w:tcPr>
          <w:p w14:paraId="31F31639" w14:textId="77777777" w:rsidR="000C35AF" w:rsidRPr="00113056" w:rsidRDefault="000C35AF" w:rsidP="009238AE">
            <w:pPr>
              <w:pStyle w:val="Regresjonstabell"/>
              <w:jc w:val="right"/>
              <w:rPr>
                <w:sz w:val="15"/>
                <w:szCs w:val="15"/>
              </w:rPr>
            </w:pPr>
            <w:r w:rsidRPr="00113056">
              <w:rPr>
                <w:color w:val="000000"/>
                <w:sz w:val="15"/>
                <w:szCs w:val="15"/>
              </w:rPr>
              <w:t>(31.694)</w:t>
            </w:r>
          </w:p>
        </w:tc>
        <w:tc>
          <w:tcPr>
            <w:tcW w:w="1440" w:type="dxa"/>
            <w:tcBorders>
              <w:top w:val="nil"/>
              <w:left w:val="nil"/>
              <w:bottom w:val="nil"/>
              <w:right w:val="nil"/>
            </w:tcBorders>
            <w:vAlign w:val="center"/>
          </w:tcPr>
          <w:p w14:paraId="55A844B0" w14:textId="77777777" w:rsidR="000C35AF" w:rsidRPr="00113056" w:rsidRDefault="000C35AF" w:rsidP="009238AE">
            <w:pPr>
              <w:pStyle w:val="Regresjonstabell"/>
              <w:jc w:val="right"/>
              <w:rPr>
                <w:sz w:val="15"/>
                <w:szCs w:val="15"/>
              </w:rPr>
            </w:pPr>
            <w:r w:rsidRPr="00113056">
              <w:rPr>
                <w:color w:val="000000"/>
                <w:sz w:val="15"/>
                <w:szCs w:val="15"/>
              </w:rPr>
              <w:t>(20.950)</w:t>
            </w:r>
          </w:p>
        </w:tc>
        <w:tc>
          <w:tcPr>
            <w:tcW w:w="1382" w:type="dxa"/>
            <w:tcBorders>
              <w:top w:val="nil"/>
              <w:left w:val="nil"/>
              <w:bottom w:val="nil"/>
              <w:right w:val="nil"/>
            </w:tcBorders>
            <w:vAlign w:val="center"/>
          </w:tcPr>
          <w:p w14:paraId="335FEA12" w14:textId="77777777" w:rsidR="000C35AF" w:rsidRPr="00113056" w:rsidRDefault="000C35AF" w:rsidP="009238AE">
            <w:pPr>
              <w:pStyle w:val="Regresjonstabell"/>
              <w:jc w:val="right"/>
              <w:rPr>
                <w:sz w:val="15"/>
                <w:szCs w:val="15"/>
              </w:rPr>
            </w:pPr>
            <w:r w:rsidRPr="00113056">
              <w:rPr>
                <w:color w:val="000000"/>
                <w:sz w:val="15"/>
                <w:szCs w:val="15"/>
              </w:rPr>
              <w:t>(5.623)</w:t>
            </w:r>
          </w:p>
        </w:tc>
        <w:tc>
          <w:tcPr>
            <w:tcW w:w="1382" w:type="dxa"/>
            <w:tcBorders>
              <w:top w:val="nil"/>
              <w:left w:val="nil"/>
              <w:bottom w:val="nil"/>
              <w:right w:val="nil"/>
            </w:tcBorders>
            <w:vAlign w:val="center"/>
          </w:tcPr>
          <w:p w14:paraId="01A37355" w14:textId="77777777" w:rsidR="000C35AF" w:rsidRPr="00113056" w:rsidRDefault="000C35AF" w:rsidP="009238AE">
            <w:pPr>
              <w:pStyle w:val="Regresjonstabell"/>
              <w:jc w:val="right"/>
              <w:rPr>
                <w:sz w:val="15"/>
                <w:szCs w:val="15"/>
              </w:rPr>
            </w:pPr>
            <w:r w:rsidRPr="00113056">
              <w:rPr>
                <w:color w:val="000000"/>
                <w:sz w:val="15"/>
                <w:szCs w:val="15"/>
              </w:rPr>
              <w:t>(9.607)</w:t>
            </w:r>
          </w:p>
        </w:tc>
        <w:tc>
          <w:tcPr>
            <w:tcW w:w="1382" w:type="dxa"/>
            <w:tcBorders>
              <w:top w:val="nil"/>
              <w:left w:val="nil"/>
              <w:bottom w:val="nil"/>
              <w:right w:val="nil"/>
            </w:tcBorders>
            <w:vAlign w:val="center"/>
          </w:tcPr>
          <w:p w14:paraId="768C3F98" w14:textId="77777777" w:rsidR="000C35AF" w:rsidRPr="00113056" w:rsidRDefault="000C35AF" w:rsidP="009238AE">
            <w:pPr>
              <w:pStyle w:val="Regresjonstabell"/>
              <w:jc w:val="right"/>
              <w:rPr>
                <w:sz w:val="15"/>
                <w:szCs w:val="15"/>
              </w:rPr>
            </w:pPr>
            <w:r w:rsidRPr="00113056">
              <w:rPr>
                <w:color w:val="000000"/>
                <w:sz w:val="15"/>
                <w:szCs w:val="15"/>
              </w:rPr>
              <w:t>(9.740)</w:t>
            </w:r>
          </w:p>
        </w:tc>
        <w:tc>
          <w:tcPr>
            <w:tcW w:w="1392" w:type="dxa"/>
            <w:tcBorders>
              <w:top w:val="nil"/>
              <w:left w:val="nil"/>
              <w:bottom w:val="nil"/>
              <w:right w:val="nil"/>
            </w:tcBorders>
            <w:vAlign w:val="center"/>
          </w:tcPr>
          <w:p w14:paraId="7D70A181" w14:textId="77777777" w:rsidR="000C35AF" w:rsidRPr="00113056" w:rsidRDefault="000C35AF" w:rsidP="009238AE">
            <w:pPr>
              <w:pStyle w:val="Regresjonstabell"/>
              <w:jc w:val="right"/>
              <w:rPr>
                <w:sz w:val="15"/>
                <w:szCs w:val="15"/>
              </w:rPr>
            </w:pPr>
            <w:r w:rsidRPr="00113056">
              <w:rPr>
                <w:color w:val="000000"/>
                <w:sz w:val="15"/>
                <w:szCs w:val="15"/>
              </w:rPr>
              <w:t>(19.347)</w:t>
            </w:r>
          </w:p>
        </w:tc>
        <w:tc>
          <w:tcPr>
            <w:tcW w:w="1440" w:type="dxa"/>
            <w:tcBorders>
              <w:top w:val="nil"/>
              <w:left w:val="nil"/>
              <w:bottom w:val="nil"/>
              <w:right w:val="single" w:sz="4" w:space="0" w:color="auto"/>
            </w:tcBorders>
            <w:vAlign w:val="center"/>
          </w:tcPr>
          <w:p w14:paraId="64F0BDD5" w14:textId="77777777" w:rsidR="000C35AF" w:rsidRPr="00113056" w:rsidRDefault="000C35AF" w:rsidP="009238AE">
            <w:pPr>
              <w:pStyle w:val="Regresjonstabell"/>
              <w:jc w:val="right"/>
              <w:rPr>
                <w:sz w:val="15"/>
                <w:szCs w:val="15"/>
              </w:rPr>
            </w:pPr>
            <w:r w:rsidRPr="00113056">
              <w:rPr>
                <w:color w:val="000000"/>
                <w:sz w:val="15"/>
                <w:szCs w:val="15"/>
              </w:rPr>
              <w:t>(45.203)</w:t>
            </w:r>
          </w:p>
        </w:tc>
      </w:tr>
      <w:tr w:rsidR="000C35AF" w:rsidRPr="0055149C" w14:paraId="5B0F82B1"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236E3A9D" w14:textId="77777777" w:rsidR="000C35AF" w:rsidRPr="0055149C" w:rsidRDefault="000C35AF" w:rsidP="009238AE">
            <w:pPr>
              <w:pStyle w:val="Regresjonstabell"/>
              <w:rPr>
                <w:color w:val="000000"/>
                <w:sz w:val="15"/>
                <w:szCs w:val="15"/>
              </w:rPr>
            </w:pPr>
            <w:r w:rsidRPr="0055149C">
              <w:rPr>
                <w:color w:val="000000"/>
                <w:sz w:val="15"/>
                <w:szCs w:val="15"/>
              </w:rPr>
              <w:t>Innbyggere 67 til 79 år</w:t>
            </w:r>
          </w:p>
        </w:tc>
        <w:tc>
          <w:tcPr>
            <w:tcW w:w="1440" w:type="dxa"/>
            <w:tcBorders>
              <w:top w:val="nil"/>
              <w:left w:val="single" w:sz="4" w:space="0" w:color="auto"/>
              <w:bottom w:val="nil"/>
              <w:right w:val="nil"/>
            </w:tcBorders>
            <w:vAlign w:val="bottom"/>
          </w:tcPr>
          <w:p w14:paraId="56CB7114" w14:textId="77777777" w:rsidR="000C35AF" w:rsidRPr="00113056" w:rsidRDefault="000C35AF" w:rsidP="009238AE">
            <w:pPr>
              <w:pStyle w:val="Regresjonstabell"/>
              <w:jc w:val="right"/>
              <w:rPr>
                <w:sz w:val="15"/>
                <w:szCs w:val="15"/>
              </w:rPr>
            </w:pPr>
            <w:r w:rsidRPr="00113056">
              <w:rPr>
                <w:color w:val="000000"/>
                <w:sz w:val="15"/>
                <w:szCs w:val="15"/>
              </w:rPr>
              <w:t>-10.560</w:t>
            </w:r>
          </w:p>
        </w:tc>
        <w:tc>
          <w:tcPr>
            <w:tcW w:w="1440" w:type="dxa"/>
            <w:tcBorders>
              <w:top w:val="nil"/>
              <w:left w:val="nil"/>
              <w:bottom w:val="nil"/>
              <w:right w:val="nil"/>
            </w:tcBorders>
            <w:vAlign w:val="bottom"/>
          </w:tcPr>
          <w:p w14:paraId="55BDE727" w14:textId="77777777" w:rsidR="000C35AF" w:rsidRPr="00113056" w:rsidRDefault="000C35AF" w:rsidP="009238AE">
            <w:pPr>
              <w:pStyle w:val="Regresjonstabell"/>
              <w:jc w:val="right"/>
              <w:rPr>
                <w:color w:val="000000"/>
                <w:sz w:val="15"/>
                <w:szCs w:val="15"/>
              </w:rPr>
            </w:pPr>
            <w:r w:rsidRPr="00113056">
              <w:rPr>
                <w:color w:val="000000"/>
                <w:sz w:val="15"/>
                <w:szCs w:val="15"/>
              </w:rPr>
              <w:t>-0.486</w:t>
            </w:r>
          </w:p>
        </w:tc>
        <w:tc>
          <w:tcPr>
            <w:tcW w:w="1440" w:type="dxa"/>
            <w:tcBorders>
              <w:top w:val="nil"/>
              <w:left w:val="nil"/>
              <w:bottom w:val="nil"/>
              <w:right w:val="nil"/>
            </w:tcBorders>
            <w:vAlign w:val="bottom"/>
          </w:tcPr>
          <w:p w14:paraId="7159A9AB" w14:textId="77777777" w:rsidR="000C35AF" w:rsidRPr="00113056" w:rsidRDefault="000C35AF" w:rsidP="009238AE">
            <w:pPr>
              <w:pStyle w:val="Regresjonstabell"/>
              <w:jc w:val="right"/>
              <w:rPr>
                <w:sz w:val="15"/>
                <w:szCs w:val="15"/>
              </w:rPr>
            </w:pPr>
            <w:r w:rsidRPr="00113056">
              <w:rPr>
                <w:color w:val="000000"/>
                <w:sz w:val="15"/>
                <w:szCs w:val="15"/>
              </w:rPr>
              <w:t>-10.073</w:t>
            </w:r>
          </w:p>
        </w:tc>
        <w:tc>
          <w:tcPr>
            <w:tcW w:w="1382" w:type="dxa"/>
            <w:tcBorders>
              <w:top w:val="nil"/>
              <w:left w:val="nil"/>
              <w:bottom w:val="nil"/>
              <w:right w:val="nil"/>
            </w:tcBorders>
            <w:vAlign w:val="bottom"/>
          </w:tcPr>
          <w:p w14:paraId="17CEF18C" w14:textId="77777777" w:rsidR="000C35AF" w:rsidRPr="00113056" w:rsidRDefault="000C35AF" w:rsidP="009238AE">
            <w:pPr>
              <w:pStyle w:val="Regresjonstabell"/>
              <w:jc w:val="right"/>
              <w:rPr>
                <w:color w:val="000000"/>
                <w:sz w:val="15"/>
                <w:szCs w:val="15"/>
              </w:rPr>
            </w:pPr>
            <w:r w:rsidRPr="00113056">
              <w:rPr>
                <w:color w:val="000000"/>
                <w:sz w:val="15"/>
                <w:szCs w:val="15"/>
              </w:rPr>
              <w:t>11.965</w:t>
            </w:r>
          </w:p>
        </w:tc>
        <w:tc>
          <w:tcPr>
            <w:tcW w:w="1382" w:type="dxa"/>
            <w:tcBorders>
              <w:top w:val="nil"/>
              <w:left w:val="nil"/>
              <w:bottom w:val="nil"/>
              <w:right w:val="nil"/>
            </w:tcBorders>
            <w:vAlign w:val="bottom"/>
          </w:tcPr>
          <w:p w14:paraId="7915350A" w14:textId="77777777" w:rsidR="000C35AF" w:rsidRPr="00113056" w:rsidRDefault="000C35AF" w:rsidP="009238AE">
            <w:pPr>
              <w:pStyle w:val="Regresjonstabell"/>
              <w:jc w:val="right"/>
              <w:rPr>
                <w:sz w:val="15"/>
                <w:szCs w:val="15"/>
              </w:rPr>
            </w:pPr>
            <w:r w:rsidRPr="00113056">
              <w:rPr>
                <w:color w:val="000000"/>
                <w:sz w:val="15"/>
                <w:szCs w:val="15"/>
              </w:rPr>
              <w:t>-3.883</w:t>
            </w:r>
          </w:p>
        </w:tc>
        <w:tc>
          <w:tcPr>
            <w:tcW w:w="1382" w:type="dxa"/>
            <w:tcBorders>
              <w:top w:val="nil"/>
              <w:left w:val="nil"/>
              <w:bottom w:val="nil"/>
              <w:right w:val="nil"/>
            </w:tcBorders>
            <w:vAlign w:val="bottom"/>
          </w:tcPr>
          <w:p w14:paraId="3DA0AEC7" w14:textId="77777777" w:rsidR="000C35AF" w:rsidRPr="00113056" w:rsidRDefault="000C35AF" w:rsidP="009238AE">
            <w:pPr>
              <w:pStyle w:val="Regresjonstabell"/>
              <w:jc w:val="right"/>
              <w:rPr>
                <w:color w:val="000000"/>
                <w:sz w:val="15"/>
                <w:szCs w:val="15"/>
              </w:rPr>
            </w:pPr>
            <w:r w:rsidRPr="00113056">
              <w:rPr>
                <w:color w:val="000000"/>
                <w:sz w:val="15"/>
                <w:szCs w:val="15"/>
              </w:rPr>
              <w:t>-4.097</w:t>
            </w:r>
          </w:p>
        </w:tc>
        <w:tc>
          <w:tcPr>
            <w:tcW w:w="1392" w:type="dxa"/>
            <w:tcBorders>
              <w:top w:val="nil"/>
              <w:left w:val="nil"/>
              <w:bottom w:val="nil"/>
              <w:right w:val="nil"/>
            </w:tcBorders>
            <w:vAlign w:val="bottom"/>
          </w:tcPr>
          <w:p w14:paraId="585DE2BB" w14:textId="77777777" w:rsidR="000C35AF" w:rsidRPr="00113056" w:rsidRDefault="000C35AF" w:rsidP="009238AE">
            <w:pPr>
              <w:pStyle w:val="Regresjonstabell"/>
              <w:jc w:val="right"/>
              <w:rPr>
                <w:sz w:val="15"/>
                <w:szCs w:val="15"/>
              </w:rPr>
            </w:pPr>
            <w:r w:rsidRPr="00113056">
              <w:rPr>
                <w:color w:val="000000"/>
                <w:sz w:val="15"/>
                <w:szCs w:val="15"/>
              </w:rPr>
              <w:t>-7.980</w:t>
            </w:r>
          </w:p>
        </w:tc>
        <w:tc>
          <w:tcPr>
            <w:tcW w:w="1440" w:type="dxa"/>
            <w:tcBorders>
              <w:top w:val="nil"/>
              <w:left w:val="nil"/>
              <w:bottom w:val="nil"/>
              <w:right w:val="single" w:sz="4" w:space="0" w:color="auto"/>
            </w:tcBorders>
            <w:vAlign w:val="bottom"/>
          </w:tcPr>
          <w:p w14:paraId="24D002FE" w14:textId="77777777" w:rsidR="000C35AF" w:rsidRPr="00113056" w:rsidRDefault="000C35AF" w:rsidP="009238AE">
            <w:pPr>
              <w:pStyle w:val="Regresjonstabell"/>
              <w:jc w:val="right"/>
              <w:rPr>
                <w:color w:val="000000"/>
                <w:sz w:val="15"/>
                <w:szCs w:val="15"/>
              </w:rPr>
            </w:pPr>
            <w:r w:rsidRPr="00113056">
              <w:rPr>
                <w:color w:val="000000"/>
                <w:sz w:val="15"/>
                <w:szCs w:val="15"/>
              </w:rPr>
              <w:t>-18.540</w:t>
            </w:r>
          </w:p>
        </w:tc>
      </w:tr>
      <w:tr w:rsidR="000C35AF" w:rsidRPr="0055149C" w14:paraId="3343ACF0"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7D15B7E2" w14:textId="77777777" w:rsidR="000C35AF" w:rsidRPr="0055149C" w:rsidRDefault="000C35AF" w:rsidP="009238AE">
            <w:pPr>
              <w:pStyle w:val="Regresjonstabell"/>
              <w:rPr>
                <w:color w:val="000000"/>
                <w:sz w:val="15"/>
                <w:szCs w:val="15"/>
              </w:rPr>
            </w:pPr>
            <w:r w:rsidRPr="0055149C">
              <w:rPr>
                <w:sz w:val="15"/>
                <w:szCs w:val="15"/>
              </w:rPr>
              <w:t>(Kriterium 8)</w:t>
            </w:r>
          </w:p>
        </w:tc>
        <w:tc>
          <w:tcPr>
            <w:tcW w:w="1440" w:type="dxa"/>
            <w:tcBorders>
              <w:top w:val="nil"/>
              <w:left w:val="single" w:sz="4" w:space="0" w:color="auto"/>
              <w:bottom w:val="nil"/>
              <w:right w:val="nil"/>
            </w:tcBorders>
            <w:vAlign w:val="center"/>
          </w:tcPr>
          <w:p w14:paraId="453C5568" w14:textId="77777777" w:rsidR="000C35AF" w:rsidRPr="00113056" w:rsidRDefault="000C35AF" w:rsidP="009238AE">
            <w:pPr>
              <w:pStyle w:val="Regresjonstabell"/>
              <w:jc w:val="right"/>
              <w:rPr>
                <w:sz w:val="15"/>
                <w:szCs w:val="15"/>
              </w:rPr>
            </w:pPr>
            <w:r w:rsidRPr="00113056">
              <w:rPr>
                <w:color w:val="000000"/>
                <w:sz w:val="15"/>
                <w:szCs w:val="15"/>
              </w:rPr>
              <w:t>(46.498)</w:t>
            </w:r>
          </w:p>
        </w:tc>
        <w:tc>
          <w:tcPr>
            <w:tcW w:w="1440" w:type="dxa"/>
            <w:tcBorders>
              <w:top w:val="nil"/>
              <w:left w:val="nil"/>
              <w:bottom w:val="nil"/>
              <w:right w:val="nil"/>
            </w:tcBorders>
            <w:vAlign w:val="center"/>
          </w:tcPr>
          <w:p w14:paraId="36A55DCF" w14:textId="77777777" w:rsidR="000C35AF" w:rsidRPr="00113056" w:rsidRDefault="000C35AF" w:rsidP="009238AE">
            <w:pPr>
              <w:pStyle w:val="Regresjonstabell"/>
              <w:jc w:val="right"/>
              <w:rPr>
                <w:color w:val="000000"/>
                <w:sz w:val="15"/>
                <w:szCs w:val="15"/>
              </w:rPr>
            </w:pPr>
            <w:r w:rsidRPr="00113056">
              <w:rPr>
                <w:color w:val="000000"/>
                <w:sz w:val="15"/>
                <w:szCs w:val="15"/>
              </w:rPr>
              <w:t>(42.324)</w:t>
            </w:r>
          </w:p>
        </w:tc>
        <w:tc>
          <w:tcPr>
            <w:tcW w:w="1440" w:type="dxa"/>
            <w:tcBorders>
              <w:top w:val="nil"/>
              <w:left w:val="nil"/>
              <w:bottom w:val="nil"/>
              <w:right w:val="nil"/>
            </w:tcBorders>
            <w:vAlign w:val="center"/>
          </w:tcPr>
          <w:p w14:paraId="010C9EAD" w14:textId="77777777" w:rsidR="000C35AF" w:rsidRPr="00113056" w:rsidRDefault="000C35AF" w:rsidP="009238AE">
            <w:pPr>
              <w:pStyle w:val="Regresjonstabell"/>
              <w:jc w:val="right"/>
              <w:rPr>
                <w:sz w:val="15"/>
                <w:szCs w:val="15"/>
              </w:rPr>
            </w:pPr>
            <w:r w:rsidRPr="00113056">
              <w:rPr>
                <w:color w:val="000000"/>
                <w:sz w:val="15"/>
                <w:szCs w:val="15"/>
              </w:rPr>
              <w:t>(26.819)</w:t>
            </w:r>
          </w:p>
        </w:tc>
        <w:tc>
          <w:tcPr>
            <w:tcW w:w="1382" w:type="dxa"/>
            <w:tcBorders>
              <w:top w:val="nil"/>
              <w:left w:val="nil"/>
              <w:bottom w:val="nil"/>
              <w:right w:val="nil"/>
            </w:tcBorders>
            <w:vAlign w:val="center"/>
          </w:tcPr>
          <w:p w14:paraId="5C300978" w14:textId="77777777" w:rsidR="000C35AF" w:rsidRPr="00113056" w:rsidRDefault="000C35AF" w:rsidP="009238AE">
            <w:pPr>
              <w:pStyle w:val="Regresjonstabell"/>
              <w:jc w:val="right"/>
              <w:rPr>
                <w:color w:val="000000"/>
                <w:sz w:val="15"/>
                <w:szCs w:val="15"/>
              </w:rPr>
            </w:pPr>
            <w:r w:rsidRPr="00113056">
              <w:rPr>
                <w:color w:val="000000"/>
                <w:sz w:val="15"/>
                <w:szCs w:val="15"/>
              </w:rPr>
              <w:t>(7.745)</w:t>
            </w:r>
          </w:p>
        </w:tc>
        <w:tc>
          <w:tcPr>
            <w:tcW w:w="1382" w:type="dxa"/>
            <w:tcBorders>
              <w:top w:val="nil"/>
              <w:left w:val="nil"/>
              <w:bottom w:val="nil"/>
              <w:right w:val="nil"/>
            </w:tcBorders>
            <w:vAlign w:val="center"/>
          </w:tcPr>
          <w:p w14:paraId="39E82A65" w14:textId="77777777" w:rsidR="000C35AF" w:rsidRPr="00113056" w:rsidRDefault="000C35AF" w:rsidP="009238AE">
            <w:pPr>
              <w:pStyle w:val="Regresjonstabell"/>
              <w:jc w:val="right"/>
              <w:rPr>
                <w:sz w:val="15"/>
                <w:szCs w:val="15"/>
              </w:rPr>
            </w:pPr>
            <w:r w:rsidRPr="00113056">
              <w:rPr>
                <w:color w:val="000000"/>
                <w:sz w:val="15"/>
                <w:szCs w:val="15"/>
              </w:rPr>
              <w:t>(11.275)</w:t>
            </w:r>
          </w:p>
        </w:tc>
        <w:tc>
          <w:tcPr>
            <w:tcW w:w="1382" w:type="dxa"/>
            <w:tcBorders>
              <w:top w:val="nil"/>
              <w:left w:val="nil"/>
              <w:bottom w:val="nil"/>
              <w:right w:val="nil"/>
            </w:tcBorders>
            <w:vAlign w:val="center"/>
          </w:tcPr>
          <w:p w14:paraId="1AAF35EB" w14:textId="77777777" w:rsidR="000C35AF" w:rsidRPr="00113056" w:rsidRDefault="000C35AF" w:rsidP="009238AE">
            <w:pPr>
              <w:pStyle w:val="Regresjonstabell"/>
              <w:jc w:val="right"/>
              <w:rPr>
                <w:color w:val="000000"/>
                <w:sz w:val="15"/>
                <w:szCs w:val="15"/>
              </w:rPr>
            </w:pPr>
            <w:r w:rsidRPr="00113056">
              <w:rPr>
                <w:color w:val="000000"/>
                <w:sz w:val="15"/>
                <w:szCs w:val="15"/>
              </w:rPr>
              <w:t>(11.431)</w:t>
            </w:r>
          </w:p>
        </w:tc>
        <w:tc>
          <w:tcPr>
            <w:tcW w:w="1392" w:type="dxa"/>
            <w:tcBorders>
              <w:top w:val="nil"/>
              <w:left w:val="nil"/>
              <w:bottom w:val="nil"/>
              <w:right w:val="nil"/>
            </w:tcBorders>
            <w:vAlign w:val="center"/>
          </w:tcPr>
          <w:p w14:paraId="4EB427F3" w14:textId="77777777" w:rsidR="000C35AF" w:rsidRPr="00113056" w:rsidRDefault="000C35AF" w:rsidP="009238AE">
            <w:pPr>
              <w:pStyle w:val="Regresjonstabell"/>
              <w:jc w:val="right"/>
              <w:rPr>
                <w:sz w:val="15"/>
                <w:szCs w:val="15"/>
              </w:rPr>
            </w:pPr>
            <w:r w:rsidRPr="00113056">
              <w:rPr>
                <w:color w:val="000000"/>
                <w:sz w:val="15"/>
                <w:szCs w:val="15"/>
              </w:rPr>
              <w:t>(22.705)</w:t>
            </w:r>
          </w:p>
        </w:tc>
        <w:tc>
          <w:tcPr>
            <w:tcW w:w="1440" w:type="dxa"/>
            <w:tcBorders>
              <w:top w:val="nil"/>
              <w:left w:val="nil"/>
              <w:bottom w:val="nil"/>
              <w:right w:val="single" w:sz="4" w:space="0" w:color="auto"/>
            </w:tcBorders>
            <w:vAlign w:val="center"/>
          </w:tcPr>
          <w:p w14:paraId="706D7C3A" w14:textId="77777777" w:rsidR="000C35AF" w:rsidRPr="00113056" w:rsidRDefault="000C35AF" w:rsidP="009238AE">
            <w:pPr>
              <w:pStyle w:val="Regresjonstabell"/>
              <w:jc w:val="right"/>
              <w:rPr>
                <w:color w:val="000000"/>
                <w:sz w:val="15"/>
                <w:szCs w:val="15"/>
              </w:rPr>
            </w:pPr>
            <w:r w:rsidRPr="00113056">
              <w:rPr>
                <w:color w:val="000000"/>
                <w:sz w:val="15"/>
                <w:szCs w:val="15"/>
              </w:rPr>
              <w:t>(53.832)</w:t>
            </w:r>
          </w:p>
        </w:tc>
      </w:tr>
      <w:tr w:rsidR="000C35AF" w:rsidRPr="0055149C" w14:paraId="6468370D"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464E545F" w14:textId="77777777" w:rsidR="000C35AF" w:rsidRPr="0055149C" w:rsidRDefault="000C35AF" w:rsidP="009238AE">
            <w:pPr>
              <w:pStyle w:val="Regresjonstabell"/>
              <w:rPr>
                <w:color w:val="000000"/>
                <w:sz w:val="15"/>
                <w:szCs w:val="15"/>
              </w:rPr>
            </w:pPr>
            <w:r w:rsidRPr="0055149C">
              <w:rPr>
                <w:sz w:val="15"/>
                <w:szCs w:val="15"/>
              </w:rPr>
              <w:t>Innbyggere 80 til 89 år</w:t>
            </w:r>
          </w:p>
        </w:tc>
        <w:tc>
          <w:tcPr>
            <w:tcW w:w="1440" w:type="dxa"/>
            <w:tcBorders>
              <w:top w:val="nil"/>
              <w:left w:val="single" w:sz="4" w:space="0" w:color="auto"/>
              <w:bottom w:val="nil"/>
              <w:right w:val="nil"/>
            </w:tcBorders>
            <w:vAlign w:val="bottom"/>
          </w:tcPr>
          <w:p w14:paraId="46078A8A" w14:textId="77777777" w:rsidR="000C35AF" w:rsidRPr="00113056" w:rsidRDefault="000C35AF" w:rsidP="009238AE">
            <w:pPr>
              <w:pStyle w:val="Regresjonstabell"/>
              <w:jc w:val="right"/>
              <w:rPr>
                <w:sz w:val="15"/>
                <w:szCs w:val="15"/>
              </w:rPr>
            </w:pPr>
            <w:r w:rsidRPr="00113056">
              <w:rPr>
                <w:color w:val="000000"/>
                <w:sz w:val="15"/>
                <w:szCs w:val="15"/>
              </w:rPr>
              <w:t>169.386**</w:t>
            </w:r>
          </w:p>
        </w:tc>
        <w:tc>
          <w:tcPr>
            <w:tcW w:w="1440" w:type="dxa"/>
            <w:tcBorders>
              <w:top w:val="nil"/>
              <w:left w:val="nil"/>
              <w:bottom w:val="nil"/>
              <w:right w:val="nil"/>
            </w:tcBorders>
            <w:vAlign w:val="bottom"/>
          </w:tcPr>
          <w:p w14:paraId="2A5ABBA8" w14:textId="77777777" w:rsidR="000C35AF" w:rsidRPr="00113056" w:rsidRDefault="000C35AF" w:rsidP="009238AE">
            <w:pPr>
              <w:pStyle w:val="Regresjonstabell"/>
              <w:jc w:val="right"/>
              <w:rPr>
                <w:color w:val="000000"/>
                <w:sz w:val="15"/>
                <w:szCs w:val="15"/>
              </w:rPr>
            </w:pPr>
            <w:r w:rsidRPr="00113056">
              <w:rPr>
                <w:color w:val="000000"/>
                <w:sz w:val="15"/>
                <w:szCs w:val="15"/>
              </w:rPr>
              <w:t>169.349***</w:t>
            </w:r>
          </w:p>
        </w:tc>
        <w:tc>
          <w:tcPr>
            <w:tcW w:w="1440" w:type="dxa"/>
            <w:tcBorders>
              <w:top w:val="nil"/>
              <w:left w:val="nil"/>
              <w:bottom w:val="nil"/>
              <w:right w:val="nil"/>
            </w:tcBorders>
            <w:vAlign w:val="bottom"/>
          </w:tcPr>
          <w:p w14:paraId="75DDE89B" w14:textId="77777777" w:rsidR="000C35AF" w:rsidRPr="00113056" w:rsidRDefault="000C35AF" w:rsidP="009238AE">
            <w:pPr>
              <w:pStyle w:val="Regresjonstabell"/>
              <w:jc w:val="right"/>
              <w:rPr>
                <w:sz w:val="15"/>
                <w:szCs w:val="15"/>
              </w:rPr>
            </w:pPr>
            <w:r w:rsidRPr="00113056">
              <w:rPr>
                <w:color w:val="000000"/>
                <w:sz w:val="15"/>
                <w:szCs w:val="15"/>
              </w:rPr>
              <w:t>0.037</w:t>
            </w:r>
          </w:p>
        </w:tc>
        <w:tc>
          <w:tcPr>
            <w:tcW w:w="1382" w:type="dxa"/>
            <w:tcBorders>
              <w:top w:val="nil"/>
              <w:left w:val="nil"/>
              <w:bottom w:val="nil"/>
              <w:right w:val="nil"/>
            </w:tcBorders>
            <w:vAlign w:val="bottom"/>
          </w:tcPr>
          <w:p w14:paraId="5D317493" w14:textId="77777777" w:rsidR="000C35AF" w:rsidRPr="00113056" w:rsidRDefault="000C35AF" w:rsidP="009238AE">
            <w:pPr>
              <w:pStyle w:val="Regresjonstabell"/>
              <w:jc w:val="right"/>
              <w:rPr>
                <w:color w:val="000000"/>
                <w:sz w:val="15"/>
                <w:szCs w:val="15"/>
              </w:rPr>
            </w:pPr>
            <w:r w:rsidRPr="00113056">
              <w:rPr>
                <w:color w:val="000000"/>
                <w:sz w:val="15"/>
                <w:szCs w:val="15"/>
              </w:rPr>
              <w:t>3.324</w:t>
            </w:r>
          </w:p>
        </w:tc>
        <w:tc>
          <w:tcPr>
            <w:tcW w:w="1382" w:type="dxa"/>
            <w:tcBorders>
              <w:top w:val="nil"/>
              <w:left w:val="nil"/>
              <w:bottom w:val="nil"/>
              <w:right w:val="nil"/>
            </w:tcBorders>
            <w:vAlign w:val="bottom"/>
          </w:tcPr>
          <w:p w14:paraId="4D520564" w14:textId="77777777" w:rsidR="000C35AF" w:rsidRPr="00113056" w:rsidRDefault="000C35AF" w:rsidP="009238AE">
            <w:pPr>
              <w:pStyle w:val="Regresjonstabell"/>
              <w:jc w:val="right"/>
              <w:rPr>
                <w:sz w:val="15"/>
                <w:szCs w:val="15"/>
              </w:rPr>
            </w:pPr>
            <w:r w:rsidRPr="00113056">
              <w:rPr>
                <w:color w:val="000000"/>
                <w:sz w:val="15"/>
                <w:szCs w:val="15"/>
              </w:rPr>
              <w:t>11.271</w:t>
            </w:r>
          </w:p>
        </w:tc>
        <w:tc>
          <w:tcPr>
            <w:tcW w:w="1382" w:type="dxa"/>
            <w:tcBorders>
              <w:top w:val="nil"/>
              <w:left w:val="nil"/>
              <w:bottom w:val="nil"/>
              <w:right w:val="nil"/>
            </w:tcBorders>
            <w:vAlign w:val="bottom"/>
          </w:tcPr>
          <w:p w14:paraId="5EA5ACEF" w14:textId="77777777" w:rsidR="000C35AF" w:rsidRPr="00113056" w:rsidRDefault="000C35AF" w:rsidP="009238AE">
            <w:pPr>
              <w:pStyle w:val="Regresjonstabell"/>
              <w:jc w:val="right"/>
              <w:rPr>
                <w:color w:val="000000"/>
                <w:sz w:val="15"/>
                <w:szCs w:val="15"/>
              </w:rPr>
            </w:pPr>
            <w:r w:rsidRPr="00113056">
              <w:rPr>
                <w:color w:val="000000"/>
                <w:sz w:val="15"/>
                <w:szCs w:val="15"/>
              </w:rPr>
              <w:t>11.303</w:t>
            </w:r>
          </w:p>
        </w:tc>
        <w:tc>
          <w:tcPr>
            <w:tcW w:w="1392" w:type="dxa"/>
            <w:tcBorders>
              <w:top w:val="nil"/>
              <w:left w:val="nil"/>
              <w:bottom w:val="nil"/>
              <w:right w:val="nil"/>
            </w:tcBorders>
            <w:vAlign w:val="bottom"/>
          </w:tcPr>
          <w:p w14:paraId="14E84456" w14:textId="77777777" w:rsidR="000C35AF" w:rsidRPr="00113056" w:rsidRDefault="000C35AF" w:rsidP="009238AE">
            <w:pPr>
              <w:pStyle w:val="Regresjonstabell"/>
              <w:jc w:val="right"/>
              <w:rPr>
                <w:sz w:val="15"/>
                <w:szCs w:val="15"/>
              </w:rPr>
            </w:pPr>
            <w:r w:rsidRPr="00113056">
              <w:rPr>
                <w:color w:val="000000"/>
                <w:sz w:val="15"/>
                <w:szCs w:val="15"/>
              </w:rPr>
              <w:t>22.574</w:t>
            </w:r>
          </w:p>
        </w:tc>
        <w:tc>
          <w:tcPr>
            <w:tcW w:w="1440" w:type="dxa"/>
            <w:tcBorders>
              <w:top w:val="nil"/>
              <w:left w:val="nil"/>
              <w:bottom w:val="nil"/>
              <w:right w:val="single" w:sz="4" w:space="0" w:color="auto"/>
            </w:tcBorders>
            <w:vAlign w:val="bottom"/>
          </w:tcPr>
          <w:p w14:paraId="2D926638" w14:textId="77777777" w:rsidR="000C35AF" w:rsidRPr="00113056" w:rsidRDefault="000C35AF" w:rsidP="009238AE">
            <w:pPr>
              <w:pStyle w:val="Regresjonstabell"/>
              <w:jc w:val="right"/>
              <w:rPr>
                <w:color w:val="000000"/>
                <w:sz w:val="15"/>
                <w:szCs w:val="15"/>
              </w:rPr>
            </w:pPr>
            <w:r w:rsidRPr="00113056">
              <w:rPr>
                <w:color w:val="000000"/>
                <w:sz w:val="15"/>
                <w:szCs w:val="15"/>
              </w:rPr>
              <w:t>191.960**</w:t>
            </w:r>
          </w:p>
        </w:tc>
      </w:tr>
      <w:tr w:rsidR="000C35AF" w:rsidRPr="0055149C" w14:paraId="283C9BD8"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0D14DD38" w14:textId="77777777" w:rsidR="000C35AF" w:rsidRPr="0055149C" w:rsidRDefault="000C35AF" w:rsidP="009238AE">
            <w:pPr>
              <w:pStyle w:val="Regresjonstabell"/>
              <w:rPr>
                <w:color w:val="000000"/>
                <w:sz w:val="15"/>
                <w:szCs w:val="15"/>
              </w:rPr>
            </w:pPr>
            <w:r w:rsidRPr="0055149C">
              <w:rPr>
                <w:sz w:val="15"/>
                <w:szCs w:val="15"/>
              </w:rPr>
              <w:t>(Kriterium 9)</w:t>
            </w:r>
          </w:p>
        </w:tc>
        <w:tc>
          <w:tcPr>
            <w:tcW w:w="1440" w:type="dxa"/>
            <w:tcBorders>
              <w:top w:val="nil"/>
              <w:left w:val="single" w:sz="4" w:space="0" w:color="auto"/>
              <w:bottom w:val="nil"/>
              <w:right w:val="nil"/>
            </w:tcBorders>
            <w:vAlign w:val="center"/>
          </w:tcPr>
          <w:p w14:paraId="74776B9B" w14:textId="77777777" w:rsidR="000C35AF" w:rsidRPr="00113056" w:rsidRDefault="000C35AF" w:rsidP="009238AE">
            <w:pPr>
              <w:pStyle w:val="Regresjonstabell"/>
              <w:jc w:val="right"/>
              <w:rPr>
                <w:sz w:val="15"/>
                <w:szCs w:val="15"/>
              </w:rPr>
            </w:pPr>
            <w:r w:rsidRPr="00113056">
              <w:rPr>
                <w:color w:val="000000"/>
                <w:sz w:val="15"/>
                <w:szCs w:val="15"/>
              </w:rPr>
              <w:t>(70.244)</w:t>
            </w:r>
          </w:p>
        </w:tc>
        <w:tc>
          <w:tcPr>
            <w:tcW w:w="1440" w:type="dxa"/>
            <w:tcBorders>
              <w:top w:val="nil"/>
              <w:left w:val="nil"/>
              <w:bottom w:val="nil"/>
              <w:right w:val="nil"/>
            </w:tcBorders>
            <w:vAlign w:val="center"/>
          </w:tcPr>
          <w:p w14:paraId="24681757" w14:textId="77777777" w:rsidR="000C35AF" w:rsidRPr="00113056" w:rsidRDefault="000C35AF" w:rsidP="009238AE">
            <w:pPr>
              <w:pStyle w:val="Regresjonstabell"/>
              <w:jc w:val="right"/>
              <w:rPr>
                <w:color w:val="000000"/>
                <w:sz w:val="15"/>
                <w:szCs w:val="15"/>
              </w:rPr>
            </w:pPr>
            <w:r w:rsidRPr="00113056">
              <w:rPr>
                <w:color w:val="000000"/>
                <w:sz w:val="15"/>
                <w:szCs w:val="15"/>
              </w:rPr>
              <w:t>(61.381)</w:t>
            </w:r>
          </w:p>
        </w:tc>
        <w:tc>
          <w:tcPr>
            <w:tcW w:w="1440" w:type="dxa"/>
            <w:tcBorders>
              <w:top w:val="nil"/>
              <w:left w:val="nil"/>
              <w:bottom w:val="nil"/>
              <w:right w:val="nil"/>
            </w:tcBorders>
            <w:vAlign w:val="center"/>
          </w:tcPr>
          <w:p w14:paraId="48542C29" w14:textId="77777777" w:rsidR="000C35AF" w:rsidRPr="00113056" w:rsidRDefault="000C35AF" w:rsidP="009238AE">
            <w:pPr>
              <w:pStyle w:val="Regresjonstabell"/>
              <w:jc w:val="right"/>
              <w:rPr>
                <w:sz w:val="15"/>
                <w:szCs w:val="15"/>
              </w:rPr>
            </w:pPr>
            <w:r w:rsidRPr="00113056">
              <w:rPr>
                <w:color w:val="000000"/>
                <w:sz w:val="15"/>
                <w:szCs w:val="15"/>
              </w:rPr>
              <w:t>(40.197)</w:t>
            </w:r>
          </w:p>
        </w:tc>
        <w:tc>
          <w:tcPr>
            <w:tcW w:w="1382" w:type="dxa"/>
            <w:tcBorders>
              <w:top w:val="nil"/>
              <w:left w:val="nil"/>
              <w:bottom w:val="nil"/>
              <w:right w:val="nil"/>
            </w:tcBorders>
            <w:vAlign w:val="center"/>
          </w:tcPr>
          <w:p w14:paraId="602F0CA4" w14:textId="77777777" w:rsidR="000C35AF" w:rsidRPr="00113056" w:rsidRDefault="000C35AF" w:rsidP="009238AE">
            <w:pPr>
              <w:pStyle w:val="Regresjonstabell"/>
              <w:jc w:val="right"/>
              <w:rPr>
                <w:color w:val="000000"/>
                <w:sz w:val="15"/>
                <w:szCs w:val="15"/>
              </w:rPr>
            </w:pPr>
            <w:r w:rsidRPr="00113056">
              <w:rPr>
                <w:color w:val="000000"/>
                <w:sz w:val="15"/>
                <w:szCs w:val="15"/>
              </w:rPr>
              <w:t>(10.705)</w:t>
            </w:r>
          </w:p>
        </w:tc>
        <w:tc>
          <w:tcPr>
            <w:tcW w:w="1382" w:type="dxa"/>
            <w:tcBorders>
              <w:top w:val="nil"/>
              <w:left w:val="nil"/>
              <w:bottom w:val="nil"/>
              <w:right w:val="nil"/>
            </w:tcBorders>
            <w:vAlign w:val="center"/>
          </w:tcPr>
          <w:p w14:paraId="0804D110" w14:textId="77777777" w:rsidR="000C35AF" w:rsidRPr="00113056" w:rsidRDefault="000C35AF" w:rsidP="009238AE">
            <w:pPr>
              <w:pStyle w:val="Regresjonstabell"/>
              <w:jc w:val="right"/>
              <w:rPr>
                <w:sz w:val="15"/>
                <w:szCs w:val="15"/>
              </w:rPr>
            </w:pPr>
            <w:r w:rsidRPr="00113056">
              <w:rPr>
                <w:color w:val="000000"/>
                <w:sz w:val="15"/>
                <w:szCs w:val="15"/>
              </w:rPr>
              <w:t>(24.569)</w:t>
            </w:r>
          </w:p>
        </w:tc>
        <w:tc>
          <w:tcPr>
            <w:tcW w:w="1382" w:type="dxa"/>
            <w:tcBorders>
              <w:top w:val="nil"/>
              <w:left w:val="nil"/>
              <w:bottom w:val="nil"/>
              <w:right w:val="nil"/>
            </w:tcBorders>
            <w:vAlign w:val="center"/>
          </w:tcPr>
          <w:p w14:paraId="3BD5125A" w14:textId="77777777" w:rsidR="000C35AF" w:rsidRPr="00113056" w:rsidRDefault="000C35AF" w:rsidP="009238AE">
            <w:pPr>
              <w:pStyle w:val="Regresjonstabell"/>
              <w:jc w:val="right"/>
              <w:rPr>
                <w:color w:val="000000"/>
                <w:sz w:val="15"/>
                <w:szCs w:val="15"/>
              </w:rPr>
            </w:pPr>
            <w:r w:rsidRPr="00113056">
              <w:rPr>
                <w:color w:val="000000"/>
                <w:sz w:val="15"/>
                <w:szCs w:val="15"/>
              </w:rPr>
              <w:t>(24.909)</w:t>
            </w:r>
          </w:p>
        </w:tc>
        <w:tc>
          <w:tcPr>
            <w:tcW w:w="1392" w:type="dxa"/>
            <w:tcBorders>
              <w:top w:val="nil"/>
              <w:left w:val="nil"/>
              <w:bottom w:val="nil"/>
              <w:right w:val="nil"/>
            </w:tcBorders>
            <w:vAlign w:val="center"/>
          </w:tcPr>
          <w:p w14:paraId="782DE1BB" w14:textId="77777777" w:rsidR="000C35AF" w:rsidRPr="00113056" w:rsidRDefault="000C35AF" w:rsidP="009238AE">
            <w:pPr>
              <w:pStyle w:val="Regresjonstabell"/>
              <w:jc w:val="right"/>
              <w:rPr>
                <w:sz w:val="15"/>
                <w:szCs w:val="15"/>
              </w:rPr>
            </w:pPr>
            <w:r w:rsidRPr="00113056">
              <w:rPr>
                <w:color w:val="000000"/>
                <w:sz w:val="15"/>
                <w:szCs w:val="15"/>
              </w:rPr>
              <w:t>(49.478)</w:t>
            </w:r>
          </w:p>
        </w:tc>
        <w:tc>
          <w:tcPr>
            <w:tcW w:w="1440" w:type="dxa"/>
            <w:tcBorders>
              <w:top w:val="nil"/>
              <w:left w:val="nil"/>
              <w:bottom w:val="nil"/>
              <w:right w:val="single" w:sz="4" w:space="0" w:color="auto"/>
            </w:tcBorders>
            <w:vAlign w:val="center"/>
          </w:tcPr>
          <w:p w14:paraId="1339B760" w14:textId="77777777" w:rsidR="000C35AF" w:rsidRPr="00113056" w:rsidRDefault="000C35AF" w:rsidP="009238AE">
            <w:pPr>
              <w:pStyle w:val="Regresjonstabell"/>
              <w:jc w:val="right"/>
              <w:rPr>
                <w:color w:val="000000"/>
                <w:sz w:val="15"/>
                <w:szCs w:val="15"/>
              </w:rPr>
            </w:pPr>
            <w:r w:rsidRPr="00113056">
              <w:rPr>
                <w:color w:val="000000"/>
                <w:sz w:val="15"/>
                <w:szCs w:val="15"/>
              </w:rPr>
              <w:t>(86.749)</w:t>
            </w:r>
          </w:p>
        </w:tc>
      </w:tr>
      <w:tr w:rsidR="000C35AF" w:rsidRPr="0055149C" w14:paraId="6EFAE37B"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38336943" w14:textId="77777777" w:rsidR="000C35AF" w:rsidRPr="0055149C" w:rsidRDefault="000C35AF" w:rsidP="009238AE">
            <w:pPr>
              <w:pStyle w:val="Regresjonstabell"/>
              <w:rPr>
                <w:color w:val="000000"/>
                <w:sz w:val="15"/>
                <w:szCs w:val="15"/>
              </w:rPr>
            </w:pPr>
            <w:r w:rsidRPr="0055149C">
              <w:rPr>
                <w:color w:val="000000"/>
                <w:sz w:val="15"/>
                <w:szCs w:val="15"/>
              </w:rPr>
              <w:t>Gradert basiskriterium</w:t>
            </w:r>
          </w:p>
        </w:tc>
        <w:tc>
          <w:tcPr>
            <w:tcW w:w="1440" w:type="dxa"/>
            <w:tcBorders>
              <w:top w:val="nil"/>
              <w:left w:val="single" w:sz="4" w:space="0" w:color="auto"/>
              <w:bottom w:val="nil"/>
              <w:right w:val="nil"/>
            </w:tcBorders>
            <w:vAlign w:val="bottom"/>
          </w:tcPr>
          <w:p w14:paraId="275A073C" w14:textId="77777777" w:rsidR="000C35AF" w:rsidRPr="00113056" w:rsidRDefault="000C35AF" w:rsidP="009238AE">
            <w:pPr>
              <w:pStyle w:val="Regresjonstabell"/>
              <w:jc w:val="right"/>
              <w:rPr>
                <w:sz w:val="15"/>
                <w:szCs w:val="15"/>
              </w:rPr>
            </w:pPr>
            <w:r w:rsidRPr="00113056">
              <w:rPr>
                <w:color w:val="000000"/>
                <w:sz w:val="15"/>
                <w:szCs w:val="15"/>
              </w:rPr>
              <w:t>1,975.147</w:t>
            </w:r>
          </w:p>
        </w:tc>
        <w:tc>
          <w:tcPr>
            <w:tcW w:w="1440" w:type="dxa"/>
            <w:tcBorders>
              <w:top w:val="nil"/>
              <w:left w:val="nil"/>
              <w:bottom w:val="nil"/>
              <w:right w:val="nil"/>
            </w:tcBorders>
            <w:vAlign w:val="bottom"/>
          </w:tcPr>
          <w:p w14:paraId="43D43EBF" w14:textId="77777777" w:rsidR="000C35AF" w:rsidRPr="00113056" w:rsidRDefault="000C35AF" w:rsidP="009238AE">
            <w:pPr>
              <w:pStyle w:val="Regresjonstabell"/>
              <w:jc w:val="right"/>
              <w:rPr>
                <w:color w:val="000000"/>
                <w:sz w:val="15"/>
                <w:szCs w:val="15"/>
              </w:rPr>
            </w:pPr>
            <w:r w:rsidRPr="00113056">
              <w:rPr>
                <w:color w:val="000000"/>
                <w:sz w:val="15"/>
                <w:szCs w:val="15"/>
              </w:rPr>
              <w:t>-3,459.737</w:t>
            </w:r>
          </w:p>
        </w:tc>
        <w:tc>
          <w:tcPr>
            <w:tcW w:w="1440" w:type="dxa"/>
            <w:tcBorders>
              <w:top w:val="nil"/>
              <w:left w:val="nil"/>
              <w:bottom w:val="nil"/>
              <w:right w:val="nil"/>
            </w:tcBorders>
            <w:vAlign w:val="bottom"/>
          </w:tcPr>
          <w:p w14:paraId="4077F6D6" w14:textId="77777777" w:rsidR="000C35AF" w:rsidRPr="00113056" w:rsidRDefault="000C35AF" w:rsidP="009238AE">
            <w:pPr>
              <w:pStyle w:val="Regresjonstabell"/>
              <w:jc w:val="right"/>
              <w:rPr>
                <w:sz w:val="15"/>
                <w:szCs w:val="15"/>
              </w:rPr>
            </w:pPr>
            <w:r w:rsidRPr="00113056">
              <w:rPr>
                <w:color w:val="000000"/>
                <w:sz w:val="15"/>
                <w:szCs w:val="15"/>
              </w:rPr>
              <w:t>5,434.883***</w:t>
            </w:r>
          </w:p>
        </w:tc>
        <w:tc>
          <w:tcPr>
            <w:tcW w:w="1382" w:type="dxa"/>
            <w:tcBorders>
              <w:top w:val="nil"/>
              <w:left w:val="nil"/>
              <w:bottom w:val="nil"/>
              <w:right w:val="nil"/>
            </w:tcBorders>
            <w:vAlign w:val="bottom"/>
          </w:tcPr>
          <w:p w14:paraId="5545343A" w14:textId="77777777" w:rsidR="000C35AF" w:rsidRPr="00113056" w:rsidRDefault="000C35AF" w:rsidP="009238AE">
            <w:pPr>
              <w:pStyle w:val="Regresjonstabell"/>
              <w:jc w:val="right"/>
              <w:rPr>
                <w:color w:val="000000"/>
                <w:sz w:val="15"/>
                <w:szCs w:val="15"/>
              </w:rPr>
            </w:pPr>
            <w:r w:rsidRPr="00113056">
              <w:rPr>
                <w:color w:val="000000"/>
                <w:sz w:val="15"/>
                <w:szCs w:val="15"/>
              </w:rPr>
              <w:t>487.841</w:t>
            </w:r>
          </w:p>
        </w:tc>
        <w:tc>
          <w:tcPr>
            <w:tcW w:w="1382" w:type="dxa"/>
            <w:tcBorders>
              <w:top w:val="nil"/>
              <w:left w:val="nil"/>
              <w:bottom w:val="nil"/>
              <w:right w:val="nil"/>
            </w:tcBorders>
            <w:vAlign w:val="bottom"/>
          </w:tcPr>
          <w:p w14:paraId="5AF16FA8" w14:textId="77777777" w:rsidR="000C35AF" w:rsidRPr="00113056" w:rsidRDefault="000C35AF" w:rsidP="009238AE">
            <w:pPr>
              <w:pStyle w:val="Regresjonstabell"/>
              <w:jc w:val="right"/>
              <w:rPr>
                <w:sz w:val="15"/>
                <w:szCs w:val="15"/>
              </w:rPr>
            </w:pPr>
            <w:r w:rsidRPr="00113056">
              <w:rPr>
                <w:color w:val="000000"/>
                <w:sz w:val="15"/>
                <w:szCs w:val="15"/>
              </w:rPr>
              <w:t>371.401</w:t>
            </w:r>
          </w:p>
        </w:tc>
        <w:tc>
          <w:tcPr>
            <w:tcW w:w="1382" w:type="dxa"/>
            <w:tcBorders>
              <w:top w:val="nil"/>
              <w:left w:val="nil"/>
              <w:bottom w:val="nil"/>
              <w:right w:val="nil"/>
            </w:tcBorders>
            <w:vAlign w:val="bottom"/>
          </w:tcPr>
          <w:p w14:paraId="7B557105" w14:textId="77777777" w:rsidR="000C35AF" w:rsidRPr="00113056" w:rsidRDefault="000C35AF" w:rsidP="009238AE">
            <w:pPr>
              <w:pStyle w:val="Regresjonstabell"/>
              <w:jc w:val="right"/>
              <w:rPr>
                <w:color w:val="000000"/>
                <w:sz w:val="15"/>
                <w:szCs w:val="15"/>
              </w:rPr>
            </w:pPr>
            <w:r w:rsidRPr="00113056">
              <w:rPr>
                <w:color w:val="000000"/>
                <w:sz w:val="15"/>
                <w:szCs w:val="15"/>
              </w:rPr>
              <w:t>372.572</w:t>
            </w:r>
          </w:p>
        </w:tc>
        <w:tc>
          <w:tcPr>
            <w:tcW w:w="1392" w:type="dxa"/>
            <w:tcBorders>
              <w:top w:val="nil"/>
              <w:left w:val="nil"/>
              <w:bottom w:val="nil"/>
              <w:right w:val="nil"/>
            </w:tcBorders>
            <w:vAlign w:val="bottom"/>
          </w:tcPr>
          <w:p w14:paraId="17DDC9BA" w14:textId="77777777" w:rsidR="000C35AF" w:rsidRPr="00113056" w:rsidRDefault="000C35AF" w:rsidP="009238AE">
            <w:pPr>
              <w:pStyle w:val="Regresjonstabell"/>
              <w:jc w:val="right"/>
              <w:rPr>
                <w:sz w:val="15"/>
                <w:szCs w:val="15"/>
              </w:rPr>
            </w:pPr>
            <w:r w:rsidRPr="00113056">
              <w:rPr>
                <w:color w:val="000000"/>
                <w:sz w:val="15"/>
                <w:szCs w:val="15"/>
              </w:rPr>
              <w:t>743.972</w:t>
            </w:r>
          </w:p>
        </w:tc>
        <w:tc>
          <w:tcPr>
            <w:tcW w:w="1440" w:type="dxa"/>
            <w:tcBorders>
              <w:top w:val="nil"/>
              <w:left w:val="nil"/>
              <w:bottom w:val="nil"/>
              <w:right w:val="single" w:sz="4" w:space="0" w:color="auto"/>
            </w:tcBorders>
            <w:vAlign w:val="bottom"/>
          </w:tcPr>
          <w:p w14:paraId="32909041" w14:textId="77777777" w:rsidR="000C35AF" w:rsidRPr="00113056" w:rsidRDefault="000C35AF" w:rsidP="009238AE">
            <w:pPr>
              <w:pStyle w:val="Regresjonstabell"/>
              <w:jc w:val="right"/>
              <w:rPr>
                <w:color w:val="000000"/>
                <w:sz w:val="15"/>
                <w:szCs w:val="15"/>
              </w:rPr>
            </w:pPr>
            <w:r w:rsidRPr="00113056">
              <w:rPr>
                <w:color w:val="000000"/>
                <w:sz w:val="15"/>
                <w:szCs w:val="15"/>
              </w:rPr>
              <w:t>2,719.119</w:t>
            </w:r>
          </w:p>
        </w:tc>
      </w:tr>
      <w:tr w:rsidR="000C35AF" w:rsidRPr="0055149C" w14:paraId="5EDDADC2"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29F5C5AB" w14:textId="77777777" w:rsidR="000C35AF" w:rsidRPr="0055149C" w:rsidRDefault="000C35AF" w:rsidP="009238AE">
            <w:pPr>
              <w:pStyle w:val="Regresjonstabell"/>
              <w:rPr>
                <w:color w:val="000000"/>
                <w:sz w:val="15"/>
                <w:szCs w:val="15"/>
              </w:rPr>
            </w:pPr>
            <w:r w:rsidRPr="0055149C">
              <w:rPr>
                <w:sz w:val="15"/>
                <w:szCs w:val="15"/>
              </w:rPr>
              <w:t>(Kriterium 12)</w:t>
            </w:r>
          </w:p>
        </w:tc>
        <w:tc>
          <w:tcPr>
            <w:tcW w:w="1440" w:type="dxa"/>
            <w:tcBorders>
              <w:top w:val="nil"/>
              <w:left w:val="single" w:sz="4" w:space="0" w:color="auto"/>
              <w:bottom w:val="nil"/>
              <w:right w:val="nil"/>
            </w:tcBorders>
            <w:vAlign w:val="center"/>
          </w:tcPr>
          <w:p w14:paraId="54ACFED2" w14:textId="77777777" w:rsidR="000C35AF" w:rsidRPr="00113056" w:rsidRDefault="000C35AF" w:rsidP="009238AE">
            <w:pPr>
              <w:pStyle w:val="Regresjonstabell"/>
              <w:jc w:val="right"/>
              <w:rPr>
                <w:sz w:val="15"/>
                <w:szCs w:val="15"/>
              </w:rPr>
            </w:pPr>
            <w:r w:rsidRPr="00113056">
              <w:rPr>
                <w:color w:val="000000"/>
                <w:sz w:val="15"/>
                <w:szCs w:val="15"/>
              </w:rPr>
              <w:t>(3,196.135)</w:t>
            </w:r>
          </w:p>
        </w:tc>
        <w:tc>
          <w:tcPr>
            <w:tcW w:w="1440" w:type="dxa"/>
            <w:tcBorders>
              <w:top w:val="nil"/>
              <w:left w:val="nil"/>
              <w:bottom w:val="nil"/>
              <w:right w:val="nil"/>
            </w:tcBorders>
            <w:vAlign w:val="center"/>
          </w:tcPr>
          <w:p w14:paraId="0BB8A5FE" w14:textId="77777777" w:rsidR="000C35AF" w:rsidRPr="00113056" w:rsidRDefault="000C35AF" w:rsidP="009238AE">
            <w:pPr>
              <w:pStyle w:val="Regresjonstabell"/>
              <w:jc w:val="right"/>
              <w:rPr>
                <w:color w:val="000000"/>
                <w:sz w:val="15"/>
                <w:szCs w:val="15"/>
              </w:rPr>
            </w:pPr>
            <w:r w:rsidRPr="00113056">
              <w:rPr>
                <w:color w:val="000000"/>
                <w:sz w:val="15"/>
                <w:szCs w:val="15"/>
              </w:rPr>
              <w:t>(2,443.119)</w:t>
            </w:r>
          </w:p>
        </w:tc>
        <w:tc>
          <w:tcPr>
            <w:tcW w:w="1440" w:type="dxa"/>
            <w:tcBorders>
              <w:top w:val="nil"/>
              <w:left w:val="nil"/>
              <w:bottom w:val="nil"/>
              <w:right w:val="nil"/>
            </w:tcBorders>
            <w:vAlign w:val="center"/>
          </w:tcPr>
          <w:p w14:paraId="45C4C3BC" w14:textId="77777777" w:rsidR="000C35AF" w:rsidRPr="00113056" w:rsidRDefault="000C35AF" w:rsidP="009238AE">
            <w:pPr>
              <w:pStyle w:val="Regresjonstabell"/>
              <w:jc w:val="right"/>
              <w:rPr>
                <w:sz w:val="15"/>
                <w:szCs w:val="15"/>
              </w:rPr>
            </w:pPr>
            <w:r w:rsidRPr="00113056">
              <w:rPr>
                <w:color w:val="000000"/>
                <w:sz w:val="15"/>
                <w:szCs w:val="15"/>
              </w:rPr>
              <w:t>(1,848.537)</w:t>
            </w:r>
          </w:p>
        </w:tc>
        <w:tc>
          <w:tcPr>
            <w:tcW w:w="1382" w:type="dxa"/>
            <w:tcBorders>
              <w:top w:val="nil"/>
              <w:left w:val="nil"/>
              <w:bottom w:val="nil"/>
              <w:right w:val="nil"/>
            </w:tcBorders>
            <w:vAlign w:val="center"/>
          </w:tcPr>
          <w:p w14:paraId="2895E18F" w14:textId="77777777" w:rsidR="000C35AF" w:rsidRPr="00113056" w:rsidRDefault="000C35AF" w:rsidP="009238AE">
            <w:pPr>
              <w:pStyle w:val="Regresjonstabell"/>
              <w:jc w:val="right"/>
              <w:rPr>
                <w:color w:val="000000"/>
                <w:sz w:val="15"/>
                <w:szCs w:val="15"/>
              </w:rPr>
            </w:pPr>
            <w:r w:rsidRPr="00113056">
              <w:rPr>
                <w:color w:val="000000"/>
                <w:sz w:val="15"/>
                <w:szCs w:val="15"/>
              </w:rPr>
              <w:t>(296.750)</w:t>
            </w:r>
          </w:p>
        </w:tc>
        <w:tc>
          <w:tcPr>
            <w:tcW w:w="1382" w:type="dxa"/>
            <w:tcBorders>
              <w:top w:val="nil"/>
              <w:left w:val="nil"/>
              <w:bottom w:val="nil"/>
              <w:right w:val="nil"/>
            </w:tcBorders>
            <w:vAlign w:val="center"/>
          </w:tcPr>
          <w:p w14:paraId="18FAF1C2" w14:textId="77777777" w:rsidR="000C35AF" w:rsidRPr="00113056" w:rsidRDefault="000C35AF" w:rsidP="009238AE">
            <w:pPr>
              <w:pStyle w:val="Regresjonstabell"/>
              <w:jc w:val="right"/>
              <w:rPr>
                <w:sz w:val="15"/>
                <w:szCs w:val="15"/>
              </w:rPr>
            </w:pPr>
            <w:r w:rsidRPr="00113056">
              <w:rPr>
                <w:color w:val="000000"/>
                <w:sz w:val="15"/>
                <w:szCs w:val="15"/>
              </w:rPr>
              <w:t>(693.300)</w:t>
            </w:r>
          </w:p>
        </w:tc>
        <w:tc>
          <w:tcPr>
            <w:tcW w:w="1382" w:type="dxa"/>
            <w:tcBorders>
              <w:top w:val="nil"/>
              <w:left w:val="nil"/>
              <w:bottom w:val="nil"/>
              <w:right w:val="nil"/>
            </w:tcBorders>
            <w:vAlign w:val="center"/>
          </w:tcPr>
          <w:p w14:paraId="6E196BE7" w14:textId="77777777" w:rsidR="000C35AF" w:rsidRPr="00113056" w:rsidRDefault="000C35AF" w:rsidP="009238AE">
            <w:pPr>
              <w:pStyle w:val="Regresjonstabell"/>
              <w:jc w:val="right"/>
              <w:rPr>
                <w:color w:val="000000"/>
                <w:sz w:val="15"/>
                <w:szCs w:val="15"/>
              </w:rPr>
            </w:pPr>
            <w:r w:rsidRPr="00113056">
              <w:rPr>
                <w:color w:val="000000"/>
                <w:sz w:val="15"/>
                <w:szCs w:val="15"/>
              </w:rPr>
              <w:t>(703.088)</w:t>
            </w:r>
          </w:p>
        </w:tc>
        <w:tc>
          <w:tcPr>
            <w:tcW w:w="1392" w:type="dxa"/>
            <w:tcBorders>
              <w:top w:val="nil"/>
              <w:left w:val="nil"/>
              <w:bottom w:val="nil"/>
              <w:right w:val="nil"/>
            </w:tcBorders>
            <w:vAlign w:val="center"/>
          </w:tcPr>
          <w:p w14:paraId="604D613F" w14:textId="77777777" w:rsidR="000C35AF" w:rsidRPr="00113056" w:rsidRDefault="000C35AF" w:rsidP="009238AE">
            <w:pPr>
              <w:pStyle w:val="Regresjonstabell"/>
              <w:jc w:val="right"/>
              <w:rPr>
                <w:sz w:val="15"/>
                <w:szCs w:val="15"/>
              </w:rPr>
            </w:pPr>
            <w:r w:rsidRPr="00113056">
              <w:rPr>
                <w:color w:val="000000"/>
                <w:sz w:val="15"/>
                <w:szCs w:val="15"/>
              </w:rPr>
              <w:t>(1,396.380)</w:t>
            </w:r>
          </w:p>
        </w:tc>
        <w:tc>
          <w:tcPr>
            <w:tcW w:w="1440" w:type="dxa"/>
            <w:tcBorders>
              <w:top w:val="nil"/>
              <w:left w:val="nil"/>
              <w:bottom w:val="nil"/>
              <w:right w:val="single" w:sz="4" w:space="0" w:color="auto"/>
            </w:tcBorders>
            <w:vAlign w:val="center"/>
          </w:tcPr>
          <w:p w14:paraId="1398901F" w14:textId="77777777" w:rsidR="000C35AF" w:rsidRPr="00113056" w:rsidRDefault="000C35AF" w:rsidP="009238AE">
            <w:pPr>
              <w:pStyle w:val="Regresjonstabell"/>
              <w:jc w:val="right"/>
              <w:rPr>
                <w:color w:val="000000"/>
                <w:sz w:val="15"/>
                <w:szCs w:val="15"/>
              </w:rPr>
            </w:pPr>
            <w:r w:rsidRPr="00113056">
              <w:rPr>
                <w:color w:val="000000"/>
                <w:sz w:val="15"/>
                <w:szCs w:val="15"/>
              </w:rPr>
              <w:t>(3,853.588)</w:t>
            </w:r>
          </w:p>
        </w:tc>
      </w:tr>
      <w:tr w:rsidR="000C35AF" w:rsidRPr="0055149C" w14:paraId="3A6132C5"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795FC3AA" w14:textId="77777777" w:rsidR="000C35AF" w:rsidRPr="0055149C" w:rsidRDefault="000C35AF" w:rsidP="009238AE">
            <w:pPr>
              <w:pStyle w:val="Regresjonstabell"/>
              <w:rPr>
                <w:color w:val="000000"/>
                <w:sz w:val="15"/>
                <w:szCs w:val="15"/>
              </w:rPr>
            </w:pPr>
            <w:r w:rsidRPr="0055149C">
              <w:rPr>
                <w:sz w:val="15"/>
                <w:szCs w:val="15"/>
              </w:rPr>
              <w:t>Reiseavstand innen sone</w:t>
            </w:r>
          </w:p>
        </w:tc>
        <w:tc>
          <w:tcPr>
            <w:tcW w:w="1440" w:type="dxa"/>
            <w:tcBorders>
              <w:top w:val="nil"/>
              <w:left w:val="single" w:sz="4" w:space="0" w:color="auto"/>
              <w:bottom w:val="nil"/>
              <w:right w:val="nil"/>
            </w:tcBorders>
            <w:vAlign w:val="bottom"/>
          </w:tcPr>
          <w:p w14:paraId="69E248F1" w14:textId="77777777" w:rsidR="000C35AF" w:rsidRPr="00113056" w:rsidRDefault="000C35AF" w:rsidP="009238AE">
            <w:pPr>
              <w:pStyle w:val="Regresjonstabell"/>
              <w:jc w:val="right"/>
              <w:rPr>
                <w:sz w:val="15"/>
                <w:szCs w:val="15"/>
              </w:rPr>
            </w:pPr>
            <w:r w:rsidRPr="00113056">
              <w:rPr>
                <w:color w:val="000000"/>
                <w:sz w:val="15"/>
                <w:szCs w:val="15"/>
              </w:rPr>
              <w:t>0.050</w:t>
            </w:r>
          </w:p>
        </w:tc>
        <w:tc>
          <w:tcPr>
            <w:tcW w:w="1440" w:type="dxa"/>
            <w:tcBorders>
              <w:top w:val="nil"/>
              <w:left w:val="nil"/>
              <w:bottom w:val="nil"/>
              <w:right w:val="nil"/>
            </w:tcBorders>
            <w:vAlign w:val="bottom"/>
          </w:tcPr>
          <w:p w14:paraId="29152CE1" w14:textId="77777777" w:rsidR="000C35AF" w:rsidRPr="00113056" w:rsidRDefault="000C35AF" w:rsidP="009238AE">
            <w:pPr>
              <w:pStyle w:val="Regresjonstabell"/>
              <w:jc w:val="right"/>
              <w:rPr>
                <w:color w:val="000000"/>
                <w:sz w:val="15"/>
                <w:szCs w:val="15"/>
              </w:rPr>
            </w:pPr>
            <w:r w:rsidRPr="00113056">
              <w:rPr>
                <w:color w:val="000000"/>
                <w:sz w:val="15"/>
                <w:szCs w:val="15"/>
              </w:rPr>
              <w:t>0.014</w:t>
            </w:r>
          </w:p>
        </w:tc>
        <w:tc>
          <w:tcPr>
            <w:tcW w:w="1440" w:type="dxa"/>
            <w:tcBorders>
              <w:top w:val="nil"/>
              <w:left w:val="nil"/>
              <w:bottom w:val="nil"/>
              <w:right w:val="nil"/>
            </w:tcBorders>
            <w:vAlign w:val="bottom"/>
          </w:tcPr>
          <w:p w14:paraId="2C6779B9" w14:textId="77777777" w:rsidR="000C35AF" w:rsidRPr="00113056" w:rsidRDefault="000C35AF" w:rsidP="009238AE">
            <w:pPr>
              <w:pStyle w:val="Regresjonstabell"/>
              <w:jc w:val="right"/>
              <w:rPr>
                <w:sz w:val="15"/>
                <w:szCs w:val="15"/>
              </w:rPr>
            </w:pPr>
            <w:r w:rsidRPr="00113056">
              <w:rPr>
                <w:color w:val="000000"/>
                <w:sz w:val="15"/>
                <w:szCs w:val="15"/>
              </w:rPr>
              <w:t>0.035</w:t>
            </w:r>
          </w:p>
        </w:tc>
        <w:tc>
          <w:tcPr>
            <w:tcW w:w="1382" w:type="dxa"/>
            <w:tcBorders>
              <w:top w:val="nil"/>
              <w:left w:val="nil"/>
              <w:bottom w:val="nil"/>
              <w:right w:val="nil"/>
            </w:tcBorders>
            <w:vAlign w:val="bottom"/>
          </w:tcPr>
          <w:p w14:paraId="18B57AB6" w14:textId="77777777" w:rsidR="000C35AF" w:rsidRPr="00113056" w:rsidRDefault="000C35AF" w:rsidP="009238AE">
            <w:pPr>
              <w:pStyle w:val="Regresjonstabell"/>
              <w:jc w:val="right"/>
              <w:rPr>
                <w:color w:val="000000"/>
                <w:sz w:val="15"/>
                <w:szCs w:val="15"/>
              </w:rPr>
            </w:pPr>
            <w:r w:rsidRPr="00113056">
              <w:rPr>
                <w:color w:val="000000"/>
                <w:sz w:val="15"/>
                <w:szCs w:val="15"/>
              </w:rPr>
              <w:t>0.015</w:t>
            </w:r>
          </w:p>
        </w:tc>
        <w:tc>
          <w:tcPr>
            <w:tcW w:w="1382" w:type="dxa"/>
            <w:tcBorders>
              <w:top w:val="nil"/>
              <w:left w:val="nil"/>
              <w:bottom w:val="nil"/>
              <w:right w:val="nil"/>
            </w:tcBorders>
            <w:vAlign w:val="bottom"/>
          </w:tcPr>
          <w:p w14:paraId="05315D0E" w14:textId="77777777" w:rsidR="000C35AF" w:rsidRPr="00113056" w:rsidRDefault="000C35AF" w:rsidP="009238AE">
            <w:pPr>
              <w:pStyle w:val="Regresjonstabell"/>
              <w:jc w:val="right"/>
              <w:rPr>
                <w:sz w:val="15"/>
                <w:szCs w:val="15"/>
              </w:rPr>
            </w:pPr>
            <w:r w:rsidRPr="00113056">
              <w:rPr>
                <w:color w:val="000000"/>
                <w:sz w:val="15"/>
                <w:szCs w:val="15"/>
              </w:rPr>
              <w:t>0.005</w:t>
            </w:r>
          </w:p>
        </w:tc>
        <w:tc>
          <w:tcPr>
            <w:tcW w:w="1382" w:type="dxa"/>
            <w:tcBorders>
              <w:top w:val="nil"/>
              <w:left w:val="nil"/>
              <w:bottom w:val="nil"/>
              <w:right w:val="nil"/>
            </w:tcBorders>
            <w:vAlign w:val="bottom"/>
          </w:tcPr>
          <w:p w14:paraId="51CB99C2" w14:textId="77777777" w:rsidR="000C35AF" w:rsidRPr="00113056" w:rsidRDefault="000C35AF" w:rsidP="009238AE">
            <w:pPr>
              <w:pStyle w:val="Regresjonstabell"/>
              <w:jc w:val="right"/>
              <w:rPr>
                <w:color w:val="000000"/>
                <w:sz w:val="15"/>
                <w:szCs w:val="15"/>
              </w:rPr>
            </w:pPr>
            <w:r w:rsidRPr="00113056">
              <w:rPr>
                <w:color w:val="000000"/>
                <w:sz w:val="15"/>
                <w:szCs w:val="15"/>
              </w:rPr>
              <w:t>0.004</w:t>
            </w:r>
          </w:p>
        </w:tc>
        <w:tc>
          <w:tcPr>
            <w:tcW w:w="1392" w:type="dxa"/>
            <w:tcBorders>
              <w:top w:val="nil"/>
              <w:left w:val="nil"/>
              <w:bottom w:val="nil"/>
              <w:right w:val="nil"/>
            </w:tcBorders>
            <w:vAlign w:val="bottom"/>
          </w:tcPr>
          <w:p w14:paraId="0AD67FBF" w14:textId="77777777" w:rsidR="000C35AF" w:rsidRPr="00113056" w:rsidRDefault="000C35AF" w:rsidP="009238AE">
            <w:pPr>
              <w:pStyle w:val="Regresjonstabell"/>
              <w:jc w:val="right"/>
              <w:rPr>
                <w:sz w:val="15"/>
                <w:szCs w:val="15"/>
              </w:rPr>
            </w:pPr>
            <w:r w:rsidRPr="00113056">
              <w:rPr>
                <w:color w:val="000000"/>
                <w:sz w:val="15"/>
                <w:szCs w:val="15"/>
              </w:rPr>
              <w:t>0.009</w:t>
            </w:r>
          </w:p>
        </w:tc>
        <w:tc>
          <w:tcPr>
            <w:tcW w:w="1440" w:type="dxa"/>
            <w:tcBorders>
              <w:top w:val="nil"/>
              <w:left w:val="nil"/>
              <w:bottom w:val="nil"/>
              <w:right w:val="single" w:sz="4" w:space="0" w:color="auto"/>
            </w:tcBorders>
            <w:vAlign w:val="bottom"/>
          </w:tcPr>
          <w:p w14:paraId="61EF74D0" w14:textId="77777777" w:rsidR="000C35AF" w:rsidRPr="00113056" w:rsidRDefault="000C35AF" w:rsidP="009238AE">
            <w:pPr>
              <w:pStyle w:val="Regresjonstabell"/>
              <w:jc w:val="right"/>
              <w:rPr>
                <w:color w:val="000000"/>
                <w:sz w:val="15"/>
                <w:szCs w:val="15"/>
              </w:rPr>
            </w:pPr>
            <w:r w:rsidRPr="00113056">
              <w:rPr>
                <w:color w:val="000000"/>
                <w:sz w:val="15"/>
                <w:szCs w:val="15"/>
              </w:rPr>
              <w:t>0.059</w:t>
            </w:r>
          </w:p>
        </w:tc>
      </w:tr>
      <w:tr w:rsidR="000C35AF" w:rsidRPr="0055149C" w14:paraId="64BF2CEF"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3DE575ED" w14:textId="77777777" w:rsidR="000C35AF" w:rsidRPr="0055149C" w:rsidRDefault="000C35AF" w:rsidP="009238AE">
            <w:pPr>
              <w:pStyle w:val="Regresjonstabell"/>
              <w:rPr>
                <w:color w:val="000000"/>
                <w:sz w:val="15"/>
                <w:szCs w:val="15"/>
              </w:rPr>
            </w:pPr>
            <w:r w:rsidRPr="0055149C">
              <w:rPr>
                <w:color w:val="000000"/>
                <w:sz w:val="15"/>
                <w:szCs w:val="15"/>
              </w:rPr>
              <w:t>(Kriterium 13)</w:t>
            </w:r>
          </w:p>
        </w:tc>
        <w:tc>
          <w:tcPr>
            <w:tcW w:w="1440" w:type="dxa"/>
            <w:tcBorders>
              <w:top w:val="nil"/>
              <w:left w:val="single" w:sz="4" w:space="0" w:color="auto"/>
              <w:bottom w:val="nil"/>
              <w:right w:val="nil"/>
            </w:tcBorders>
            <w:vAlign w:val="center"/>
          </w:tcPr>
          <w:p w14:paraId="26E9CE14" w14:textId="77777777" w:rsidR="000C35AF" w:rsidRPr="00113056" w:rsidRDefault="000C35AF" w:rsidP="009238AE">
            <w:pPr>
              <w:pStyle w:val="Regresjonstabell"/>
              <w:jc w:val="right"/>
              <w:rPr>
                <w:sz w:val="15"/>
                <w:szCs w:val="15"/>
              </w:rPr>
            </w:pPr>
            <w:r w:rsidRPr="00113056">
              <w:rPr>
                <w:color w:val="000000"/>
                <w:sz w:val="15"/>
                <w:szCs w:val="15"/>
              </w:rPr>
              <w:t>(0.086)</w:t>
            </w:r>
          </w:p>
        </w:tc>
        <w:tc>
          <w:tcPr>
            <w:tcW w:w="1440" w:type="dxa"/>
            <w:tcBorders>
              <w:top w:val="nil"/>
              <w:left w:val="nil"/>
              <w:bottom w:val="nil"/>
              <w:right w:val="nil"/>
            </w:tcBorders>
            <w:vAlign w:val="center"/>
          </w:tcPr>
          <w:p w14:paraId="7293ABF4" w14:textId="77777777" w:rsidR="000C35AF" w:rsidRPr="00113056" w:rsidRDefault="000C35AF" w:rsidP="009238AE">
            <w:pPr>
              <w:pStyle w:val="Regresjonstabell"/>
              <w:jc w:val="right"/>
              <w:rPr>
                <w:color w:val="000000"/>
                <w:sz w:val="15"/>
                <w:szCs w:val="15"/>
              </w:rPr>
            </w:pPr>
            <w:r w:rsidRPr="00113056">
              <w:rPr>
                <w:color w:val="000000"/>
                <w:sz w:val="15"/>
                <w:szCs w:val="15"/>
              </w:rPr>
              <w:t>(0.076)</w:t>
            </w:r>
          </w:p>
        </w:tc>
        <w:tc>
          <w:tcPr>
            <w:tcW w:w="1440" w:type="dxa"/>
            <w:tcBorders>
              <w:top w:val="nil"/>
              <w:left w:val="nil"/>
              <w:bottom w:val="nil"/>
              <w:right w:val="nil"/>
            </w:tcBorders>
            <w:vAlign w:val="center"/>
          </w:tcPr>
          <w:p w14:paraId="2638B5EA" w14:textId="77777777" w:rsidR="000C35AF" w:rsidRPr="00113056" w:rsidRDefault="000C35AF" w:rsidP="009238AE">
            <w:pPr>
              <w:pStyle w:val="Regresjonstabell"/>
              <w:jc w:val="right"/>
              <w:rPr>
                <w:sz w:val="15"/>
                <w:szCs w:val="15"/>
              </w:rPr>
            </w:pPr>
            <w:r w:rsidRPr="00113056">
              <w:rPr>
                <w:color w:val="000000"/>
                <w:sz w:val="15"/>
                <w:szCs w:val="15"/>
              </w:rPr>
              <w:t>(0.052)</w:t>
            </w:r>
          </w:p>
        </w:tc>
        <w:tc>
          <w:tcPr>
            <w:tcW w:w="1382" w:type="dxa"/>
            <w:tcBorders>
              <w:top w:val="nil"/>
              <w:left w:val="nil"/>
              <w:bottom w:val="nil"/>
              <w:right w:val="nil"/>
            </w:tcBorders>
            <w:vAlign w:val="center"/>
          </w:tcPr>
          <w:p w14:paraId="68A798AA" w14:textId="77777777" w:rsidR="000C35AF" w:rsidRPr="00113056" w:rsidRDefault="000C35AF" w:rsidP="009238AE">
            <w:pPr>
              <w:pStyle w:val="Regresjonstabell"/>
              <w:jc w:val="right"/>
              <w:rPr>
                <w:color w:val="000000"/>
                <w:sz w:val="15"/>
                <w:szCs w:val="15"/>
              </w:rPr>
            </w:pPr>
            <w:r w:rsidRPr="00113056">
              <w:rPr>
                <w:color w:val="000000"/>
                <w:sz w:val="15"/>
                <w:szCs w:val="15"/>
              </w:rPr>
              <w:t>(0.013)</w:t>
            </w:r>
          </w:p>
        </w:tc>
        <w:tc>
          <w:tcPr>
            <w:tcW w:w="1382" w:type="dxa"/>
            <w:tcBorders>
              <w:top w:val="nil"/>
              <w:left w:val="nil"/>
              <w:bottom w:val="nil"/>
              <w:right w:val="nil"/>
            </w:tcBorders>
            <w:vAlign w:val="center"/>
          </w:tcPr>
          <w:p w14:paraId="0098969E" w14:textId="77777777" w:rsidR="000C35AF" w:rsidRPr="00113056" w:rsidRDefault="000C35AF" w:rsidP="009238AE">
            <w:pPr>
              <w:pStyle w:val="Regresjonstabell"/>
              <w:jc w:val="right"/>
              <w:rPr>
                <w:sz w:val="15"/>
                <w:szCs w:val="15"/>
              </w:rPr>
            </w:pPr>
            <w:r w:rsidRPr="00113056">
              <w:rPr>
                <w:color w:val="000000"/>
                <w:sz w:val="15"/>
                <w:szCs w:val="15"/>
              </w:rPr>
              <w:t>(0.032)</w:t>
            </w:r>
          </w:p>
        </w:tc>
        <w:tc>
          <w:tcPr>
            <w:tcW w:w="1382" w:type="dxa"/>
            <w:tcBorders>
              <w:top w:val="nil"/>
              <w:left w:val="nil"/>
              <w:bottom w:val="nil"/>
              <w:right w:val="nil"/>
            </w:tcBorders>
            <w:vAlign w:val="center"/>
          </w:tcPr>
          <w:p w14:paraId="78D6CB3D" w14:textId="77777777" w:rsidR="000C35AF" w:rsidRPr="00113056" w:rsidRDefault="000C35AF" w:rsidP="009238AE">
            <w:pPr>
              <w:pStyle w:val="Regresjonstabell"/>
              <w:jc w:val="right"/>
              <w:rPr>
                <w:color w:val="000000"/>
                <w:sz w:val="15"/>
                <w:szCs w:val="15"/>
              </w:rPr>
            </w:pPr>
            <w:r w:rsidRPr="00113056">
              <w:rPr>
                <w:color w:val="000000"/>
                <w:sz w:val="15"/>
                <w:szCs w:val="15"/>
              </w:rPr>
              <w:t>(0.032)</w:t>
            </w:r>
          </w:p>
        </w:tc>
        <w:tc>
          <w:tcPr>
            <w:tcW w:w="1392" w:type="dxa"/>
            <w:tcBorders>
              <w:top w:val="nil"/>
              <w:left w:val="nil"/>
              <w:bottom w:val="nil"/>
              <w:right w:val="nil"/>
            </w:tcBorders>
            <w:vAlign w:val="center"/>
          </w:tcPr>
          <w:p w14:paraId="633FEAEE" w14:textId="77777777" w:rsidR="000C35AF" w:rsidRPr="00113056" w:rsidRDefault="000C35AF" w:rsidP="009238AE">
            <w:pPr>
              <w:pStyle w:val="Regresjonstabell"/>
              <w:jc w:val="right"/>
              <w:rPr>
                <w:sz w:val="15"/>
                <w:szCs w:val="15"/>
              </w:rPr>
            </w:pPr>
            <w:r w:rsidRPr="00113056">
              <w:rPr>
                <w:color w:val="000000"/>
                <w:sz w:val="15"/>
                <w:szCs w:val="15"/>
              </w:rPr>
              <w:t>(0.064)</w:t>
            </w:r>
          </w:p>
        </w:tc>
        <w:tc>
          <w:tcPr>
            <w:tcW w:w="1440" w:type="dxa"/>
            <w:tcBorders>
              <w:top w:val="nil"/>
              <w:left w:val="nil"/>
              <w:bottom w:val="nil"/>
              <w:right w:val="single" w:sz="4" w:space="0" w:color="auto"/>
            </w:tcBorders>
            <w:vAlign w:val="center"/>
          </w:tcPr>
          <w:p w14:paraId="262496F0" w14:textId="77777777" w:rsidR="000C35AF" w:rsidRPr="00113056" w:rsidRDefault="000C35AF" w:rsidP="009238AE">
            <w:pPr>
              <w:pStyle w:val="Regresjonstabell"/>
              <w:jc w:val="right"/>
              <w:rPr>
                <w:color w:val="000000"/>
                <w:sz w:val="15"/>
                <w:szCs w:val="15"/>
              </w:rPr>
            </w:pPr>
            <w:r w:rsidRPr="00113056">
              <w:rPr>
                <w:color w:val="000000"/>
                <w:sz w:val="15"/>
                <w:szCs w:val="15"/>
              </w:rPr>
              <w:t>(0.100)</w:t>
            </w:r>
          </w:p>
        </w:tc>
      </w:tr>
      <w:tr w:rsidR="000C35AF" w:rsidRPr="0055149C" w14:paraId="0E9BC852"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152BAC10" w14:textId="77777777" w:rsidR="000C35AF" w:rsidRPr="0055149C" w:rsidRDefault="000C35AF" w:rsidP="009238AE">
            <w:pPr>
              <w:pStyle w:val="Regresjonstabell"/>
              <w:rPr>
                <w:color w:val="000000"/>
                <w:sz w:val="15"/>
                <w:szCs w:val="15"/>
              </w:rPr>
            </w:pPr>
            <w:r w:rsidRPr="0055149C">
              <w:rPr>
                <w:color w:val="000000"/>
                <w:sz w:val="15"/>
                <w:szCs w:val="15"/>
              </w:rPr>
              <w:t>Reiseavstand innen nabokrets</w:t>
            </w:r>
          </w:p>
        </w:tc>
        <w:tc>
          <w:tcPr>
            <w:tcW w:w="1440" w:type="dxa"/>
            <w:tcBorders>
              <w:top w:val="nil"/>
              <w:left w:val="single" w:sz="4" w:space="0" w:color="auto"/>
              <w:bottom w:val="nil"/>
              <w:right w:val="nil"/>
            </w:tcBorders>
            <w:vAlign w:val="bottom"/>
          </w:tcPr>
          <w:p w14:paraId="4774901E" w14:textId="77777777" w:rsidR="000C35AF" w:rsidRPr="00113056" w:rsidRDefault="000C35AF" w:rsidP="009238AE">
            <w:pPr>
              <w:pStyle w:val="Regresjonstabell"/>
              <w:jc w:val="right"/>
              <w:rPr>
                <w:sz w:val="15"/>
                <w:szCs w:val="15"/>
              </w:rPr>
            </w:pPr>
            <w:r w:rsidRPr="00113056">
              <w:rPr>
                <w:color w:val="000000"/>
                <w:sz w:val="15"/>
                <w:szCs w:val="15"/>
              </w:rPr>
              <w:t>-0.345</w:t>
            </w:r>
          </w:p>
        </w:tc>
        <w:tc>
          <w:tcPr>
            <w:tcW w:w="1440" w:type="dxa"/>
            <w:tcBorders>
              <w:top w:val="nil"/>
              <w:left w:val="nil"/>
              <w:bottom w:val="nil"/>
              <w:right w:val="nil"/>
            </w:tcBorders>
            <w:vAlign w:val="bottom"/>
          </w:tcPr>
          <w:p w14:paraId="5DC9B27A" w14:textId="77777777" w:rsidR="000C35AF" w:rsidRPr="00113056" w:rsidRDefault="000C35AF" w:rsidP="009238AE">
            <w:pPr>
              <w:pStyle w:val="Regresjonstabell"/>
              <w:jc w:val="right"/>
              <w:rPr>
                <w:color w:val="000000"/>
                <w:sz w:val="15"/>
                <w:szCs w:val="15"/>
              </w:rPr>
            </w:pPr>
            <w:r w:rsidRPr="00113056">
              <w:rPr>
                <w:color w:val="000000"/>
                <w:sz w:val="15"/>
                <w:szCs w:val="15"/>
              </w:rPr>
              <w:t>-0.167</w:t>
            </w:r>
          </w:p>
        </w:tc>
        <w:tc>
          <w:tcPr>
            <w:tcW w:w="1440" w:type="dxa"/>
            <w:tcBorders>
              <w:top w:val="nil"/>
              <w:left w:val="nil"/>
              <w:bottom w:val="nil"/>
              <w:right w:val="nil"/>
            </w:tcBorders>
            <w:vAlign w:val="bottom"/>
          </w:tcPr>
          <w:p w14:paraId="1DD0DB86" w14:textId="77777777" w:rsidR="000C35AF" w:rsidRPr="00113056" w:rsidRDefault="000C35AF" w:rsidP="009238AE">
            <w:pPr>
              <w:pStyle w:val="Regresjonstabell"/>
              <w:jc w:val="right"/>
              <w:rPr>
                <w:sz w:val="15"/>
                <w:szCs w:val="15"/>
              </w:rPr>
            </w:pPr>
            <w:r w:rsidRPr="00113056">
              <w:rPr>
                <w:color w:val="000000"/>
                <w:sz w:val="15"/>
                <w:szCs w:val="15"/>
              </w:rPr>
              <w:t>-0.178</w:t>
            </w:r>
          </w:p>
        </w:tc>
        <w:tc>
          <w:tcPr>
            <w:tcW w:w="1382" w:type="dxa"/>
            <w:tcBorders>
              <w:top w:val="nil"/>
              <w:left w:val="nil"/>
              <w:bottom w:val="nil"/>
              <w:right w:val="nil"/>
            </w:tcBorders>
            <w:vAlign w:val="bottom"/>
          </w:tcPr>
          <w:p w14:paraId="7082580D" w14:textId="77777777" w:rsidR="000C35AF" w:rsidRPr="00113056" w:rsidRDefault="000C35AF" w:rsidP="009238AE">
            <w:pPr>
              <w:pStyle w:val="Regresjonstabell"/>
              <w:jc w:val="right"/>
              <w:rPr>
                <w:color w:val="000000"/>
                <w:sz w:val="15"/>
                <w:szCs w:val="15"/>
              </w:rPr>
            </w:pPr>
            <w:r w:rsidRPr="00113056">
              <w:rPr>
                <w:color w:val="000000"/>
                <w:sz w:val="15"/>
                <w:szCs w:val="15"/>
              </w:rPr>
              <w:t>-0.017</w:t>
            </w:r>
          </w:p>
        </w:tc>
        <w:tc>
          <w:tcPr>
            <w:tcW w:w="1382" w:type="dxa"/>
            <w:tcBorders>
              <w:top w:val="nil"/>
              <w:left w:val="nil"/>
              <w:bottom w:val="nil"/>
              <w:right w:val="nil"/>
            </w:tcBorders>
            <w:vAlign w:val="bottom"/>
          </w:tcPr>
          <w:p w14:paraId="5378E9A6" w14:textId="77777777" w:rsidR="000C35AF" w:rsidRPr="00113056" w:rsidRDefault="000C35AF" w:rsidP="009238AE">
            <w:pPr>
              <w:pStyle w:val="Regresjonstabell"/>
              <w:jc w:val="right"/>
              <w:rPr>
                <w:sz w:val="15"/>
                <w:szCs w:val="15"/>
              </w:rPr>
            </w:pPr>
            <w:r w:rsidRPr="00113056">
              <w:rPr>
                <w:color w:val="000000"/>
                <w:sz w:val="15"/>
                <w:szCs w:val="15"/>
              </w:rPr>
              <w:t>-0.039</w:t>
            </w:r>
          </w:p>
        </w:tc>
        <w:tc>
          <w:tcPr>
            <w:tcW w:w="1382" w:type="dxa"/>
            <w:tcBorders>
              <w:top w:val="nil"/>
              <w:left w:val="nil"/>
              <w:bottom w:val="nil"/>
              <w:right w:val="nil"/>
            </w:tcBorders>
            <w:vAlign w:val="bottom"/>
          </w:tcPr>
          <w:p w14:paraId="60A87A1E" w14:textId="77777777" w:rsidR="000C35AF" w:rsidRPr="00113056" w:rsidRDefault="000C35AF" w:rsidP="009238AE">
            <w:pPr>
              <w:pStyle w:val="Regresjonstabell"/>
              <w:jc w:val="right"/>
              <w:rPr>
                <w:color w:val="000000"/>
                <w:sz w:val="15"/>
                <w:szCs w:val="15"/>
              </w:rPr>
            </w:pPr>
            <w:r w:rsidRPr="00113056">
              <w:rPr>
                <w:color w:val="000000"/>
                <w:sz w:val="15"/>
                <w:szCs w:val="15"/>
              </w:rPr>
              <w:t>-0.038</w:t>
            </w:r>
          </w:p>
        </w:tc>
        <w:tc>
          <w:tcPr>
            <w:tcW w:w="1392" w:type="dxa"/>
            <w:tcBorders>
              <w:top w:val="nil"/>
              <w:left w:val="nil"/>
              <w:bottom w:val="nil"/>
              <w:right w:val="nil"/>
            </w:tcBorders>
            <w:vAlign w:val="bottom"/>
          </w:tcPr>
          <w:p w14:paraId="3A61B18E" w14:textId="77777777" w:rsidR="000C35AF" w:rsidRPr="00113056" w:rsidRDefault="000C35AF" w:rsidP="009238AE">
            <w:pPr>
              <w:pStyle w:val="Regresjonstabell"/>
              <w:jc w:val="right"/>
              <w:rPr>
                <w:sz w:val="15"/>
                <w:szCs w:val="15"/>
              </w:rPr>
            </w:pPr>
            <w:r w:rsidRPr="00113056">
              <w:rPr>
                <w:color w:val="000000"/>
                <w:sz w:val="15"/>
                <w:szCs w:val="15"/>
              </w:rPr>
              <w:t>-0.078</w:t>
            </w:r>
          </w:p>
        </w:tc>
        <w:tc>
          <w:tcPr>
            <w:tcW w:w="1440" w:type="dxa"/>
            <w:tcBorders>
              <w:top w:val="nil"/>
              <w:left w:val="nil"/>
              <w:bottom w:val="nil"/>
              <w:right w:val="single" w:sz="4" w:space="0" w:color="auto"/>
            </w:tcBorders>
            <w:vAlign w:val="bottom"/>
          </w:tcPr>
          <w:p w14:paraId="50E57A90" w14:textId="77777777" w:rsidR="000C35AF" w:rsidRPr="00113056" w:rsidRDefault="000C35AF" w:rsidP="009238AE">
            <w:pPr>
              <w:pStyle w:val="Regresjonstabell"/>
              <w:jc w:val="right"/>
              <w:rPr>
                <w:color w:val="000000"/>
                <w:sz w:val="15"/>
                <w:szCs w:val="15"/>
              </w:rPr>
            </w:pPr>
            <w:r w:rsidRPr="00113056">
              <w:rPr>
                <w:color w:val="000000"/>
                <w:sz w:val="15"/>
                <w:szCs w:val="15"/>
              </w:rPr>
              <w:t>-0.423</w:t>
            </w:r>
          </w:p>
        </w:tc>
      </w:tr>
      <w:tr w:rsidR="000C35AF" w:rsidRPr="0055149C" w14:paraId="49356F64"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0960BBBF" w14:textId="77777777" w:rsidR="000C35AF" w:rsidRPr="0055149C" w:rsidRDefault="000C35AF" w:rsidP="009238AE">
            <w:pPr>
              <w:pStyle w:val="Regresjonstabell"/>
              <w:rPr>
                <w:color w:val="000000"/>
                <w:sz w:val="15"/>
                <w:szCs w:val="15"/>
              </w:rPr>
            </w:pPr>
            <w:r w:rsidRPr="0055149C">
              <w:rPr>
                <w:color w:val="000000"/>
                <w:sz w:val="15"/>
                <w:szCs w:val="15"/>
              </w:rPr>
              <w:t>(Kriterium 15)</w:t>
            </w:r>
          </w:p>
        </w:tc>
        <w:tc>
          <w:tcPr>
            <w:tcW w:w="1440" w:type="dxa"/>
            <w:tcBorders>
              <w:top w:val="nil"/>
              <w:left w:val="single" w:sz="4" w:space="0" w:color="auto"/>
              <w:bottom w:val="nil"/>
              <w:right w:val="nil"/>
            </w:tcBorders>
            <w:vAlign w:val="center"/>
          </w:tcPr>
          <w:p w14:paraId="5F0F4C93" w14:textId="77777777" w:rsidR="000C35AF" w:rsidRPr="00113056" w:rsidRDefault="000C35AF" w:rsidP="009238AE">
            <w:pPr>
              <w:pStyle w:val="Regresjonstabell"/>
              <w:jc w:val="right"/>
              <w:rPr>
                <w:sz w:val="15"/>
                <w:szCs w:val="15"/>
              </w:rPr>
            </w:pPr>
            <w:r w:rsidRPr="00113056">
              <w:rPr>
                <w:color w:val="000000"/>
                <w:sz w:val="15"/>
                <w:szCs w:val="15"/>
              </w:rPr>
              <w:t>(0.252)</w:t>
            </w:r>
          </w:p>
        </w:tc>
        <w:tc>
          <w:tcPr>
            <w:tcW w:w="1440" w:type="dxa"/>
            <w:tcBorders>
              <w:top w:val="nil"/>
              <w:left w:val="nil"/>
              <w:bottom w:val="nil"/>
              <w:right w:val="nil"/>
            </w:tcBorders>
            <w:vAlign w:val="center"/>
          </w:tcPr>
          <w:p w14:paraId="68F99A76" w14:textId="77777777" w:rsidR="000C35AF" w:rsidRPr="00113056" w:rsidRDefault="000C35AF" w:rsidP="009238AE">
            <w:pPr>
              <w:pStyle w:val="Regresjonstabell"/>
              <w:jc w:val="right"/>
              <w:rPr>
                <w:color w:val="000000"/>
                <w:sz w:val="15"/>
                <w:szCs w:val="15"/>
              </w:rPr>
            </w:pPr>
            <w:r w:rsidRPr="00113056">
              <w:rPr>
                <w:color w:val="000000"/>
                <w:sz w:val="15"/>
                <w:szCs w:val="15"/>
              </w:rPr>
              <w:t>(0.205)</w:t>
            </w:r>
          </w:p>
        </w:tc>
        <w:tc>
          <w:tcPr>
            <w:tcW w:w="1440" w:type="dxa"/>
            <w:tcBorders>
              <w:top w:val="nil"/>
              <w:left w:val="nil"/>
              <w:bottom w:val="nil"/>
              <w:right w:val="nil"/>
            </w:tcBorders>
            <w:vAlign w:val="center"/>
          </w:tcPr>
          <w:p w14:paraId="4AA792C2" w14:textId="77777777" w:rsidR="000C35AF" w:rsidRPr="00113056" w:rsidRDefault="000C35AF" w:rsidP="009238AE">
            <w:pPr>
              <w:pStyle w:val="Regresjonstabell"/>
              <w:jc w:val="right"/>
              <w:rPr>
                <w:sz w:val="15"/>
                <w:szCs w:val="15"/>
              </w:rPr>
            </w:pPr>
            <w:r w:rsidRPr="00113056">
              <w:rPr>
                <w:color w:val="000000"/>
                <w:sz w:val="15"/>
                <w:szCs w:val="15"/>
              </w:rPr>
              <w:t>(0.140)</w:t>
            </w:r>
          </w:p>
        </w:tc>
        <w:tc>
          <w:tcPr>
            <w:tcW w:w="1382" w:type="dxa"/>
            <w:tcBorders>
              <w:top w:val="nil"/>
              <w:left w:val="nil"/>
              <w:bottom w:val="nil"/>
              <w:right w:val="nil"/>
            </w:tcBorders>
            <w:vAlign w:val="center"/>
          </w:tcPr>
          <w:p w14:paraId="19B5F9EA" w14:textId="77777777" w:rsidR="000C35AF" w:rsidRPr="00113056" w:rsidRDefault="000C35AF" w:rsidP="009238AE">
            <w:pPr>
              <w:pStyle w:val="Regresjonstabell"/>
              <w:jc w:val="right"/>
              <w:rPr>
                <w:color w:val="000000"/>
                <w:sz w:val="15"/>
                <w:szCs w:val="15"/>
              </w:rPr>
            </w:pPr>
            <w:r w:rsidRPr="00113056">
              <w:rPr>
                <w:color w:val="000000"/>
                <w:sz w:val="15"/>
                <w:szCs w:val="15"/>
              </w:rPr>
              <w:t>(0.037)</w:t>
            </w:r>
          </w:p>
        </w:tc>
        <w:tc>
          <w:tcPr>
            <w:tcW w:w="1382" w:type="dxa"/>
            <w:tcBorders>
              <w:top w:val="nil"/>
              <w:left w:val="nil"/>
              <w:bottom w:val="nil"/>
              <w:right w:val="nil"/>
            </w:tcBorders>
            <w:vAlign w:val="center"/>
          </w:tcPr>
          <w:p w14:paraId="75414CE3" w14:textId="77777777" w:rsidR="000C35AF" w:rsidRPr="00113056" w:rsidRDefault="000C35AF" w:rsidP="009238AE">
            <w:pPr>
              <w:pStyle w:val="Regresjonstabell"/>
              <w:jc w:val="right"/>
              <w:rPr>
                <w:sz w:val="15"/>
                <w:szCs w:val="15"/>
              </w:rPr>
            </w:pPr>
            <w:r w:rsidRPr="00113056">
              <w:rPr>
                <w:color w:val="000000"/>
                <w:sz w:val="15"/>
                <w:szCs w:val="15"/>
              </w:rPr>
              <w:t>(0.091)</w:t>
            </w:r>
          </w:p>
        </w:tc>
        <w:tc>
          <w:tcPr>
            <w:tcW w:w="1382" w:type="dxa"/>
            <w:tcBorders>
              <w:top w:val="nil"/>
              <w:left w:val="nil"/>
              <w:bottom w:val="nil"/>
              <w:right w:val="nil"/>
            </w:tcBorders>
            <w:vAlign w:val="center"/>
          </w:tcPr>
          <w:p w14:paraId="652F9A39" w14:textId="77777777" w:rsidR="000C35AF" w:rsidRPr="00113056" w:rsidRDefault="000C35AF" w:rsidP="009238AE">
            <w:pPr>
              <w:pStyle w:val="Regresjonstabell"/>
              <w:jc w:val="right"/>
              <w:rPr>
                <w:color w:val="000000"/>
                <w:sz w:val="15"/>
                <w:szCs w:val="15"/>
              </w:rPr>
            </w:pPr>
            <w:r w:rsidRPr="00113056">
              <w:rPr>
                <w:color w:val="000000"/>
                <w:sz w:val="15"/>
                <w:szCs w:val="15"/>
              </w:rPr>
              <w:t>(0.093)</w:t>
            </w:r>
          </w:p>
        </w:tc>
        <w:tc>
          <w:tcPr>
            <w:tcW w:w="1392" w:type="dxa"/>
            <w:tcBorders>
              <w:top w:val="nil"/>
              <w:left w:val="nil"/>
              <w:bottom w:val="nil"/>
              <w:right w:val="nil"/>
            </w:tcBorders>
            <w:vAlign w:val="center"/>
          </w:tcPr>
          <w:p w14:paraId="6E3C5CFD" w14:textId="77777777" w:rsidR="000C35AF" w:rsidRPr="00113056" w:rsidRDefault="000C35AF" w:rsidP="009238AE">
            <w:pPr>
              <w:pStyle w:val="Regresjonstabell"/>
              <w:jc w:val="right"/>
              <w:rPr>
                <w:sz w:val="15"/>
                <w:szCs w:val="15"/>
              </w:rPr>
            </w:pPr>
            <w:r w:rsidRPr="00113056">
              <w:rPr>
                <w:color w:val="000000"/>
                <w:sz w:val="15"/>
                <w:szCs w:val="15"/>
              </w:rPr>
              <w:t>(0.184)</w:t>
            </w:r>
          </w:p>
        </w:tc>
        <w:tc>
          <w:tcPr>
            <w:tcW w:w="1440" w:type="dxa"/>
            <w:tcBorders>
              <w:top w:val="nil"/>
              <w:left w:val="nil"/>
              <w:bottom w:val="nil"/>
              <w:right w:val="single" w:sz="4" w:space="0" w:color="auto"/>
            </w:tcBorders>
            <w:vAlign w:val="center"/>
          </w:tcPr>
          <w:p w14:paraId="1CC83F69" w14:textId="77777777" w:rsidR="000C35AF" w:rsidRPr="00113056" w:rsidRDefault="000C35AF" w:rsidP="009238AE">
            <w:pPr>
              <w:pStyle w:val="Regresjonstabell"/>
              <w:jc w:val="right"/>
              <w:rPr>
                <w:color w:val="000000"/>
                <w:sz w:val="15"/>
                <w:szCs w:val="15"/>
              </w:rPr>
            </w:pPr>
            <w:r w:rsidRPr="00113056">
              <w:rPr>
                <w:color w:val="000000"/>
                <w:sz w:val="15"/>
                <w:szCs w:val="15"/>
              </w:rPr>
              <w:t>(0.310)</w:t>
            </w:r>
          </w:p>
        </w:tc>
      </w:tr>
      <w:tr w:rsidR="000C35AF" w:rsidRPr="0055149C" w14:paraId="545B80CC"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21FF3DC6" w14:textId="77777777" w:rsidR="000C35AF" w:rsidRPr="0055149C" w:rsidRDefault="000C35AF" w:rsidP="009238AE">
            <w:pPr>
              <w:pStyle w:val="Regresjonstabell"/>
              <w:rPr>
                <w:sz w:val="15"/>
                <w:szCs w:val="15"/>
              </w:rPr>
            </w:pPr>
            <w:r w:rsidRPr="0055149C">
              <w:rPr>
                <w:sz w:val="15"/>
                <w:szCs w:val="15"/>
              </w:rPr>
              <w:t>Psykisk utviklingshemmet på minst 16 år</w:t>
            </w:r>
          </w:p>
        </w:tc>
        <w:tc>
          <w:tcPr>
            <w:tcW w:w="1440" w:type="dxa"/>
            <w:tcBorders>
              <w:top w:val="nil"/>
              <w:left w:val="single" w:sz="4" w:space="0" w:color="auto"/>
              <w:bottom w:val="nil"/>
              <w:right w:val="nil"/>
            </w:tcBorders>
            <w:vAlign w:val="bottom"/>
          </w:tcPr>
          <w:p w14:paraId="57F1A4BA" w14:textId="77777777" w:rsidR="000C35AF" w:rsidRPr="00113056" w:rsidRDefault="000C35AF" w:rsidP="009238AE">
            <w:pPr>
              <w:pStyle w:val="Regresjonstabell"/>
              <w:jc w:val="right"/>
              <w:rPr>
                <w:sz w:val="15"/>
                <w:szCs w:val="15"/>
              </w:rPr>
            </w:pPr>
            <w:r w:rsidRPr="00113056">
              <w:rPr>
                <w:color w:val="000000"/>
                <w:sz w:val="15"/>
                <w:szCs w:val="15"/>
              </w:rPr>
              <w:t>1,017.336***</w:t>
            </w:r>
          </w:p>
        </w:tc>
        <w:tc>
          <w:tcPr>
            <w:tcW w:w="1440" w:type="dxa"/>
            <w:tcBorders>
              <w:top w:val="nil"/>
              <w:left w:val="nil"/>
              <w:bottom w:val="nil"/>
              <w:right w:val="nil"/>
            </w:tcBorders>
            <w:vAlign w:val="bottom"/>
          </w:tcPr>
          <w:p w14:paraId="6C495E91" w14:textId="77777777" w:rsidR="000C35AF" w:rsidRPr="00113056" w:rsidRDefault="000C35AF" w:rsidP="009238AE">
            <w:pPr>
              <w:pStyle w:val="Regresjonstabell"/>
              <w:jc w:val="right"/>
              <w:rPr>
                <w:color w:val="000000"/>
                <w:sz w:val="15"/>
                <w:szCs w:val="15"/>
              </w:rPr>
            </w:pPr>
            <w:r w:rsidRPr="00113056">
              <w:rPr>
                <w:color w:val="000000"/>
                <w:sz w:val="15"/>
                <w:szCs w:val="15"/>
              </w:rPr>
              <w:t>1,024.704***</w:t>
            </w:r>
          </w:p>
        </w:tc>
        <w:tc>
          <w:tcPr>
            <w:tcW w:w="1440" w:type="dxa"/>
            <w:tcBorders>
              <w:top w:val="nil"/>
              <w:left w:val="nil"/>
              <w:bottom w:val="nil"/>
              <w:right w:val="nil"/>
            </w:tcBorders>
            <w:vAlign w:val="bottom"/>
          </w:tcPr>
          <w:p w14:paraId="55BDC933" w14:textId="77777777" w:rsidR="000C35AF" w:rsidRPr="00113056" w:rsidRDefault="000C35AF" w:rsidP="009238AE">
            <w:pPr>
              <w:pStyle w:val="Regresjonstabell"/>
              <w:jc w:val="right"/>
              <w:rPr>
                <w:sz w:val="15"/>
                <w:szCs w:val="15"/>
              </w:rPr>
            </w:pPr>
            <w:r w:rsidRPr="00113056">
              <w:rPr>
                <w:color w:val="000000"/>
                <w:sz w:val="15"/>
                <w:szCs w:val="15"/>
              </w:rPr>
              <w:t>-7.368</w:t>
            </w:r>
          </w:p>
        </w:tc>
        <w:tc>
          <w:tcPr>
            <w:tcW w:w="1382" w:type="dxa"/>
            <w:tcBorders>
              <w:top w:val="nil"/>
              <w:left w:val="nil"/>
              <w:bottom w:val="nil"/>
              <w:right w:val="nil"/>
            </w:tcBorders>
            <w:vAlign w:val="bottom"/>
          </w:tcPr>
          <w:p w14:paraId="6CDC925A" w14:textId="77777777" w:rsidR="000C35AF" w:rsidRPr="00113056" w:rsidRDefault="000C35AF" w:rsidP="009238AE">
            <w:pPr>
              <w:pStyle w:val="Regresjonstabell"/>
              <w:jc w:val="right"/>
              <w:rPr>
                <w:color w:val="000000"/>
                <w:sz w:val="15"/>
                <w:szCs w:val="15"/>
              </w:rPr>
            </w:pPr>
            <w:r w:rsidRPr="00113056">
              <w:rPr>
                <w:color w:val="000000"/>
                <w:sz w:val="15"/>
                <w:szCs w:val="15"/>
              </w:rPr>
              <w:t>-34.957</w:t>
            </w:r>
          </w:p>
        </w:tc>
        <w:tc>
          <w:tcPr>
            <w:tcW w:w="1382" w:type="dxa"/>
            <w:tcBorders>
              <w:top w:val="nil"/>
              <w:left w:val="nil"/>
              <w:bottom w:val="nil"/>
              <w:right w:val="nil"/>
            </w:tcBorders>
            <w:vAlign w:val="bottom"/>
          </w:tcPr>
          <w:p w14:paraId="64E764F4" w14:textId="77777777" w:rsidR="000C35AF" w:rsidRPr="00113056" w:rsidRDefault="000C35AF" w:rsidP="009238AE">
            <w:pPr>
              <w:pStyle w:val="Regresjonstabell"/>
              <w:jc w:val="right"/>
              <w:rPr>
                <w:sz w:val="15"/>
                <w:szCs w:val="15"/>
              </w:rPr>
            </w:pPr>
            <w:r w:rsidRPr="00113056">
              <w:rPr>
                <w:color w:val="000000"/>
                <w:sz w:val="15"/>
                <w:szCs w:val="15"/>
              </w:rPr>
              <w:t>-2.502</w:t>
            </w:r>
          </w:p>
        </w:tc>
        <w:tc>
          <w:tcPr>
            <w:tcW w:w="1382" w:type="dxa"/>
            <w:tcBorders>
              <w:top w:val="nil"/>
              <w:left w:val="nil"/>
              <w:bottom w:val="nil"/>
              <w:right w:val="nil"/>
            </w:tcBorders>
            <w:vAlign w:val="bottom"/>
          </w:tcPr>
          <w:p w14:paraId="1C18D1F7" w14:textId="77777777" w:rsidR="000C35AF" w:rsidRPr="00113056" w:rsidRDefault="000C35AF" w:rsidP="009238AE">
            <w:pPr>
              <w:pStyle w:val="Regresjonstabell"/>
              <w:jc w:val="right"/>
              <w:rPr>
                <w:color w:val="000000"/>
                <w:sz w:val="15"/>
                <w:szCs w:val="15"/>
              </w:rPr>
            </w:pPr>
            <w:r w:rsidRPr="00113056">
              <w:rPr>
                <w:color w:val="000000"/>
                <w:sz w:val="15"/>
                <w:szCs w:val="15"/>
              </w:rPr>
              <w:t>-2.408</w:t>
            </w:r>
          </w:p>
        </w:tc>
        <w:tc>
          <w:tcPr>
            <w:tcW w:w="1392" w:type="dxa"/>
            <w:tcBorders>
              <w:top w:val="nil"/>
              <w:left w:val="nil"/>
              <w:bottom w:val="nil"/>
              <w:right w:val="nil"/>
            </w:tcBorders>
            <w:vAlign w:val="bottom"/>
          </w:tcPr>
          <w:p w14:paraId="7F3BA4BA" w14:textId="77777777" w:rsidR="000C35AF" w:rsidRPr="00113056" w:rsidRDefault="000C35AF" w:rsidP="009238AE">
            <w:pPr>
              <w:pStyle w:val="Regresjonstabell"/>
              <w:jc w:val="right"/>
              <w:rPr>
                <w:sz w:val="15"/>
                <w:szCs w:val="15"/>
              </w:rPr>
            </w:pPr>
            <w:r w:rsidRPr="00113056">
              <w:rPr>
                <w:color w:val="000000"/>
                <w:sz w:val="15"/>
                <w:szCs w:val="15"/>
              </w:rPr>
              <w:t>-4.910</w:t>
            </w:r>
          </w:p>
        </w:tc>
        <w:tc>
          <w:tcPr>
            <w:tcW w:w="1440" w:type="dxa"/>
            <w:tcBorders>
              <w:top w:val="nil"/>
              <w:left w:val="nil"/>
              <w:bottom w:val="nil"/>
              <w:right w:val="single" w:sz="4" w:space="0" w:color="auto"/>
            </w:tcBorders>
            <w:vAlign w:val="bottom"/>
          </w:tcPr>
          <w:p w14:paraId="2E2B7606" w14:textId="77777777" w:rsidR="000C35AF" w:rsidRPr="00113056" w:rsidRDefault="000C35AF" w:rsidP="009238AE">
            <w:pPr>
              <w:pStyle w:val="Regresjonstabell"/>
              <w:jc w:val="right"/>
              <w:rPr>
                <w:color w:val="000000"/>
                <w:sz w:val="15"/>
                <w:szCs w:val="15"/>
              </w:rPr>
            </w:pPr>
            <w:r w:rsidRPr="00113056">
              <w:rPr>
                <w:color w:val="000000"/>
                <w:sz w:val="15"/>
                <w:szCs w:val="15"/>
              </w:rPr>
              <w:t>1,012.426***</w:t>
            </w:r>
          </w:p>
        </w:tc>
      </w:tr>
      <w:tr w:rsidR="000C35AF" w:rsidRPr="0055149C" w14:paraId="710432EC"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5568E9ED" w14:textId="77777777" w:rsidR="000C35AF" w:rsidRPr="0055149C" w:rsidRDefault="000C35AF" w:rsidP="009238AE">
            <w:pPr>
              <w:pStyle w:val="Regresjonstabell"/>
              <w:rPr>
                <w:sz w:val="15"/>
                <w:szCs w:val="15"/>
              </w:rPr>
            </w:pPr>
            <w:r w:rsidRPr="0055149C">
              <w:rPr>
                <w:sz w:val="15"/>
                <w:szCs w:val="15"/>
              </w:rPr>
              <w:t>(Kriterium 18)</w:t>
            </w:r>
          </w:p>
        </w:tc>
        <w:tc>
          <w:tcPr>
            <w:tcW w:w="1440" w:type="dxa"/>
            <w:tcBorders>
              <w:top w:val="nil"/>
              <w:left w:val="single" w:sz="4" w:space="0" w:color="auto"/>
              <w:bottom w:val="nil"/>
              <w:right w:val="nil"/>
            </w:tcBorders>
            <w:vAlign w:val="center"/>
          </w:tcPr>
          <w:p w14:paraId="34E2FE71" w14:textId="77777777" w:rsidR="000C35AF" w:rsidRPr="00113056" w:rsidRDefault="000C35AF" w:rsidP="009238AE">
            <w:pPr>
              <w:pStyle w:val="Regresjonstabell"/>
              <w:jc w:val="right"/>
              <w:rPr>
                <w:sz w:val="15"/>
                <w:szCs w:val="15"/>
              </w:rPr>
            </w:pPr>
            <w:r w:rsidRPr="00113056">
              <w:rPr>
                <w:color w:val="000000"/>
                <w:sz w:val="15"/>
                <w:szCs w:val="15"/>
              </w:rPr>
              <w:t>(292.231)</w:t>
            </w:r>
          </w:p>
        </w:tc>
        <w:tc>
          <w:tcPr>
            <w:tcW w:w="1440" w:type="dxa"/>
            <w:tcBorders>
              <w:top w:val="nil"/>
              <w:left w:val="nil"/>
              <w:bottom w:val="nil"/>
              <w:right w:val="nil"/>
            </w:tcBorders>
            <w:vAlign w:val="center"/>
          </w:tcPr>
          <w:p w14:paraId="03480A9F" w14:textId="77777777" w:rsidR="000C35AF" w:rsidRPr="00113056" w:rsidRDefault="000C35AF" w:rsidP="009238AE">
            <w:pPr>
              <w:pStyle w:val="Regresjonstabell"/>
              <w:jc w:val="right"/>
              <w:rPr>
                <w:color w:val="000000"/>
                <w:sz w:val="15"/>
                <w:szCs w:val="15"/>
              </w:rPr>
            </w:pPr>
            <w:r w:rsidRPr="00113056">
              <w:rPr>
                <w:color w:val="000000"/>
                <w:sz w:val="15"/>
                <w:szCs w:val="15"/>
              </w:rPr>
              <w:t>(266.118)</w:t>
            </w:r>
          </w:p>
        </w:tc>
        <w:tc>
          <w:tcPr>
            <w:tcW w:w="1440" w:type="dxa"/>
            <w:tcBorders>
              <w:top w:val="nil"/>
              <w:left w:val="nil"/>
              <w:bottom w:val="nil"/>
              <w:right w:val="nil"/>
            </w:tcBorders>
            <w:vAlign w:val="center"/>
          </w:tcPr>
          <w:p w14:paraId="7DCC39DE" w14:textId="77777777" w:rsidR="000C35AF" w:rsidRPr="00113056" w:rsidRDefault="000C35AF" w:rsidP="009238AE">
            <w:pPr>
              <w:pStyle w:val="Regresjonstabell"/>
              <w:jc w:val="right"/>
              <w:rPr>
                <w:sz w:val="15"/>
                <w:szCs w:val="15"/>
              </w:rPr>
            </w:pPr>
            <w:r w:rsidRPr="00113056">
              <w:rPr>
                <w:color w:val="000000"/>
                <w:sz w:val="15"/>
                <w:szCs w:val="15"/>
              </w:rPr>
              <w:t>(93.794)</w:t>
            </w:r>
          </w:p>
        </w:tc>
        <w:tc>
          <w:tcPr>
            <w:tcW w:w="1382" w:type="dxa"/>
            <w:tcBorders>
              <w:top w:val="nil"/>
              <w:left w:val="nil"/>
              <w:bottom w:val="nil"/>
              <w:right w:val="nil"/>
            </w:tcBorders>
            <w:vAlign w:val="center"/>
          </w:tcPr>
          <w:p w14:paraId="1ED4FE20" w14:textId="77777777" w:rsidR="000C35AF" w:rsidRPr="00113056" w:rsidRDefault="000C35AF" w:rsidP="009238AE">
            <w:pPr>
              <w:pStyle w:val="Regresjonstabell"/>
              <w:jc w:val="right"/>
              <w:rPr>
                <w:color w:val="000000"/>
                <w:sz w:val="15"/>
                <w:szCs w:val="15"/>
              </w:rPr>
            </w:pPr>
            <w:r w:rsidRPr="00113056">
              <w:rPr>
                <w:color w:val="000000"/>
                <w:sz w:val="15"/>
                <w:szCs w:val="15"/>
              </w:rPr>
              <w:t>(25.568)</w:t>
            </w:r>
          </w:p>
        </w:tc>
        <w:tc>
          <w:tcPr>
            <w:tcW w:w="1382" w:type="dxa"/>
            <w:tcBorders>
              <w:top w:val="nil"/>
              <w:left w:val="nil"/>
              <w:bottom w:val="nil"/>
              <w:right w:val="nil"/>
            </w:tcBorders>
            <w:vAlign w:val="center"/>
          </w:tcPr>
          <w:p w14:paraId="6C25E192" w14:textId="77777777" w:rsidR="000C35AF" w:rsidRPr="00113056" w:rsidRDefault="000C35AF" w:rsidP="009238AE">
            <w:pPr>
              <w:pStyle w:val="Regresjonstabell"/>
              <w:jc w:val="right"/>
              <w:rPr>
                <w:sz w:val="15"/>
                <w:szCs w:val="15"/>
              </w:rPr>
            </w:pPr>
            <w:r w:rsidRPr="00113056">
              <w:rPr>
                <w:color w:val="000000"/>
                <w:sz w:val="15"/>
                <w:szCs w:val="15"/>
              </w:rPr>
              <w:t>(51.023)</w:t>
            </w:r>
          </w:p>
        </w:tc>
        <w:tc>
          <w:tcPr>
            <w:tcW w:w="1382" w:type="dxa"/>
            <w:tcBorders>
              <w:top w:val="nil"/>
              <w:left w:val="nil"/>
              <w:bottom w:val="nil"/>
              <w:right w:val="nil"/>
            </w:tcBorders>
            <w:vAlign w:val="center"/>
          </w:tcPr>
          <w:p w14:paraId="044B96FA" w14:textId="77777777" w:rsidR="000C35AF" w:rsidRPr="00113056" w:rsidRDefault="000C35AF" w:rsidP="009238AE">
            <w:pPr>
              <w:pStyle w:val="Regresjonstabell"/>
              <w:jc w:val="right"/>
              <w:rPr>
                <w:color w:val="000000"/>
                <w:sz w:val="15"/>
                <w:szCs w:val="15"/>
              </w:rPr>
            </w:pPr>
            <w:r w:rsidRPr="00113056">
              <w:rPr>
                <w:color w:val="000000"/>
                <w:sz w:val="15"/>
                <w:szCs w:val="15"/>
              </w:rPr>
              <w:t>(51.691)</w:t>
            </w:r>
          </w:p>
        </w:tc>
        <w:tc>
          <w:tcPr>
            <w:tcW w:w="1392" w:type="dxa"/>
            <w:tcBorders>
              <w:top w:val="nil"/>
              <w:left w:val="nil"/>
              <w:bottom w:val="nil"/>
              <w:right w:val="nil"/>
            </w:tcBorders>
            <w:vAlign w:val="center"/>
          </w:tcPr>
          <w:p w14:paraId="62EBAEE3" w14:textId="77777777" w:rsidR="000C35AF" w:rsidRPr="00113056" w:rsidRDefault="000C35AF" w:rsidP="009238AE">
            <w:pPr>
              <w:pStyle w:val="Regresjonstabell"/>
              <w:jc w:val="right"/>
              <w:rPr>
                <w:sz w:val="15"/>
                <w:szCs w:val="15"/>
              </w:rPr>
            </w:pPr>
            <w:r w:rsidRPr="00113056">
              <w:rPr>
                <w:color w:val="000000"/>
                <w:sz w:val="15"/>
                <w:szCs w:val="15"/>
              </w:rPr>
              <w:t>(102.713)</w:t>
            </w:r>
          </w:p>
        </w:tc>
        <w:tc>
          <w:tcPr>
            <w:tcW w:w="1440" w:type="dxa"/>
            <w:tcBorders>
              <w:top w:val="nil"/>
              <w:left w:val="nil"/>
              <w:bottom w:val="nil"/>
              <w:right w:val="single" w:sz="4" w:space="0" w:color="auto"/>
            </w:tcBorders>
            <w:vAlign w:val="center"/>
          </w:tcPr>
          <w:p w14:paraId="06A131E8" w14:textId="77777777" w:rsidR="000C35AF" w:rsidRPr="00113056" w:rsidRDefault="000C35AF" w:rsidP="009238AE">
            <w:pPr>
              <w:pStyle w:val="Regresjonstabell"/>
              <w:jc w:val="right"/>
              <w:rPr>
                <w:color w:val="000000"/>
                <w:sz w:val="15"/>
                <w:szCs w:val="15"/>
              </w:rPr>
            </w:pPr>
            <w:r w:rsidRPr="00113056">
              <w:rPr>
                <w:color w:val="000000"/>
                <w:sz w:val="15"/>
                <w:szCs w:val="15"/>
              </w:rPr>
              <w:t>(333.815)</w:t>
            </w:r>
          </w:p>
        </w:tc>
      </w:tr>
      <w:tr w:rsidR="000C35AF" w:rsidRPr="0055149C" w14:paraId="541AE4F2"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492276ED" w14:textId="77777777" w:rsidR="000C35AF" w:rsidRPr="0055149C" w:rsidRDefault="000C35AF" w:rsidP="009238AE">
            <w:pPr>
              <w:pStyle w:val="Regresjonstabell"/>
              <w:rPr>
                <w:sz w:val="15"/>
                <w:szCs w:val="15"/>
              </w:rPr>
            </w:pPr>
            <w:r w:rsidRPr="0055149C">
              <w:rPr>
                <w:sz w:val="15"/>
                <w:szCs w:val="15"/>
              </w:rPr>
              <w:t>Ikke gift på minst 67 år</w:t>
            </w:r>
          </w:p>
        </w:tc>
        <w:tc>
          <w:tcPr>
            <w:tcW w:w="1440" w:type="dxa"/>
            <w:tcBorders>
              <w:top w:val="nil"/>
              <w:left w:val="single" w:sz="4" w:space="0" w:color="auto"/>
              <w:bottom w:val="nil"/>
              <w:right w:val="nil"/>
            </w:tcBorders>
            <w:vAlign w:val="bottom"/>
          </w:tcPr>
          <w:p w14:paraId="4A395137" w14:textId="77777777" w:rsidR="000C35AF" w:rsidRPr="00113056" w:rsidRDefault="000C35AF" w:rsidP="009238AE">
            <w:pPr>
              <w:pStyle w:val="Regresjonstabell"/>
              <w:jc w:val="right"/>
              <w:rPr>
                <w:sz w:val="15"/>
                <w:szCs w:val="15"/>
              </w:rPr>
            </w:pPr>
            <w:r w:rsidRPr="00113056">
              <w:rPr>
                <w:color w:val="000000"/>
                <w:sz w:val="15"/>
                <w:szCs w:val="15"/>
              </w:rPr>
              <w:t>3.946</w:t>
            </w:r>
          </w:p>
        </w:tc>
        <w:tc>
          <w:tcPr>
            <w:tcW w:w="1440" w:type="dxa"/>
            <w:tcBorders>
              <w:top w:val="nil"/>
              <w:left w:val="nil"/>
              <w:bottom w:val="nil"/>
              <w:right w:val="nil"/>
            </w:tcBorders>
            <w:vAlign w:val="bottom"/>
          </w:tcPr>
          <w:p w14:paraId="13ED9322" w14:textId="77777777" w:rsidR="000C35AF" w:rsidRPr="00113056" w:rsidRDefault="000C35AF" w:rsidP="009238AE">
            <w:pPr>
              <w:pStyle w:val="Regresjonstabell"/>
              <w:jc w:val="right"/>
              <w:rPr>
                <w:color w:val="000000"/>
                <w:sz w:val="15"/>
                <w:szCs w:val="15"/>
              </w:rPr>
            </w:pPr>
            <w:r w:rsidRPr="00113056">
              <w:rPr>
                <w:color w:val="000000"/>
                <w:sz w:val="15"/>
                <w:szCs w:val="15"/>
              </w:rPr>
              <w:t>-5.313</w:t>
            </w:r>
          </w:p>
        </w:tc>
        <w:tc>
          <w:tcPr>
            <w:tcW w:w="1440" w:type="dxa"/>
            <w:tcBorders>
              <w:top w:val="nil"/>
              <w:left w:val="nil"/>
              <w:bottom w:val="nil"/>
              <w:right w:val="nil"/>
            </w:tcBorders>
            <w:vAlign w:val="bottom"/>
          </w:tcPr>
          <w:p w14:paraId="1C324543" w14:textId="77777777" w:rsidR="000C35AF" w:rsidRPr="00113056" w:rsidRDefault="000C35AF" w:rsidP="009238AE">
            <w:pPr>
              <w:pStyle w:val="Regresjonstabell"/>
              <w:jc w:val="right"/>
              <w:rPr>
                <w:sz w:val="15"/>
                <w:szCs w:val="15"/>
              </w:rPr>
            </w:pPr>
            <w:r w:rsidRPr="00113056">
              <w:rPr>
                <w:color w:val="000000"/>
                <w:sz w:val="15"/>
                <w:szCs w:val="15"/>
              </w:rPr>
              <w:t>9.259</w:t>
            </w:r>
          </w:p>
        </w:tc>
        <w:tc>
          <w:tcPr>
            <w:tcW w:w="1382" w:type="dxa"/>
            <w:tcBorders>
              <w:top w:val="nil"/>
              <w:left w:val="nil"/>
              <w:bottom w:val="nil"/>
              <w:right w:val="nil"/>
            </w:tcBorders>
            <w:vAlign w:val="bottom"/>
          </w:tcPr>
          <w:p w14:paraId="4F97E0DF" w14:textId="77777777" w:rsidR="000C35AF" w:rsidRPr="00113056" w:rsidRDefault="000C35AF" w:rsidP="009238AE">
            <w:pPr>
              <w:pStyle w:val="Regresjonstabell"/>
              <w:jc w:val="right"/>
              <w:rPr>
                <w:color w:val="000000"/>
                <w:sz w:val="15"/>
                <w:szCs w:val="15"/>
              </w:rPr>
            </w:pPr>
            <w:r w:rsidRPr="00113056">
              <w:rPr>
                <w:color w:val="000000"/>
                <w:sz w:val="15"/>
                <w:szCs w:val="15"/>
              </w:rPr>
              <w:t>-0.217</w:t>
            </w:r>
          </w:p>
        </w:tc>
        <w:tc>
          <w:tcPr>
            <w:tcW w:w="1382" w:type="dxa"/>
            <w:tcBorders>
              <w:top w:val="nil"/>
              <w:left w:val="nil"/>
              <w:bottom w:val="nil"/>
              <w:right w:val="nil"/>
            </w:tcBorders>
            <w:vAlign w:val="bottom"/>
          </w:tcPr>
          <w:p w14:paraId="109ABA6F" w14:textId="77777777" w:rsidR="000C35AF" w:rsidRPr="00113056" w:rsidRDefault="000C35AF" w:rsidP="009238AE">
            <w:pPr>
              <w:pStyle w:val="Regresjonstabell"/>
              <w:jc w:val="right"/>
              <w:rPr>
                <w:sz w:val="15"/>
                <w:szCs w:val="15"/>
              </w:rPr>
            </w:pPr>
            <w:r w:rsidRPr="00113056">
              <w:rPr>
                <w:color w:val="000000"/>
                <w:sz w:val="15"/>
                <w:szCs w:val="15"/>
              </w:rPr>
              <w:t>11.017</w:t>
            </w:r>
          </w:p>
        </w:tc>
        <w:tc>
          <w:tcPr>
            <w:tcW w:w="1382" w:type="dxa"/>
            <w:tcBorders>
              <w:top w:val="nil"/>
              <w:left w:val="nil"/>
              <w:bottom w:val="nil"/>
              <w:right w:val="nil"/>
            </w:tcBorders>
            <w:vAlign w:val="bottom"/>
          </w:tcPr>
          <w:p w14:paraId="1AEEEBA0" w14:textId="77777777" w:rsidR="000C35AF" w:rsidRPr="00113056" w:rsidRDefault="000C35AF" w:rsidP="009238AE">
            <w:pPr>
              <w:pStyle w:val="Regresjonstabell"/>
              <w:jc w:val="right"/>
              <w:rPr>
                <w:color w:val="000000"/>
                <w:sz w:val="15"/>
                <w:szCs w:val="15"/>
              </w:rPr>
            </w:pPr>
            <w:r w:rsidRPr="00113056">
              <w:rPr>
                <w:color w:val="000000"/>
                <w:sz w:val="15"/>
                <w:szCs w:val="15"/>
              </w:rPr>
              <w:t>11.283</w:t>
            </w:r>
          </w:p>
        </w:tc>
        <w:tc>
          <w:tcPr>
            <w:tcW w:w="1392" w:type="dxa"/>
            <w:tcBorders>
              <w:top w:val="nil"/>
              <w:left w:val="nil"/>
              <w:bottom w:val="nil"/>
              <w:right w:val="nil"/>
            </w:tcBorders>
            <w:vAlign w:val="bottom"/>
          </w:tcPr>
          <w:p w14:paraId="5AD20E8C" w14:textId="77777777" w:rsidR="000C35AF" w:rsidRPr="00113056" w:rsidRDefault="000C35AF" w:rsidP="009238AE">
            <w:pPr>
              <w:pStyle w:val="Regresjonstabell"/>
              <w:jc w:val="right"/>
              <w:rPr>
                <w:sz w:val="15"/>
                <w:szCs w:val="15"/>
              </w:rPr>
            </w:pPr>
            <w:r w:rsidRPr="00113056">
              <w:rPr>
                <w:color w:val="000000"/>
                <w:sz w:val="15"/>
                <w:szCs w:val="15"/>
              </w:rPr>
              <w:t>22.300</w:t>
            </w:r>
          </w:p>
        </w:tc>
        <w:tc>
          <w:tcPr>
            <w:tcW w:w="1440" w:type="dxa"/>
            <w:tcBorders>
              <w:top w:val="nil"/>
              <w:left w:val="nil"/>
              <w:bottom w:val="nil"/>
              <w:right w:val="single" w:sz="4" w:space="0" w:color="auto"/>
            </w:tcBorders>
            <w:vAlign w:val="bottom"/>
          </w:tcPr>
          <w:p w14:paraId="4784FE41" w14:textId="77777777" w:rsidR="000C35AF" w:rsidRPr="00113056" w:rsidRDefault="000C35AF" w:rsidP="009238AE">
            <w:pPr>
              <w:pStyle w:val="Regresjonstabell"/>
              <w:jc w:val="right"/>
              <w:rPr>
                <w:color w:val="000000"/>
                <w:sz w:val="15"/>
                <w:szCs w:val="15"/>
              </w:rPr>
            </w:pPr>
            <w:r w:rsidRPr="00113056">
              <w:rPr>
                <w:color w:val="000000"/>
                <w:sz w:val="15"/>
                <w:szCs w:val="15"/>
              </w:rPr>
              <w:t>26.246</w:t>
            </w:r>
          </w:p>
        </w:tc>
      </w:tr>
      <w:tr w:rsidR="000C35AF" w:rsidRPr="0055149C" w14:paraId="220DAEC5"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26CDEFE2" w14:textId="77777777" w:rsidR="000C35AF" w:rsidRPr="0055149C" w:rsidRDefault="000C35AF" w:rsidP="009238AE">
            <w:pPr>
              <w:pStyle w:val="Regresjonstabell"/>
              <w:rPr>
                <w:sz w:val="15"/>
                <w:szCs w:val="15"/>
              </w:rPr>
            </w:pPr>
            <w:r w:rsidRPr="0055149C">
              <w:rPr>
                <w:sz w:val="15"/>
                <w:szCs w:val="15"/>
              </w:rPr>
              <w:t>(Kriterium 19)</w:t>
            </w:r>
          </w:p>
        </w:tc>
        <w:tc>
          <w:tcPr>
            <w:tcW w:w="1440" w:type="dxa"/>
            <w:tcBorders>
              <w:top w:val="nil"/>
              <w:left w:val="single" w:sz="4" w:space="0" w:color="auto"/>
              <w:bottom w:val="nil"/>
              <w:right w:val="nil"/>
            </w:tcBorders>
            <w:vAlign w:val="center"/>
          </w:tcPr>
          <w:p w14:paraId="45786E05" w14:textId="77777777" w:rsidR="000C35AF" w:rsidRPr="00113056" w:rsidRDefault="000C35AF" w:rsidP="009238AE">
            <w:pPr>
              <w:pStyle w:val="Regresjonstabell"/>
              <w:jc w:val="right"/>
              <w:rPr>
                <w:sz w:val="15"/>
                <w:szCs w:val="15"/>
              </w:rPr>
            </w:pPr>
            <w:r w:rsidRPr="00113056">
              <w:rPr>
                <w:color w:val="000000"/>
                <w:sz w:val="15"/>
                <w:szCs w:val="15"/>
              </w:rPr>
              <w:t>(56.075)</w:t>
            </w:r>
          </w:p>
        </w:tc>
        <w:tc>
          <w:tcPr>
            <w:tcW w:w="1440" w:type="dxa"/>
            <w:tcBorders>
              <w:top w:val="nil"/>
              <w:left w:val="nil"/>
              <w:bottom w:val="nil"/>
              <w:right w:val="nil"/>
            </w:tcBorders>
            <w:vAlign w:val="center"/>
          </w:tcPr>
          <w:p w14:paraId="38218325" w14:textId="77777777" w:rsidR="000C35AF" w:rsidRPr="00113056" w:rsidRDefault="000C35AF" w:rsidP="009238AE">
            <w:pPr>
              <w:pStyle w:val="Regresjonstabell"/>
              <w:jc w:val="right"/>
              <w:rPr>
                <w:color w:val="000000"/>
                <w:sz w:val="15"/>
                <w:szCs w:val="15"/>
              </w:rPr>
            </w:pPr>
            <w:r w:rsidRPr="00113056">
              <w:rPr>
                <w:color w:val="000000"/>
                <w:sz w:val="15"/>
                <w:szCs w:val="15"/>
              </w:rPr>
              <w:t>(54.615)</w:t>
            </w:r>
          </w:p>
        </w:tc>
        <w:tc>
          <w:tcPr>
            <w:tcW w:w="1440" w:type="dxa"/>
            <w:tcBorders>
              <w:top w:val="nil"/>
              <w:left w:val="nil"/>
              <w:bottom w:val="nil"/>
              <w:right w:val="nil"/>
            </w:tcBorders>
            <w:vAlign w:val="center"/>
          </w:tcPr>
          <w:p w14:paraId="78B0E74C" w14:textId="77777777" w:rsidR="000C35AF" w:rsidRPr="00113056" w:rsidRDefault="000C35AF" w:rsidP="009238AE">
            <w:pPr>
              <w:pStyle w:val="Regresjonstabell"/>
              <w:jc w:val="right"/>
              <w:rPr>
                <w:sz w:val="15"/>
                <w:szCs w:val="15"/>
              </w:rPr>
            </w:pPr>
            <w:r w:rsidRPr="00113056">
              <w:rPr>
                <w:color w:val="000000"/>
                <w:sz w:val="15"/>
                <w:szCs w:val="15"/>
              </w:rPr>
              <w:t>(27.622)</w:t>
            </w:r>
          </w:p>
        </w:tc>
        <w:tc>
          <w:tcPr>
            <w:tcW w:w="1382" w:type="dxa"/>
            <w:tcBorders>
              <w:top w:val="nil"/>
              <w:left w:val="nil"/>
              <w:bottom w:val="nil"/>
              <w:right w:val="nil"/>
            </w:tcBorders>
            <w:vAlign w:val="center"/>
          </w:tcPr>
          <w:p w14:paraId="35A64C0A" w14:textId="77777777" w:rsidR="000C35AF" w:rsidRPr="00113056" w:rsidRDefault="000C35AF" w:rsidP="009238AE">
            <w:pPr>
              <w:pStyle w:val="Regresjonstabell"/>
              <w:jc w:val="right"/>
              <w:rPr>
                <w:color w:val="000000"/>
                <w:sz w:val="15"/>
                <w:szCs w:val="15"/>
              </w:rPr>
            </w:pPr>
            <w:r w:rsidRPr="00113056">
              <w:rPr>
                <w:color w:val="000000"/>
                <w:sz w:val="15"/>
                <w:szCs w:val="15"/>
              </w:rPr>
              <w:t>(5.598)</w:t>
            </w:r>
          </w:p>
        </w:tc>
        <w:tc>
          <w:tcPr>
            <w:tcW w:w="1382" w:type="dxa"/>
            <w:tcBorders>
              <w:top w:val="nil"/>
              <w:left w:val="nil"/>
              <w:bottom w:val="nil"/>
              <w:right w:val="nil"/>
            </w:tcBorders>
            <w:vAlign w:val="center"/>
          </w:tcPr>
          <w:p w14:paraId="47BFF82B" w14:textId="77777777" w:rsidR="000C35AF" w:rsidRPr="00113056" w:rsidRDefault="000C35AF" w:rsidP="009238AE">
            <w:pPr>
              <w:pStyle w:val="Regresjonstabell"/>
              <w:jc w:val="right"/>
              <w:rPr>
                <w:sz w:val="15"/>
                <w:szCs w:val="15"/>
              </w:rPr>
            </w:pPr>
            <w:r w:rsidRPr="00113056">
              <w:rPr>
                <w:color w:val="000000"/>
                <w:sz w:val="15"/>
                <w:szCs w:val="15"/>
              </w:rPr>
              <w:t>(14.083)</w:t>
            </w:r>
          </w:p>
        </w:tc>
        <w:tc>
          <w:tcPr>
            <w:tcW w:w="1382" w:type="dxa"/>
            <w:tcBorders>
              <w:top w:val="nil"/>
              <w:left w:val="nil"/>
              <w:bottom w:val="nil"/>
              <w:right w:val="nil"/>
            </w:tcBorders>
            <w:vAlign w:val="center"/>
          </w:tcPr>
          <w:p w14:paraId="2AA06FFA" w14:textId="77777777" w:rsidR="000C35AF" w:rsidRPr="00113056" w:rsidRDefault="000C35AF" w:rsidP="009238AE">
            <w:pPr>
              <w:pStyle w:val="Regresjonstabell"/>
              <w:jc w:val="right"/>
              <w:rPr>
                <w:color w:val="000000"/>
                <w:sz w:val="15"/>
                <w:szCs w:val="15"/>
              </w:rPr>
            </w:pPr>
            <w:r w:rsidRPr="00113056">
              <w:rPr>
                <w:color w:val="000000"/>
                <w:sz w:val="15"/>
                <w:szCs w:val="15"/>
              </w:rPr>
              <w:t>(14.285)</w:t>
            </w:r>
          </w:p>
        </w:tc>
        <w:tc>
          <w:tcPr>
            <w:tcW w:w="1392" w:type="dxa"/>
            <w:tcBorders>
              <w:top w:val="nil"/>
              <w:left w:val="nil"/>
              <w:bottom w:val="nil"/>
              <w:right w:val="nil"/>
            </w:tcBorders>
            <w:vAlign w:val="center"/>
          </w:tcPr>
          <w:p w14:paraId="67F481F1" w14:textId="77777777" w:rsidR="000C35AF" w:rsidRPr="00113056" w:rsidRDefault="000C35AF" w:rsidP="009238AE">
            <w:pPr>
              <w:pStyle w:val="Regresjonstabell"/>
              <w:jc w:val="right"/>
              <w:rPr>
                <w:sz w:val="15"/>
                <w:szCs w:val="15"/>
              </w:rPr>
            </w:pPr>
            <w:r w:rsidRPr="00113056">
              <w:rPr>
                <w:color w:val="000000"/>
                <w:sz w:val="15"/>
                <w:szCs w:val="15"/>
              </w:rPr>
              <w:t>(28.368)</w:t>
            </w:r>
          </w:p>
        </w:tc>
        <w:tc>
          <w:tcPr>
            <w:tcW w:w="1440" w:type="dxa"/>
            <w:tcBorders>
              <w:top w:val="nil"/>
              <w:left w:val="nil"/>
              <w:bottom w:val="nil"/>
              <w:right w:val="single" w:sz="4" w:space="0" w:color="auto"/>
            </w:tcBorders>
            <w:vAlign w:val="center"/>
          </w:tcPr>
          <w:p w14:paraId="2A29D644" w14:textId="77777777" w:rsidR="000C35AF" w:rsidRPr="00113056" w:rsidRDefault="000C35AF" w:rsidP="009238AE">
            <w:pPr>
              <w:pStyle w:val="Regresjonstabell"/>
              <w:jc w:val="right"/>
              <w:rPr>
                <w:color w:val="000000"/>
                <w:sz w:val="15"/>
                <w:szCs w:val="15"/>
              </w:rPr>
            </w:pPr>
            <w:r w:rsidRPr="00113056">
              <w:rPr>
                <w:color w:val="000000"/>
                <w:sz w:val="15"/>
                <w:szCs w:val="15"/>
              </w:rPr>
              <w:t>(63.776)</w:t>
            </w:r>
          </w:p>
        </w:tc>
      </w:tr>
      <w:tr w:rsidR="000C35AF" w:rsidRPr="0055149C" w14:paraId="4E6B37AA"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01F67AA9" w14:textId="77777777" w:rsidR="000C35AF" w:rsidRPr="0055149C" w:rsidRDefault="000C35AF" w:rsidP="009238AE">
            <w:pPr>
              <w:pStyle w:val="Regresjonstabell"/>
              <w:rPr>
                <w:sz w:val="15"/>
                <w:szCs w:val="15"/>
              </w:rPr>
            </w:pPr>
            <w:r w:rsidRPr="0055149C">
              <w:rPr>
                <w:sz w:val="15"/>
                <w:szCs w:val="15"/>
              </w:rPr>
              <w:t>Dødelighetskriterium</w:t>
            </w:r>
          </w:p>
        </w:tc>
        <w:tc>
          <w:tcPr>
            <w:tcW w:w="1440" w:type="dxa"/>
            <w:tcBorders>
              <w:top w:val="nil"/>
              <w:left w:val="single" w:sz="4" w:space="0" w:color="auto"/>
              <w:bottom w:val="nil"/>
              <w:right w:val="nil"/>
            </w:tcBorders>
            <w:vAlign w:val="bottom"/>
          </w:tcPr>
          <w:p w14:paraId="67CC569F" w14:textId="77777777" w:rsidR="000C35AF" w:rsidRPr="00113056" w:rsidRDefault="000C35AF" w:rsidP="009238AE">
            <w:pPr>
              <w:pStyle w:val="Regresjonstabell"/>
              <w:jc w:val="right"/>
              <w:rPr>
                <w:sz w:val="15"/>
                <w:szCs w:val="15"/>
              </w:rPr>
            </w:pPr>
            <w:r w:rsidRPr="00113056">
              <w:rPr>
                <w:color w:val="000000"/>
                <w:sz w:val="15"/>
                <w:szCs w:val="15"/>
              </w:rPr>
              <w:t>-373.163</w:t>
            </w:r>
          </w:p>
        </w:tc>
        <w:tc>
          <w:tcPr>
            <w:tcW w:w="1440" w:type="dxa"/>
            <w:tcBorders>
              <w:top w:val="nil"/>
              <w:left w:val="nil"/>
              <w:bottom w:val="nil"/>
              <w:right w:val="nil"/>
            </w:tcBorders>
            <w:vAlign w:val="bottom"/>
          </w:tcPr>
          <w:p w14:paraId="2523F891" w14:textId="77777777" w:rsidR="000C35AF" w:rsidRPr="00113056" w:rsidRDefault="000C35AF" w:rsidP="009238AE">
            <w:pPr>
              <w:pStyle w:val="Regresjonstabell"/>
              <w:jc w:val="right"/>
              <w:rPr>
                <w:color w:val="000000"/>
                <w:sz w:val="15"/>
                <w:szCs w:val="15"/>
              </w:rPr>
            </w:pPr>
            <w:r w:rsidRPr="00113056">
              <w:rPr>
                <w:color w:val="000000"/>
                <w:sz w:val="15"/>
                <w:szCs w:val="15"/>
              </w:rPr>
              <w:t>266.233</w:t>
            </w:r>
          </w:p>
        </w:tc>
        <w:tc>
          <w:tcPr>
            <w:tcW w:w="1440" w:type="dxa"/>
            <w:tcBorders>
              <w:top w:val="nil"/>
              <w:left w:val="nil"/>
              <w:bottom w:val="nil"/>
              <w:right w:val="nil"/>
            </w:tcBorders>
            <w:vAlign w:val="bottom"/>
          </w:tcPr>
          <w:p w14:paraId="7003A53F" w14:textId="77777777" w:rsidR="000C35AF" w:rsidRPr="00113056" w:rsidRDefault="000C35AF" w:rsidP="009238AE">
            <w:pPr>
              <w:pStyle w:val="Regresjonstabell"/>
              <w:jc w:val="right"/>
              <w:rPr>
                <w:sz w:val="15"/>
                <w:szCs w:val="15"/>
              </w:rPr>
            </w:pPr>
            <w:r w:rsidRPr="00113056">
              <w:rPr>
                <w:color w:val="000000"/>
                <w:sz w:val="15"/>
                <w:szCs w:val="15"/>
              </w:rPr>
              <w:t>-639.396***</w:t>
            </w:r>
          </w:p>
        </w:tc>
        <w:tc>
          <w:tcPr>
            <w:tcW w:w="1382" w:type="dxa"/>
            <w:tcBorders>
              <w:top w:val="nil"/>
              <w:left w:val="nil"/>
              <w:bottom w:val="nil"/>
              <w:right w:val="nil"/>
            </w:tcBorders>
            <w:vAlign w:val="bottom"/>
          </w:tcPr>
          <w:p w14:paraId="56E7422B" w14:textId="77777777" w:rsidR="000C35AF" w:rsidRPr="00113056" w:rsidRDefault="000C35AF" w:rsidP="009238AE">
            <w:pPr>
              <w:pStyle w:val="Regresjonstabell"/>
              <w:jc w:val="right"/>
              <w:rPr>
                <w:color w:val="000000"/>
                <w:sz w:val="15"/>
                <w:szCs w:val="15"/>
              </w:rPr>
            </w:pPr>
            <w:r w:rsidRPr="00113056">
              <w:rPr>
                <w:color w:val="000000"/>
                <w:sz w:val="15"/>
                <w:szCs w:val="15"/>
              </w:rPr>
              <w:t>-63.823</w:t>
            </w:r>
          </w:p>
        </w:tc>
        <w:tc>
          <w:tcPr>
            <w:tcW w:w="1382" w:type="dxa"/>
            <w:tcBorders>
              <w:top w:val="nil"/>
              <w:left w:val="nil"/>
              <w:bottom w:val="nil"/>
              <w:right w:val="nil"/>
            </w:tcBorders>
            <w:vAlign w:val="bottom"/>
          </w:tcPr>
          <w:p w14:paraId="00E25533" w14:textId="77777777" w:rsidR="000C35AF" w:rsidRPr="00113056" w:rsidRDefault="000C35AF" w:rsidP="009238AE">
            <w:pPr>
              <w:pStyle w:val="Regresjonstabell"/>
              <w:jc w:val="right"/>
              <w:rPr>
                <w:sz w:val="15"/>
                <w:szCs w:val="15"/>
              </w:rPr>
            </w:pPr>
            <w:r w:rsidRPr="00113056">
              <w:rPr>
                <w:color w:val="000000"/>
                <w:sz w:val="15"/>
                <w:szCs w:val="15"/>
              </w:rPr>
              <w:t>82.069</w:t>
            </w:r>
          </w:p>
        </w:tc>
        <w:tc>
          <w:tcPr>
            <w:tcW w:w="1382" w:type="dxa"/>
            <w:tcBorders>
              <w:top w:val="nil"/>
              <w:left w:val="nil"/>
              <w:bottom w:val="nil"/>
              <w:right w:val="nil"/>
            </w:tcBorders>
            <w:vAlign w:val="bottom"/>
          </w:tcPr>
          <w:p w14:paraId="05EB3662" w14:textId="77777777" w:rsidR="000C35AF" w:rsidRPr="00113056" w:rsidRDefault="000C35AF" w:rsidP="009238AE">
            <w:pPr>
              <w:pStyle w:val="Regresjonstabell"/>
              <w:jc w:val="right"/>
              <w:rPr>
                <w:color w:val="000000"/>
                <w:sz w:val="15"/>
                <w:szCs w:val="15"/>
              </w:rPr>
            </w:pPr>
            <w:r w:rsidRPr="00113056">
              <w:rPr>
                <w:color w:val="000000"/>
                <w:sz w:val="15"/>
                <w:szCs w:val="15"/>
              </w:rPr>
              <w:t>84.095</w:t>
            </w:r>
          </w:p>
        </w:tc>
        <w:tc>
          <w:tcPr>
            <w:tcW w:w="1392" w:type="dxa"/>
            <w:tcBorders>
              <w:top w:val="nil"/>
              <w:left w:val="nil"/>
              <w:bottom w:val="nil"/>
              <w:right w:val="nil"/>
            </w:tcBorders>
            <w:vAlign w:val="bottom"/>
          </w:tcPr>
          <w:p w14:paraId="2B921190" w14:textId="77777777" w:rsidR="000C35AF" w:rsidRPr="00113056" w:rsidRDefault="000C35AF" w:rsidP="009238AE">
            <w:pPr>
              <w:pStyle w:val="Regresjonstabell"/>
              <w:jc w:val="right"/>
              <w:rPr>
                <w:sz w:val="15"/>
                <w:szCs w:val="15"/>
              </w:rPr>
            </w:pPr>
            <w:r w:rsidRPr="00113056">
              <w:rPr>
                <w:color w:val="000000"/>
                <w:sz w:val="15"/>
                <w:szCs w:val="15"/>
              </w:rPr>
              <w:t>166.164</w:t>
            </w:r>
          </w:p>
        </w:tc>
        <w:tc>
          <w:tcPr>
            <w:tcW w:w="1440" w:type="dxa"/>
            <w:tcBorders>
              <w:top w:val="nil"/>
              <w:left w:val="nil"/>
              <w:bottom w:val="nil"/>
              <w:right w:val="single" w:sz="4" w:space="0" w:color="auto"/>
            </w:tcBorders>
            <w:vAlign w:val="bottom"/>
          </w:tcPr>
          <w:p w14:paraId="1DB89CFC" w14:textId="77777777" w:rsidR="000C35AF" w:rsidRPr="00113056" w:rsidRDefault="000C35AF" w:rsidP="009238AE">
            <w:pPr>
              <w:pStyle w:val="Regresjonstabell"/>
              <w:jc w:val="right"/>
              <w:rPr>
                <w:color w:val="000000"/>
                <w:sz w:val="15"/>
                <w:szCs w:val="15"/>
              </w:rPr>
            </w:pPr>
            <w:r w:rsidRPr="00113056">
              <w:rPr>
                <w:color w:val="000000"/>
                <w:sz w:val="15"/>
                <w:szCs w:val="15"/>
              </w:rPr>
              <w:t>-206.999</w:t>
            </w:r>
          </w:p>
        </w:tc>
      </w:tr>
      <w:tr w:rsidR="000C35AF" w:rsidRPr="0055149C" w14:paraId="0BD9A003"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02435B3A" w14:textId="77777777" w:rsidR="000C35AF" w:rsidRPr="0055149C" w:rsidRDefault="000C35AF" w:rsidP="009238AE">
            <w:pPr>
              <w:pStyle w:val="Regresjonstabell"/>
              <w:rPr>
                <w:sz w:val="15"/>
                <w:szCs w:val="15"/>
              </w:rPr>
            </w:pPr>
            <w:r w:rsidRPr="0055149C">
              <w:rPr>
                <w:sz w:val="15"/>
                <w:szCs w:val="15"/>
              </w:rPr>
              <w:t>(Kriterium 20)</w:t>
            </w:r>
          </w:p>
        </w:tc>
        <w:tc>
          <w:tcPr>
            <w:tcW w:w="1440" w:type="dxa"/>
            <w:tcBorders>
              <w:top w:val="nil"/>
              <w:left w:val="single" w:sz="4" w:space="0" w:color="auto"/>
              <w:bottom w:val="nil"/>
              <w:right w:val="nil"/>
            </w:tcBorders>
            <w:vAlign w:val="center"/>
          </w:tcPr>
          <w:p w14:paraId="6D0F6F6C" w14:textId="77777777" w:rsidR="000C35AF" w:rsidRPr="00113056" w:rsidRDefault="000C35AF" w:rsidP="009238AE">
            <w:pPr>
              <w:pStyle w:val="Regresjonstabell"/>
              <w:jc w:val="right"/>
              <w:rPr>
                <w:sz w:val="15"/>
                <w:szCs w:val="15"/>
              </w:rPr>
            </w:pPr>
            <w:r w:rsidRPr="00113056">
              <w:rPr>
                <w:color w:val="000000"/>
                <w:sz w:val="15"/>
                <w:szCs w:val="15"/>
              </w:rPr>
              <w:t>(477.722)</w:t>
            </w:r>
          </w:p>
        </w:tc>
        <w:tc>
          <w:tcPr>
            <w:tcW w:w="1440" w:type="dxa"/>
            <w:tcBorders>
              <w:top w:val="nil"/>
              <w:left w:val="nil"/>
              <w:bottom w:val="nil"/>
              <w:right w:val="nil"/>
            </w:tcBorders>
            <w:vAlign w:val="center"/>
          </w:tcPr>
          <w:p w14:paraId="04327AA7" w14:textId="77777777" w:rsidR="000C35AF" w:rsidRPr="00113056" w:rsidRDefault="000C35AF" w:rsidP="009238AE">
            <w:pPr>
              <w:pStyle w:val="Regresjonstabell"/>
              <w:jc w:val="right"/>
              <w:rPr>
                <w:color w:val="000000"/>
                <w:sz w:val="15"/>
                <w:szCs w:val="15"/>
              </w:rPr>
            </w:pPr>
            <w:r w:rsidRPr="00113056">
              <w:rPr>
                <w:color w:val="000000"/>
                <w:sz w:val="15"/>
                <w:szCs w:val="15"/>
              </w:rPr>
              <w:t>(428.404)</w:t>
            </w:r>
          </w:p>
        </w:tc>
        <w:tc>
          <w:tcPr>
            <w:tcW w:w="1440" w:type="dxa"/>
            <w:tcBorders>
              <w:top w:val="nil"/>
              <w:left w:val="nil"/>
              <w:bottom w:val="nil"/>
              <w:right w:val="nil"/>
            </w:tcBorders>
            <w:vAlign w:val="center"/>
          </w:tcPr>
          <w:p w14:paraId="1F97F8D1" w14:textId="77777777" w:rsidR="000C35AF" w:rsidRPr="00113056" w:rsidRDefault="000C35AF" w:rsidP="009238AE">
            <w:pPr>
              <w:pStyle w:val="Regresjonstabell"/>
              <w:jc w:val="right"/>
              <w:rPr>
                <w:sz w:val="15"/>
                <w:szCs w:val="15"/>
              </w:rPr>
            </w:pPr>
            <w:r w:rsidRPr="00113056">
              <w:rPr>
                <w:color w:val="000000"/>
                <w:sz w:val="15"/>
                <w:szCs w:val="15"/>
              </w:rPr>
              <w:t>(233.881)</w:t>
            </w:r>
          </w:p>
        </w:tc>
        <w:tc>
          <w:tcPr>
            <w:tcW w:w="1382" w:type="dxa"/>
            <w:tcBorders>
              <w:top w:val="nil"/>
              <w:left w:val="nil"/>
              <w:bottom w:val="nil"/>
              <w:right w:val="nil"/>
            </w:tcBorders>
            <w:vAlign w:val="center"/>
          </w:tcPr>
          <w:p w14:paraId="24311A7B" w14:textId="77777777" w:rsidR="000C35AF" w:rsidRPr="00113056" w:rsidRDefault="000C35AF" w:rsidP="009238AE">
            <w:pPr>
              <w:pStyle w:val="Regresjonstabell"/>
              <w:jc w:val="right"/>
              <w:rPr>
                <w:color w:val="000000"/>
                <w:sz w:val="15"/>
                <w:szCs w:val="15"/>
              </w:rPr>
            </w:pPr>
            <w:r w:rsidRPr="00113056">
              <w:rPr>
                <w:color w:val="000000"/>
                <w:sz w:val="15"/>
                <w:szCs w:val="15"/>
              </w:rPr>
              <w:t>(56.984)</w:t>
            </w:r>
          </w:p>
        </w:tc>
        <w:tc>
          <w:tcPr>
            <w:tcW w:w="1382" w:type="dxa"/>
            <w:tcBorders>
              <w:top w:val="nil"/>
              <w:left w:val="nil"/>
              <w:bottom w:val="nil"/>
              <w:right w:val="nil"/>
            </w:tcBorders>
            <w:vAlign w:val="center"/>
          </w:tcPr>
          <w:p w14:paraId="0AD1AF23" w14:textId="77777777" w:rsidR="000C35AF" w:rsidRPr="00113056" w:rsidRDefault="000C35AF" w:rsidP="009238AE">
            <w:pPr>
              <w:pStyle w:val="Regresjonstabell"/>
              <w:jc w:val="right"/>
              <w:rPr>
                <w:sz w:val="15"/>
                <w:szCs w:val="15"/>
              </w:rPr>
            </w:pPr>
            <w:r w:rsidRPr="00113056">
              <w:rPr>
                <w:color w:val="000000"/>
                <w:sz w:val="15"/>
                <w:szCs w:val="15"/>
              </w:rPr>
              <w:t>(128.806)</w:t>
            </w:r>
          </w:p>
        </w:tc>
        <w:tc>
          <w:tcPr>
            <w:tcW w:w="1382" w:type="dxa"/>
            <w:tcBorders>
              <w:top w:val="nil"/>
              <w:left w:val="nil"/>
              <w:bottom w:val="nil"/>
              <w:right w:val="nil"/>
            </w:tcBorders>
            <w:vAlign w:val="center"/>
          </w:tcPr>
          <w:p w14:paraId="29388C03" w14:textId="77777777" w:rsidR="000C35AF" w:rsidRPr="00113056" w:rsidRDefault="000C35AF" w:rsidP="009238AE">
            <w:pPr>
              <w:pStyle w:val="Regresjonstabell"/>
              <w:jc w:val="right"/>
              <w:rPr>
                <w:color w:val="000000"/>
                <w:sz w:val="15"/>
                <w:szCs w:val="15"/>
              </w:rPr>
            </w:pPr>
            <w:r w:rsidRPr="00113056">
              <w:rPr>
                <w:color w:val="000000"/>
                <w:sz w:val="15"/>
                <w:szCs w:val="15"/>
              </w:rPr>
              <w:t>(130.551)</w:t>
            </w:r>
          </w:p>
        </w:tc>
        <w:tc>
          <w:tcPr>
            <w:tcW w:w="1392" w:type="dxa"/>
            <w:tcBorders>
              <w:top w:val="nil"/>
              <w:left w:val="nil"/>
              <w:bottom w:val="nil"/>
              <w:right w:val="nil"/>
            </w:tcBorders>
            <w:vAlign w:val="center"/>
          </w:tcPr>
          <w:p w14:paraId="79600EB3" w14:textId="77777777" w:rsidR="000C35AF" w:rsidRPr="00113056" w:rsidRDefault="000C35AF" w:rsidP="009238AE">
            <w:pPr>
              <w:pStyle w:val="Regresjonstabell"/>
              <w:jc w:val="right"/>
              <w:rPr>
                <w:sz w:val="15"/>
                <w:szCs w:val="15"/>
              </w:rPr>
            </w:pPr>
            <w:r w:rsidRPr="00113056">
              <w:rPr>
                <w:color w:val="000000"/>
                <w:sz w:val="15"/>
                <w:szCs w:val="15"/>
              </w:rPr>
              <w:t>(259.356)</w:t>
            </w:r>
          </w:p>
        </w:tc>
        <w:tc>
          <w:tcPr>
            <w:tcW w:w="1440" w:type="dxa"/>
            <w:tcBorders>
              <w:top w:val="nil"/>
              <w:left w:val="nil"/>
              <w:bottom w:val="nil"/>
              <w:right w:val="single" w:sz="4" w:space="0" w:color="auto"/>
            </w:tcBorders>
            <w:vAlign w:val="center"/>
          </w:tcPr>
          <w:p w14:paraId="7520F165" w14:textId="77777777" w:rsidR="000C35AF" w:rsidRPr="00113056" w:rsidRDefault="000C35AF" w:rsidP="009238AE">
            <w:pPr>
              <w:pStyle w:val="Regresjonstabell"/>
              <w:jc w:val="right"/>
              <w:rPr>
                <w:color w:val="000000"/>
                <w:sz w:val="15"/>
                <w:szCs w:val="15"/>
              </w:rPr>
            </w:pPr>
            <w:r w:rsidRPr="00113056">
              <w:rPr>
                <w:color w:val="000000"/>
                <w:sz w:val="15"/>
                <w:szCs w:val="15"/>
              </w:rPr>
              <w:t>(600.022)</w:t>
            </w:r>
          </w:p>
        </w:tc>
      </w:tr>
      <w:tr w:rsidR="000C35AF" w:rsidRPr="0055149C" w14:paraId="2012D01B"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36DC515B" w14:textId="77777777" w:rsidR="000C35AF" w:rsidRPr="0055149C" w:rsidRDefault="000C35AF" w:rsidP="009238AE">
            <w:pPr>
              <w:pStyle w:val="Regresjonstabell"/>
              <w:rPr>
                <w:color w:val="000000"/>
                <w:sz w:val="15"/>
                <w:szCs w:val="15"/>
              </w:rPr>
            </w:pPr>
            <w:r w:rsidRPr="0055149C">
              <w:rPr>
                <w:sz w:val="15"/>
                <w:szCs w:val="15"/>
              </w:rPr>
              <w:t>Samlede frie inntekter</w:t>
            </w:r>
          </w:p>
        </w:tc>
        <w:tc>
          <w:tcPr>
            <w:tcW w:w="1440" w:type="dxa"/>
            <w:tcBorders>
              <w:top w:val="nil"/>
              <w:left w:val="single" w:sz="4" w:space="0" w:color="auto"/>
              <w:bottom w:val="nil"/>
              <w:right w:val="nil"/>
            </w:tcBorders>
            <w:vAlign w:val="bottom"/>
          </w:tcPr>
          <w:p w14:paraId="3D29E7BA" w14:textId="77777777" w:rsidR="000C35AF" w:rsidRPr="00113056" w:rsidRDefault="000C35AF" w:rsidP="009238AE">
            <w:pPr>
              <w:pStyle w:val="Regresjonstabell"/>
              <w:jc w:val="right"/>
              <w:rPr>
                <w:sz w:val="15"/>
                <w:szCs w:val="15"/>
              </w:rPr>
            </w:pPr>
            <w:r w:rsidRPr="00113056">
              <w:rPr>
                <w:color w:val="000000"/>
                <w:sz w:val="15"/>
                <w:szCs w:val="15"/>
              </w:rPr>
              <w:t>0.335***</w:t>
            </w:r>
          </w:p>
        </w:tc>
        <w:tc>
          <w:tcPr>
            <w:tcW w:w="1440" w:type="dxa"/>
            <w:tcBorders>
              <w:top w:val="nil"/>
              <w:left w:val="nil"/>
              <w:bottom w:val="nil"/>
              <w:right w:val="nil"/>
            </w:tcBorders>
            <w:vAlign w:val="bottom"/>
          </w:tcPr>
          <w:p w14:paraId="0BAB91FB" w14:textId="77777777" w:rsidR="000C35AF" w:rsidRPr="00113056" w:rsidRDefault="000C35AF" w:rsidP="009238AE">
            <w:pPr>
              <w:pStyle w:val="Regresjonstabell"/>
              <w:jc w:val="right"/>
              <w:rPr>
                <w:color w:val="000000"/>
                <w:sz w:val="15"/>
                <w:szCs w:val="15"/>
              </w:rPr>
            </w:pPr>
            <w:r w:rsidRPr="00113056">
              <w:rPr>
                <w:color w:val="000000"/>
                <w:sz w:val="15"/>
                <w:szCs w:val="15"/>
              </w:rPr>
              <w:t>0.252***</w:t>
            </w:r>
          </w:p>
        </w:tc>
        <w:tc>
          <w:tcPr>
            <w:tcW w:w="1440" w:type="dxa"/>
            <w:tcBorders>
              <w:top w:val="nil"/>
              <w:left w:val="nil"/>
              <w:bottom w:val="nil"/>
              <w:right w:val="nil"/>
            </w:tcBorders>
            <w:vAlign w:val="bottom"/>
          </w:tcPr>
          <w:p w14:paraId="500C01A1" w14:textId="77777777" w:rsidR="000C35AF" w:rsidRPr="00113056" w:rsidRDefault="000C35AF" w:rsidP="009238AE">
            <w:pPr>
              <w:pStyle w:val="Regresjonstabell"/>
              <w:jc w:val="right"/>
              <w:rPr>
                <w:sz w:val="15"/>
                <w:szCs w:val="15"/>
              </w:rPr>
            </w:pPr>
            <w:r w:rsidRPr="00113056">
              <w:rPr>
                <w:color w:val="000000"/>
                <w:sz w:val="15"/>
                <w:szCs w:val="15"/>
              </w:rPr>
              <w:t>0.083***</w:t>
            </w:r>
          </w:p>
        </w:tc>
        <w:tc>
          <w:tcPr>
            <w:tcW w:w="1382" w:type="dxa"/>
            <w:tcBorders>
              <w:top w:val="nil"/>
              <w:left w:val="nil"/>
              <w:bottom w:val="nil"/>
              <w:right w:val="nil"/>
            </w:tcBorders>
            <w:vAlign w:val="bottom"/>
          </w:tcPr>
          <w:p w14:paraId="77A76736" w14:textId="77777777" w:rsidR="000C35AF" w:rsidRPr="00113056" w:rsidRDefault="000C35AF" w:rsidP="009238AE">
            <w:pPr>
              <w:pStyle w:val="Regresjonstabell"/>
              <w:jc w:val="right"/>
              <w:rPr>
                <w:color w:val="000000"/>
                <w:sz w:val="15"/>
                <w:szCs w:val="15"/>
              </w:rPr>
            </w:pPr>
            <w:r w:rsidRPr="00113056">
              <w:rPr>
                <w:color w:val="000000"/>
                <w:sz w:val="15"/>
                <w:szCs w:val="15"/>
              </w:rPr>
              <w:t>0.004</w:t>
            </w:r>
          </w:p>
        </w:tc>
        <w:tc>
          <w:tcPr>
            <w:tcW w:w="1382" w:type="dxa"/>
            <w:tcBorders>
              <w:top w:val="nil"/>
              <w:left w:val="nil"/>
              <w:bottom w:val="nil"/>
              <w:right w:val="nil"/>
            </w:tcBorders>
            <w:vAlign w:val="bottom"/>
          </w:tcPr>
          <w:p w14:paraId="6C2F67C5" w14:textId="77777777" w:rsidR="000C35AF" w:rsidRPr="00113056" w:rsidRDefault="000C35AF" w:rsidP="009238AE">
            <w:pPr>
              <w:pStyle w:val="Regresjonstabell"/>
              <w:jc w:val="right"/>
              <w:rPr>
                <w:sz w:val="15"/>
                <w:szCs w:val="15"/>
              </w:rPr>
            </w:pPr>
            <w:r w:rsidRPr="00113056">
              <w:rPr>
                <w:color w:val="000000"/>
                <w:sz w:val="15"/>
                <w:szCs w:val="15"/>
              </w:rPr>
              <w:t>0.012</w:t>
            </w:r>
          </w:p>
        </w:tc>
        <w:tc>
          <w:tcPr>
            <w:tcW w:w="1382" w:type="dxa"/>
            <w:tcBorders>
              <w:top w:val="nil"/>
              <w:left w:val="nil"/>
              <w:bottom w:val="nil"/>
              <w:right w:val="nil"/>
            </w:tcBorders>
            <w:vAlign w:val="bottom"/>
          </w:tcPr>
          <w:p w14:paraId="71ACD2CB" w14:textId="77777777" w:rsidR="000C35AF" w:rsidRPr="00113056" w:rsidRDefault="000C35AF" w:rsidP="009238AE">
            <w:pPr>
              <w:pStyle w:val="Regresjonstabell"/>
              <w:jc w:val="right"/>
              <w:rPr>
                <w:color w:val="000000"/>
                <w:sz w:val="15"/>
                <w:szCs w:val="15"/>
              </w:rPr>
            </w:pPr>
            <w:r w:rsidRPr="00113056">
              <w:rPr>
                <w:color w:val="000000"/>
                <w:sz w:val="15"/>
                <w:szCs w:val="15"/>
              </w:rPr>
              <w:t>0.013</w:t>
            </w:r>
          </w:p>
        </w:tc>
        <w:tc>
          <w:tcPr>
            <w:tcW w:w="1392" w:type="dxa"/>
            <w:tcBorders>
              <w:top w:val="nil"/>
              <w:left w:val="nil"/>
              <w:bottom w:val="nil"/>
              <w:right w:val="nil"/>
            </w:tcBorders>
            <w:vAlign w:val="bottom"/>
          </w:tcPr>
          <w:p w14:paraId="0E1FBB0C" w14:textId="77777777" w:rsidR="000C35AF" w:rsidRPr="00113056" w:rsidRDefault="000C35AF" w:rsidP="009238AE">
            <w:pPr>
              <w:pStyle w:val="Regresjonstabell"/>
              <w:jc w:val="right"/>
              <w:rPr>
                <w:sz w:val="15"/>
                <w:szCs w:val="15"/>
              </w:rPr>
            </w:pPr>
            <w:r w:rsidRPr="00113056">
              <w:rPr>
                <w:color w:val="000000"/>
                <w:sz w:val="15"/>
                <w:szCs w:val="15"/>
              </w:rPr>
              <w:t>0.025</w:t>
            </w:r>
          </w:p>
        </w:tc>
        <w:tc>
          <w:tcPr>
            <w:tcW w:w="1440" w:type="dxa"/>
            <w:tcBorders>
              <w:top w:val="nil"/>
              <w:left w:val="nil"/>
              <w:bottom w:val="nil"/>
              <w:right w:val="single" w:sz="4" w:space="0" w:color="auto"/>
            </w:tcBorders>
            <w:vAlign w:val="bottom"/>
          </w:tcPr>
          <w:p w14:paraId="7257743A" w14:textId="77777777" w:rsidR="000C35AF" w:rsidRPr="00113056" w:rsidRDefault="000C35AF" w:rsidP="009238AE">
            <w:pPr>
              <w:pStyle w:val="Regresjonstabell"/>
              <w:jc w:val="right"/>
              <w:rPr>
                <w:color w:val="000000"/>
                <w:sz w:val="15"/>
                <w:szCs w:val="15"/>
              </w:rPr>
            </w:pPr>
            <w:r w:rsidRPr="00113056">
              <w:rPr>
                <w:color w:val="000000"/>
                <w:sz w:val="15"/>
                <w:szCs w:val="15"/>
              </w:rPr>
              <w:t>0.360***</w:t>
            </w:r>
          </w:p>
        </w:tc>
      </w:tr>
      <w:tr w:rsidR="000C35AF" w:rsidRPr="0055149C" w14:paraId="4DDFA971"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0CC6592E" w14:textId="77777777" w:rsidR="000C35AF" w:rsidRPr="0055149C" w:rsidRDefault="000C35AF" w:rsidP="009238AE">
            <w:pPr>
              <w:pStyle w:val="Regresjonstabell"/>
              <w:rPr>
                <w:color w:val="000000"/>
                <w:sz w:val="15"/>
                <w:szCs w:val="15"/>
              </w:rPr>
            </w:pPr>
            <w:r w:rsidRPr="0055149C">
              <w:rPr>
                <w:sz w:val="15"/>
                <w:szCs w:val="15"/>
              </w:rPr>
              <w:t>(i tusener kroner)</w:t>
            </w:r>
          </w:p>
        </w:tc>
        <w:tc>
          <w:tcPr>
            <w:tcW w:w="1440" w:type="dxa"/>
            <w:tcBorders>
              <w:top w:val="nil"/>
              <w:left w:val="single" w:sz="4" w:space="0" w:color="auto"/>
              <w:bottom w:val="nil"/>
              <w:right w:val="nil"/>
            </w:tcBorders>
            <w:vAlign w:val="center"/>
          </w:tcPr>
          <w:p w14:paraId="3057E41F" w14:textId="77777777" w:rsidR="000C35AF" w:rsidRPr="00113056" w:rsidRDefault="000C35AF" w:rsidP="009238AE">
            <w:pPr>
              <w:pStyle w:val="Regresjonstabell"/>
              <w:jc w:val="right"/>
              <w:rPr>
                <w:sz w:val="15"/>
                <w:szCs w:val="15"/>
              </w:rPr>
            </w:pPr>
            <w:r w:rsidRPr="00113056">
              <w:rPr>
                <w:color w:val="000000"/>
                <w:sz w:val="15"/>
                <w:szCs w:val="15"/>
              </w:rPr>
              <w:t>(0.042)</w:t>
            </w:r>
          </w:p>
        </w:tc>
        <w:tc>
          <w:tcPr>
            <w:tcW w:w="1440" w:type="dxa"/>
            <w:tcBorders>
              <w:top w:val="nil"/>
              <w:left w:val="nil"/>
              <w:bottom w:val="nil"/>
              <w:right w:val="nil"/>
            </w:tcBorders>
            <w:vAlign w:val="center"/>
          </w:tcPr>
          <w:p w14:paraId="36D74BC2" w14:textId="77777777" w:rsidR="000C35AF" w:rsidRPr="00113056" w:rsidRDefault="000C35AF" w:rsidP="009238AE">
            <w:pPr>
              <w:pStyle w:val="Regresjonstabell"/>
              <w:jc w:val="right"/>
              <w:rPr>
                <w:color w:val="000000"/>
                <w:sz w:val="15"/>
                <w:szCs w:val="15"/>
              </w:rPr>
            </w:pPr>
            <w:r w:rsidRPr="00113056">
              <w:rPr>
                <w:color w:val="000000"/>
                <w:sz w:val="15"/>
                <w:szCs w:val="15"/>
              </w:rPr>
              <w:t>(0.032)</w:t>
            </w:r>
          </w:p>
        </w:tc>
        <w:tc>
          <w:tcPr>
            <w:tcW w:w="1440" w:type="dxa"/>
            <w:tcBorders>
              <w:top w:val="nil"/>
              <w:left w:val="nil"/>
              <w:bottom w:val="nil"/>
              <w:right w:val="nil"/>
            </w:tcBorders>
            <w:vAlign w:val="center"/>
          </w:tcPr>
          <w:p w14:paraId="7C822ACA" w14:textId="77777777" w:rsidR="000C35AF" w:rsidRPr="00113056" w:rsidRDefault="000C35AF" w:rsidP="009238AE">
            <w:pPr>
              <w:pStyle w:val="Regresjonstabell"/>
              <w:jc w:val="right"/>
              <w:rPr>
                <w:sz w:val="15"/>
                <w:szCs w:val="15"/>
              </w:rPr>
            </w:pPr>
            <w:r w:rsidRPr="00113056">
              <w:rPr>
                <w:color w:val="000000"/>
                <w:sz w:val="15"/>
                <w:szCs w:val="15"/>
              </w:rPr>
              <w:t>(0.020)</w:t>
            </w:r>
          </w:p>
        </w:tc>
        <w:tc>
          <w:tcPr>
            <w:tcW w:w="1382" w:type="dxa"/>
            <w:tcBorders>
              <w:top w:val="nil"/>
              <w:left w:val="nil"/>
              <w:bottom w:val="nil"/>
              <w:right w:val="nil"/>
            </w:tcBorders>
            <w:vAlign w:val="center"/>
          </w:tcPr>
          <w:p w14:paraId="28B07501" w14:textId="77777777" w:rsidR="000C35AF" w:rsidRPr="00113056" w:rsidRDefault="000C35AF" w:rsidP="009238AE">
            <w:pPr>
              <w:pStyle w:val="Regresjonstabell"/>
              <w:jc w:val="right"/>
              <w:rPr>
                <w:color w:val="000000"/>
                <w:sz w:val="15"/>
                <w:szCs w:val="15"/>
              </w:rPr>
            </w:pPr>
            <w:r w:rsidRPr="00113056">
              <w:rPr>
                <w:color w:val="000000"/>
                <w:sz w:val="15"/>
                <w:szCs w:val="15"/>
              </w:rPr>
              <w:t>(0.004)</w:t>
            </w:r>
          </w:p>
        </w:tc>
        <w:tc>
          <w:tcPr>
            <w:tcW w:w="1382" w:type="dxa"/>
            <w:tcBorders>
              <w:top w:val="nil"/>
              <w:left w:val="nil"/>
              <w:bottom w:val="nil"/>
              <w:right w:val="nil"/>
            </w:tcBorders>
            <w:vAlign w:val="center"/>
          </w:tcPr>
          <w:p w14:paraId="14857751" w14:textId="77777777" w:rsidR="000C35AF" w:rsidRPr="00113056" w:rsidRDefault="000C35AF" w:rsidP="009238AE">
            <w:pPr>
              <w:pStyle w:val="Regresjonstabell"/>
              <w:jc w:val="right"/>
              <w:rPr>
                <w:sz w:val="15"/>
                <w:szCs w:val="15"/>
              </w:rPr>
            </w:pPr>
            <w:r w:rsidRPr="00113056">
              <w:rPr>
                <w:color w:val="000000"/>
                <w:sz w:val="15"/>
                <w:szCs w:val="15"/>
              </w:rPr>
              <w:t>(0.008)</w:t>
            </w:r>
          </w:p>
        </w:tc>
        <w:tc>
          <w:tcPr>
            <w:tcW w:w="1382" w:type="dxa"/>
            <w:tcBorders>
              <w:top w:val="nil"/>
              <w:left w:val="nil"/>
              <w:bottom w:val="nil"/>
              <w:right w:val="nil"/>
            </w:tcBorders>
            <w:vAlign w:val="center"/>
          </w:tcPr>
          <w:p w14:paraId="5F3F0AA2" w14:textId="77777777" w:rsidR="000C35AF" w:rsidRPr="00113056" w:rsidRDefault="000C35AF" w:rsidP="009238AE">
            <w:pPr>
              <w:pStyle w:val="Regresjonstabell"/>
              <w:jc w:val="right"/>
              <w:rPr>
                <w:color w:val="000000"/>
                <w:sz w:val="15"/>
                <w:szCs w:val="15"/>
              </w:rPr>
            </w:pPr>
            <w:r w:rsidRPr="00113056">
              <w:rPr>
                <w:color w:val="000000"/>
                <w:sz w:val="15"/>
                <w:szCs w:val="15"/>
              </w:rPr>
              <w:t>(0.009)</w:t>
            </w:r>
          </w:p>
        </w:tc>
        <w:tc>
          <w:tcPr>
            <w:tcW w:w="1392" w:type="dxa"/>
            <w:tcBorders>
              <w:top w:val="nil"/>
              <w:left w:val="nil"/>
              <w:bottom w:val="nil"/>
              <w:right w:val="nil"/>
            </w:tcBorders>
            <w:vAlign w:val="center"/>
          </w:tcPr>
          <w:p w14:paraId="1087C923" w14:textId="77777777" w:rsidR="000C35AF" w:rsidRPr="00113056" w:rsidRDefault="000C35AF" w:rsidP="009238AE">
            <w:pPr>
              <w:pStyle w:val="Regresjonstabell"/>
              <w:jc w:val="right"/>
              <w:rPr>
                <w:sz w:val="15"/>
                <w:szCs w:val="15"/>
              </w:rPr>
            </w:pPr>
            <w:r w:rsidRPr="00113056">
              <w:rPr>
                <w:color w:val="000000"/>
                <w:sz w:val="15"/>
                <w:szCs w:val="15"/>
              </w:rPr>
              <w:t>(0.017)</w:t>
            </w:r>
          </w:p>
        </w:tc>
        <w:tc>
          <w:tcPr>
            <w:tcW w:w="1440" w:type="dxa"/>
            <w:tcBorders>
              <w:top w:val="nil"/>
              <w:left w:val="nil"/>
              <w:bottom w:val="nil"/>
              <w:right w:val="single" w:sz="4" w:space="0" w:color="auto"/>
            </w:tcBorders>
            <w:vAlign w:val="center"/>
          </w:tcPr>
          <w:p w14:paraId="443C06DA" w14:textId="77777777" w:rsidR="000C35AF" w:rsidRPr="00113056" w:rsidRDefault="000C35AF" w:rsidP="009238AE">
            <w:pPr>
              <w:pStyle w:val="Regresjonstabell"/>
              <w:jc w:val="right"/>
              <w:rPr>
                <w:color w:val="000000"/>
                <w:sz w:val="15"/>
                <w:szCs w:val="15"/>
              </w:rPr>
            </w:pPr>
            <w:r w:rsidRPr="00113056">
              <w:rPr>
                <w:color w:val="000000"/>
                <w:sz w:val="15"/>
                <w:szCs w:val="15"/>
              </w:rPr>
              <w:t>(0.049)</w:t>
            </w:r>
          </w:p>
        </w:tc>
      </w:tr>
      <w:tr w:rsidR="000C35AF" w:rsidRPr="0055149C" w14:paraId="4DD80315"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1874427F" w14:textId="77777777" w:rsidR="000C35AF" w:rsidRPr="0055149C" w:rsidRDefault="000C35AF" w:rsidP="009238AE">
            <w:pPr>
              <w:pStyle w:val="Regresjonstabell"/>
              <w:rPr>
                <w:sz w:val="15"/>
                <w:szCs w:val="15"/>
              </w:rPr>
            </w:pPr>
            <w:r w:rsidRPr="0055149C">
              <w:rPr>
                <w:color w:val="000000"/>
                <w:sz w:val="15"/>
                <w:szCs w:val="15"/>
              </w:rPr>
              <w:t>Konstantleddet</w:t>
            </w:r>
          </w:p>
        </w:tc>
        <w:tc>
          <w:tcPr>
            <w:tcW w:w="1440" w:type="dxa"/>
            <w:tcBorders>
              <w:top w:val="nil"/>
              <w:left w:val="single" w:sz="4" w:space="0" w:color="auto"/>
              <w:bottom w:val="nil"/>
              <w:right w:val="nil"/>
            </w:tcBorders>
            <w:vAlign w:val="bottom"/>
          </w:tcPr>
          <w:p w14:paraId="3F27D1F0" w14:textId="77777777" w:rsidR="000C35AF" w:rsidRPr="00113056" w:rsidRDefault="000C35AF" w:rsidP="009238AE">
            <w:pPr>
              <w:pStyle w:val="Regresjonstabell"/>
              <w:jc w:val="right"/>
              <w:rPr>
                <w:sz w:val="15"/>
                <w:szCs w:val="15"/>
              </w:rPr>
            </w:pPr>
            <w:r w:rsidRPr="00113056">
              <w:rPr>
                <w:color w:val="000000"/>
                <w:sz w:val="15"/>
                <w:szCs w:val="15"/>
              </w:rPr>
              <w:t>42.589</w:t>
            </w:r>
          </w:p>
        </w:tc>
        <w:tc>
          <w:tcPr>
            <w:tcW w:w="1440" w:type="dxa"/>
            <w:tcBorders>
              <w:top w:val="nil"/>
              <w:left w:val="nil"/>
              <w:bottom w:val="nil"/>
              <w:right w:val="nil"/>
            </w:tcBorders>
            <w:vAlign w:val="bottom"/>
          </w:tcPr>
          <w:p w14:paraId="75ADA8D2" w14:textId="77777777" w:rsidR="000C35AF" w:rsidRPr="00113056" w:rsidRDefault="000C35AF" w:rsidP="009238AE">
            <w:pPr>
              <w:pStyle w:val="Regresjonstabell"/>
              <w:jc w:val="right"/>
              <w:rPr>
                <w:sz w:val="15"/>
                <w:szCs w:val="15"/>
              </w:rPr>
            </w:pPr>
            <w:r w:rsidRPr="00113056">
              <w:rPr>
                <w:color w:val="000000"/>
                <w:sz w:val="15"/>
                <w:szCs w:val="15"/>
              </w:rPr>
              <w:t>37.789</w:t>
            </w:r>
          </w:p>
        </w:tc>
        <w:tc>
          <w:tcPr>
            <w:tcW w:w="1440" w:type="dxa"/>
            <w:tcBorders>
              <w:top w:val="nil"/>
              <w:left w:val="nil"/>
              <w:bottom w:val="nil"/>
              <w:right w:val="nil"/>
            </w:tcBorders>
            <w:vAlign w:val="bottom"/>
          </w:tcPr>
          <w:p w14:paraId="223268D1" w14:textId="77777777" w:rsidR="000C35AF" w:rsidRPr="00113056" w:rsidRDefault="000C35AF" w:rsidP="009238AE">
            <w:pPr>
              <w:pStyle w:val="Regresjonstabell"/>
              <w:jc w:val="right"/>
              <w:rPr>
                <w:sz w:val="15"/>
                <w:szCs w:val="15"/>
              </w:rPr>
            </w:pPr>
            <w:r w:rsidRPr="00113056">
              <w:rPr>
                <w:color w:val="000000"/>
                <w:sz w:val="15"/>
                <w:szCs w:val="15"/>
              </w:rPr>
              <w:t>4.800</w:t>
            </w:r>
          </w:p>
        </w:tc>
        <w:tc>
          <w:tcPr>
            <w:tcW w:w="1382" w:type="dxa"/>
            <w:tcBorders>
              <w:top w:val="nil"/>
              <w:left w:val="nil"/>
              <w:bottom w:val="nil"/>
              <w:right w:val="nil"/>
            </w:tcBorders>
            <w:vAlign w:val="bottom"/>
          </w:tcPr>
          <w:p w14:paraId="02EBDC64" w14:textId="77777777" w:rsidR="000C35AF" w:rsidRPr="00113056" w:rsidRDefault="000C35AF" w:rsidP="009238AE">
            <w:pPr>
              <w:pStyle w:val="Regresjonstabell"/>
              <w:jc w:val="right"/>
              <w:rPr>
                <w:sz w:val="15"/>
                <w:szCs w:val="15"/>
              </w:rPr>
            </w:pPr>
            <w:r w:rsidRPr="00113056">
              <w:rPr>
                <w:color w:val="000000"/>
                <w:sz w:val="15"/>
                <w:szCs w:val="15"/>
              </w:rPr>
              <w:t>-4.451</w:t>
            </w:r>
          </w:p>
        </w:tc>
        <w:tc>
          <w:tcPr>
            <w:tcW w:w="1382" w:type="dxa"/>
            <w:tcBorders>
              <w:top w:val="nil"/>
              <w:left w:val="nil"/>
              <w:bottom w:val="nil"/>
              <w:right w:val="nil"/>
            </w:tcBorders>
            <w:vAlign w:val="bottom"/>
          </w:tcPr>
          <w:p w14:paraId="2D72A03A" w14:textId="77777777" w:rsidR="000C35AF" w:rsidRPr="00113056" w:rsidRDefault="000C35AF" w:rsidP="009238AE">
            <w:pPr>
              <w:pStyle w:val="Regresjonstabell"/>
              <w:jc w:val="right"/>
              <w:rPr>
                <w:sz w:val="15"/>
                <w:szCs w:val="15"/>
              </w:rPr>
            </w:pPr>
            <w:r w:rsidRPr="00113056">
              <w:rPr>
                <w:color w:val="000000"/>
                <w:sz w:val="15"/>
                <w:szCs w:val="15"/>
              </w:rPr>
              <w:t>7.943</w:t>
            </w:r>
          </w:p>
        </w:tc>
        <w:tc>
          <w:tcPr>
            <w:tcW w:w="1382" w:type="dxa"/>
            <w:tcBorders>
              <w:top w:val="nil"/>
              <w:left w:val="nil"/>
              <w:bottom w:val="nil"/>
              <w:right w:val="nil"/>
            </w:tcBorders>
            <w:vAlign w:val="bottom"/>
          </w:tcPr>
          <w:p w14:paraId="217997E2" w14:textId="77777777" w:rsidR="000C35AF" w:rsidRPr="00113056" w:rsidRDefault="000C35AF" w:rsidP="009238AE">
            <w:pPr>
              <w:pStyle w:val="Regresjonstabell"/>
              <w:jc w:val="right"/>
              <w:rPr>
                <w:sz w:val="15"/>
                <w:szCs w:val="15"/>
              </w:rPr>
            </w:pPr>
            <w:r w:rsidRPr="00113056">
              <w:rPr>
                <w:color w:val="000000"/>
                <w:sz w:val="15"/>
                <w:szCs w:val="15"/>
              </w:rPr>
              <w:t>8.136</w:t>
            </w:r>
          </w:p>
        </w:tc>
        <w:tc>
          <w:tcPr>
            <w:tcW w:w="1392" w:type="dxa"/>
            <w:tcBorders>
              <w:top w:val="nil"/>
              <w:left w:val="nil"/>
              <w:bottom w:val="nil"/>
              <w:right w:val="nil"/>
            </w:tcBorders>
            <w:vAlign w:val="bottom"/>
          </w:tcPr>
          <w:p w14:paraId="50C4762B" w14:textId="77777777" w:rsidR="000C35AF" w:rsidRPr="00113056" w:rsidRDefault="000C35AF" w:rsidP="009238AE">
            <w:pPr>
              <w:pStyle w:val="Regresjonstabell"/>
              <w:jc w:val="right"/>
              <w:rPr>
                <w:sz w:val="15"/>
                <w:szCs w:val="15"/>
              </w:rPr>
            </w:pPr>
            <w:r w:rsidRPr="00113056">
              <w:rPr>
                <w:color w:val="000000"/>
                <w:sz w:val="15"/>
                <w:szCs w:val="15"/>
              </w:rPr>
              <w:t>16.079</w:t>
            </w:r>
          </w:p>
        </w:tc>
        <w:tc>
          <w:tcPr>
            <w:tcW w:w="1440" w:type="dxa"/>
            <w:tcBorders>
              <w:top w:val="nil"/>
              <w:left w:val="nil"/>
              <w:bottom w:val="nil"/>
              <w:right w:val="single" w:sz="4" w:space="0" w:color="auto"/>
            </w:tcBorders>
            <w:vAlign w:val="bottom"/>
          </w:tcPr>
          <w:p w14:paraId="1BF62AE3" w14:textId="77777777" w:rsidR="000C35AF" w:rsidRPr="00113056" w:rsidRDefault="000C35AF" w:rsidP="009238AE">
            <w:pPr>
              <w:pStyle w:val="Regresjonstabell"/>
              <w:jc w:val="right"/>
              <w:rPr>
                <w:sz w:val="15"/>
                <w:szCs w:val="15"/>
              </w:rPr>
            </w:pPr>
            <w:r w:rsidRPr="00113056">
              <w:rPr>
                <w:color w:val="000000"/>
                <w:sz w:val="15"/>
                <w:szCs w:val="15"/>
              </w:rPr>
              <w:t>58.668</w:t>
            </w:r>
          </w:p>
        </w:tc>
      </w:tr>
      <w:tr w:rsidR="000C35AF" w:rsidRPr="0055149C" w14:paraId="04E52F2C"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72FB1471" w14:textId="77777777" w:rsidR="000C35AF" w:rsidRPr="0055149C" w:rsidRDefault="000C35AF" w:rsidP="009238AE">
            <w:pPr>
              <w:pStyle w:val="Regresjonstabell"/>
              <w:rPr>
                <w:sz w:val="15"/>
                <w:szCs w:val="15"/>
              </w:rPr>
            </w:pPr>
            <w:r w:rsidRPr="0055149C">
              <w:rPr>
                <w:sz w:val="15"/>
                <w:szCs w:val="15"/>
              </w:rPr>
              <w:t>(skjæringspunktet)</w:t>
            </w:r>
          </w:p>
        </w:tc>
        <w:tc>
          <w:tcPr>
            <w:tcW w:w="1440" w:type="dxa"/>
            <w:tcBorders>
              <w:top w:val="nil"/>
              <w:left w:val="single" w:sz="4" w:space="0" w:color="auto"/>
              <w:bottom w:val="nil"/>
              <w:right w:val="nil"/>
            </w:tcBorders>
            <w:vAlign w:val="center"/>
          </w:tcPr>
          <w:p w14:paraId="254C2EC2" w14:textId="77777777" w:rsidR="000C35AF" w:rsidRPr="00113056" w:rsidRDefault="000C35AF" w:rsidP="009238AE">
            <w:pPr>
              <w:pStyle w:val="Regresjonstabell"/>
              <w:jc w:val="right"/>
              <w:rPr>
                <w:sz w:val="15"/>
                <w:szCs w:val="15"/>
              </w:rPr>
            </w:pPr>
            <w:r w:rsidRPr="00113056">
              <w:rPr>
                <w:color w:val="000000"/>
                <w:sz w:val="15"/>
                <w:szCs w:val="15"/>
              </w:rPr>
              <w:t>(33.743)</w:t>
            </w:r>
          </w:p>
        </w:tc>
        <w:tc>
          <w:tcPr>
            <w:tcW w:w="1440" w:type="dxa"/>
            <w:tcBorders>
              <w:top w:val="nil"/>
              <w:left w:val="nil"/>
              <w:bottom w:val="nil"/>
              <w:right w:val="nil"/>
            </w:tcBorders>
            <w:vAlign w:val="center"/>
          </w:tcPr>
          <w:p w14:paraId="76AA9E1E" w14:textId="77777777" w:rsidR="000C35AF" w:rsidRPr="00113056" w:rsidRDefault="000C35AF" w:rsidP="009238AE">
            <w:pPr>
              <w:pStyle w:val="Regresjonstabell"/>
              <w:jc w:val="right"/>
              <w:rPr>
                <w:sz w:val="15"/>
                <w:szCs w:val="15"/>
              </w:rPr>
            </w:pPr>
            <w:r w:rsidRPr="00113056">
              <w:rPr>
                <w:color w:val="000000"/>
                <w:sz w:val="15"/>
                <w:szCs w:val="15"/>
              </w:rPr>
              <w:t>(27.642)</w:t>
            </w:r>
          </w:p>
        </w:tc>
        <w:tc>
          <w:tcPr>
            <w:tcW w:w="1440" w:type="dxa"/>
            <w:tcBorders>
              <w:top w:val="nil"/>
              <w:left w:val="nil"/>
              <w:bottom w:val="nil"/>
              <w:right w:val="nil"/>
            </w:tcBorders>
            <w:vAlign w:val="center"/>
          </w:tcPr>
          <w:p w14:paraId="0A80D658" w14:textId="77777777" w:rsidR="000C35AF" w:rsidRPr="00113056" w:rsidRDefault="000C35AF" w:rsidP="009238AE">
            <w:pPr>
              <w:pStyle w:val="Regresjonstabell"/>
              <w:jc w:val="right"/>
              <w:rPr>
                <w:sz w:val="15"/>
                <w:szCs w:val="15"/>
              </w:rPr>
            </w:pPr>
            <w:r w:rsidRPr="00113056">
              <w:rPr>
                <w:color w:val="000000"/>
                <w:sz w:val="15"/>
                <w:szCs w:val="15"/>
              </w:rPr>
              <w:t>(20.260)</w:t>
            </w:r>
          </w:p>
        </w:tc>
        <w:tc>
          <w:tcPr>
            <w:tcW w:w="1382" w:type="dxa"/>
            <w:tcBorders>
              <w:top w:val="nil"/>
              <w:left w:val="nil"/>
              <w:bottom w:val="nil"/>
              <w:right w:val="nil"/>
            </w:tcBorders>
            <w:vAlign w:val="center"/>
          </w:tcPr>
          <w:p w14:paraId="0BABA1BF" w14:textId="77777777" w:rsidR="000C35AF" w:rsidRPr="00113056" w:rsidRDefault="000C35AF" w:rsidP="009238AE">
            <w:pPr>
              <w:pStyle w:val="Regresjonstabell"/>
              <w:jc w:val="right"/>
              <w:rPr>
                <w:sz w:val="15"/>
                <w:szCs w:val="15"/>
              </w:rPr>
            </w:pPr>
            <w:r w:rsidRPr="00113056">
              <w:rPr>
                <w:color w:val="000000"/>
                <w:sz w:val="15"/>
                <w:szCs w:val="15"/>
              </w:rPr>
              <w:t>(5.132)</w:t>
            </w:r>
          </w:p>
        </w:tc>
        <w:tc>
          <w:tcPr>
            <w:tcW w:w="1382" w:type="dxa"/>
            <w:tcBorders>
              <w:top w:val="nil"/>
              <w:left w:val="nil"/>
              <w:bottom w:val="nil"/>
              <w:right w:val="nil"/>
            </w:tcBorders>
            <w:vAlign w:val="center"/>
          </w:tcPr>
          <w:p w14:paraId="5268E391" w14:textId="77777777" w:rsidR="000C35AF" w:rsidRPr="00113056" w:rsidRDefault="000C35AF" w:rsidP="009238AE">
            <w:pPr>
              <w:pStyle w:val="Regresjonstabell"/>
              <w:jc w:val="right"/>
              <w:rPr>
                <w:sz w:val="15"/>
                <w:szCs w:val="15"/>
              </w:rPr>
            </w:pPr>
            <w:r w:rsidRPr="00113056">
              <w:rPr>
                <w:color w:val="000000"/>
                <w:sz w:val="15"/>
                <w:szCs w:val="15"/>
              </w:rPr>
              <w:t>(8.773)</w:t>
            </w:r>
          </w:p>
        </w:tc>
        <w:tc>
          <w:tcPr>
            <w:tcW w:w="1382" w:type="dxa"/>
            <w:tcBorders>
              <w:top w:val="nil"/>
              <w:left w:val="nil"/>
              <w:bottom w:val="nil"/>
              <w:right w:val="nil"/>
            </w:tcBorders>
            <w:vAlign w:val="center"/>
          </w:tcPr>
          <w:p w14:paraId="1CEF20F2" w14:textId="77777777" w:rsidR="000C35AF" w:rsidRPr="00113056" w:rsidRDefault="000C35AF" w:rsidP="009238AE">
            <w:pPr>
              <w:pStyle w:val="Regresjonstabell"/>
              <w:jc w:val="right"/>
              <w:rPr>
                <w:sz w:val="15"/>
                <w:szCs w:val="15"/>
              </w:rPr>
            </w:pPr>
            <w:r w:rsidRPr="00113056">
              <w:rPr>
                <w:color w:val="000000"/>
                <w:sz w:val="15"/>
                <w:szCs w:val="15"/>
              </w:rPr>
              <w:t>(8.893)</w:t>
            </w:r>
          </w:p>
        </w:tc>
        <w:tc>
          <w:tcPr>
            <w:tcW w:w="1392" w:type="dxa"/>
            <w:tcBorders>
              <w:top w:val="nil"/>
              <w:left w:val="nil"/>
              <w:bottom w:val="nil"/>
              <w:right w:val="nil"/>
            </w:tcBorders>
            <w:vAlign w:val="center"/>
          </w:tcPr>
          <w:p w14:paraId="1CCFB3A4" w14:textId="77777777" w:rsidR="000C35AF" w:rsidRPr="00113056" w:rsidRDefault="000C35AF" w:rsidP="009238AE">
            <w:pPr>
              <w:pStyle w:val="Regresjonstabell"/>
              <w:jc w:val="right"/>
              <w:rPr>
                <w:sz w:val="15"/>
                <w:szCs w:val="15"/>
              </w:rPr>
            </w:pPr>
            <w:r w:rsidRPr="00113056">
              <w:rPr>
                <w:color w:val="000000"/>
                <w:sz w:val="15"/>
                <w:szCs w:val="15"/>
              </w:rPr>
              <w:t>(17.666)</w:t>
            </w:r>
          </w:p>
        </w:tc>
        <w:tc>
          <w:tcPr>
            <w:tcW w:w="1440" w:type="dxa"/>
            <w:tcBorders>
              <w:top w:val="nil"/>
              <w:left w:val="nil"/>
              <w:bottom w:val="nil"/>
              <w:right w:val="single" w:sz="4" w:space="0" w:color="auto"/>
            </w:tcBorders>
            <w:vAlign w:val="center"/>
          </w:tcPr>
          <w:p w14:paraId="672B583E" w14:textId="77777777" w:rsidR="000C35AF" w:rsidRPr="00113056" w:rsidRDefault="000C35AF" w:rsidP="009238AE">
            <w:pPr>
              <w:pStyle w:val="Regresjonstabell"/>
              <w:jc w:val="right"/>
              <w:rPr>
                <w:sz w:val="15"/>
                <w:szCs w:val="15"/>
              </w:rPr>
            </w:pPr>
            <w:r w:rsidRPr="00113056">
              <w:rPr>
                <w:color w:val="000000"/>
                <w:sz w:val="15"/>
                <w:szCs w:val="15"/>
              </w:rPr>
              <w:t>(41.279)</w:t>
            </w:r>
          </w:p>
        </w:tc>
      </w:tr>
      <w:tr w:rsidR="000C35AF" w:rsidRPr="0055149C" w14:paraId="152D38AE"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674F6CFE" w14:textId="77777777" w:rsidR="000C35AF" w:rsidRPr="0055149C" w:rsidRDefault="000C35AF" w:rsidP="009238AE">
            <w:pPr>
              <w:pStyle w:val="Regresjonstabell"/>
              <w:rPr>
                <w:sz w:val="15"/>
                <w:szCs w:val="15"/>
              </w:rPr>
            </w:pPr>
            <w:r w:rsidRPr="0055149C">
              <w:rPr>
                <w:color w:val="000000"/>
                <w:sz w:val="15"/>
                <w:szCs w:val="15"/>
              </w:rPr>
              <w:t>Observasjoner</w:t>
            </w:r>
          </w:p>
        </w:tc>
        <w:tc>
          <w:tcPr>
            <w:tcW w:w="1440" w:type="dxa"/>
            <w:tcBorders>
              <w:top w:val="nil"/>
              <w:left w:val="single" w:sz="4" w:space="0" w:color="auto"/>
              <w:bottom w:val="nil"/>
              <w:right w:val="nil"/>
            </w:tcBorders>
            <w:vAlign w:val="bottom"/>
          </w:tcPr>
          <w:p w14:paraId="6D154D73"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440" w:type="dxa"/>
            <w:tcBorders>
              <w:top w:val="nil"/>
              <w:left w:val="nil"/>
              <w:bottom w:val="nil"/>
              <w:right w:val="nil"/>
            </w:tcBorders>
            <w:vAlign w:val="bottom"/>
          </w:tcPr>
          <w:p w14:paraId="6549144F"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440" w:type="dxa"/>
            <w:tcBorders>
              <w:top w:val="nil"/>
              <w:left w:val="nil"/>
              <w:bottom w:val="nil"/>
              <w:right w:val="nil"/>
            </w:tcBorders>
            <w:vAlign w:val="bottom"/>
          </w:tcPr>
          <w:p w14:paraId="3F9D0B51"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82" w:type="dxa"/>
            <w:tcBorders>
              <w:top w:val="nil"/>
              <w:left w:val="nil"/>
              <w:bottom w:val="nil"/>
              <w:right w:val="nil"/>
            </w:tcBorders>
            <w:vAlign w:val="bottom"/>
          </w:tcPr>
          <w:p w14:paraId="06C7FC7E"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82" w:type="dxa"/>
            <w:tcBorders>
              <w:top w:val="nil"/>
              <w:left w:val="nil"/>
              <w:bottom w:val="nil"/>
              <w:right w:val="nil"/>
            </w:tcBorders>
            <w:vAlign w:val="bottom"/>
          </w:tcPr>
          <w:p w14:paraId="412E2DFD"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82" w:type="dxa"/>
            <w:tcBorders>
              <w:top w:val="nil"/>
              <w:left w:val="nil"/>
              <w:bottom w:val="nil"/>
              <w:right w:val="nil"/>
            </w:tcBorders>
            <w:vAlign w:val="bottom"/>
          </w:tcPr>
          <w:p w14:paraId="23A70FF0"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92" w:type="dxa"/>
            <w:tcBorders>
              <w:top w:val="nil"/>
              <w:left w:val="nil"/>
              <w:bottom w:val="nil"/>
              <w:right w:val="nil"/>
            </w:tcBorders>
            <w:vAlign w:val="bottom"/>
          </w:tcPr>
          <w:p w14:paraId="5B1B3989"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440" w:type="dxa"/>
            <w:tcBorders>
              <w:top w:val="nil"/>
              <w:left w:val="nil"/>
              <w:bottom w:val="nil"/>
              <w:right w:val="single" w:sz="4" w:space="0" w:color="auto"/>
            </w:tcBorders>
            <w:vAlign w:val="bottom"/>
          </w:tcPr>
          <w:p w14:paraId="3E7B2452" w14:textId="77777777" w:rsidR="000C35AF" w:rsidRPr="00113056" w:rsidRDefault="000C35AF" w:rsidP="009238AE">
            <w:pPr>
              <w:pStyle w:val="Regresjonstabell"/>
              <w:jc w:val="right"/>
              <w:rPr>
                <w:sz w:val="15"/>
                <w:szCs w:val="15"/>
              </w:rPr>
            </w:pPr>
            <w:r w:rsidRPr="00113056">
              <w:rPr>
                <w:color w:val="000000"/>
                <w:sz w:val="15"/>
                <w:szCs w:val="15"/>
              </w:rPr>
              <w:t>322</w:t>
            </w:r>
          </w:p>
        </w:tc>
      </w:tr>
      <w:tr w:rsidR="000C35AF" w:rsidRPr="0055149C" w14:paraId="2BA5C0C7" w14:textId="77777777" w:rsidTr="009238AE">
        <w:tc>
          <w:tcPr>
            <w:tcW w:w="2694"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02E42B5B" w14:textId="77777777" w:rsidR="000C35AF" w:rsidRPr="0055149C" w:rsidRDefault="000C35AF" w:rsidP="009238AE">
            <w:pPr>
              <w:pStyle w:val="Regresjonstabell"/>
              <w:rPr>
                <w:sz w:val="15"/>
                <w:szCs w:val="15"/>
                <w:vertAlign w:val="superscript"/>
              </w:rPr>
            </w:pPr>
            <w:r w:rsidRPr="0055149C">
              <w:rPr>
                <w:sz w:val="15"/>
                <w:szCs w:val="15"/>
              </w:rPr>
              <w:t>R</w:t>
            </w:r>
            <w:r w:rsidRPr="0055149C">
              <w:rPr>
                <w:sz w:val="15"/>
                <w:szCs w:val="15"/>
                <w:vertAlign w:val="superscript"/>
              </w:rPr>
              <w:t>2</w:t>
            </w:r>
          </w:p>
        </w:tc>
        <w:tc>
          <w:tcPr>
            <w:tcW w:w="1440" w:type="dxa"/>
            <w:tcBorders>
              <w:top w:val="nil"/>
              <w:left w:val="single" w:sz="4" w:space="0" w:color="auto"/>
              <w:bottom w:val="single" w:sz="4" w:space="0" w:color="auto"/>
              <w:right w:val="nil"/>
            </w:tcBorders>
            <w:vAlign w:val="bottom"/>
          </w:tcPr>
          <w:p w14:paraId="065FE1C2" w14:textId="77777777" w:rsidR="000C35AF" w:rsidRPr="00113056" w:rsidRDefault="000C35AF" w:rsidP="009238AE">
            <w:pPr>
              <w:pStyle w:val="Regresjonstabell"/>
              <w:jc w:val="right"/>
              <w:rPr>
                <w:sz w:val="15"/>
                <w:szCs w:val="15"/>
              </w:rPr>
            </w:pPr>
            <w:r w:rsidRPr="00113056">
              <w:rPr>
                <w:color w:val="000000"/>
                <w:sz w:val="15"/>
                <w:szCs w:val="15"/>
              </w:rPr>
              <w:t>0.785</w:t>
            </w:r>
          </w:p>
        </w:tc>
        <w:tc>
          <w:tcPr>
            <w:tcW w:w="1440" w:type="dxa"/>
            <w:tcBorders>
              <w:top w:val="nil"/>
              <w:left w:val="nil"/>
              <w:bottom w:val="single" w:sz="4" w:space="0" w:color="auto"/>
              <w:right w:val="nil"/>
            </w:tcBorders>
            <w:vAlign w:val="bottom"/>
          </w:tcPr>
          <w:p w14:paraId="27647C96" w14:textId="77777777" w:rsidR="000C35AF" w:rsidRPr="00113056" w:rsidRDefault="000C35AF" w:rsidP="009238AE">
            <w:pPr>
              <w:pStyle w:val="Regresjonstabell"/>
              <w:jc w:val="right"/>
              <w:rPr>
                <w:sz w:val="15"/>
                <w:szCs w:val="15"/>
              </w:rPr>
            </w:pPr>
            <w:r w:rsidRPr="00113056">
              <w:rPr>
                <w:color w:val="000000"/>
                <w:sz w:val="15"/>
                <w:szCs w:val="15"/>
              </w:rPr>
              <w:t>0.737</w:t>
            </w:r>
          </w:p>
        </w:tc>
        <w:tc>
          <w:tcPr>
            <w:tcW w:w="1440" w:type="dxa"/>
            <w:tcBorders>
              <w:top w:val="nil"/>
              <w:left w:val="nil"/>
              <w:bottom w:val="single" w:sz="4" w:space="0" w:color="auto"/>
              <w:right w:val="nil"/>
            </w:tcBorders>
            <w:vAlign w:val="bottom"/>
          </w:tcPr>
          <w:p w14:paraId="550C5E4C" w14:textId="77777777" w:rsidR="000C35AF" w:rsidRPr="00113056" w:rsidRDefault="000C35AF" w:rsidP="009238AE">
            <w:pPr>
              <w:pStyle w:val="Regresjonstabell"/>
              <w:jc w:val="right"/>
              <w:rPr>
                <w:sz w:val="15"/>
                <w:szCs w:val="15"/>
              </w:rPr>
            </w:pPr>
            <w:r w:rsidRPr="00113056">
              <w:rPr>
                <w:color w:val="000000"/>
                <w:sz w:val="15"/>
                <w:szCs w:val="15"/>
              </w:rPr>
              <w:t>0.534</w:t>
            </w:r>
          </w:p>
        </w:tc>
        <w:tc>
          <w:tcPr>
            <w:tcW w:w="1382" w:type="dxa"/>
            <w:tcBorders>
              <w:top w:val="nil"/>
              <w:left w:val="nil"/>
              <w:bottom w:val="single" w:sz="4" w:space="0" w:color="auto"/>
              <w:right w:val="nil"/>
            </w:tcBorders>
            <w:vAlign w:val="bottom"/>
          </w:tcPr>
          <w:p w14:paraId="568A7611"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382" w:type="dxa"/>
            <w:tcBorders>
              <w:top w:val="nil"/>
              <w:left w:val="nil"/>
              <w:bottom w:val="single" w:sz="4" w:space="0" w:color="auto"/>
              <w:right w:val="nil"/>
            </w:tcBorders>
            <w:vAlign w:val="bottom"/>
          </w:tcPr>
          <w:p w14:paraId="18E05447"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382" w:type="dxa"/>
            <w:tcBorders>
              <w:top w:val="nil"/>
              <w:left w:val="nil"/>
              <w:bottom w:val="single" w:sz="4" w:space="0" w:color="auto"/>
              <w:right w:val="nil"/>
            </w:tcBorders>
            <w:vAlign w:val="bottom"/>
          </w:tcPr>
          <w:p w14:paraId="710DE30F"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392" w:type="dxa"/>
            <w:tcBorders>
              <w:top w:val="nil"/>
              <w:left w:val="nil"/>
              <w:bottom w:val="single" w:sz="4" w:space="0" w:color="auto"/>
              <w:right w:val="nil"/>
            </w:tcBorders>
            <w:vAlign w:val="bottom"/>
          </w:tcPr>
          <w:p w14:paraId="3CCCAA4A"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440" w:type="dxa"/>
            <w:tcBorders>
              <w:top w:val="nil"/>
              <w:left w:val="nil"/>
              <w:bottom w:val="single" w:sz="4" w:space="0" w:color="auto"/>
              <w:right w:val="single" w:sz="4" w:space="0" w:color="auto"/>
            </w:tcBorders>
            <w:vAlign w:val="bottom"/>
          </w:tcPr>
          <w:p w14:paraId="12ADABD5" w14:textId="77777777" w:rsidR="000C35AF" w:rsidRPr="00113056" w:rsidRDefault="000C35AF" w:rsidP="009238AE">
            <w:pPr>
              <w:pStyle w:val="Regresjonstabell"/>
              <w:jc w:val="right"/>
              <w:rPr>
                <w:sz w:val="15"/>
                <w:szCs w:val="15"/>
              </w:rPr>
            </w:pPr>
            <w:r w:rsidRPr="00113056">
              <w:rPr>
                <w:color w:val="000000"/>
                <w:sz w:val="15"/>
                <w:szCs w:val="15"/>
              </w:rPr>
              <w:t>0.775</w:t>
            </w:r>
          </w:p>
        </w:tc>
      </w:tr>
    </w:tbl>
    <w:p w14:paraId="10E16731"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 xml:space="preserve">og fordringstap, (4) kapitalslit målt ved DM, (5) kapitalslit målt ved PIM på funksjonsnivå med disaggregerte parametere, (7) løpende rentekostnader målt ved PIM på funksjonsnivå med disaggregerte parametere og </w:t>
      </w:r>
      <w:r w:rsidRPr="0055149C">
        <w:lastRenderedPageBreak/>
        <w:t>(8) bruttodriftsutgifter, kapitalslit og løpende rentekostnader målt ved PIM på funksjonsnivå med disaggregerte parametere. Standardavvikene beregnet som heteroskedastisitetsrobuste. Angivelse av signifikans: * p &lt; 0.10, ** p &lt; 0.05 og *** p &lt; 0.01.</w:t>
      </w:r>
    </w:p>
    <w:p w14:paraId="32406E8F" w14:textId="77777777" w:rsidR="000C35AF" w:rsidRPr="0055149C" w:rsidRDefault="000C35AF" w:rsidP="000C35AF">
      <w:pPr>
        <w:pStyle w:val="Source"/>
        <w:rPr>
          <w:lang w:eastAsia="nb-NO"/>
        </w:rPr>
      </w:pPr>
      <w:r w:rsidRPr="0055149C">
        <w:rPr>
          <w:lang w:eastAsia="nb-NO"/>
        </w:rPr>
        <w:t>Kilde: Vista Analyse</w:t>
      </w:r>
    </w:p>
    <w:p w14:paraId="6CDE40C8" w14:textId="2F8B04EB" w:rsidR="000C35AF" w:rsidRPr="0055149C" w:rsidRDefault="000C35AF" w:rsidP="000C35AF">
      <w:pPr>
        <w:pStyle w:val="Bildetekst"/>
      </w:pPr>
      <w:bookmarkStart w:id="142" w:name="_Ref178358802"/>
      <w:r w:rsidRPr="0055149C">
        <w:t xml:space="preserve">Tabell </w:t>
      </w:r>
      <w:fldSimple w:instr=" STYLEREF 1 \s ">
        <w:r w:rsidR="009B1DA8">
          <w:rPr>
            <w:noProof/>
          </w:rPr>
          <w:t>4</w:t>
        </w:r>
      </w:fldSimple>
      <w:r w:rsidRPr="0055149C">
        <w:t>.</w:t>
      </w:r>
      <w:fldSimple w:instr=" SEQ Tabell \* ARABIC \s 1 ">
        <w:r w:rsidR="009B1DA8">
          <w:rPr>
            <w:noProof/>
          </w:rPr>
          <w:t>19</w:t>
        </w:r>
      </w:fldSimple>
      <w:bookmarkEnd w:id="142"/>
      <w:r w:rsidRPr="0055149C">
        <w:t xml:space="preserve"> </w:t>
      </w:r>
      <w:r w:rsidRPr="0055149C">
        <w:tab/>
        <w:t xml:space="preserve">Regresjoner ved minste kvadraters metode, der kostnadene innen barnevernet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5B0EEB94" w14:textId="77777777" w:rsidTr="009238AE">
        <w:tc>
          <w:tcPr>
            <w:tcW w:w="2798" w:type="dxa"/>
            <w:tcBorders>
              <w:top w:val="single" w:sz="4" w:space="0" w:color="auto"/>
              <w:left w:val="single" w:sz="4" w:space="0" w:color="auto"/>
              <w:bottom w:val="nil"/>
              <w:right w:val="nil"/>
            </w:tcBorders>
            <w:shd w:val="clear" w:color="auto" w:fill="3672B0" w:themeFill="accent2"/>
          </w:tcPr>
          <w:p w14:paraId="25683AE2"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2AA7BE4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003A886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608F812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7C5A95A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3A2CF44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9A406F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54ABC39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5C7A4DF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0BDA5EA7" w14:textId="77777777" w:rsidTr="009238AE">
        <w:tc>
          <w:tcPr>
            <w:tcW w:w="2798" w:type="dxa"/>
            <w:tcBorders>
              <w:top w:val="nil"/>
              <w:left w:val="single" w:sz="4" w:space="0" w:color="auto"/>
              <w:bottom w:val="single" w:sz="4" w:space="0" w:color="auto"/>
              <w:right w:val="nil"/>
            </w:tcBorders>
            <w:shd w:val="clear" w:color="auto" w:fill="3672B0" w:themeFill="accent2"/>
          </w:tcPr>
          <w:p w14:paraId="66707297"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02E9054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407CBA1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0BFB751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48C7224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1A7B0FD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7E1B128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6FA2AF1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4F22F9E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276004AF"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536DDB92" w14:textId="77777777" w:rsidR="000C35AF" w:rsidRPr="0055149C" w:rsidRDefault="000C35AF" w:rsidP="009238AE">
            <w:pPr>
              <w:pStyle w:val="Regresjonstabell"/>
              <w:rPr>
                <w:sz w:val="20"/>
                <w:szCs w:val="20"/>
              </w:rPr>
            </w:pPr>
            <w:r w:rsidRPr="0055149C">
              <w:rPr>
                <w:color w:val="000000"/>
                <w:sz w:val="20"/>
                <w:szCs w:val="20"/>
              </w:rPr>
              <w:t>Innbyggere 0 til 1 år</w:t>
            </w:r>
          </w:p>
        </w:tc>
        <w:tc>
          <w:tcPr>
            <w:tcW w:w="1399" w:type="dxa"/>
            <w:tcBorders>
              <w:top w:val="single" w:sz="4" w:space="0" w:color="auto"/>
              <w:left w:val="single" w:sz="4" w:space="0" w:color="auto"/>
              <w:bottom w:val="nil"/>
              <w:right w:val="nil"/>
            </w:tcBorders>
            <w:vAlign w:val="bottom"/>
          </w:tcPr>
          <w:p w14:paraId="388D6501" w14:textId="77777777" w:rsidR="000C35AF" w:rsidRPr="00E63B6F" w:rsidRDefault="000C35AF" w:rsidP="009238AE">
            <w:pPr>
              <w:pStyle w:val="Regresjonstabell"/>
              <w:jc w:val="right"/>
              <w:rPr>
                <w:sz w:val="20"/>
                <w:szCs w:val="20"/>
              </w:rPr>
            </w:pPr>
            <w:r w:rsidRPr="00E63B6F">
              <w:rPr>
                <w:color w:val="000000"/>
                <w:sz w:val="20"/>
                <w:szCs w:val="20"/>
              </w:rPr>
              <w:t>-115.540**</w:t>
            </w:r>
          </w:p>
        </w:tc>
        <w:tc>
          <w:tcPr>
            <w:tcW w:w="1399" w:type="dxa"/>
            <w:tcBorders>
              <w:top w:val="single" w:sz="4" w:space="0" w:color="auto"/>
              <w:left w:val="nil"/>
              <w:bottom w:val="nil"/>
              <w:right w:val="nil"/>
            </w:tcBorders>
            <w:vAlign w:val="bottom"/>
          </w:tcPr>
          <w:p w14:paraId="23689F99" w14:textId="77777777" w:rsidR="000C35AF" w:rsidRPr="00E63B6F" w:rsidRDefault="000C35AF" w:rsidP="009238AE">
            <w:pPr>
              <w:pStyle w:val="Regresjonstabell"/>
              <w:jc w:val="right"/>
              <w:rPr>
                <w:sz w:val="20"/>
                <w:szCs w:val="20"/>
              </w:rPr>
            </w:pPr>
            <w:r w:rsidRPr="00E63B6F">
              <w:rPr>
                <w:color w:val="000000"/>
                <w:sz w:val="20"/>
                <w:szCs w:val="20"/>
              </w:rPr>
              <w:t>-115.734**</w:t>
            </w:r>
          </w:p>
        </w:tc>
        <w:tc>
          <w:tcPr>
            <w:tcW w:w="1399" w:type="dxa"/>
            <w:tcBorders>
              <w:top w:val="single" w:sz="4" w:space="0" w:color="auto"/>
              <w:left w:val="nil"/>
              <w:bottom w:val="nil"/>
              <w:right w:val="nil"/>
            </w:tcBorders>
            <w:vAlign w:val="bottom"/>
          </w:tcPr>
          <w:p w14:paraId="7FBF67F3" w14:textId="77777777" w:rsidR="000C35AF" w:rsidRPr="00E63B6F" w:rsidRDefault="000C35AF" w:rsidP="009238AE">
            <w:pPr>
              <w:pStyle w:val="Regresjonstabell"/>
              <w:jc w:val="right"/>
              <w:rPr>
                <w:sz w:val="20"/>
                <w:szCs w:val="20"/>
              </w:rPr>
            </w:pPr>
            <w:r w:rsidRPr="00E63B6F">
              <w:rPr>
                <w:color w:val="000000"/>
                <w:sz w:val="20"/>
                <w:szCs w:val="20"/>
              </w:rPr>
              <w:t>-115.781**</w:t>
            </w:r>
          </w:p>
        </w:tc>
        <w:tc>
          <w:tcPr>
            <w:tcW w:w="1399" w:type="dxa"/>
            <w:tcBorders>
              <w:top w:val="single" w:sz="4" w:space="0" w:color="auto"/>
              <w:left w:val="nil"/>
              <w:bottom w:val="nil"/>
              <w:right w:val="nil"/>
            </w:tcBorders>
            <w:vAlign w:val="bottom"/>
          </w:tcPr>
          <w:p w14:paraId="6D03DE65" w14:textId="77777777" w:rsidR="000C35AF" w:rsidRPr="00E63B6F" w:rsidRDefault="000C35AF" w:rsidP="009238AE">
            <w:pPr>
              <w:pStyle w:val="Regresjonstabell"/>
              <w:jc w:val="right"/>
              <w:rPr>
                <w:sz w:val="20"/>
                <w:szCs w:val="20"/>
              </w:rPr>
            </w:pPr>
            <w:r w:rsidRPr="00E63B6F">
              <w:rPr>
                <w:color w:val="000000"/>
                <w:sz w:val="20"/>
                <w:szCs w:val="20"/>
              </w:rPr>
              <w:t>-116.100**</w:t>
            </w:r>
          </w:p>
        </w:tc>
        <w:tc>
          <w:tcPr>
            <w:tcW w:w="1399" w:type="dxa"/>
            <w:tcBorders>
              <w:top w:val="single" w:sz="4" w:space="0" w:color="auto"/>
              <w:left w:val="nil"/>
              <w:bottom w:val="nil"/>
              <w:right w:val="nil"/>
            </w:tcBorders>
            <w:vAlign w:val="bottom"/>
          </w:tcPr>
          <w:p w14:paraId="4877B21E" w14:textId="77777777" w:rsidR="000C35AF" w:rsidRPr="00E63B6F" w:rsidRDefault="000C35AF" w:rsidP="009238AE">
            <w:pPr>
              <w:pStyle w:val="Regresjonstabell"/>
              <w:jc w:val="right"/>
              <w:rPr>
                <w:sz w:val="20"/>
                <w:szCs w:val="20"/>
              </w:rPr>
            </w:pPr>
            <w:r w:rsidRPr="00E63B6F">
              <w:rPr>
                <w:color w:val="000000"/>
                <w:sz w:val="20"/>
                <w:szCs w:val="20"/>
              </w:rPr>
              <w:t>-11.868</w:t>
            </w:r>
          </w:p>
        </w:tc>
        <w:tc>
          <w:tcPr>
            <w:tcW w:w="1399" w:type="dxa"/>
            <w:tcBorders>
              <w:top w:val="single" w:sz="4" w:space="0" w:color="auto"/>
              <w:left w:val="nil"/>
              <w:bottom w:val="nil"/>
              <w:right w:val="nil"/>
            </w:tcBorders>
            <w:vAlign w:val="bottom"/>
          </w:tcPr>
          <w:p w14:paraId="32F8F241" w14:textId="77777777" w:rsidR="000C35AF" w:rsidRPr="00E63B6F" w:rsidRDefault="000C35AF" w:rsidP="009238AE">
            <w:pPr>
              <w:pStyle w:val="Regresjonstabell"/>
              <w:jc w:val="right"/>
              <w:rPr>
                <w:sz w:val="20"/>
                <w:szCs w:val="20"/>
              </w:rPr>
            </w:pPr>
            <w:r w:rsidRPr="00E63B6F">
              <w:rPr>
                <w:color w:val="000000"/>
                <w:sz w:val="20"/>
                <w:szCs w:val="20"/>
              </w:rPr>
              <w:t>-11.685</w:t>
            </w:r>
          </w:p>
        </w:tc>
        <w:tc>
          <w:tcPr>
            <w:tcW w:w="1400" w:type="dxa"/>
            <w:tcBorders>
              <w:top w:val="single" w:sz="4" w:space="0" w:color="auto"/>
              <w:left w:val="nil"/>
              <w:bottom w:val="nil"/>
              <w:right w:val="nil"/>
            </w:tcBorders>
            <w:vAlign w:val="bottom"/>
          </w:tcPr>
          <w:p w14:paraId="13727AC9" w14:textId="77777777" w:rsidR="000C35AF" w:rsidRPr="00E63B6F" w:rsidRDefault="000C35AF" w:rsidP="009238AE">
            <w:pPr>
              <w:pStyle w:val="Regresjonstabell"/>
              <w:jc w:val="right"/>
              <w:rPr>
                <w:sz w:val="20"/>
                <w:szCs w:val="20"/>
              </w:rPr>
            </w:pPr>
            <w:r w:rsidRPr="00E63B6F">
              <w:rPr>
                <w:color w:val="000000"/>
                <w:sz w:val="20"/>
                <w:szCs w:val="20"/>
              </w:rPr>
              <w:t>-11.681</w:t>
            </w:r>
          </w:p>
        </w:tc>
        <w:tc>
          <w:tcPr>
            <w:tcW w:w="1400" w:type="dxa"/>
            <w:tcBorders>
              <w:top w:val="single" w:sz="4" w:space="0" w:color="auto"/>
              <w:left w:val="nil"/>
              <w:bottom w:val="nil"/>
              <w:right w:val="single" w:sz="4" w:space="0" w:color="auto"/>
            </w:tcBorders>
            <w:vAlign w:val="bottom"/>
          </w:tcPr>
          <w:p w14:paraId="29DD3C53" w14:textId="77777777" w:rsidR="000C35AF" w:rsidRPr="00E63B6F" w:rsidRDefault="000C35AF" w:rsidP="009238AE">
            <w:pPr>
              <w:pStyle w:val="Regresjonstabell"/>
              <w:jc w:val="right"/>
              <w:rPr>
                <w:sz w:val="20"/>
                <w:szCs w:val="20"/>
              </w:rPr>
            </w:pPr>
            <w:r w:rsidRPr="00E63B6F">
              <w:rPr>
                <w:color w:val="000000"/>
                <w:sz w:val="20"/>
                <w:szCs w:val="20"/>
              </w:rPr>
              <w:t>-11.242</w:t>
            </w:r>
          </w:p>
        </w:tc>
      </w:tr>
      <w:tr w:rsidR="000C35AF" w:rsidRPr="0055149C" w14:paraId="7137980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9A080D2" w14:textId="77777777" w:rsidR="000C35AF" w:rsidRPr="0055149C" w:rsidRDefault="000C35AF" w:rsidP="009238AE">
            <w:pPr>
              <w:pStyle w:val="Regresjonstabell"/>
              <w:rPr>
                <w:sz w:val="20"/>
                <w:szCs w:val="20"/>
              </w:rPr>
            </w:pPr>
            <w:r w:rsidRPr="0055149C">
              <w:rPr>
                <w:sz w:val="20"/>
                <w:szCs w:val="20"/>
              </w:rPr>
              <w:t>(Kriterium 3)</w:t>
            </w:r>
          </w:p>
        </w:tc>
        <w:tc>
          <w:tcPr>
            <w:tcW w:w="1399" w:type="dxa"/>
            <w:tcBorders>
              <w:top w:val="nil"/>
              <w:left w:val="single" w:sz="4" w:space="0" w:color="auto"/>
              <w:bottom w:val="nil"/>
              <w:right w:val="nil"/>
            </w:tcBorders>
            <w:vAlign w:val="center"/>
          </w:tcPr>
          <w:p w14:paraId="0D7ACA90" w14:textId="77777777" w:rsidR="000C35AF" w:rsidRPr="00E63B6F" w:rsidRDefault="000C35AF" w:rsidP="009238AE">
            <w:pPr>
              <w:pStyle w:val="Regresjonstabell"/>
              <w:jc w:val="right"/>
              <w:rPr>
                <w:sz w:val="20"/>
                <w:szCs w:val="20"/>
              </w:rPr>
            </w:pPr>
            <w:r w:rsidRPr="00E63B6F">
              <w:rPr>
                <w:color w:val="000000"/>
                <w:sz w:val="20"/>
                <w:szCs w:val="20"/>
              </w:rPr>
              <w:t>(45.371)</w:t>
            </w:r>
          </w:p>
        </w:tc>
        <w:tc>
          <w:tcPr>
            <w:tcW w:w="1399" w:type="dxa"/>
            <w:tcBorders>
              <w:top w:val="nil"/>
              <w:left w:val="nil"/>
              <w:bottom w:val="nil"/>
              <w:right w:val="nil"/>
            </w:tcBorders>
            <w:vAlign w:val="center"/>
          </w:tcPr>
          <w:p w14:paraId="3AB9BAB9" w14:textId="77777777" w:rsidR="000C35AF" w:rsidRPr="00E63B6F" w:rsidRDefault="000C35AF" w:rsidP="009238AE">
            <w:pPr>
              <w:pStyle w:val="Regresjonstabell"/>
              <w:jc w:val="right"/>
              <w:rPr>
                <w:sz w:val="20"/>
                <w:szCs w:val="20"/>
              </w:rPr>
            </w:pPr>
            <w:r w:rsidRPr="00E63B6F">
              <w:rPr>
                <w:color w:val="000000"/>
                <w:sz w:val="20"/>
                <w:szCs w:val="20"/>
              </w:rPr>
              <w:t>(45.472)</w:t>
            </w:r>
          </w:p>
        </w:tc>
        <w:tc>
          <w:tcPr>
            <w:tcW w:w="1399" w:type="dxa"/>
            <w:tcBorders>
              <w:top w:val="nil"/>
              <w:left w:val="nil"/>
              <w:bottom w:val="nil"/>
              <w:right w:val="nil"/>
            </w:tcBorders>
            <w:vAlign w:val="center"/>
          </w:tcPr>
          <w:p w14:paraId="023D1ED5" w14:textId="77777777" w:rsidR="000C35AF" w:rsidRPr="00E63B6F" w:rsidRDefault="000C35AF" w:rsidP="009238AE">
            <w:pPr>
              <w:pStyle w:val="Regresjonstabell"/>
              <w:jc w:val="right"/>
              <w:rPr>
                <w:sz w:val="20"/>
                <w:szCs w:val="20"/>
              </w:rPr>
            </w:pPr>
            <w:r w:rsidRPr="00E63B6F">
              <w:rPr>
                <w:color w:val="000000"/>
                <w:sz w:val="20"/>
                <w:szCs w:val="20"/>
              </w:rPr>
              <w:t>(45.493)</w:t>
            </w:r>
          </w:p>
        </w:tc>
        <w:tc>
          <w:tcPr>
            <w:tcW w:w="1399" w:type="dxa"/>
            <w:tcBorders>
              <w:top w:val="nil"/>
              <w:left w:val="nil"/>
              <w:bottom w:val="nil"/>
              <w:right w:val="nil"/>
            </w:tcBorders>
            <w:vAlign w:val="center"/>
          </w:tcPr>
          <w:p w14:paraId="7DD479C3" w14:textId="77777777" w:rsidR="000C35AF" w:rsidRPr="00E63B6F" w:rsidRDefault="000C35AF" w:rsidP="009238AE">
            <w:pPr>
              <w:pStyle w:val="Regresjonstabell"/>
              <w:jc w:val="right"/>
              <w:rPr>
                <w:sz w:val="20"/>
                <w:szCs w:val="20"/>
              </w:rPr>
            </w:pPr>
            <w:r w:rsidRPr="00E63B6F">
              <w:rPr>
                <w:color w:val="000000"/>
                <w:sz w:val="20"/>
                <w:szCs w:val="20"/>
              </w:rPr>
              <w:t>(45.660)</w:t>
            </w:r>
          </w:p>
        </w:tc>
        <w:tc>
          <w:tcPr>
            <w:tcW w:w="1399" w:type="dxa"/>
            <w:tcBorders>
              <w:top w:val="nil"/>
              <w:left w:val="nil"/>
              <w:bottom w:val="nil"/>
              <w:right w:val="nil"/>
            </w:tcBorders>
            <w:vAlign w:val="center"/>
          </w:tcPr>
          <w:p w14:paraId="5B502A5F" w14:textId="77777777" w:rsidR="000C35AF" w:rsidRPr="00E63B6F" w:rsidRDefault="000C35AF" w:rsidP="009238AE">
            <w:pPr>
              <w:pStyle w:val="Regresjonstabell"/>
              <w:jc w:val="right"/>
              <w:rPr>
                <w:sz w:val="20"/>
                <w:szCs w:val="20"/>
              </w:rPr>
            </w:pPr>
            <w:r w:rsidRPr="00E63B6F">
              <w:rPr>
                <w:color w:val="000000"/>
                <w:sz w:val="20"/>
                <w:szCs w:val="20"/>
              </w:rPr>
              <w:t>(31.219)</w:t>
            </w:r>
          </w:p>
        </w:tc>
        <w:tc>
          <w:tcPr>
            <w:tcW w:w="1399" w:type="dxa"/>
            <w:tcBorders>
              <w:top w:val="nil"/>
              <w:left w:val="nil"/>
              <w:bottom w:val="nil"/>
              <w:right w:val="nil"/>
            </w:tcBorders>
            <w:vAlign w:val="center"/>
          </w:tcPr>
          <w:p w14:paraId="2D766B16" w14:textId="77777777" w:rsidR="000C35AF" w:rsidRPr="00E63B6F" w:rsidRDefault="000C35AF" w:rsidP="009238AE">
            <w:pPr>
              <w:pStyle w:val="Regresjonstabell"/>
              <w:jc w:val="right"/>
              <w:rPr>
                <w:sz w:val="20"/>
                <w:szCs w:val="20"/>
              </w:rPr>
            </w:pPr>
            <w:r w:rsidRPr="00E63B6F">
              <w:rPr>
                <w:color w:val="000000"/>
                <w:sz w:val="20"/>
                <w:szCs w:val="20"/>
              </w:rPr>
              <w:t>(31.320)</w:t>
            </w:r>
          </w:p>
        </w:tc>
        <w:tc>
          <w:tcPr>
            <w:tcW w:w="1400" w:type="dxa"/>
            <w:tcBorders>
              <w:top w:val="nil"/>
              <w:left w:val="nil"/>
              <w:bottom w:val="nil"/>
              <w:right w:val="nil"/>
            </w:tcBorders>
            <w:vAlign w:val="center"/>
          </w:tcPr>
          <w:p w14:paraId="32F6E609" w14:textId="77777777" w:rsidR="000C35AF" w:rsidRPr="00E63B6F" w:rsidRDefault="000C35AF" w:rsidP="009238AE">
            <w:pPr>
              <w:pStyle w:val="Regresjonstabell"/>
              <w:jc w:val="right"/>
              <w:rPr>
                <w:sz w:val="20"/>
                <w:szCs w:val="20"/>
              </w:rPr>
            </w:pPr>
            <w:r w:rsidRPr="00E63B6F">
              <w:rPr>
                <w:color w:val="000000"/>
                <w:sz w:val="20"/>
                <w:szCs w:val="20"/>
              </w:rPr>
              <w:t>(31.318)</w:t>
            </w:r>
          </w:p>
        </w:tc>
        <w:tc>
          <w:tcPr>
            <w:tcW w:w="1400" w:type="dxa"/>
            <w:tcBorders>
              <w:top w:val="nil"/>
              <w:left w:val="nil"/>
              <w:bottom w:val="nil"/>
              <w:right w:val="single" w:sz="4" w:space="0" w:color="auto"/>
            </w:tcBorders>
            <w:vAlign w:val="center"/>
          </w:tcPr>
          <w:p w14:paraId="44E3C634" w14:textId="77777777" w:rsidR="000C35AF" w:rsidRPr="00E63B6F" w:rsidRDefault="000C35AF" w:rsidP="009238AE">
            <w:pPr>
              <w:pStyle w:val="Regresjonstabell"/>
              <w:jc w:val="right"/>
              <w:rPr>
                <w:sz w:val="20"/>
                <w:szCs w:val="20"/>
              </w:rPr>
            </w:pPr>
            <w:r w:rsidRPr="00E63B6F">
              <w:rPr>
                <w:color w:val="000000"/>
                <w:sz w:val="20"/>
                <w:szCs w:val="20"/>
              </w:rPr>
              <w:t>(31.555)</w:t>
            </w:r>
          </w:p>
        </w:tc>
      </w:tr>
      <w:tr w:rsidR="000C35AF" w:rsidRPr="0055149C" w14:paraId="167CFCD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CD0F86B" w14:textId="77777777" w:rsidR="000C35AF" w:rsidRPr="0055149C" w:rsidRDefault="000C35AF" w:rsidP="009238AE">
            <w:pPr>
              <w:pStyle w:val="Regresjonstabell"/>
              <w:rPr>
                <w:sz w:val="20"/>
                <w:szCs w:val="20"/>
              </w:rPr>
            </w:pPr>
            <w:r w:rsidRPr="0055149C">
              <w:rPr>
                <w:color w:val="000000"/>
                <w:sz w:val="20"/>
                <w:szCs w:val="20"/>
              </w:rPr>
              <w:t>Innbyggere 2 til 5 år</w:t>
            </w:r>
          </w:p>
        </w:tc>
        <w:tc>
          <w:tcPr>
            <w:tcW w:w="1399" w:type="dxa"/>
            <w:tcBorders>
              <w:top w:val="nil"/>
              <w:left w:val="single" w:sz="4" w:space="0" w:color="auto"/>
              <w:bottom w:val="nil"/>
              <w:right w:val="nil"/>
            </w:tcBorders>
            <w:vAlign w:val="bottom"/>
          </w:tcPr>
          <w:p w14:paraId="77D72F02" w14:textId="77777777" w:rsidR="000C35AF" w:rsidRPr="00E63B6F" w:rsidRDefault="000C35AF" w:rsidP="009238AE">
            <w:pPr>
              <w:pStyle w:val="Regresjonstabell"/>
              <w:jc w:val="right"/>
              <w:rPr>
                <w:sz w:val="20"/>
                <w:szCs w:val="20"/>
              </w:rPr>
            </w:pPr>
            <w:r w:rsidRPr="00E63B6F">
              <w:rPr>
                <w:color w:val="000000"/>
                <w:sz w:val="20"/>
                <w:szCs w:val="20"/>
              </w:rPr>
              <w:t>56.933*</w:t>
            </w:r>
          </w:p>
        </w:tc>
        <w:tc>
          <w:tcPr>
            <w:tcW w:w="1399" w:type="dxa"/>
            <w:tcBorders>
              <w:top w:val="nil"/>
              <w:left w:val="nil"/>
              <w:bottom w:val="nil"/>
              <w:right w:val="nil"/>
            </w:tcBorders>
            <w:vAlign w:val="bottom"/>
          </w:tcPr>
          <w:p w14:paraId="15334F99" w14:textId="77777777" w:rsidR="000C35AF" w:rsidRPr="00E63B6F" w:rsidRDefault="000C35AF" w:rsidP="009238AE">
            <w:pPr>
              <w:pStyle w:val="Regresjonstabell"/>
              <w:jc w:val="right"/>
              <w:rPr>
                <w:sz w:val="20"/>
                <w:szCs w:val="20"/>
              </w:rPr>
            </w:pPr>
            <w:r w:rsidRPr="00E63B6F">
              <w:rPr>
                <w:color w:val="000000"/>
                <w:sz w:val="20"/>
                <w:szCs w:val="20"/>
              </w:rPr>
              <w:t>56.870*</w:t>
            </w:r>
          </w:p>
        </w:tc>
        <w:tc>
          <w:tcPr>
            <w:tcW w:w="1399" w:type="dxa"/>
            <w:tcBorders>
              <w:top w:val="nil"/>
              <w:left w:val="nil"/>
              <w:bottom w:val="nil"/>
              <w:right w:val="nil"/>
            </w:tcBorders>
            <w:vAlign w:val="bottom"/>
          </w:tcPr>
          <w:p w14:paraId="6C815B66" w14:textId="77777777" w:rsidR="000C35AF" w:rsidRPr="00E63B6F" w:rsidRDefault="000C35AF" w:rsidP="009238AE">
            <w:pPr>
              <w:pStyle w:val="Regresjonstabell"/>
              <w:jc w:val="right"/>
              <w:rPr>
                <w:sz w:val="20"/>
                <w:szCs w:val="20"/>
              </w:rPr>
            </w:pPr>
            <w:r w:rsidRPr="00E63B6F">
              <w:rPr>
                <w:color w:val="000000"/>
                <w:sz w:val="20"/>
                <w:szCs w:val="20"/>
              </w:rPr>
              <w:t>56.922*</w:t>
            </w:r>
          </w:p>
        </w:tc>
        <w:tc>
          <w:tcPr>
            <w:tcW w:w="1399" w:type="dxa"/>
            <w:tcBorders>
              <w:top w:val="nil"/>
              <w:left w:val="nil"/>
              <w:bottom w:val="nil"/>
              <w:right w:val="nil"/>
            </w:tcBorders>
            <w:vAlign w:val="bottom"/>
          </w:tcPr>
          <w:p w14:paraId="399C4873" w14:textId="77777777" w:rsidR="000C35AF" w:rsidRPr="00E63B6F" w:rsidRDefault="000C35AF" w:rsidP="009238AE">
            <w:pPr>
              <w:pStyle w:val="Regresjonstabell"/>
              <w:jc w:val="right"/>
              <w:rPr>
                <w:sz w:val="20"/>
                <w:szCs w:val="20"/>
              </w:rPr>
            </w:pPr>
            <w:r w:rsidRPr="00E63B6F">
              <w:rPr>
                <w:color w:val="000000"/>
                <w:sz w:val="20"/>
                <w:szCs w:val="20"/>
              </w:rPr>
              <w:t>56.903*</w:t>
            </w:r>
          </w:p>
        </w:tc>
        <w:tc>
          <w:tcPr>
            <w:tcW w:w="1399" w:type="dxa"/>
            <w:tcBorders>
              <w:top w:val="nil"/>
              <w:left w:val="nil"/>
              <w:bottom w:val="nil"/>
              <w:right w:val="nil"/>
            </w:tcBorders>
            <w:vAlign w:val="bottom"/>
          </w:tcPr>
          <w:p w14:paraId="3B9428F0" w14:textId="77777777" w:rsidR="000C35AF" w:rsidRPr="00E63B6F" w:rsidRDefault="000C35AF" w:rsidP="009238AE">
            <w:pPr>
              <w:pStyle w:val="Regresjonstabell"/>
              <w:jc w:val="right"/>
              <w:rPr>
                <w:sz w:val="20"/>
                <w:szCs w:val="20"/>
              </w:rPr>
            </w:pPr>
            <w:r w:rsidRPr="00E63B6F">
              <w:rPr>
                <w:color w:val="000000"/>
                <w:sz w:val="20"/>
                <w:szCs w:val="20"/>
              </w:rPr>
              <w:t>-73.048**</w:t>
            </w:r>
          </w:p>
        </w:tc>
        <w:tc>
          <w:tcPr>
            <w:tcW w:w="1399" w:type="dxa"/>
            <w:tcBorders>
              <w:top w:val="nil"/>
              <w:left w:val="nil"/>
              <w:bottom w:val="nil"/>
              <w:right w:val="nil"/>
            </w:tcBorders>
            <w:vAlign w:val="bottom"/>
          </w:tcPr>
          <w:p w14:paraId="3DF34BC4" w14:textId="77777777" w:rsidR="000C35AF" w:rsidRPr="00E63B6F" w:rsidRDefault="000C35AF" w:rsidP="009238AE">
            <w:pPr>
              <w:pStyle w:val="Regresjonstabell"/>
              <w:jc w:val="right"/>
              <w:rPr>
                <w:sz w:val="20"/>
                <w:szCs w:val="20"/>
              </w:rPr>
            </w:pPr>
            <w:r w:rsidRPr="00E63B6F">
              <w:rPr>
                <w:color w:val="000000"/>
                <w:sz w:val="20"/>
                <w:szCs w:val="20"/>
              </w:rPr>
              <w:t>-73.178**</w:t>
            </w:r>
          </w:p>
        </w:tc>
        <w:tc>
          <w:tcPr>
            <w:tcW w:w="1400" w:type="dxa"/>
            <w:tcBorders>
              <w:top w:val="nil"/>
              <w:left w:val="nil"/>
              <w:bottom w:val="nil"/>
              <w:right w:val="nil"/>
            </w:tcBorders>
            <w:vAlign w:val="bottom"/>
          </w:tcPr>
          <w:p w14:paraId="39AE6A1B" w14:textId="77777777" w:rsidR="000C35AF" w:rsidRPr="00E63B6F" w:rsidRDefault="000C35AF" w:rsidP="009238AE">
            <w:pPr>
              <w:pStyle w:val="Regresjonstabell"/>
              <w:jc w:val="right"/>
              <w:rPr>
                <w:sz w:val="20"/>
                <w:szCs w:val="20"/>
              </w:rPr>
            </w:pPr>
            <w:r w:rsidRPr="00E63B6F">
              <w:rPr>
                <w:color w:val="000000"/>
                <w:sz w:val="20"/>
                <w:szCs w:val="20"/>
              </w:rPr>
              <w:t>-73.177**</w:t>
            </w:r>
          </w:p>
        </w:tc>
        <w:tc>
          <w:tcPr>
            <w:tcW w:w="1400" w:type="dxa"/>
            <w:tcBorders>
              <w:top w:val="nil"/>
              <w:left w:val="nil"/>
              <w:bottom w:val="nil"/>
              <w:right w:val="single" w:sz="4" w:space="0" w:color="auto"/>
            </w:tcBorders>
            <w:vAlign w:val="bottom"/>
          </w:tcPr>
          <w:p w14:paraId="732967B8" w14:textId="77777777" w:rsidR="000C35AF" w:rsidRPr="00E63B6F" w:rsidRDefault="000C35AF" w:rsidP="009238AE">
            <w:pPr>
              <w:pStyle w:val="Regresjonstabell"/>
              <w:jc w:val="right"/>
              <w:rPr>
                <w:sz w:val="20"/>
                <w:szCs w:val="20"/>
              </w:rPr>
            </w:pPr>
            <w:r w:rsidRPr="00E63B6F">
              <w:rPr>
                <w:color w:val="000000"/>
                <w:sz w:val="20"/>
                <w:szCs w:val="20"/>
              </w:rPr>
              <w:t>-73.479**</w:t>
            </w:r>
          </w:p>
        </w:tc>
      </w:tr>
      <w:tr w:rsidR="000C35AF" w:rsidRPr="0055149C" w14:paraId="56D329A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3FCE62D"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281721EB" w14:textId="77777777" w:rsidR="000C35AF" w:rsidRPr="00E63B6F" w:rsidRDefault="000C35AF" w:rsidP="009238AE">
            <w:pPr>
              <w:pStyle w:val="Regresjonstabell"/>
              <w:jc w:val="right"/>
              <w:rPr>
                <w:sz w:val="20"/>
                <w:szCs w:val="20"/>
              </w:rPr>
            </w:pPr>
            <w:r w:rsidRPr="00E63B6F">
              <w:rPr>
                <w:color w:val="000000"/>
                <w:sz w:val="20"/>
                <w:szCs w:val="20"/>
              </w:rPr>
              <w:t>(32.252)</w:t>
            </w:r>
          </w:p>
        </w:tc>
        <w:tc>
          <w:tcPr>
            <w:tcW w:w="1399" w:type="dxa"/>
            <w:tcBorders>
              <w:top w:val="nil"/>
              <w:left w:val="nil"/>
              <w:bottom w:val="nil"/>
              <w:right w:val="nil"/>
            </w:tcBorders>
            <w:vAlign w:val="center"/>
          </w:tcPr>
          <w:p w14:paraId="1A7CF87C" w14:textId="77777777" w:rsidR="000C35AF" w:rsidRPr="00E63B6F" w:rsidRDefault="000C35AF" w:rsidP="009238AE">
            <w:pPr>
              <w:pStyle w:val="Regresjonstabell"/>
              <w:jc w:val="right"/>
              <w:rPr>
                <w:sz w:val="20"/>
                <w:szCs w:val="20"/>
              </w:rPr>
            </w:pPr>
            <w:r w:rsidRPr="00E63B6F">
              <w:rPr>
                <w:color w:val="000000"/>
                <w:sz w:val="20"/>
                <w:szCs w:val="20"/>
              </w:rPr>
              <w:t>(32.269)</w:t>
            </w:r>
          </w:p>
        </w:tc>
        <w:tc>
          <w:tcPr>
            <w:tcW w:w="1399" w:type="dxa"/>
            <w:tcBorders>
              <w:top w:val="nil"/>
              <w:left w:val="nil"/>
              <w:bottom w:val="nil"/>
              <w:right w:val="nil"/>
            </w:tcBorders>
            <w:vAlign w:val="center"/>
          </w:tcPr>
          <w:p w14:paraId="475564CB" w14:textId="77777777" w:rsidR="000C35AF" w:rsidRPr="00E63B6F" w:rsidRDefault="000C35AF" w:rsidP="009238AE">
            <w:pPr>
              <w:pStyle w:val="Regresjonstabell"/>
              <w:jc w:val="right"/>
              <w:rPr>
                <w:sz w:val="20"/>
                <w:szCs w:val="20"/>
              </w:rPr>
            </w:pPr>
            <w:r w:rsidRPr="00E63B6F">
              <w:rPr>
                <w:color w:val="000000"/>
                <w:sz w:val="20"/>
                <w:szCs w:val="20"/>
              </w:rPr>
              <w:t>(32.266)</w:t>
            </w:r>
          </w:p>
        </w:tc>
        <w:tc>
          <w:tcPr>
            <w:tcW w:w="1399" w:type="dxa"/>
            <w:tcBorders>
              <w:top w:val="nil"/>
              <w:left w:val="nil"/>
              <w:bottom w:val="nil"/>
              <w:right w:val="nil"/>
            </w:tcBorders>
            <w:vAlign w:val="center"/>
          </w:tcPr>
          <w:p w14:paraId="32089EFB" w14:textId="77777777" w:rsidR="000C35AF" w:rsidRPr="00E63B6F" w:rsidRDefault="000C35AF" w:rsidP="009238AE">
            <w:pPr>
              <w:pStyle w:val="Regresjonstabell"/>
              <w:jc w:val="right"/>
              <w:rPr>
                <w:sz w:val="20"/>
                <w:szCs w:val="20"/>
              </w:rPr>
            </w:pPr>
            <w:r w:rsidRPr="00E63B6F">
              <w:rPr>
                <w:color w:val="000000"/>
                <w:sz w:val="20"/>
                <w:szCs w:val="20"/>
              </w:rPr>
              <w:t>(32.285)</w:t>
            </w:r>
          </w:p>
        </w:tc>
        <w:tc>
          <w:tcPr>
            <w:tcW w:w="1399" w:type="dxa"/>
            <w:tcBorders>
              <w:top w:val="nil"/>
              <w:left w:val="nil"/>
              <w:bottom w:val="nil"/>
              <w:right w:val="nil"/>
            </w:tcBorders>
            <w:vAlign w:val="center"/>
          </w:tcPr>
          <w:p w14:paraId="0FC7D7DB" w14:textId="77777777" w:rsidR="000C35AF" w:rsidRPr="00E63B6F" w:rsidRDefault="000C35AF" w:rsidP="009238AE">
            <w:pPr>
              <w:pStyle w:val="Regresjonstabell"/>
              <w:jc w:val="right"/>
              <w:rPr>
                <w:sz w:val="20"/>
                <w:szCs w:val="20"/>
              </w:rPr>
            </w:pPr>
            <w:r w:rsidRPr="00E63B6F">
              <w:rPr>
                <w:color w:val="000000"/>
                <w:sz w:val="20"/>
                <w:szCs w:val="20"/>
              </w:rPr>
              <w:t>(32.387)</w:t>
            </w:r>
          </w:p>
        </w:tc>
        <w:tc>
          <w:tcPr>
            <w:tcW w:w="1399" w:type="dxa"/>
            <w:tcBorders>
              <w:top w:val="nil"/>
              <w:left w:val="nil"/>
              <w:bottom w:val="nil"/>
              <w:right w:val="nil"/>
            </w:tcBorders>
            <w:vAlign w:val="center"/>
          </w:tcPr>
          <w:p w14:paraId="00B0A9C7" w14:textId="77777777" w:rsidR="000C35AF" w:rsidRPr="00E63B6F" w:rsidRDefault="000C35AF" w:rsidP="009238AE">
            <w:pPr>
              <w:pStyle w:val="Regresjonstabell"/>
              <w:jc w:val="right"/>
              <w:rPr>
                <w:sz w:val="20"/>
                <w:szCs w:val="20"/>
              </w:rPr>
            </w:pPr>
            <w:r w:rsidRPr="00E63B6F">
              <w:rPr>
                <w:color w:val="000000"/>
                <w:sz w:val="20"/>
                <w:szCs w:val="20"/>
              </w:rPr>
              <w:t>(32.454)</w:t>
            </w:r>
          </w:p>
        </w:tc>
        <w:tc>
          <w:tcPr>
            <w:tcW w:w="1400" w:type="dxa"/>
            <w:tcBorders>
              <w:top w:val="nil"/>
              <w:left w:val="nil"/>
              <w:bottom w:val="nil"/>
              <w:right w:val="nil"/>
            </w:tcBorders>
            <w:vAlign w:val="center"/>
          </w:tcPr>
          <w:p w14:paraId="146DFA22" w14:textId="77777777" w:rsidR="000C35AF" w:rsidRPr="00E63B6F" w:rsidRDefault="000C35AF" w:rsidP="009238AE">
            <w:pPr>
              <w:pStyle w:val="Regresjonstabell"/>
              <w:jc w:val="right"/>
              <w:rPr>
                <w:sz w:val="20"/>
                <w:szCs w:val="20"/>
              </w:rPr>
            </w:pPr>
            <w:r w:rsidRPr="00E63B6F">
              <w:rPr>
                <w:color w:val="000000"/>
                <w:sz w:val="20"/>
                <w:szCs w:val="20"/>
              </w:rPr>
              <w:t>(32.460)</w:t>
            </w:r>
          </w:p>
        </w:tc>
        <w:tc>
          <w:tcPr>
            <w:tcW w:w="1400" w:type="dxa"/>
            <w:tcBorders>
              <w:top w:val="nil"/>
              <w:left w:val="nil"/>
              <w:bottom w:val="nil"/>
              <w:right w:val="single" w:sz="4" w:space="0" w:color="auto"/>
            </w:tcBorders>
            <w:vAlign w:val="center"/>
          </w:tcPr>
          <w:p w14:paraId="5A219EBA" w14:textId="77777777" w:rsidR="000C35AF" w:rsidRPr="00E63B6F" w:rsidRDefault="000C35AF" w:rsidP="009238AE">
            <w:pPr>
              <w:pStyle w:val="Regresjonstabell"/>
              <w:jc w:val="right"/>
              <w:rPr>
                <w:sz w:val="20"/>
                <w:szCs w:val="20"/>
              </w:rPr>
            </w:pPr>
            <w:r w:rsidRPr="00E63B6F">
              <w:rPr>
                <w:color w:val="000000"/>
                <w:sz w:val="20"/>
                <w:szCs w:val="20"/>
              </w:rPr>
              <w:t>(32.636)</w:t>
            </w:r>
          </w:p>
        </w:tc>
      </w:tr>
      <w:tr w:rsidR="000C35AF" w:rsidRPr="0055149C" w14:paraId="756693E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DF12F1F" w14:textId="77777777" w:rsidR="000C35AF" w:rsidRPr="0055149C" w:rsidRDefault="000C35AF" w:rsidP="009238AE">
            <w:pPr>
              <w:pStyle w:val="Regresjonstabell"/>
              <w:rPr>
                <w:sz w:val="20"/>
                <w:szCs w:val="20"/>
              </w:rPr>
            </w:pPr>
            <w:r w:rsidRPr="0055149C">
              <w:rPr>
                <w:color w:val="000000"/>
                <w:sz w:val="20"/>
                <w:szCs w:val="20"/>
              </w:rPr>
              <w:t>Innbyggere 6 til 15 år</w:t>
            </w:r>
          </w:p>
        </w:tc>
        <w:tc>
          <w:tcPr>
            <w:tcW w:w="1399" w:type="dxa"/>
            <w:tcBorders>
              <w:top w:val="nil"/>
              <w:left w:val="single" w:sz="4" w:space="0" w:color="auto"/>
              <w:bottom w:val="nil"/>
              <w:right w:val="nil"/>
            </w:tcBorders>
            <w:vAlign w:val="bottom"/>
          </w:tcPr>
          <w:p w14:paraId="28A9C175" w14:textId="77777777" w:rsidR="000C35AF" w:rsidRPr="00E63B6F" w:rsidRDefault="000C35AF" w:rsidP="009238AE">
            <w:pPr>
              <w:pStyle w:val="Regresjonstabell"/>
              <w:jc w:val="right"/>
              <w:rPr>
                <w:sz w:val="20"/>
                <w:szCs w:val="20"/>
              </w:rPr>
            </w:pPr>
            <w:r w:rsidRPr="00E63B6F">
              <w:rPr>
                <w:color w:val="000000"/>
                <w:sz w:val="20"/>
                <w:szCs w:val="20"/>
              </w:rPr>
              <w:t>-26.732**</w:t>
            </w:r>
          </w:p>
        </w:tc>
        <w:tc>
          <w:tcPr>
            <w:tcW w:w="1399" w:type="dxa"/>
            <w:tcBorders>
              <w:top w:val="nil"/>
              <w:left w:val="nil"/>
              <w:bottom w:val="nil"/>
              <w:right w:val="nil"/>
            </w:tcBorders>
            <w:vAlign w:val="bottom"/>
          </w:tcPr>
          <w:p w14:paraId="136F6F76" w14:textId="77777777" w:rsidR="000C35AF" w:rsidRPr="00E63B6F" w:rsidRDefault="000C35AF" w:rsidP="009238AE">
            <w:pPr>
              <w:pStyle w:val="Regresjonstabell"/>
              <w:jc w:val="right"/>
              <w:rPr>
                <w:sz w:val="20"/>
                <w:szCs w:val="20"/>
              </w:rPr>
            </w:pPr>
            <w:r w:rsidRPr="00E63B6F">
              <w:rPr>
                <w:color w:val="000000"/>
                <w:sz w:val="20"/>
                <w:szCs w:val="20"/>
              </w:rPr>
              <w:t>-26.672**</w:t>
            </w:r>
          </w:p>
        </w:tc>
        <w:tc>
          <w:tcPr>
            <w:tcW w:w="1399" w:type="dxa"/>
            <w:tcBorders>
              <w:top w:val="nil"/>
              <w:left w:val="nil"/>
              <w:bottom w:val="nil"/>
              <w:right w:val="nil"/>
            </w:tcBorders>
            <w:vAlign w:val="bottom"/>
          </w:tcPr>
          <w:p w14:paraId="3513C00F" w14:textId="77777777" w:rsidR="000C35AF" w:rsidRPr="00E63B6F" w:rsidRDefault="000C35AF" w:rsidP="009238AE">
            <w:pPr>
              <w:pStyle w:val="Regresjonstabell"/>
              <w:jc w:val="right"/>
              <w:rPr>
                <w:sz w:val="20"/>
                <w:szCs w:val="20"/>
              </w:rPr>
            </w:pPr>
            <w:r w:rsidRPr="00E63B6F">
              <w:rPr>
                <w:color w:val="000000"/>
                <w:sz w:val="20"/>
                <w:szCs w:val="20"/>
              </w:rPr>
              <w:t>-26.745**</w:t>
            </w:r>
          </w:p>
        </w:tc>
        <w:tc>
          <w:tcPr>
            <w:tcW w:w="1399" w:type="dxa"/>
            <w:tcBorders>
              <w:top w:val="nil"/>
              <w:left w:val="nil"/>
              <w:bottom w:val="nil"/>
              <w:right w:val="nil"/>
            </w:tcBorders>
            <w:vAlign w:val="bottom"/>
          </w:tcPr>
          <w:p w14:paraId="51BBD025" w14:textId="77777777" w:rsidR="000C35AF" w:rsidRPr="00E63B6F" w:rsidRDefault="000C35AF" w:rsidP="009238AE">
            <w:pPr>
              <w:pStyle w:val="Regresjonstabell"/>
              <w:jc w:val="right"/>
              <w:rPr>
                <w:sz w:val="20"/>
                <w:szCs w:val="20"/>
              </w:rPr>
            </w:pPr>
            <w:r w:rsidRPr="00E63B6F">
              <w:rPr>
                <w:color w:val="000000"/>
                <w:sz w:val="20"/>
                <w:szCs w:val="20"/>
              </w:rPr>
              <w:t>-26.765**</w:t>
            </w:r>
          </w:p>
        </w:tc>
        <w:tc>
          <w:tcPr>
            <w:tcW w:w="1399" w:type="dxa"/>
            <w:tcBorders>
              <w:top w:val="nil"/>
              <w:left w:val="nil"/>
              <w:bottom w:val="nil"/>
              <w:right w:val="nil"/>
            </w:tcBorders>
            <w:vAlign w:val="bottom"/>
          </w:tcPr>
          <w:p w14:paraId="2D2D0D55" w14:textId="77777777" w:rsidR="000C35AF" w:rsidRPr="00E63B6F" w:rsidRDefault="000C35AF" w:rsidP="009238AE">
            <w:pPr>
              <w:pStyle w:val="Regresjonstabell"/>
              <w:jc w:val="right"/>
              <w:rPr>
                <w:sz w:val="20"/>
                <w:szCs w:val="20"/>
              </w:rPr>
            </w:pPr>
            <w:r w:rsidRPr="00E63B6F">
              <w:rPr>
                <w:color w:val="000000"/>
                <w:sz w:val="20"/>
                <w:szCs w:val="20"/>
              </w:rPr>
              <w:t>13.137</w:t>
            </w:r>
          </w:p>
        </w:tc>
        <w:tc>
          <w:tcPr>
            <w:tcW w:w="1399" w:type="dxa"/>
            <w:tcBorders>
              <w:top w:val="nil"/>
              <w:left w:val="nil"/>
              <w:bottom w:val="nil"/>
              <w:right w:val="nil"/>
            </w:tcBorders>
            <w:vAlign w:val="bottom"/>
          </w:tcPr>
          <w:p w14:paraId="34655351" w14:textId="77777777" w:rsidR="000C35AF" w:rsidRPr="00E63B6F" w:rsidRDefault="000C35AF" w:rsidP="009238AE">
            <w:pPr>
              <w:pStyle w:val="Regresjonstabell"/>
              <w:jc w:val="right"/>
              <w:rPr>
                <w:sz w:val="20"/>
                <w:szCs w:val="20"/>
              </w:rPr>
            </w:pPr>
            <w:r w:rsidRPr="00E63B6F">
              <w:rPr>
                <w:color w:val="000000"/>
                <w:sz w:val="20"/>
                <w:szCs w:val="20"/>
              </w:rPr>
              <w:t>13.083</w:t>
            </w:r>
          </w:p>
        </w:tc>
        <w:tc>
          <w:tcPr>
            <w:tcW w:w="1400" w:type="dxa"/>
            <w:tcBorders>
              <w:top w:val="nil"/>
              <w:left w:val="nil"/>
              <w:bottom w:val="nil"/>
              <w:right w:val="nil"/>
            </w:tcBorders>
            <w:vAlign w:val="bottom"/>
          </w:tcPr>
          <w:p w14:paraId="2E3A114F" w14:textId="77777777" w:rsidR="000C35AF" w:rsidRPr="00E63B6F" w:rsidRDefault="000C35AF" w:rsidP="009238AE">
            <w:pPr>
              <w:pStyle w:val="Regresjonstabell"/>
              <w:jc w:val="right"/>
              <w:rPr>
                <w:sz w:val="20"/>
                <w:szCs w:val="20"/>
              </w:rPr>
            </w:pPr>
            <w:r w:rsidRPr="00E63B6F">
              <w:rPr>
                <w:color w:val="000000"/>
                <w:sz w:val="20"/>
                <w:szCs w:val="20"/>
              </w:rPr>
              <w:t>13.067</w:t>
            </w:r>
          </w:p>
        </w:tc>
        <w:tc>
          <w:tcPr>
            <w:tcW w:w="1400" w:type="dxa"/>
            <w:tcBorders>
              <w:top w:val="nil"/>
              <w:left w:val="nil"/>
              <w:bottom w:val="nil"/>
              <w:right w:val="single" w:sz="4" w:space="0" w:color="auto"/>
            </w:tcBorders>
            <w:vAlign w:val="bottom"/>
          </w:tcPr>
          <w:p w14:paraId="04B6D719" w14:textId="77777777" w:rsidR="000C35AF" w:rsidRPr="00E63B6F" w:rsidRDefault="000C35AF" w:rsidP="009238AE">
            <w:pPr>
              <w:pStyle w:val="Regresjonstabell"/>
              <w:jc w:val="right"/>
              <w:rPr>
                <w:sz w:val="20"/>
                <w:szCs w:val="20"/>
              </w:rPr>
            </w:pPr>
            <w:r w:rsidRPr="00E63B6F">
              <w:rPr>
                <w:color w:val="000000"/>
                <w:sz w:val="20"/>
                <w:szCs w:val="20"/>
              </w:rPr>
              <w:t>12.903</w:t>
            </w:r>
          </w:p>
        </w:tc>
      </w:tr>
      <w:tr w:rsidR="000C35AF" w:rsidRPr="0055149C" w14:paraId="097337B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B45CDA0"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3FEE6DEF" w14:textId="77777777" w:rsidR="000C35AF" w:rsidRPr="00E63B6F" w:rsidRDefault="000C35AF" w:rsidP="009238AE">
            <w:pPr>
              <w:pStyle w:val="Regresjonstabell"/>
              <w:jc w:val="right"/>
              <w:rPr>
                <w:sz w:val="20"/>
                <w:szCs w:val="20"/>
              </w:rPr>
            </w:pPr>
            <w:r w:rsidRPr="00E63B6F">
              <w:rPr>
                <w:color w:val="000000"/>
                <w:sz w:val="20"/>
                <w:szCs w:val="20"/>
              </w:rPr>
              <w:t>(11.553)</w:t>
            </w:r>
          </w:p>
        </w:tc>
        <w:tc>
          <w:tcPr>
            <w:tcW w:w="1399" w:type="dxa"/>
            <w:tcBorders>
              <w:top w:val="nil"/>
              <w:left w:val="nil"/>
              <w:bottom w:val="nil"/>
              <w:right w:val="nil"/>
            </w:tcBorders>
            <w:vAlign w:val="center"/>
          </w:tcPr>
          <w:p w14:paraId="38FC3893" w14:textId="77777777" w:rsidR="000C35AF" w:rsidRPr="00E63B6F" w:rsidRDefault="000C35AF" w:rsidP="009238AE">
            <w:pPr>
              <w:pStyle w:val="Regresjonstabell"/>
              <w:jc w:val="right"/>
              <w:rPr>
                <w:sz w:val="20"/>
                <w:szCs w:val="20"/>
              </w:rPr>
            </w:pPr>
            <w:r w:rsidRPr="00E63B6F">
              <w:rPr>
                <w:color w:val="000000"/>
                <w:sz w:val="20"/>
                <w:szCs w:val="20"/>
              </w:rPr>
              <w:t>(11.564)</w:t>
            </w:r>
          </w:p>
        </w:tc>
        <w:tc>
          <w:tcPr>
            <w:tcW w:w="1399" w:type="dxa"/>
            <w:tcBorders>
              <w:top w:val="nil"/>
              <w:left w:val="nil"/>
              <w:bottom w:val="nil"/>
              <w:right w:val="nil"/>
            </w:tcBorders>
            <w:vAlign w:val="center"/>
          </w:tcPr>
          <w:p w14:paraId="3F133592" w14:textId="77777777" w:rsidR="000C35AF" w:rsidRPr="00E63B6F" w:rsidRDefault="000C35AF" w:rsidP="009238AE">
            <w:pPr>
              <w:pStyle w:val="Regresjonstabell"/>
              <w:jc w:val="right"/>
              <w:rPr>
                <w:sz w:val="20"/>
                <w:szCs w:val="20"/>
              </w:rPr>
            </w:pPr>
            <w:r w:rsidRPr="00E63B6F">
              <w:rPr>
                <w:color w:val="000000"/>
                <w:sz w:val="20"/>
                <w:szCs w:val="20"/>
              </w:rPr>
              <w:t>(11.568)</w:t>
            </w:r>
          </w:p>
        </w:tc>
        <w:tc>
          <w:tcPr>
            <w:tcW w:w="1399" w:type="dxa"/>
            <w:tcBorders>
              <w:top w:val="nil"/>
              <w:left w:val="nil"/>
              <w:bottom w:val="nil"/>
              <w:right w:val="nil"/>
            </w:tcBorders>
            <w:vAlign w:val="center"/>
          </w:tcPr>
          <w:p w14:paraId="5EFAF788" w14:textId="77777777" w:rsidR="000C35AF" w:rsidRPr="00E63B6F" w:rsidRDefault="000C35AF" w:rsidP="009238AE">
            <w:pPr>
              <w:pStyle w:val="Regresjonstabell"/>
              <w:jc w:val="right"/>
              <w:rPr>
                <w:sz w:val="20"/>
                <w:szCs w:val="20"/>
              </w:rPr>
            </w:pPr>
            <w:r w:rsidRPr="00E63B6F">
              <w:rPr>
                <w:color w:val="000000"/>
                <w:sz w:val="20"/>
                <w:szCs w:val="20"/>
              </w:rPr>
              <w:t>(11.589)</w:t>
            </w:r>
          </w:p>
        </w:tc>
        <w:tc>
          <w:tcPr>
            <w:tcW w:w="1399" w:type="dxa"/>
            <w:tcBorders>
              <w:top w:val="nil"/>
              <w:left w:val="nil"/>
              <w:bottom w:val="nil"/>
              <w:right w:val="nil"/>
            </w:tcBorders>
            <w:vAlign w:val="center"/>
          </w:tcPr>
          <w:p w14:paraId="5CF6FFE9" w14:textId="77777777" w:rsidR="000C35AF" w:rsidRPr="00E63B6F" w:rsidRDefault="000C35AF" w:rsidP="009238AE">
            <w:pPr>
              <w:pStyle w:val="Regresjonstabell"/>
              <w:jc w:val="right"/>
              <w:rPr>
                <w:sz w:val="20"/>
                <w:szCs w:val="20"/>
              </w:rPr>
            </w:pPr>
            <w:r w:rsidRPr="00E63B6F">
              <w:rPr>
                <w:color w:val="000000"/>
                <w:sz w:val="20"/>
                <w:szCs w:val="20"/>
              </w:rPr>
              <w:t>(11.705)</w:t>
            </w:r>
          </w:p>
        </w:tc>
        <w:tc>
          <w:tcPr>
            <w:tcW w:w="1399" w:type="dxa"/>
            <w:tcBorders>
              <w:top w:val="nil"/>
              <w:left w:val="nil"/>
              <w:bottom w:val="nil"/>
              <w:right w:val="nil"/>
            </w:tcBorders>
            <w:vAlign w:val="center"/>
          </w:tcPr>
          <w:p w14:paraId="0AC46FE1" w14:textId="77777777" w:rsidR="000C35AF" w:rsidRPr="00E63B6F" w:rsidRDefault="000C35AF" w:rsidP="009238AE">
            <w:pPr>
              <w:pStyle w:val="Regresjonstabell"/>
              <w:jc w:val="right"/>
              <w:rPr>
                <w:sz w:val="20"/>
                <w:szCs w:val="20"/>
              </w:rPr>
            </w:pPr>
            <w:r w:rsidRPr="00E63B6F">
              <w:rPr>
                <w:color w:val="000000"/>
                <w:sz w:val="20"/>
                <w:szCs w:val="20"/>
              </w:rPr>
              <w:t>(11.736)</w:t>
            </w:r>
          </w:p>
        </w:tc>
        <w:tc>
          <w:tcPr>
            <w:tcW w:w="1400" w:type="dxa"/>
            <w:tcBorders>
              <w:top w:val="nil"/>
              <w:left w:val="nil"/>
              <w:bottom w:val="nil"/>
              <w:right w:val="nil"/>
            </w:tcBorders>
            <w:vAlign w:val="center"/>
          </w:tcPr>
          <w:p w14:paraId="2D04C33C" w14:textId="77777777" w:rsidR="000C35AF" w:rsidRPr="00E63B6F" w:rsidRDefault="000C35AF" w:rsidP="009238AE">
            <w:pPr>
              <w:pStyle w:val="Regresjonstabell"/>
              <w:jc w:val="right"/>
              <w:rPr>
                <w:sz w:val="20"/>
                <w:szCs w:val="20"/>
              </w:rPr>
            </w:pPr>
            <w:r w:rsidRPr="00E63B6F">
              <w:rPr>
                <w:color w:val="000000"/>
                <w:sz w:val="20"/>
                <w:szCs w:val="20"/>
              </w:rPr>
              <w:t>(11.739)</w:t>
            </w:r>
          </w:p>
        </w:tc>
        <w:tc>
          <w:tcPr>
            <w:tcW w:w="1400" w:type="dxa"/>
            <w:tcBorders>
              <w:top w:val="nil"/>
              <w:left w:val="nil"/>
              <w:bottom w:val="nil"/>
              <w:right w:val="single" w:sz="4" w:space="0" w:color="auto"/>
            </w:tcBorders>
            <w:vAlign w:val="center"/>
          </w:tcPr>
          <w:p w14:paraId="2AC2ACFD" w14:textId="77777777" w:rsidR="000C35AF" w:rsidRPr="00E63B6F" w:rsidRDefault="000C35AF" w:rsidP="009238AE">
            <w:pPr>
              <w:pStyle w:val="Regresjonstabell"/>
              <w:jc w:val="right"/>
              <w:rPr>
                <w:sz w:val="20"/>
                <w:szCs w:val="20"/>
              </w:rPr>
            </w:pPr>
            <w:r w:rsidRPr="00E63B6F">
              <w:rPr>
                <w:color w:val="000000"/>
                <w:sz w:val="20"/>
                <w:szCs w:val="20"/>
              </w:rPr>
              <w:t>(11.819)</w:t>
            </w:r>
          </w:p>
        </w:tc>
      </w:tr>
      <w:tr w:rsidR="000C35AF" w:rsidRPr="0055149C" w14:paraId="59F57CEE"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242DE843"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nil"/>
              <w:left w:val="single" w:sz="4" w:space="0" w:color="auto"/>
              <w:bottom w:val="nil"/>
              <w:right w:val="nil"/>
            </w:tcBorders>
            <w:vAlign w:val="bottom"/>
          </w:tcPr>
          <w:p w14:paraId="10341853" w14:textId="77777777" w:rsidR="000C35AF" w:rsidRPr="00E63B6F" w:rsidRDefault="000C35AF" w:rsidP="009238AE">
            <w:pPr>
              <w:pStyle w:val="Regresjonstabell"/>
              <w:jc w:val="right"/>
              <w:rPr>
                <w:sz w:val="20"/>
                <w:szCs w:val="20"/>
              </w:rPr>
            </w:pPr>
            <w:r w:rsidRPr="00E63B6F">
              <w:rPr>
                <w:color w:val="000000"/>
                <w:sz w:val="20"/>
                <w:szCs w:val="20"/>
              </w:rPr>
              <w:t>3.831</w:t>
            </w:r>
          </w:p>
        </w:tc>
        <w:tc>
          <w:tcPr>
            <w:tcW w:w="1399" w:type="dxa"/>
            <w:tcBorders>
              <w:top w:val="nil"/>
              <w:left w:val="nil"/>
              <w:bottom w:val="nil"/>
              <w:right w:val="nil"/>
            </w:tcBorders>
            <w:vAlign w:val="bottom"/>
          </w:tcPr>
          <w:p w14:paraId="3995F4A8" w14:textId="77777777" w:rsidR="000C35AF" w:rsidRPr="00E63B6F" w:rsidRDefault="000C35AF" w:rsidP="009238AE">
            <w:pPr>
              <w:pStyle w:val="Regresjonstabell"/>
              <w:jc w:val="right"/>
              <w:rPr>
                <w:sz w:val="20"/>
                <w:szCs w:val="20"/>
              </w:rPr>
            </w:pPr>
            <w:r w:rsidRPr="00E63B6F">
              <w:rPr>
                <w:color w:val="000000"/>
                <w:sz w:val="20"/>
                <w:szCs w:val="20"/>
              </w:rPr>
              <w:t>3.845</w:t>
            </w:r>
          </w:p>
        </w:tc>
        <w:tc>
          <w:tcPr>
            <w:tcW w:w="1399" w:type="dxa"/>
            <w:tcBorders>
              <w:top w:val="nil"/>
              <w:left w:val="nil"/>
              <w:bottom w:val="nil"/>
              <w:right w:val="nil"/>
            </w:tcBorders>
            <w:vAlign w:val="bottom"/>
          </w:tcPr>
          <w:p w14:paraId="48D795F7" w14:textId="77777777" w:rsidR="000C35AF" w:rsidRPr="00E63B6F" w:rsidRDefault="000C35AF" w:rsidP="009238AE">
            <w:pPr>
              <w:pStyle w:val="Regresjonstabell"/>
              <w:jc w:val="right"/>
              <w:rPr>
                <w:sz w:val="20"/>
                <w:szCs w:val="20"/>
              </w:rPr>
            </w:pPr>
            <w:r w:rsidRPr="00E63B6F">
              <w:rPr>
                <w:color w:val="000000"/>
                <w:sz w:val="20"/>
                <w:szCs w:val="20"/>
              </w:rPr>
              <w:t>3.928</w:t>
            </w:r>
          </w:p>
        </w:tc>
        <w:tc>
          <w:tcPr>
            <w:tcW w:w="1399" w:type="dxa"/>
            <w:tcBorders>
              <w:top w:val="nil"/>
              <w:left w:val="nil"/>
              <w:bottom w:val="nil"/>
              <w:right w:val="nil"/>
            </w:tcBorders>
            <w:vAlign w:val="bottom"/>
          </w:tcPr>
          <w:p w14:paraId="11A102C5" w14:textId="77777777" w:rsidR="000C35AF" w:rsidRPr="00E63B6F" w:rsidRDefault="000C35AF" w:rsidP="009238AE">
            <w:pPr>
              <w:pStyle w:val="Regresjonstabell"/>
              <w:jc w:val="right"/>
              <w:rPr>
                <w:sz w:val="20"/>
                <w:szCs w:val="20"/>
              </w:rPr>
            </w:pPr>
            <w:r w:rsidRPr="00E63B6F">
              <w:rPr>
                <w:color w:val="000000"/>
                <w:sz w:val="20"/>
                <w:szCs w:val="20"/>
              </w:rPr>
              <w:t>4.062</w:t>
            </w:r>
          </w:p>
        </w:tc>
        <w:tc>
          <w:tcPr>
            <w:tcW w:w="1399" w:type="dxa"/>
            <w:tcBorders>
              <w:top w:val="nil"/>
              <w:left w:val="nil"/>
              <w:bottom w:val="nil"/>
              <w:right w:val="nil"/>
            </w:tcBorders>
            <w:vAlign w:val="bottom"/>
          </w:tcPr>
          <w:p w14:paraId="68F3F177" w14:textId="77777777" w:rsidR="000C35AF" w:rsidRPr="00E63B6F" w:rsidRDefault="000C35AF" w:rsidP="009238AE">
            <w:pPr>
              <w:pStyle w:val="Regresjonstabell"/>
              <w:jc w:val="right"/>
              <w:rPr>
                <w:sz w:val="20"/>
                <w:szCs w:val="20"/>
              </w:rPr>
            </w:pPr>
            <w:r w:rsidRPr="00E63B6F">
              <w:rPr>
                <w:color w:val="000000"/>
                <w:sz w:val="20"/>
                <w:szCs w:val="20"/>
              </w:rPr>
              <w:t>-15.119</w:t>
            </w:r>
          </w:p>
        </w:tc>
        <w:tc>
          <w:tcPr>
            <w:tcW w:w="1399" w:type="dxa"/>
            <w:tcBorders>
              <w:top w:val="nil"/>
              <w:left w:val="nil"/>
              <w:bottom w:val="nil"/>
              <w:right w:val="nil"/>
            </w:tcBorders>
            <w:vAlign w:val="bottom"/>
          </w:tcPr>
          <w:p w14:paraId="71836162" w14:textId="77777777" w:rsidR="000C35AF" w:rsidRPr="00E63B6F" w:rsidRDefault="000C35AF" w:rsidP="009238AE">
            <w:pPr>
              <w:pStyle w:val="Regresjonstabell"/>
              <w:jc w:val="right"/>
              <w:rPr>
                <w:sz w:val="20"/>
                <w:szCs w:val="20"/>
              </w:rPr>
            </w:pPr>
            <w:r w:rsidRPr="00E63B6F">
              <w:rPr>
                <w:color w:val="000000"/>
                <w:sz w:val="20"/>
                <w:szCs w:val="20"/>
              </w:rPr>
              <w:t>-15.090</w:t>
            </w:r>
          </w:p>
        </w:tc>
        <w:tc>
          <w:tcPr>
            <w:tcW w:w="1400" w:type="dxa"/>
            <w:tcBorders>
              <w:top w:val="nil"/>
              <w:left w:val="nil"/>
              <w:bottom w:val="nil"/>
              <w:right w:val="nil"/>
            </w:tcBorders>
            <w:vAlign w:val="bottom"/>
          </w:tcPr>
          <w:p w14:paraId="583BCFCE" w14:textId="77777777" w:rsidR="000C35AF" w:rsidRPr="00E63B6F" w:rsidRDefault="000C35AF" w:rsidP="009238AE">
            <w:pPr>
              <w:pStyle w:val="Regresjonstabell"/>
              <w:jc w:val="right"/>
              <w:rPr>
                <w:sz w:val="20"/>
                <w:szCs w:val="20"/>
              </w:rPr>
            </w:pPr>
            <w:r w:rsidRPr="00E63B6F">
              <w:rPr>
                <w:color w:val="000000"/>
                <w:sz w:val="20"/>
                <w:szCs w:val="20"/>
              </w:rPr>
              <w:t>-15.044</w:t>
            </w:r>
          </w:p>
        </w:tc>
        <w:tc>
          <w:tcPr>
            <w:tcW w:w="1400" w:type="dxa"/>
            <w:tcBorders>
              <w:top w:val="nil"/>
              <w:left w:val="nil"/>
              <w:bottom w:val="nil"/>
              <w:right w:val="single" w:sz="4" w:space="0" w:color="auto"/>
            </w:tcBorders>
            <w:vAlign w:val="bottom"/>
          </w:tcPr>
          <w:p w14:paraId="099FFE8F" w14:textId="77777777" w:rsidR="000C35AF" w:rsidRPr="00E63B6F" w:rsidRDefault="000C35AF" w:rsidP="009238AE">
            <w:pPr>
              <w:pStyle w:val="Regresjonstabell"/>
              <w:jc w:val="right"/>
              <w:rPr>
                <w:sz w:val="20"/>
                <w:szCs w:val="20"/>
              </w:rPr>
            </w:pPr>
            <w:r w:rsidRPr="00E63B6F">
              <w:rPr>
                <w:color w:val="000000"/>
                <w:sz w:val="20"/>
                <w:szCs w:val="20"/>
              </w:rPr>
              <w:t>-14.867</w:t>
            </w:r>
          </w:p>
        </w:tc>
      </w:tr>
      <w:tr w:rsidR="000C35AF" w:rsidRPr="0055149C" w14:paraId="3E62135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9C68D27"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1121F114" w14:textId="77777777" w:rsidR="000C35AF" w:rsidRPr="00E63B6F" w:rsidRDefault="000C35AF" w:rsidP="009238AE">
            <w:pPr>
              <w:pStyle w:val="Regresjonstabell"/>
              <w:jc w:val="right"/>
              <w:rPr>
                <w:sz w:val="20"/>
                <w:szCs w:val="20"/>
              </w:rPr>
            </w:pPr>
            <w:r w:rsidRPr="00E63B6F">
              <w:rPr>
                <w:color w:val="000000"/>
                <w:sz w:val="20"/>
                <w:szCs w:val="20"/>
              </w:rPr>
              <w:t>(13.012)</w:t>
            </w:r>
          </w:p>
        </w:tc>
        <w:tc>
          <w:tcPr>
            <w:tcW w:w="1399" w:type="dxa"/>
            <w:tcBorders>
              <w:top w:val="nil"/>
              <w:left w:val="nil"/>
              <w:bottom w:val="nil"/>
              <w:right w:val="nil"/>
            </w:tcBorders>
            <w:vAlign w:val="center"/>
          </w:tcPr>
          <w:p w14:paraId="5E2A52EC" w14:textId="77777777" w:rsidR="000C35AF" w:rsidRPr="00E63B6F" w:rsidRDefault="000C35AF" w:rsidP="009238AE">
            <w:pPr>
              <w:pStyle w:val="Regresjonstabell"/>
              <w:jc w:val="right"/>
              <w:rPr>
                <w:sz w:val="20"/>
                <w:szCs w:val="20"/>
              </w:rPr>
            </w:pPr>
            <w:r w:rsidRPr="00E63B6F">
              <w:rPr>
                <w:color w:val="000000"/>
                <w:sz w:val="20"/>
                <w:szCs w:val="20"/>
              </w:rPr>
              <w:t>(13.016)</w:t>
            </w:r>
          </w:p>
        </w:tc>
        <w:tc>
          <w:tcPr>
            <w:tcW w:w="1399" w:type="dxa"/>
            <w:tcBorders>
              <w:top w:val="nil"/>
              <w:left w:val="nil"/>
              <w:bottom w:val="nil"/>
              <w:right w:val="nil"/>
            </w:tcBorders>
            <w:vAlign w:val="center"/>
          </w:tcPr>
          <w:p w14:paraId="18BC0C97" w14:textId="77777777" w:rsidR="000C35AF" w:rsidRPr="00E63B6F" w:rsidRDefault="000C35AF" w:rsidP="009238AE">
            <w:pPr>
              <w:pStyle w:val="Regresjonstabell"/>
              <w:jc w:val="right"/>
              <w:rPr>
                <w:sz w:val="20"/>
                <w:szCs w:val="20"/>
              </w:rPr>
            </w:pPr>
            <w:r w:rsidRPr="00E63B6F">
              <w:rPr>
                <w:color w:val="000000"/>
                <w:sz w:val="20"/>
                <w:szCs w:val="20"/>
              </w:rPr>
              <w:t>(13.034)</w:t>
            </w:r>
          </w:p>
        </w:tc>
        <w:tc>
          <w:tcPr>
            <w:tcW w:w="1399" w:type="dxa"/>
            <w:tcBorders>
              <w:top w:val="nil"/>
              <w:left w:val="nil"/>
              <w:bottom w:val="nil"/>
              <w:right w:val="nil"/>
            </w:tcBorders>
            <w:vAlign w:val="center"/>
          </w:tcPr>
          <w:p w14:paraId="013BC311" w14:textId="77777777" w:rsidR="000C35AF" w:rsidRPr="00E63B6F" w:rsidRDefault="000C35AF" w:rsidP="009238AE">
            <w:pPr>
              <w:pStyle w:val="Regresjonstabell"/>
              <w:jc w:val="right"/>
              <w:rPr>
                <w:sz w:val="20"/>
                <w:szCs w:val="20"/>
              </w:rPr>
            </w:pPr>
            <w:r w:rsidRPr="00E63B6F">
              <w:rPr>
                <w:color w:val="000000"/>
                <w:sz w:val="20"/>
                <w:szCs w:val="20"/>
              </w:rPr>
              <w:t>(13.063)</w:t>
            </w:r>
          </w:p>
        </w:tc>
        <w:tc>
          <w:tcPr>
            <w:tcW w:w="1399" w:type="dxa"/>
            <w:tcBorders>
              <w:top w:val="nil"/>
              <w:left w:val="nil"/>
              <w:bottom w:val="nil"/>
              <w:right w:val="nil"/>
            </w:tcBorders>
            <w:vAlign w:val="center"/>
          </w:tcPr>
          <w:p w14:paraId="6CB71E38" w14:textId="77777777" w:rsidR="000C35AF" w:rsidRPr="00E63B6F" w:rsidRDefault="000C35AF" w:rsidP="009238AE">
            <w:pPr>
              <w:pStyle w:val="Regresjonstabell"/>
              <w:jc w:val="right"/>
              <w:rPr>
                <w:sz w:val="20"/>
                <w:szCs w:val="20"/>
              </w:rPr>
            </w:pPr>
            <w:r w:rsidRPr="00E63B6F">
              <w:rPr>
                <w:color w:val="000000"/>
                <w:sz w:val="20"/>
                <w:szCs w:val="20"/>
              </w:rPr>
              <w:t>(11.851)</w:t>
            </w:r>
          </w:p>
        </w:tc>
        <w:tc>
          <w:tcPr>
            <w:tcW w:w="1399" w:type="dxa"/>
            <w:tcBorders>
              <w:top w:val="nil"/>
              <w:left w:val="nil"/>
              <w:bottom w:val="nil"/>
              <w:right w:val="nil"/>
            </w:tcBorders>
            <w:vAlign w:val="center"/>
          </w:tcPr>
          <w:p w14:paraId="480F2947" w14:textId="77777777" w:rsidR="000C35AF" w:rsidRPr="00E63B6F" w:rsidRDefault="000C35AF" w:rsidP="009238AE">
            <w:pPr>
              <w:pStyle w:val="Regresjonstabell"/>
              <w:jc w:val="right"/>
              <w:rPr>
                <w:sz w:val="20"/>
                <w:szCs w:val="20"/>
              </w:rPr>
            </w:pPr>
            <w:r w:rsidRPr="00E63B6F">
              <w:rPr>
                <w:color w:val="000000"/>
                <w:sz w:val="20"/>
                <w:szCs w:val="20"/>
              </w:rPr>
              <w:t>(11.860)</w:t>
            </w:r>
          </w:p>
        </w:tc>
        <w:tc>
          <w:tcPr>
            <w:tcW w:w="1400" w:type="dxa"/>
            <w:tcBorders>
              <w:top w:val="nil"/>
              <w:left w:val="nil"/>
              <w:bottom w:val="nil"/>
              <w:right w:val="nil"/>
            </w:tcBorders>
            <w:vAlign w:val="center"/>
          </w:tcPr>
          <w:p w14:paraId="08AF7392" w14:textId="77777777" w:rsidR="000C35AF" w:rsidRPr="00E63B6F" w:rsidRDefault="000C35AF" w:rsidP="009238AE">
            <w:pPr>
              <w:pStyle w:val="Regresjonstabell"/>
              <w:jc w:val="right"/>
              <w:rPr>
                <w:sz w:val="20"/>
                <w:szCs w:val="20"/>
              </w:rPr>
            </w:pPr>
            <w:r w:rsidRPr="00E63B6F">
              <w:rPr>
                <w:color w:val="000000"/>
                <w:sz w:val="20"/>
                <w:szCs w:val="20"/>
              </w:rPr>
              <w:t>(11.864)</w:t>
            </w:r>
          </w:p>
        </w:tc>
        <w:tc>
          <w:tcPr>
            <w:tcW w:w="1400" w:type="dxa"/>
            <w:tcBorders>
              <w:top w:val="nil"/>
              <w:left w:val="nil"/>
              <w:bottom w:val="nil"/>
              <w:right w:val="single" w:sz="4" w:space="0" w:color="auto"/>
            </w:tcBorders>
            <w:vAlign w:val="center"/>
          </w:tcPr>
          <w:p w14:paraId="4DF1554C" w14:textId="77777777" w:rsidR="000C35AF" w:rsidRPr="00E63B6F" w:rsidRDefault="000C35AF" w:rsidP="009238AE">
            <w:pPr>
              <w:pStyle w:val="Regresjonstabell"/>
              <w:jc w:val="right"/>
              <w:rPr>
                <w:sz w:val="20"/>
                <w:szCs w:val="20"/>
              </w:rPr>
            </w:pPr>
            <w:r w:rsidRPr="00E63B6F">
              <w:rPr>
                <w:color w:val="000000"/>
                <w:sz w:val="20"/>
                <w:szCs w:val="20"/>
              </w:rPr>
              <w:t>(11.893)</w:t>
            </w:r>
          </w:p>
        </w:tc>
      </w:tr>
      <w:tr w:rsidR="000C35AF" w:rsidRPr="0055149C" w14:paraId="35645BF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38D8697" w14:textId="77777777" w:rsidR="000C35AF" w:rsidRPr="0055149C" w:rsidRDefault="000C35AF" w:rsidP="009238AE">
            <w:pPr>
              <w:pStyle w:val="Regresjonstabell"/>
              <w:rPr>
                <w:color w:val="000000"/>
                <w:sz w:val="20"/>
                <w:szCs w:val="20"/>
              </w:rPr>
            </w:pPr>
            <w:r w:rsidRPr="0055149C">
              <w:rPr>
                <w:color w:val="000000"/>
                <w:sz w:val="20"/>
                <w:szCs w:val="20"/>
              </w:rPr>
              <w:t>Barn av aleneforsørger, 0 til 15 år</w:t>
            </w:r>
          </w:p>
        </w:tc>
        <w:tc>
          <w:tcPr>
            <w:tcW w:w="1399" w:type="dxa"/>
            <w:tcBorders>
              <w:top w:val="nil"/>
              <w:left w:val="single" w:sz="4" w:space="0" w:color="auto"/>
              <w:bottom w:val="nil"/>
              <w:right w:val="nil"/>
            </w:tcBorders>
            <w:vAlign w:val="bottom"/>
          </w:tcPr>
          <w:p w14:paraId="77712458" w14:textId="77777777" w:rsidR="000C35AF" w:rsidRPr="00E63B6F" w:rsidRDefault="000C35AF" w:rsidP="009238AE">
            <w:pPr>
              <w:pStyle w:val="Regresjonstabell"/>
              <w:jc w:val="right"/>
              <w:rPr>
                <w:sz w:val="20"/>
                <w:szCs w:val="20"/>
              </w:rPr>
            </w:pPr>
            <w:r w:rsidRPr="00E63B6F">
              <w:rPr>
                <w:color w:val="000000"/>
                <w:sz w:val="20"/>
                <w:szCs w:val="20"/>
              </w:rPr>
              <w:t>31.961*</w:t>
            </w:r>
          </w:p>
        </w:tc>
        <w:tc>
          <w:tcPr>
            <w:tcW w:w="1399" w:type="dxa"/>
            <w:tcBorders>
              <w:top w:val="nil"/>
              <w:left w:val="nil"/>
              <w:bottom w:val="nil"/>
              <w:right w:val="nil"/>
            </w:tcBorders>
            <w:vAlign w:val="bottom"/>
          </w:tcPr>
          <w:p w14:paraId="4A8C4DD6" w14:textId="77777777" w:rsidR="000C35AF" w:rsidRPr="00E63B6F" w:rsidRDefault="000C35AF" w:rsidP="009238AE">
            <w:pPr>
              <w:pStyle w:val="Regresjonstabell"/>
              <w:jc w:val="right"/>
              <w:rPr>
                <w:sz w:val="20"/>
                <w:szCs w:val="20"/>
              </w:rPr>
            </w:pPr>
            <w:r w:rsidRPr="00E63B6F">
              <w:rPr>
                <w:color w:val="000000"/>
                <w:sz w:val="20"/>
                <w:szCs w:val="20"/>
              </w:rPr>
              <w:t>32.031*</w:t>
            </w:r>
          </w:p>
        </w:tc>
        <w:tc>
          <w:tcPr>
            <w:tcW w:w="1399" w:type="dxa"/>
            <w:tcBorders>
              <w:top w:val="nil"/>
              <w:left w:val="nil"/>
              <w:bottom w:val="nil"/>
              <w:right w:val="nil"/>
            </w:tcBorders>
            <w:vAlign w:val="bottom"/>
          </w:tcPr>
          <w:p w14:paraId="0392ECFA" w14:textId="77777777" w:rsidR="000C35AF" w:rsidRPr="00E63B6F" w:rsidRDefault="000C35AF" w:rsidP="009238AE">
            <w:pPr>
              <w:pStyle w:val="Regresjonstabell"/>
              <w:jc w:val="right"/>
              <w:rPr>
                <w:sz w:val="20"/>
                <w:szCs w:val="20"/>
              </w:rPr>
            </w:pPr>
            <w:r w:rsidRPr="00E63B6F">
              <w:rPr>
                <w:color w:val="000000"/>
                <w:sz w:val="20"/>
                <w:szCs w:val="20"/>
              </w:rPr>
              <w:t>32.008*</w:t>
            </w:r>
          </w:p>
        </w:tc>
        <w:tc>
          <w:tcPr>
            <w:tcW w:w="1399" w:type="dxa"/>
            <w:tcBorders>
              <w:top w:val="nil"/>
              <w:left w:val="nil"/>
              <w:bottom w:val="nil"/>
              <w:right w:val="nil"/>
            </w:tcBorders>
            <w:vAlign w:val="bottom"/>
          </w:tcPr>
          <w:p w14:paraId="3699EB51" w14:textId="77777777" w:rsidR="000C35AF" w:rsidRPr="00E63B6F" w:rsidRDefault="000C35AF" w:rsidP="009238AE">
            <w:pPr>
              <w:pStyle w:val="Regresjonstabell"/>
              <w:jc w:val="right"/>
              <w:rPr>
                <w:sz w:val="20"/>
                <w:szCs w:val="20"/>
              </w:rPr>
            </w:pPr>
            <w:r w:rsidRPr="00E63B6F">
              <w:rPr>
                <w:color w:val="000000"/>
                <w:sz w:val="20"/>
                <w:szCs w:val="20"/>
              </w:rPr>
              <w:t>32.077*</w:t>
            </w:r>
          </w:p>
        </w:tc>
        <w:tc>
          <w:tcPr>
            <w:tcW w:w="1399" w:type="dxa"/>
            <w:tcBorders>
              <w:top w:val="nil"/>
              <w:left w:val="nil"/>
              <w:bottom w:val="nil"/>
              <w:right w:val="nil"/>
            </w:tcBorders>
            <w:vAlign w:val="bottom"/>
          </w:tcPr>
          <w:p w14:paraId="49E55A9E" w14:textId="77777777" w:rsidR="000C35AF" w:rsidRPr="00E63B6F" w:rsidRDefault="000C35AF" w:rsidP="009238AE">
            <w:pPr>
              <w:pStyle w:val="Regresjonstabell"/>
              <w:jc w:val="right"/>
              <w:rPr>
                <w:sz w:val="20"/>
                <w:szCs w:val="20"/>
              </w:rPr>
            </w:pPr>
            <w:r w:rsidRPr="00E63B6F">
              <w:rPr>
                <w:color w:val="000000"/>
                <w:sz w:val="20"/>
                <w:szCs w:val="20"/>
              </w:rPr>
              <w:t>8.833</w:t>
            </w:r>
          </w:p>
        </w:tc>
        <w:tc>
          <w:tcPr>
            <w:tcW w:w="1399" w:type="dxa"/>
            <w:tcBorders>
              <w:top w:val="nil"/>
              <w:left w:val="nil"/>
              <w:bottom w:val="nil"/>
              <w:right w:val="nil"/>
            </w:tcBorders>
            <w:vAlign w:val="bottom"/>
          </w:tcPr>
          <w:p w14:paraId="7ED23137" w14:textId="77777777" w:rsidR="000C35AF" w:rsidRPr="00E63B6F" w:rsidRDefault="000C35AF" w:rsidP="009238AE">
            <w:pPr>
              <w:pStyle w:val="Regresjonstabell"/>
              <w:jc w:val="right"/>
              <w:rPr>
                <w:sz w:val="20"/>
                <w:szCs w:val="20"/>
              </w:rPr>
            </w:pPr>
            <w:r w:rsidRPr="00E63B6F">
              <w:rPr>
                <w:color w:val="000000"/>
                <w:sz w:val="20"/>
                <w:szCs w:val="20"/>
              </w:rPr>
              <w:t>9.037</w:t>
            </w:r>
          </w:p>
        </w:tc>
        <w:tc>
          <w:tcPr>
            <w:tcW w:w="1400" w:type="dxa"/>
            <w:tcBorders>
              <w:top w:val="nil"/>
              <w:left w:val="nil"/>
              <w:bottom w:val="nil"/>
              <w:right w:val="nil"/>
            </w:tcBorders>
            <w:vAlign w:val="bottom"/>
          </w:tcPr>
          <w:p w14:paraId="60B718AB" w14:textId="77777777" w:rsidR="000C35AF" w:rsidRPr="00E63B6F" w:rsidRDefault="000C35AF" w:rsidP="009238AE">
            <w:pPr>
              <w:pStyle w:val="Regresjonstabell"/>
              <w:jc w:val="right"/>
              <w:rPr>
                <w:sz w:val="20"/>
                <w:szCs w:val="20"/>
              </w:rPr>
            </w:pPr>
            <w:r w:rsidRPr="00E63B6F">
              <w:rPr>
                <w:color w:val="000000"/>
                <w:sz w:val="20"/>
                <w:szCs w:val="20"/>
              </w:rPr>
              <w:t>8.964</w:t>
            </w:r>
          </w:p>
        </w:tc>
        <w:tc>
          <w:tcPr>
            <w:tcW w:w="1400" w:type="dxa"/>
            <w:tcBorders>
              <w:top w:val="nil"/>
              <w:left w:val="nil"/>
              <w:bottom w:val="nil"/>
              <w:right w:val="single" w:sz="4" w:space="0" w:color="auto"/>
            </w:tcBorders>
            <w:vAlign w:val="bottom"/>
          </w:tcPr>
          <w:p w14:paraId="6B3A448A" w14:textId="77777777" w:rsidR="000C35AF" w:rsidRPr="00E63B6F" w:rsidRDefault="000C35AF" w:rsidP="009238AE">
            <w:pPr>
              <w:pStyle w:val="Regresjonstabell"/>
              <w:jc w:val="right"/>
              <w:rPr>
                <w:sz w:val="20"/>
                <w:szCs w:val="20"/>
              </w:rPr>
            </w:pPr>
            <w:r w:rsidRPr="00E63B6F">
              <w:rPr>
                <w:color w:val="000000"/>
                <w:sz w:val="20"/>
                <w:szCs w:val="20"/>
              </w:rPr>
              <w:t>9.271</w:t>
            </w:r>
          </w:p>
        </w:tc>
      </w:tr>
      <w:tr w:rsidR="000C35AF" w:rsidRPr="0055149C" w14:paraId="338324E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628FA0E" w14:textId="77777777" w:rsidR="000C35AF" w:rsidRPr="0055149C" w:rsidRDefault="000C35AF" w:rsidP="009238AE">
            <w:pPr>
              <w:pStyle w:val="Regresjonstabell"/>
              <w:rPr>
                <w:color w:val="000000"/>
                <w:sz w:val="20"/>
                <w:szCs w:val="20"/>
              </w:rPr>
            </w:pPr>
            <w:r w:rsidRPr="0055149C">
              <w:rPr>
                <w:color w:val="000000"/>
                <w:sz w:val="20"/>
                <w:szCs w:val="20"/>
              </w:rPr>
              <w:t>(Kriterium 27)</w:t>
            </w:r>
          </w:p>
        </w:tc>
        <w:tc>
          <w:tcPr>
            <w:tcW w:w="1399" w:type="dxa"/>
            <w:tcBorders>
              <w:top w:val="nil"/>
              <w:left w:val="single" w:sz="4" w:space="0" w:color="auto"/>
              <w:bottom w:val="nil"/>
              <w:right w:val="nil"/>
            </w:tcBorders>
            <w:vAlign w:val="center"/>
          </w:tcPr>
          <w:p w14:paraId="4D0DD76F" w14:textId="77777777" w:rsidR="000C35AF" w:rsidRPr="00E63B6F" w:rsidRDefault="000C35AF" w:rsidP="009238AE">
            <w:pPr>
              <w:pStyle w:val="Regresjonstabell"/>
              <w:jc w:val="right"/>
              <w:rPr>
                <w:sz w:val="20"/>
                <w:szCs w:val="20"/>
              </w:rPr>
            </w:pPr>
            <w:r w:rsidRPr="00E63B6F">
              <w:rPr>
                <w:color w:val="000000"/>
                <w:sz w:val="20"/>
                <w:szCs w:val="20"/>
              </w:rPr>
              <w:t>(18.713)</w:t>
            </w:r>
          </w:p>
        </w:tc>
        <w:tc>
          <w:tcPr>
            <w:tcW w:w="1399" w:type="dxa"/>
            <w:tcBorders>
              <w:top w:val="nil"/>
              <w:left w:val="nil"/>
              <w:bottom w:val="nil"/>
              <w:right w:val="nil"/>
            </w:tcBorders>
            <w:vAlign w:val="center"/>
          </w:tcPr>
          <w:p w14:paraId="270E89D4" w14:textId="77777777" w:rsidR="000C35AF" w:rsidRPr="00E63B6F" w:rsidRDefault="000C35AF" w:rsidP="009238AE">
            <w:pPr>
              <w:pStyle w:val="Regresjonstabell"/>
              <w:jc w:val="right"/>
              <w:rPr>
                <w:sz w:val="20"/>
                <w:szCs w:val="20"/>
              </w:rPr>
            </w:pPr>
            <w:r w:rsidRPr="00E63B6F">
              <w:rPr>
                <w:color w:val="000000"/>
                <w:sz w:val="20"/>
                <w:szCs w:val="20"/>
              </w:rPr>
              <w:t>(18.761)</w:t>
            </w:r>
          </w:p>
        </w:tc>
        <w:tc>
          <w:tcPr>
            <w:tcW w:w="1399" w:type="dxa"/>
            <w:tcBorders>
              <w:top w:val="nil"/>
              <w:left w:val="nil"/>
              <w:bottom w:val="nil"/>
              <w:right w:val="nil"/>
            </w:tcBorders>
            <w:vAlign w:val="center"/>
          </w:tcPr>
          <w:p w14:paraId="73CA4EF2" w14:textId="77777777" w:rsidR="000C35AF" w:rsidRPr="00E63B6F" w:rsidRDefault="000C35AF" w:rsidP="009238AE">
            <w:pPr>
              <w:pStyle w:val="Regresjonstabell"/>
              <w:jc w:val="right"/>
              <w:rPr>
                <w:sz w:val="20"/>
                <w:szCs w:val="20"/>
              </w:rPr>
            </w:pPr>
            <w:r w:rsidRPr="00E63B6F">
              <w:rPr>
                <w:color w:val="000000"/>
                <w:sz w:val="20"/>
                <w:szCs w:val="20"/>
              </w:rPr>
              <w:t>(18.789)</w:t>
            </w:r>
          </w:p>
        </w:tc>
        <w:tc>
          <w:tcPr>
            <w:tcW w:w="1399" w:type="dxa"/>
            <w:tcBorders>
              <w:top w:val="nil"/>
              <w:left w:val="nil"/>
              <w:bottom w:val="nil"/>
              <w:right w:val="nil"/>
            </w:tcBorders>
            <w:vAlign w:val="center"/>
          </w:tcPr>
          <w:p w14:paraId="33439E50" w14:textId="77777777" w:rsidR="000C35AF" w:rsidRPr="00E63B6F" w:rsidRDefault="000C35AF" w:rsidP="009238AE">
            <w:pPr>
              <w:pStyle w:val="Regresjonstabell"/>
              <w:jc w:val="right"/>
              <w:rPr>
                <w:sz w:val="20"/>
                <w:szCs w:val="20"/>
              </w:rPr>
            </w:pPr>
            <w:r w:rsidRPr="00E63B6F">
              <w:rPr>
                <w:color w:val="000000"/>
                <w:sz w:val="20"/>
                <w:szCs w:val="20"/>
              </w:rPr>
              <w:t>(18.893)</w:t>
            </w:r>
          </w:p>
        </w:tc>
        <w:tc>
          <w:tcPr>
            <w:tcW w:w="1399" w:type="dxa"/>
            <w:tcBorders>
              <w:top w:val="nil"/>
              <w:left w:val="nil"/>
              <w:bottom w:val="nil"/>
              <w:right w:val="nil"/>
            </w:tcBorders>
            <w:vAlign w:val="center"/>
          </w:tcPr>
          <w:p w14:paraId="441D3B67" w14:textId="77777777" w:rsidR="000C35AF" w:rsidRPr="00E63B6F" w:rsidRDefault="000C35AF" w:rsidP="009238AE">
            <w:pPr>
              <w:pStyle w:val="Regresjonstabell"/>
              <w:jc w:val="right"/>
              <w:rPr>
                <w:sz w:val="20"/>
                <w:szCs w:val="20"/>
              </w:rPr>
            </w:pPr>
            <w:r w:rsidRPr="00E63B6F">
              <w:rPr>
                <w:color w:val="000000"/>
                <w:sz w:val="20"/>
                <w:szCs w:val="20"/>
              </w:rPr>
              <w:t>(22.254)</w:t>
            </w:r>
          </w:p>
        </w:tc>
        <w:tc>
          <w:tcPr>
            <w:tcW w:w="1399" w:type="dxa"/>
            <w:tcBorders>
              <w:top w:val="nil"/>
              <w:left w:val="nil"/>
              <w:bottom w:val="nil"/>
              <w:right w:val="nil"/>
            </w:tcBorders>
            <w:vAlign w:val="center"/>
          </w:tcPr>
          <w:p w14:paraId="307CBE2D" w14:textId="77777777" w:rsidR="000C35AF" w:rsidRPr="00E63B6F" w:rsidRDefault="000C35AF" w:rsidP="009238AE">
            <w:pPr>
              <w:pStyle w:val="Regresjonstabell"/>
              <w:jc w:val="right"/>
              <w:rPr>
                <w:sz w:val="20"/>
                <w:szCs w:val="20"/>
              </w:rPr>
            </w:pPr>
            <w:r w:rsidRPr="00E63B6F">
              <w:rPr>
                <w:color w:val="000000"/>
                <w:sz w:val="20"/>
                <w:szCs w:val="20"/>
              </w:rPr>
              <w:t>(22.325)</w:t>
            </w:r>
          </w:p>
        </w:tc>
        <w:tc>
          <w:tcPr>
            <w:tcW w:w="1400" w:type="dxa"/>
            <w:tcBorders>
              <w:top w:val="nil"/>
              <w:left w:val="nil"/>
              <w:bottom w:val="nil"/>
              <w:right w:val="nil"/>
            </w:tcBorders>
            <w:vAlign w:val="center"/>
          </w:tcPr>
          <w:p w14:paraId="3C98A36F" w14:textId="77777777" w:rsidR="000C35AF" w:rsidRPr="00E63B6F" w:rsidRDefault="000C35AF" w:rsidP="009238AE">
            <w:pPr>
              <w:pStyle w:val="Regresjonstabell"/>
              <w:jc w:val="right"/>
              <w:rPr>
                <w:sz w:val="20"/>
                <w:szCs w:val="20"/>
              </w:rPr>
            </w:pPr>
            <w:r w:rsidRPr="00E63B6F">
              <w:rPr>
                <w:color w:val="000000"/>
                <w:sz w:val="20"/>
                <w:szCs w:val="20"/>
              </w:rPr>
              <w:t>(22.347)</w:t>
            </w:r>
          </w:p>
        </w:tc>
        <w:tc>
          <w:tcPr>
            <w:tcW w:w="1400" w:type="dxa"/>
            <w:tcBorders>
              <w:top w:val="nil"/>
              <w:left w:val="nil"/>
              <w:bottom w:val="nil"/>
              <w:right w:val="single" w:sz="4" w:space="0" w:color="auto"/>
            </w:tcBorders>
            <w:vAlign w:val="center"/>
          </w:tcPr>
          <w:p w14:paraId="46C2A00E" w14:textId="77777777" w:rsidR="000C35AF" w:rsidRPr="00E63B6F" w:rsidRDefault="000C35AF" w:rsidP="009238AE">
            <w:pPr>
              <w:pStyle w:val="Regresjonstabell"/>
              <w:jc w:val="right"/>
              <w:rPr>
                <w:sz w:val="20"/>
                <w:szCs w:val="20"/>
              </w:rPr>
            </w:pPr>
            <w:r w:rsidRPr="00E63B6F">
              <w:rPr>
                <w:color w:val="000000"/>
                <w:sz w:val="20"/>
                <w:szCs w:val="20"/>
              </w:rPr>
              <w:t>(22.569)</w:t>
            </w:r>
          </w:p>
        </w:tc>
      </w:tr>
      <w:tr w:rsidR="000C35AF" w:rsidRPr="0055149C" w14:paraId="5038768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92BC0BB" w14:textId="77777777" w:rsidR="000C35AF" w:rsidRPr="0055149C" w:rsidRDefault="000C35AF" w:rsidP="009238AE">
            <w:pPr>
              <w:pStyle w:val="Regresjonstabell"/>
              <w:rPr>
                <w:color w:val="000000"/>
                <w:sz w:val="20"/>
                <w:szCs w:val="20"/>
              </w:rPr>
            </w:pPr>
            <w:r w:rsidRPr="0055149C">
              <w:rPr>
                <w:color w:val="000000"/>
                <w:sz w:val="20"/>
                <w:szCs w:val="20"/>
              </w:rPr>
              <w:t>Lavinntektskriterium</w:t>
            </w:r>
          </w:p>
        </w:tc>
        <w:tc>
          <w:tcPr>
            <w:tcW w:w="1399" w:type="dxa"/>
            <w:tcBorders>
              <w:top w:val="nil"/>
              <w:left w:val="single" w:sz="4" w:space="0" w:color="auto"/>
              <w:bottom w:val="nil"/>
              <w:right w:val="nil"/>
            </w:tcBorders>
            <w:vAlign w:val="bottom"/>
          </w:tcPr>
          <w:p w14:paraId="2E8DA7B7" w14:textId="77777777" w:rsidR="000C35AF" w:rsidRPr="00E63B6F" w:rsidRDefault="000C35AF" w:rsidP="009238AE">
            <w:pPr>
              <w:pStyle w:val="Regresjonstabell"/>
              <w:jc w:val="right"/>
              <w:rPr>
                <w:sz w:val="20"/>
                <w:szCs w:val="20"/>
              </w:rPr>
            </w:pPr>
            <w:r w:rsidRPr="00E63B6F">
              <w:rPr>
                <w:color w:val="000000"/>
                <w:sz w:val="20"/>
                <w:szCs w:val="20"/>
              </w:rPr>
              <w:t>23.092***</w:t>
            </w:r>
          </w:p>
        </w:tc>
        <w:tc>
          <w:tcPr>
            <w:tcW w:w="1399" w:type="dxa"/>
            <w:tcBorders>
              <w:top w:val="nil"/>
              <w:left w:val="nil"/>
              <w:bottom w:val="nil"/>
              <w:right w:val="nil"/>
            </w:tcBorders>
            <w:vAlign w:val="bottom"/>
          </w:tcPr>
          <w:p w14:paraId="0B67F2E6" w14:textId="77777777" w:rsidR="000C35AF" w:rsidRPr="00E63B6F" w:rsidRDefault="000C35AF" w:rsidP="009238AE">
            <w:pPr>
              <w:pStyle w:val="Regresjonstabell"/>
              <w:jc w:val="right"/>
              <w:rPr>
                <w:sz w:val="20"/>
                <w:szCs w:val="20"/>
              </w:rPr>
            </w:pPr>
            <w:r w:rsidRPr="00E63B6F">
              <w:rPr>
                <w:color w:val="000000"/>
                <w:sz w:val="20"/>
                <w:szCs w:val="20"/>
              </w:rPr>
              <w:t>23.097***</w:t>
            </w:r>
          </w:p>
        </w:tc>
        <w:tc>
          <w:tcPr>
            <w:tcW w:w="1399" w:type="dxa"/>
            <w:tcBorders>
              <w:top w:val="nil"/>
              <w:left w:val="nil"/>
              <w:bottom w:val="nil"/>
              <w:right w:val="nil"/>
            </w:tcBorders>
            <w:vAlign w:val="bottom"/>
          </w:tcPr>
          <w:p w14:paraId="2DDE05BF" w14:textId="77777777" w:rsidR="000C35AF" w:rsidRPr="00E63B6F" w:rsidRDefault="000C35AF" w:rsidP="009238AE">
            <w:pPr>
              <w:pStyle w:val="Regresjonstabell"/>
              <w:jc w:val="right"/>
              <w:rPr>
                <w:sz w:val="20"/>
                <w:szCs w:val="20"/>
              </w:rPr>
            </w:pPr>
            <w:r w:rsidRPr="00E63B6F">
              <w:rPr>
                <w:color w:val="000000"/>
                <w:sz w:val="20"/>
                <w:szCs w:val="20"/>
              </w:rPr>
              <w:t>23.103***</w:t>
            </w:r>
          </w:p>
        </w:tc>
        <w:tc>
          <w:tcPr>
            <w:tcW w:w="1399" w:type="dxa"/>
            <w:tcBorders>
              <w:top w:val="nil"/>
              <w:left w:val="nil"/>
              <w:bottom w:val="nil"/>
              <w:right w:val="nil"/>
            </w:tcBorders>
            <w:vAlign w:val="bottom"/>
          </w:tcPr>
          <w:p w14:paraId="398F3FF6" w14:textId="77777777" w:rsidR="000C35AF" w:rsidRPr="00E63B6F" w:rsidRDefault="000C35AF" w:rsidP="009238AE">
            <w:pPr>
              <w:pStyle w:val="Regresjonstabell"/>
              <w:jc w:val="right"/>
              <w:rPr>
                <w:sz w:val="20"/>
                <w:szCs w:val="20"/>
              </w:rPr>
            </w:pPr>
            <w:r w:rsidRPr="00E63B6F">
              <w:rPr>
                <w:color w:val="000000"/>
                <w:sz w:val="20"/>
                <w:szCs w:val="20"/>
              </w:rPr>
              <w:t>23.118***</w:t>
            </w:r>
          </w:p>
        </w:tc>
        <w:tc>
          <w:tcPr>
            <w:tcW w:w="1399" w:type="dxa"/>
            <w:tcBorders>
              <w:top w:val="nil"/>
              <w:left w:val="nil"/>
              <w:bottom w:val="nil"/>
              <w:right w:val="nil"/>
            </w:tcBorders>
            <w:vAlign w:val="bottom"/>
          </w:tcPr>
          <w:p w14:paraId="47959676" w14:textId="77777777" w:rsidR="000C35AF" w:rsidRPr="00E63B6F" w:rsidRDefault="000C35AF" w:rsidP="009238AE">
            <w:pPr>
              <w:pStyle w:val="Regresjonstabell"/>
              <w:jc w:val="right"/>
              <w:rPr>
                <w:sz w:val="20"/>
                <w:szCs w:val="20"/>
              </w:rPr>
            </w:pPr>
            <w:r w:rsidRPr="00E63B6F">
              <w:rPr>
                <w:color w:val="000000"/>
                <w:sz w:val="20"/>
                <w:szCs w:val="20"/>
              </w:rPr>
              <w:t>26.283***</w:t>
            </w:r>
          </w:p>
        </w:tc>
        <w:tc>
          <w:tcPr>
            <w:tcW w:w="1399" w:type="dxa"/>
            <w:tcBorders>
              <w:top w:val="nil"/>
              <w:left w:val="nil"/>
              <w:bottom w:val="nil"/>
              <w:right w:val="nil"/>
            </w:tcBorders>
            <w:vAlign w:val="bottom"/>
          </w:tcPr>
          <w:p w14:paraId="50B9FB64" w14:textId="77777777" w:rsidR="000C35AF" w:rsidRPr="00E63B6F" w:rsidRDefault="000C35AF" w:rsidP="009238AE">
            <w:pPr>
              <w:pStyle w:val="Regresjonstabell"/>
              <w:jc w:val="right"/>
              <w:rPr>
                <w:sz w:val="20"/>
                <w:szCs w:val="20"/>
              </w:rPr>
            </w:pPr>
            <w:r w:rsidRPr="00E63B6F">
              <w:rPr>
                <w:color w:val="000000"/>
                <w:sz w:val="20"/>
                <w:szCs w:val="20"/>
              </w:rPr>
              <w:t>26.273***</w:t>
            </w:r>
          </w:p>
        </w:tc>
        <w:tc>
          <w:tcPr>
            <w:tcW w:w="1400" w:type="dxa"/>
            <w:tcBorders>
              <w:top w:val="nil"/>
              <w:left w:val="nil"/>
              <w:bottom w:val="nil"/>
              <w:right w:val="nil"/>
            </w:tcBorders>
            <w:vAlign w:val="bottom"/>
          </w:tcPr>
          <w:p w14:paraId="09EE12F5" w14:textId="77777777" w:rsidR="000C35AF" w:rsidRPr="00E63B6F" w:rsidRDefault="000C35AF" w:rsidP="009238AE">
            <w:pPr>
              <w:pStyle w:val="Regresjonstabell"/>
              <w:jc w:val="right"/>
              <w:rPr>
                <w:sz w:val="20"/>
                <w:szCs w:val="20"/>
              </w:rPr>
            </w:pPr>
            <w:r w:rsidRPr="00E63B6F">
              <w:rPr>
                <w:color w:val="000000"/>
                <w:sz w:val="20"/>
                <w:szCs w:val="20"/>
              </w:rPr>
              <w:t>26.297***</w:t>
            </w:r>
          </w:p>
        </w:tc>
        <w:tc>
          <w:tcPr>
            <w:tcW w:w="1400" w:type="dxa"/>
            <w:tcBorders>
              <w:top w:val="nil"/>
              <w:left w:val="nil"/>
              <w:bottom w:val="nil"/>
              <w:right w:val="single" w:sz="4" w:space="0" w:color="auto"/>
            </w:tcBorders>
            <w:vAlign w:val="bottom"/>
          </w:tcPr>
          <w:p w14:paraId="0D59FC80" w14:textId="77777777" w:rsidR="000C35AF" w:rsidRPr="00E63B6F" w:rsidRDefault="000C35AF" w:rsidP="009238AE">
            <w:pPr>
              <w:pStyle w:val="Regresjonstabell"/>
              <w:jc w:val="right"/>
              <w:rPr>
                <w:sz w:val="20"/>
                <w:szCs w:val="20"/>
              </w:rPr>
            </w:pPr>
            <w:r w:rsidRPr="00E63B6F">
              <w:rPr>
                <w:color w:val="000000"/>
                <w:sz w:val="20"/>
                <w:szCs w:val="20"/>
              </w:rPr>
              <w:t>26.332***</w:t>
            </w:r>
          </w:p>
        </w:tc>
      </w:tr>
      <w:tr w:rsidR="000C35AF" w:rsidRPr="0055149C" w14:paraId="4B7A571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12792C0" w14:textId="77777777" w:rsidR="000C35AF" w:rsidRPr="0055149C" w:rsidRDefault="000C35AF" w:rsidP="009238AE">
            <w:pPr>
              <w:pStyle w:val="Regresjonstabell"/>
              <w:rPr>
                <w:color w:val="000000"/>
                <w:sz w:val="20"/>
                <w:szCs w:val="20"/>
              </w:rPr>
            </w:pPr>
            <w:r w:rsidRPr="0055149C">
              <w:rPr>
                <w:color w:val="000000"/>
                <w:sz w:val="20"/>
                <w:szCs w:val="20"/>
              </w:rPr>
              <w:t>(Kriterium 28)</w:t>
            </w:r>
          </w:p>
        </w:tc>
        <w:tc>
          <w:tcPr>
            <w:tcW w:w="1399" w:type="dxa"/>
            <w:tcBorders>
              <w:top w:val="nil"/>
              <w:left w:val="single" w:sz="4" w:space="0" w:color="auto"/>
              <w:bottom w:val="nil"/>
              <w:right w:val="nil"/>
            </w:tcBorders>
            <w:vAlign w:val="center"/>
          </w:tcPr>
          <w:p w14:paraId="06359FB4" w14:textId="77777777" w:rsidR="000C35AF" w:rsidRPr="00E63B6F" w:rsidRDefault="000C35AF" w:rsidP="009238AE">
            <w:pPr>
              <w:pStyle w:val="Regresjonstabell"/>
              <w:jc w:val="right"/>
              <w:rPr>
                <w:sz w:val="20"/>
                <w:szCs w:val="20"/>
              </w:rPr>
            </w:pPr>
            <w:r w:rsidRPr="00E63B6F">
              <w:rPr>
                <w:color w:val="000000"/>
                <w:sz w:val="20"/>
                <w:szCs w:val="20"/>
              </w:rPr>
              <w:t>(8.885)</w:t>
            </w:r>
          </w:p>
        </w:tc>
        <w:tc>
          <w:tcPr>
            <w:tcW w:w="1399" w:type="dxa"/>
            <w:tcBorders>
              <w:top w:val="nil"/>
              <w:left w:val="nil"/>
              <w:bottom w:val="nil"/>
              <w:right w:val="nil"/>
            </w:tcBorders>
            <w:vAlign w:val="center"/>
          </w:tcPr>
          <w:p w14:paraId="523C6899" w14:textId="77777777" w:rsidR="000C35AF" w:rsidRPr="00E63B6F" w:rsidRDefault="000C35AF" w:rsidP="009238AE">
            <w:pPr>
              <w:pStyle w:val="Regresjonstabell"/>
              <w:jc w:val="right"/>
              <w:rPr>
                <w:sz w:val="20"/>
                <w:szCs w:val="20"/>
              </w:rPr>
            </w:pPr>
            <w:r w:rsidRPr="00E63B6F">
              <w:rPr>
                <w:color w:val="000000"/>
                <w:sz w:val="20"/>
                <w:szCs w:val="20"/>
              </w:rPr>
              <w:t>(8.888)</w:t>
            </w:r>
          </w:p>
        </w:tc>
        <w:tc>
          <w:tcPr>
            <w:tcW w:w="1399" w:type="dxa"/>
            <w:tcBorders>
              <w:top w:val="nil"/>
              <w:left w:val="nil"/>
              <w:bottom w:val="nil"/>
              <w:right w:val="nil"/>
            </w:tcBorders>
            <w:vAlign w:val="center"/>
          </w:tcPr>
          <w:p w14:paraId="728595DD" w14:textId="77777777" w:rsidR="000C35AF" w:rsidRPr="00E63B6F" w:rsidRDefault="000C35AF" w:rsidP="009238AE">
            <w:pPr>
              <w:pStyle w:val="Regresjonstabell"/>
              <w:jc w:val="right"/>
              <w:rPr>
                <w:sz w:val="20"/>
                <w:szCs w:val="20"/>
              </w:rPr>
            </w:pPr>
            <w:r w:rsidRPr="00E63B6F">
              <w:rPr>
                <w:color w:val="000000"/>
                <w:sz w:val="20"/>
                <w:szCs w:val="20"/>
              </w:rPr>
              <w:t>(8.888)</w:t>
            </w:r>
          </w:p>
        </w:tc>
        <w:tc>
          <w:tcPr>
            <w:tcW w:w="1399" w:type="dxa"/>
            <w:tcBorders>
              <w:top w:val="nil"/>
              <w:left w:val="nil"/>
              <w:bottom w:val="nil"/>
              <w:right w:val="nil"/>
            </w:tcBorders>
            <w:vAlign w:val="center"/>
          </w:tcPr>
          <w:p w14:paraId="09D328CA" w14:textId="77777777" w:rsidR="000C35AF" w:rsidRPr="00E63B6F" w:rsidRDefault="000C35AF" w:rsidP="009238AE">
            <w:pPr>
              <w:pStyle w:val="Regresjonstabell"/>
              <w:jc w:val="right"/>
              <w:rPr>
                <w:sz w:val="20"/>
                <w:szCs w:val="20"/>
              </w:rPr>
            </w:pPr>
            <w:r w:rsidRPr="00E63B6F">
              <w:rPr>
                <w:color w:val="000000"/>
                <w:sz w:val="20"/>
                <w:szCs w:val="20"/>
              </w:rPr>
              <w:t>(8.892)</w:t>
            </w:r>
          </w:p>
        </w:tc>
        <w:tc>
          <w:tcPr>
            <w:tcW w:w="1399" w:type="dxa"/>
            <w:tcBorders>
              <w:top w:val="nil"/>
              <w:left w:val="nil"/>
              <w:bottom w:val="nil"/>
              <w:right w:val="nil"/>
            </w:tcBorders>
            <w:vAlign w:val="center"/>
          </w:tcPr>
          <w:p w14:paraId="04D07746" w14:textId="77777777" w:rsidR="000C35AF" w:rsidRPr="00E63B6F" w:rsidRDefault="000C35AF" w:rsidP="009238AE">
            <w:pPr>
              <w:pStyle w:val="Regresjonstabell"/>
              <w:jc w:val="right"/>
              <w:rPr>
                <w:sz w:val="20"/>
                <w:szCs w:val="20"/>
              </w:rPr>
            </w:pPr>
            <w:r w:rsidRPr="00E63B6F">
              <w:rPr>
                <w:color w:val="000000"/>
                <w:sz w:val="20"/>
                <w:szCs w:val="20"/>
              </w:rPr>
              <w:t>(8.399)</w:t>
            </w:r>
          </w:p>
        </w:tc>
        <w:tc>
          <w:tcPr>
            <w:tcW w:w="1399" w:type="dxa"/>
            <w:tcBorders>
              <w:top w:val="nil"/>
              <w:left w:val="nil"/>
              <w:bottom w:val="nil"/>
              <w:right w:val="nil"/>
            </w:tcBorders>
            <w:vAlign w:val="center"/>
          </w:tcPr>
          <w:p w14:paraId="4C7C5A26" w14:textId="77777777" w:rsidR="000C35AF" w:rsidRPr="00E63B6F" w:rsidRDefault="000C35AF" w:rsidP="009238AE">
            <w:pPr>
              <w:pStyle w:val="Regresjonstabell"/>
              <w:jc w:val="right"/>
              <w:rPr>
                <w:sz w:val="20"/>
                <w:szCs w:val="20"/>
              </w:rPr>
            </w:pPr>
            <w:r w:rsidRPr="00E63B6F">
              <w:rPr>
                <w:color w:val="000000"/>
                <w:sz w:val="20"/>
                <w:szCs w:val="20"/>
              </w:rPr>
              <w:t>(8.400)</w:t>
            </w:r>
          </w:p>
        </w:tc>
        <w:tc>
          <w:tcPr>
            <w:tcW w:w="1400" w:type="dxa"/>
            <w:tcBorders>
              <w:top w:val="nil"/>
              <w:left w:val="nil"/>
              <w:bottom w:val="nil"/>
              <w:right w:val="nil"/>
            </w:tcBorders>
            <w:vAlign w:val="center"/>
          </w:tcPr>
          <w:p w14:paraId="599B339A" w14:textId="77777777" w:rsidR="000C35AF" w:rsidRPr="00E63B6F" w:rsidRDefault="000C35AF" w:rsidP="009238AE">
            <w:pPr>
              <w:pStyle w:val="Regresjonstabell"/>
              <w:jc w:val="right"/>
              <w:rPr>
                <w:sz w:val="20"/>
                <w:szCs w:val="20"/>
              </w:rPr>
            </w:pPr>
            <w:r w:rsidRPr="00E63B6F">
              <w:rPr>
                <w:color w:val="000000"/>
                <w:sz w:val="20"/>
                <w:szCs w:val="20"/>
              </w:rPr>
              <w:t>(8.405)</w:t>
            </w:r>
          </w:p>
        </w:tc>
        <w:tc>
          <w:tcPr>
            <w:tcW w:w="1400" w:type="dxa"/>
            <w:tcBorders>
              <w:top w:val="nil"/>
              <w:left w:val="nil"/>
              <w:bottom w:val="nil"/>
              <w:right w:val="single" w:sz="4" w:space="0" w:color="auto"/>
            </w:tcBorders>
            <w:vAlign w:val="center"/>
          </w:tcPr>
          <w:p w14:paraId="321785F2" w14:textId="77777777" w:rsidR="000C35AF" w:rsidRPr="00E63B6F" w:rsidRDefault="000C35AF" w:rsidP="009238AE">
            <w:pPr>
              <w:pStyle w:val="Regresjonstabell"/>
              <w:jc w:val="right"/>
              <w:rPr>
                <w:sz w:val="20"/>
                <w:szCs w:val="20"/>
              </w:rPr>
            </w:pPr>
            <w:r w:rsidRPr="00E63B6F">
              <w:rPr>
                <w:color w:val="000000"/>
                <w:sz w:val="20"/>
                <w:szCs w:val="20"/>
              </w:rPr>
              <w:t>(8.421)</w:t>
            </w:r>
          </w:p>
        </w:tc>
      </w:tr>
      <w:tr w:rsidR="000C35AF" w:rsidRPr="0055149C" w14:paraId="5F34ECE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F6B5CA7"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44CE49F6"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38F82D4C"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23EE88AA"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10FDA340"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6D6C7848"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bottom"/>
          </w:tcPr>
          <w:p w14:paraId="754F5E89"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nil"/>
            </w:tcBorders>
            <w:vAlign w:val="bottom"/>
          </w:tcPr>
          <w:p w14:paraId="00EA9BB2"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single" w:sz="4" w:space="0" w:color="auto"/>
            </w:tcBorders>
            <w:vAlign w:val="bottom"/>
          </w:tcPr>
          <w:p w14:paraId="43639AC2" w14:textId="77777777" w:rsidR="000C35AF" w:rsidRPr="00E63B6F" w:rsidRDefault="000C35AF" w:rsidP="009238AE">
            <w:pPr>
              <w:pStyle w:val="Regresjonstabell"/>
              <w:jc w:val="right"/>
              <w:rPr>
                <w:sz w:val="20"/>
                <w:szCs w:val="20"/>
              </w:rPr>
            </w:pPr>
            <w:r w:rsidRPr="00E63B6F">
              <w:rPr>
                <w:color w:val="000000"/>
                <w:sz w:val="20"/>
                <w:szCs w:val="20"/>
              </w:rPr>
              <w:t>-0.006</w:t>
            </w:r>
          </w:p>
        </w:tc>
      </w:tr>
      <w:tr w:rsidR="000C35AF" w:rsidRPr="0055149C" w14:paraId="00980AC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C722D59"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13425C5E"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73DE3BFE"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2FB061CE"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1CA4F048"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7EA2C8D4"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center"/>
          </w:tcPr>
          <w:p w14:paraId="45FF6294"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400" w:type="dxa"/>
            <w:tcBorders>
              <w:top w:val="nil"/>
              <w:left w:val="nil"/>
              <w:bottom w:val="nil"/>
              <w:right w:val="nil"/>
            </w:tcBorders>
            <w:vAlign w:val="center"/>
          </w:tcPr>
          <w:p w14:paraId="7175A174"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400" w:type="dxa"/>
            <w:tcBorders>
              <w:top w:val="nil"/>
              <w:left w:val="nil"/>
              <w:bottom w:val="nil"/>
              <w:right w:val="single" w:sz="4" w:space="0" w:color="auto"/>
            </w:tcBorders>
            <w:vAlign w:val="center"/>
          </w:tcPr>
          <w:p w14:paraId="48BFC93D" w14:textId="77777777" w:rsidR="000C35AF" w:rsidRPr="00E63B6F" w:rsidRDefault="000C35AF" w:rsidP="009238AE">
            <w:pPr>
              <w:pStyle w:val="Regresjonstabell"/>
              <w:jc w:val="right"/>
              <w:rPr>
                <w:sz w:val="20"/>
                <w:szCs w:val="20"/>
              </w:rPr>
            </w:pPr>
            <w:r w:rsidRPr="00E63B6F">
              <w:rPr>
                <w:color w:val="000000"/>
                <w:sz w:val="20"/>
                <w:szCs w:val="20"/>
              </w:rPr>
              <w:t>(0.005)</w:t>
            </w:r>
          </w:p>
        </w:tc>
      </w:tr>
      <w:tr w:rsidR="000C35AF" w:rsidRPr="0055149C" w14:paraId="771007B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3E2DB38"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1100EC82" w14:textId="77777777" w:rsidR="000C35AF" w:rsidRPr="00E63B6F" w:rsidRDefault="000C35AF" w:rsidP="009238AE">
            <w:pPr>
              <w:pStyle w:val="Regresjonstabell"/>
              <w:jc w:val="right"/>
              <w:rPr>
                <w:sz w:val="20"/>
                <w:szCs w:val="20"/>
              </w:rPr>
            </w:pPr>
            <w:r w:rsidRPr="00E63B6F">
              <w:rPr>
                <w:color w:val="000000"/>
                <w:sz w:val="20"/>
                <w:szCs w:val="20"/>
              </w:rPr>
              <w:t>4.016***</w:t>
            </w:r>
          </w:p>
        </w:tc>
        <w:tc>
          <w:tcPr>
            <w:tcW w:w="1399" w:type="dxa"/>
            <w:tcBorders>
              <w:top w:val="nil"/>
              <w:left w:val="nil"/>
              <w:bottom w:val="nil"/>
              <w:right w:val="nil"/>
            </w:tcBorders>
            <w:vAlign w:val="bottom"/>
          </w:tcPr>
          <w:p w14:paraId="6B7DEB26" w14:textId="77777777" w:rsidR="000C35AF" w:rsidRPr="00E63B6F" w:rsidRDefault="000C35AF" w:rsidP="009238AE">
            <w:pPr>
              <w:pStyle w:val="Regresjonstabell"/>
              <w:jc w:val="right"/>
              <w:rPr>
                <w:sz w:val="20"/>
                <w:szCs w:val="20"/>
              </w:rPr>
            </w:pPr>
            <w:r w:rsidRPr="00E63B6F">
              <w:rPr>
                <w:color w:val="000000"/>
                <w:sz w:val="20"/>
                <w:szCs w:val="20"/>
              </w:rPr>
              <w:t>4.018***</w:t>
            </w:r>
          </w:p>
        </w:tc>
        <w:tc>
          <w:tcPr>
            <w:tcW w:w="1399" w:type="dxa"/>
            <w:tcBorders>
              <w:top w:val="nil"/>
              <w:left w:val="nil"/>
              <w:bottom w:val="nil"/>
              <w:right w:val="nil"/>
            </w:tcBorders>
            <w:vAlign w:val="bottom"/>
          </w:tcPr>
          <w:p w14:paraId="58B30C49" w14:textId="77777777" w:rsidR="000C35AF" w:rsidRPr="00E63B6F" w:rsidRDefault="000C35AF" w:rsidP="009238AE">
            <w:pPr>
              <w:pStyle w:val="Regresjonstabell"/>
              <w:jc w:val="right"/>
              <w:rPr>
                <w:sz w:val="20"/>
                <w:szCs w:val="20"/>
              </w:rPr>
            </w:pPr>
            <w:r w:rsidRPr="00E63B6F">
              <w:rPr>
                <w:color w:val="000000"/>
                <w:sz w:val="20"/>
                <w:szCs w:val="20"/>
              </w:rPr>
              <w:t>4.017***</w:t>
            </w:r>
          </w:p>
        </w:tc>
        <w:tc>
          <w:tcPr>
            <w:tcW w:w="1399" w:type="dxa"/>
            <w:tcBorders>
              <w:top w:val="nil"/>
              <w:left w:val="nil"/>
              <w:bottom w:val="nil"/>
              <w:right w:val="nil"/>
            </w:tcBorders>
            <w:vAlign w:val="bottom"/>
          </w:tcPr>
          <w:p w14:paraId="67EB338B" w14:textId="77777777" w:rsidR="000C35AF" w:rsidRPr="00E63B6F" w:rsidRDefault="000C35AF" w:rsidP="009238AE">
            <w:pPr>
              <w:pStyle w:val="Regresjonstabell"/>
              <w:jc w:val="right"/>
              <w:rPr>
                <w:sz w:val="20"/>
                <w:szCs w:val="20"/>
              </w:rPr>
            </w:pPr>
            <w:r w:rsidRPr="00E63B6F">
              <w:rPr>
                <w:color w:val="000000"/>
                <w:sz w:val="20"/>
                <w:szCs w:val="20"/>
              </w:rPr>
              <w:t>4.019***</w:t>
            </w:r>
          </w:p>
        </w:tc>
        <w:tc>
          <w:tcPr>
            <w:tcW w:w="1399" w:type="dxa"/>
            <w:tcBorders>
              <w:top w:val="nil"/>
              <w:left w:val="nil"/>
              <w:bottom w:val="nil"/>
              <w:right w:val="nil"/>
            </w:tcBorders>
            <w:vAlign w:val="bottom"/>
          </w:tcPr>
          <w:p w14:paraId="45255255" w14:textId="77777777" w:rsidR="000C35AF" w:rsidRPr="00E63B6F" w:rsidRDefault="000C35AF" w:rsidP="009238AE">
            <w:pPr>
              <w:pStyle w:val="Regresjonstabell"/>
              <w:jc w:val="right"/>
              <w:rPr>
                <w:sz w:val="20"/>
                <w:szCs w:val="20"/>
              </w:rPr>
            </w:pPr>
            <w:r w:rsidRPr="00E63B6F">
              <w:rPr>
                <w:color w:val="000000"/>
                <w:sz w:val="20"/>
                <w:szCs w:val="20"/>
              </w:rPr>
              <w:t>5.171***</w:t>
            </w:r>
          </w:p>
        </w:tc>
        <w:tc>
          <w:tcPr>
            <w:tcW w:w="1399" w:type="dxa"/>
            <w:tcBorders>
              <w:top w:val="nil"/>
              <w:left w:val="nil"/>
              <w:bottom w:val="nil"/>
              <w:right w:val="nil"/>
            </w:tcBorders>
            <w:vAlign w:val="bottom"/>
          </w:tcPr>
          <w:p w14:paraId="43D463DD" w14:textId="77777777" w:rsidR="000C35AF" w:rsidRPr="00E63B6F" w:rsidRDefault="000C35AF" w:rsidP="009238AE">
            <w:pPr>
              <w:pStyle w:val="Regresjonstabell"/>
              <w:jc w:val="right"/>
              <w:rPr>
                <w:sz w:val="20"/>
                <w:szCs w:val="20"/>
              </w:rPr>
            </w:pPr>
            <w:r w:rsidRPr="00E63B6F">
              <w:rPr>
                <w:color w:val="000000"/>
                <w:sz w:val="20"/>
                <w:szCs w:val="20"/>
              </w:rPr>
              <w:t>5.180***</w:t>
            </w:r>
          </w:p>
        </w:tc>
        <w:tc>
          <w:tcPr>
            <w:tcW w:w="1400" w:type="dxa"/>
            <w:tcBorders>
              <w:top w:val="nil"/>
              <w:left w:val="nil"/>
              <w:bottom w:val="nil"/>
              <w:right w:val="nil"/>
            </w:tcBorders>
            <w:vAlign w:val="bottom"/>
          </w:tcPr>
          <w:p w14:paraId="4607FF15" w14:textId="77777777" w:rsidR="000C35AF" w:rsidRPr="00E63B6F" w:rsidRDefault="000C35AF" w:rsidP="009238AE">
            <w:pPr>
              <w:pStyle w:val="Regresjonstabell"/>
              <w:jc w:val="right"/>
              <w:rPr>
                <w:sz w:val="20"/>
                <w:szCs w:val="20"/>
              </w:rPr>
            </w:pPr>
            <w:r w:rsidRPr="00E63B6F">
              <w:rPr>
                <w:color w:val="000000"/>
                <w:sz w:val="20"/>
                <w:szCs w:val="20"/>
              </w:rPr>
              <w:t>5.178***</w:t>
            </w:r>
          </w:p>
        </w:tc>
        <w:tc>
          <w:tcPr>
            <w:tcW w:w="1400" w:type="dxa"/>
            <w:tcBorders>
              <w:top w:val="nil"/>
              <w:left w:val="nil"/>
              <w:bottom w:val="nil"/>
              <w:right w:val="single" w:sz="4" w:space="0" w:color="auto"/>
            </w:tcBorders>
            <w:vAlign w:val="bottom"/>
          </w:tcPr>
          <w:p w14:paraId="3BD1B4C0" w14:textId="77777777" w:rsidR="000C35AF" w:rsidRPr="00E63B6F" w:rsidRDefault="000C35AF" w:rsidP="009238AE">
            <w:pPr>
              <w:pStyle w:val="Regresjonstabell"/>
              <w:jc w:val="right"/>
              <w:rPr>
                <w:sz w:val="20"/>
                <w:szCs w:val="20"/>
              </w:rPr>
            </w:pPr>
            <w:r w:rsidRPr="00E63B6F">
              <w:rPr>
                <w:color w:val="000000"/>
                <w:sz w:val="20"/>
                <w:szCs w:val="20"/>
              </w:rPr>
              <w:t>5.195***</w:t>
            </w:r>
          </w:p>
        </w:tc>
      </w:tr>
      <w:tr w:rsidR="000C35AF" w:rsidRPr="0055149C" w14:paraId="3356CAB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D04A26A"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75D7997E" w14:textId="77777777" w:rsidR="000C35AF" w:rsidRPr="00E63B6F" w:rsidRDefault="000C35AF" w:rsidP="009238AE">
            <w:pPr>
              <w:pStyle w:val="Regresjonstabell"/>
              <w:jc w:val="right"/>
              <w:rPr>
                <w:sz w:val="20"/>
                <w:szCs w:val="20"/>
              </w:rPr>
            </w:pPr>
            <w:r w:rsidRPr="00E63B6F">
              <w:rPr>
                <w:color w:val="000000"/>
                <w:sz w:val="20"/>
                <w:szCs w:val="20"/>
              </w:rPr>
              <w:t>(1.262)</w:t>
            </w:r>
          </w:p>
        </w:tc>
        <w:tc>
          <w:tcPr>
            <w:tcW w:w="1399" w:type="dxa"/>
            <w:tcBorders>
              <w:top w:val="nil"/>
              <w:left w:val="nil"/>
              <w:bottom w:val="nil"/>
              <w:right w:val="nil"/>
            </w:tcBorders>
            <w:vAlign w:val="center"/>
          </w:tcPr>
          <w:p w14:paraId="6B286092" w14:textId="77777777" w:rsidR="000C35AF" w:rsidRPr="00E63B6F" w:rsidRDefault="000C35AF" w:rsidP="009238AE">
            <w:pPr>
              <w:pStyle w:val="Regresjonstabell"/>
              <w:jc w:val="right"/>
              <w:rPr>
                <w:sz w:val="20"/>
                <w:szCs w:val="20"/>
              </w:rPr>
            </w:pPr>
            <w:r w:rsidRPr="00E63B6F">
              <w:rPr>
                <w:color w:val="000000"/>
                <w:sz w:val="20"/>
                <w:szCs w:val="20"/>
              </w:rPr>
              <w:t>(1.263)</w:t>
            </w:r>
          </w:p>
        </w:tc>
        <w:tc>
          <w:tcPr>
            <w:tcW w:w="1399" w:type="dxa"/>
            <w:tcBorders>
              <w:top w:val="nil"/>
              <w:left w:val="nil"/>
              <w:bottom w:val="nil"/>
              <w:right w:val="nil"/>
            </w:tcBorders>
            <w:vAlign w:val="center"/>
          </w:tcPr>
          <w:p w14:paraId="070DAD2A" w14:textId="77777777" w:rsidR="000C35AF" w:rsidRPr="00E63B6F" w:rsidRDefault="000C35AF" w:rsidP="009238AE">
            <w:pPr>
              <w:pStyle w:val="Regresjonstabell"/>
              <w:jc w:val="right"/>
              <w:rPr>
                <w:sz w:val="20"/>
                <w:szCs w:val="20"/>
              </w:rPr>
            </w:pPr>
            <w:r w:rsidRPr="00E63B6F">
              <w:rPr>
                <w:color w:val="000000"/>
                <w:sz w:val="20"/>
                <w:szCs w:val="20"/>
              </w:rPr>
              <w:t>(1.264)</w:t>
            </w:r>
          </w:p>
        </w:tc>
        <w:tc>
          <w:tcPr>
            <w:tcW w:w="1399" w:type="dxa"/>
            <w:tcBorders>
              <w:top w:val="nil"/>
              <w:left w:val="nil"/>
              <w:bottom w:val="nil"/>
              <w:right w:val="nil"/>
            </w:tcBorders>
            <w:vAlign w:val="center"/>
          </w:tcPr>
          <w:p w14:paraId="32B8DBEE" w14:textId="77777777" w:rsidR="000C35AF" w:rsidRPr="00E63B6F" w:rsidRDefault="000C35AF" w:rsidP="009238AE">
            <w:pPr>
              <w:pStyle w:val="Regresjonstabell"/>
              <w:jc w:val="right"/>
              <w:rPr>
                <w:sz w:val="20"/>
                <w:szCs w:val="20"/>
              </w:rPr>
            </w:pPr>
            <w:r w:rsidRPr="00E63B6F">
              <w:rPr>
                <w:color w:val="000000"/>
                <w:sz w:val="20"/>
                <w:szCs w:val="20"/>
              </w:rPr>
              <w:t>(1.267)</w:t>
            </w:r>
          </w:p>
        </w:tc>
        <w:tc>
          <w:tcPr>
            <w:tcW w:w="1399" w:type="dxa"/>
            <w:tcBorders>
              <w:top w:val="nil"/>
              <w:left w:val="nil"/>
              <w:bottom w:val="nil"/>
              <w:right w:val="nil"/>
            </w:tcBorders>
            <w:vAlign w:val="center"/>
          </w:tcPr>
          <w:p w14:paraId="78DA11B9" w14:textId="77777777" w:rsidR="000C35AF" w:rsidRPr="00E63B6F" w:rsidRDefault="000C35AF" w:rsidP="009238AE">
            <w:pPr>
              <w:pStyle w:val="Regresjonstabell"/>
              <w:jc w:val="right"/>
              <w:rPr>
                <w:sz w:val="20"/>
                <w:szCs w:val="20"/>
              </w:rPr>
            </w:pPr>
            <w:r w:rsidRPr="00E63B6F">
              <w:rPr>
                <w:color w:val="000000"/>
                <w:sz w:val="20"/>
                <w:szCs w:val="20"/>
              </w:rPr>
              <w:t>(1.404)</w:t>
            </w:r>
          </w:p>
        </w:tc>
        <w:tc>
          <w:tcPr>
            <w:tcW w:w="1399" w:type="dxa"/>
            <w:tcBorders>
              <w:top w:val="nil"/>
              <w:left w:val="nil"/>
              <w:bottom w:val="nil"/>
              <w:right w:val="nil"/>
            </w:tcBorders>
            <w:vAlign w:val="center"/>
          </w:tcPr>
          <w:p w14:paraId="60E6E55C" w14:textId="77777777" w:rsidR="000C35AF" w:rsidRPr="00E63B6F" w:rsidRDefault="000C35AF" w:rsidP="009238AE">
            <w:pPr>
              <w:pStyle w:val="Regresjonstabell"/>
              <w:jc w:val="right"/>
              <w:rPr>
                <w:sz w:val="20"/>
                <w:szCs w:val="20"/>
              </w:rPr>
            </w:pPr>
            <w:r w:rsidRPr="00E63B6F">
              <w:rPr>
                <w:color w:val="000000"/>
                <w:sz w:val="20"/>
                <w:szCs w:val="20"/>
              </w:rPr>
              <w:t>(1.406)</w:t>
            </w:r>
          </w:p>
        </w:tc>
        <w:tc>
          <w:tcPr>
            <w:tcW w:w="1400" w:type="dxa"/>
            <w:tcBorders>
              <w:top w:val="nil"/>
              <w:left w:val="nil"/>
              <w:bottom w:val="nil"/>
              <w:right w:val="nil"/>
            </w:tcBorders>
            <w:vAlign w:val="center"/>
          </w:tcPr>
          <w:p w14:paraId="14F9DDB4" w14:textId="77777777" w:rsidR="000C35AF" w:rsidRPr="00E63B6F" w:rsidRDefault="000C35AF" w:rsidP="009238AE">
            <w:pPr>
              <w:pStyle w:val="Regresjonstabell"/>
              <w:jc w:val="right"/>
              <w:rPr>
                <w:sz w:val="20"/>
                <w:szCs w:val="20"/>
              </w:rPr>
            </w:pPr>
            <w:r w:rsidRPr="00E63B6F">
              <w:rPr>
                <w:color w:val="000000"/>
                <w:sz w:val="20"/>
                <w:szCs w:val="20"/>
              </w:rPr>
              <w:t>(1.406)</w:t>
            </w:r>
          </w:p>
        </w:tc>
        <w:tc>
          <w:tcPr>
            <w:tcW w:w="1400" w:type="dxa"/>
            <w:tcBorders>
              <w:top w:val="nil"/>
              <w:left w:val="nil"/>
              <w:bottom w:val="nil"/>
              <w:right w:val="single" w:sz="4" w:space="0" w:color="auto"/>
            </w:tcBorders>
            <w:vAlign w:val="center"/>
          </w:tcPr>
          <w:p w14:paraId="50BB0FB7" w14:textId="77777777" w:rsidR="000C35AF" w:rsidRPr="00E63B6F" w:rsidRDefault="000C35AF" w:rsidP="009238AE">
            <w:pPr>
              <w:pStyle w:val="Regresjonstabell"/>
              <w:jc w:val="right"/>
              <w:rPr>
                <w:sz w:val="20"/>
                <w:szCs w:val="20"/>
              </w:rPr>
            </w:pPr>
            <w:r w:rsidRPr="00E63B6F">
              <w:rPr>
                <w:color w:val="000000"/>
                <w:sz w:val="20"/>
                <w:szCs w:val="20"/>
              </w:rPr>
              <w:t>(1.412)</w:t>
            </w:r>
          </w:p>
        </w:tc>
      </w:tr>
      <w:tr w:rsidR="000C35AF" w:rsidRPr="0055149C" w14:paraId="7AE4CBD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3AB3276"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79BB8EE3"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2B65993F"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73B4C63F"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79266036"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5045E53D" w14:textId="77777777" w:rsidR="000C35AF" w:rsidRPr="00E63B6F" w:rsidRDefault="000C35AF" w:rsidP="009238AE">
            <w:pPr>
              <w:pStyle w:val="Regresjonstabell"/>
              <w:jc w:val="right"/>
              <w:rPr>
                <w:sz w:val="20"/>
                <w:szCs w:val="20"/>
              </w:rPr>
            </w:pPr>
            <w:r w:rsidRPr="00E63B6F">
              <w:rPr>
                <w:color w:val="000000"/>
                <w:sz w:val="20"/>
                <w:szCs w:val="20"/>
              </w:rPr>
              <w:t>353</w:t>
            </w:r>
          </w:p>
        </w:tc>
        <w:tc>
          <w:tcPr>
            <w:tcW w:w="1399" w:type="dxa"/>
            <w:tcBorders>
              <w:top w:val="nil"/>
              <w:left w:val="nil"/>
              <w:bottom w:val="nil"/>
              <w:right w:val="nil"/>
            </w:tcBorders>
            <w:vAlign w:val="bottom"/>
          </w:tcPr>
          <w:p w14:paraId="2478251C" w14:textId="77777777" w:rsidR="000C35AF" w:rsidRPr="00E63B6F" w:rsidRDefault="000C35AF" w:rsidP="009238AE">
            <w:pPr>
              <w:pStyle w:val="Regresjonstabell"/>
              <w:jc w:val="right"/>
              <w:rPr>
                <w:sz w:val="20"/>
                <w:szCs w:val="20"/>
              </w:rPr>
            </w:pPr>
            <w:r w:rsidRPr="00E63B6F">
              <w:rPr>
                <w:color w:val="000000"/>
                <w:sz w:val="20"/>
                <w:szCs w:val="20"/>
              </w:rPr>
              <w:t>353</w:t>
            </w:r>
          </w:p>
        </w:tc>
        <w:tc>
          <w:tcPr>
            <w:tcW w:w="1400" w:type="dxa"/>
            <w:tcBorders>
              <w:top w:val="nil"/>
              <w:left w:val="nil"/>
              <w:bottom w:val="nil"/>
              <w:right w:val="nil"/>
            </w:tcBorders>
            <w:vAlign w:val="bottom"/>
          </w:tcPr>
          <w:p w14:paraId="303475BF" w14:textId="77777777" w:rsidR="000C35AF" w:rsidRPr="00E63B6F" w:rsidRDefault="000C35AF" w:rsidP="009238AE">
            <w:pPr>
              <w:pStyle w:val="Regresjonstabell"/>
              <w:jc w:val="right"/>
              <w:rPr>
                <w:sz w:val="20"/>
                <w:szCs w:val="20"/>
              </w:rPr>
            </w:pPr>
            <w:r w:rsidRPr="00E63B6F">
              <w:rPr>
                <w:color w:val="000000"/>
                <w:sz w:val="20"/>
                <w:szCs w:val="20"/>
              </w:rPr>
              <w:t>353</w:t>
            </w:r>
          </w:p>
        </w:tc>
        <w:tc>
          <w:tcPr>
            <w:tcW w:w="1400" w:type="dxa"/>
            <w:tcBorders>
              <w:top w:val="nil"/>
              <w:left w:val="nil"/>
              <w:bottom w:val="nil"/>
              <w:right w:val="single" w:sz="4" w:space="0" w:color="auto"/>
            </w:tcBorders>
            <w:vAlign w:val="bottom"/>
          </w:tcPr>
          <w:p w14:paraId="6795DA4E" w14:textId="77777777" w:rsidR="000C35AF" w:rsidRPr="00E63B6F" w:rsidRDefault="000C35AF" w:rsidP="009238AE">
            <w:pPr>
              <w:pStyle w:val="Regresjonstabell"/>
              <w:jc w:val="right"/>
              <w:rPr>
                <w:sz w:val="20"/>
                <w:szCs w:val="20"/>
              </w:rPr>
            </w:pPr>
            <w:r w:rsidRPr="00E63B6F">
              <w:rPr>
                <w:color w:val="000000"/>
                <w:sz w:val="20"/>
                <w:szCs w:val="20"/>
              </w:rPr>
              <w:t>353</w:t>
            </w:r>
          </w:p>
        </w:tc>
      </w:tr>
      <w:tr w:rsidR="000C35AF" w:rsidRPr="0055149C" w14:paraId="2EC5EE6A"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366CA0FE"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0068F86F"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560F6ABA"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287E4873"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0FAE34B4"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29289776" w14:textId="77777777" w:rsidR="000C35AF" w:rsidRPr="00E63B6F" w:rsidRDefault="000C35AF" w:rsidP="009238AE">
            <w:pPr>
              <w:pStyle w:val="Regresjonstabell"/>
              <w:jc w:val="right"/>
              <w:rPr>
                <w:sz w:val="20"/>
                <w:szCs w:val="20"/>
              </w:rPr>
            </w:pPr>
            <w:r w:rsidRPr="00E63B6F">
              <w:rPr>
                <w:color w:val="000000"/>
                <w:sz w:val="20"/>
                <w:szCs w:val="20"/>
              </w:rPr>
              <w:t>0.094</w:t>
            </w:r>
          </w:p>
        </w:tc>
        <w:tc>
          <w:tcPr>
            <w:tcW w:w="1399" w:type="dxa"/>
            <w:tcBorders>
              <w:top w:val="nil"/>
              <w:left w:val="nil"/>
              <w:bottom w:val="single" w:sz="4" w:space="0" w:color="auto"/>
              <w:right w:val="nil"/>
            </w:tcBorders>
            <w:vAlign w:val="bottom"/>
          </w:tcPr>
          <w:p w14:paraId="15475AF1" w14:textId="77777777" w:rsidR="000C35AF" w:rsidRPr="00E63B6F" w:rsidRDefault="000C35AF" w:rsidP="009238AE">
            <w:pPr>
              <w:pStyle w:val="Regresjonstabell"/>
              <w:jc w:val="right"/>
              <w:rPr>
                <w:sz w:val="20"/>
                <w:szCs w:val="20"/>
              </w:rPr>
            </w:pPr>
            <w:r w:rsidRPr="00E63B6F">
              <w:rPr>
                <w:color w:val="000000"/>
                <w:sz w:val="20"/>
                <w:szCs w:val="20"/>
              </w:rPr>
              <w:t>0.094</w:t>
            </w:r>
          </w:p>
        </w:tc>
        <w:tc>
          <w:tcPr>
            <w:tcW w:w="1400" w:type="dxa"/>
            <w:tcBorders>
              <w:top w:val="nil"/>
              <w:left w:val="nil"/>
              <w:bottom w:val="single" w:sz="4" w:space="0" w:color="auto"/>
              <w:right w:val="nil"/>
            </w:tcBorders>
            <w:vAlign w:val="bottom"/>
          </w:tcPr>
          <w:p w14:paraId="6D78978E" w14:textId="77777777" w:rsidR="000C35AF" w:rsidRPr="00E63B6F" w:rsidRDefault="000C35AF" w:rsidP="009238AE">
            <w:pPr>
              <w:pStyle w:val="Regresjonstabell"/>
              <w:jc w:val="right"/>
              <w:rPr>
                <w:sz w:val="20"/>
                <w:szCs w:val="20"/>
              </w:rPr>
            </w:pPr>
            <w:r w:rsidRPr="00E63B6F">
              <w:rPr>
                <w:color w:val="000000"/>
                <w:sz w:val="20"/>
                <w:szCs w:val="20"/>
              </w:rPr>
              <w:t>0.094</w:t>
            </w:r>
          </w:p>
        </w:tc>
        <w:tc>
          <w:tcPr>
            <w:tcW w:w="1400" w:type="dxa"/>
            <w:tcBorders>
              <w:top w:val="nil"/>
              <w:left w:val="nil"/>
              <w:bottom w:val="single" w:sz="4" w:space="0" w:color="auto"/>
              <w:right w:val="single" w:sz="4" w:space="0" w:color="auto"/>
            </w:tcBorders>
            <w:vAlign w:val="bottom"/>
          </w:tcPr>
          <w:p w14:paraId="465B11C8" w14:textId="77777777" w:rsidR="000C35AF" w:rsidRPr="00E63B6F" w:rsidRDefault="000C35AF" w:rsidP="009238AE">
            <w:pPr>
              <w:pStyle w:val="Regresjonstabell"/>
              <w:jc w:val="right"/>
              <w:rPr>
                <w:sz w:val="20"/>
                <w:szCs w:val="20"/>
              </w:rPr>
            </w:pPr>
            <w:r w:rsidRPr="00E63B6F">
              <w:rPr>
                <w:color w:val="000000"/>
                <w:sz w:val="20"/>
                <w:szCs w:val="20"/>
              </w:rPr>
              <w:t>0.093</w:t>
            </w:r>
          </w:p>
        </w:tc>
      </w:tr>
    </w:tbl>
    <w:p w14:paraId="7A581A4B"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20F59B85" w14:textId="77777777" w:rsidR="000C35AF" w:rsidRPr="0055149C" w:rsidRDefault="000C35AF" w:rsidP="000C35AF">
      <w:pPr>
        <w:pStyle w:val="Source"/>
        <w:rPr>
          <w:lang w:eastAsia="nb-NO"/>
        </w:rPr>
      </w:pPr>
      <w:r w:rsidRPr="0055149C">
        <w:rPr>
          <w:lang w:eastAsia="nb-NO"/>
        </w:rPr>
        <w:t>Kilde: Vista Analyse</w:t>
      </w:r>
    </w:p>
    <w:p w14:paraId="095C02EE" w14:textId="77777777" w:rsidR="000C35AF" w:rsidRPr="0055149C" w:rsidRDefault="000C35AF" w:rsidP="000C35AF">
      <w:pPr>
        <w:rPr>
          <w:lang w:eastAsia="nb-NO"/>
        </w:rPr>
      </w:pPr>
      <w:r w:rsidRPr="0055149C">
        <w:rPr>
          <w:lang w:eastAsia="nb-NO"/>
        </w:rPr>
        <w:br w:type="page"/>
      </w:r>
    </w:p>
    <w:p w14:paraId="29E90E1F" w14:textId="3789CF22" w:rsidR="000C35AF" w:rsidRPr="0055149C" w:rsidRDefault="000C35AF" w:rsidP="000C35AF">
      <w:pPr>
        <w:pStyle w:val="Bildetekst"/>
      </w:pPr>
      <w:r w:rsidRPr="0055149C">
        <w:lastRenderedPageBreak/>
        <w:t xml:space="preserve">Tabell </w:t>
      </w:r>
      <w:fldSimple w:instr=" STYLEREF 1 \s ">
        <w:r w:rsidR="009B1DA8">
          <w:rPr>
            <w:noProof/>
          </w:rPr>
          <w:t>4</w:t>
        </w:r>
      </w:fldSimple>
      <w:r w:rsidRPr="0055149C">
        <w:t>.</w:t>
      </w:r>
      <w:fldSimple w:instr=" SEQ Tabell \* ARABIC \s 1 ">
        <w:r w:rsidR="009B1DA8">
          <w:rPr>
            <w:noProof/>
          </w:rPr>
          <w:t>20</w:t>
        </w:r>
      </w:fldSimple>
      <w:r w:rsidRPr="0055149C">
        <w:t xml:space="preserve"> </w:t>
      </w:r>
      <w:r w:rsidRPr="0055149C">
        <w:tab/>
        <w:t xml:space="preserve">Regresjoner ved minste kvadraters metode, der kostnadene innen barnevernet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17647A9F" w14:textId="77777777" w:rsidTr="009238AE">
        <w:tc>
          <w:tcPr>
            <w:tcW w:w="2798" w:type="dxa"/>
            <w:tcBorders>
              <w:top w:val="single" w:sz="4" w:space="0" w:color="auto"/>
              <w:left w:val="single" w:sz="4" w:space="0" w:color="auto"/>
              <w:bottom w:val="nil"/>
              <w:right w:val="nil"/>
            </w:tcBorders>
            <w:shd w:val="clear" w:color="auto" w:fill="3672B0" w:themeFill="accent2"/>
          </w:tcPr>
          <w:p w14:paraId="6CCF94CC"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728C58A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0D3128E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31F9F41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5D16D5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4FFA14B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47FAB61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7829180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5B8BA5C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41BDC1F0" w14:textId="77777777" w:rsidTr="009238AE">
        <w:tc>
          <w:tcPr>
            <w:tcW w:w="2798" w:type="dxa"/>
            <w:tcBorders>
              <w:top w:val="nil"/>
              <w:left w:val="single" w:sz="4" w:space="0" w:color="auto"/>
              <w:bottom w:val="single" w:sz="4" w:space="0" w:color="auto"/>
              <w:right w:val="nil"/>
            </w:tcBorders>
            <w:shd w:val="clear" w:color="auto" w:fill="3672B0" w:themeFill="accent2"/>
          </w:tcPr>
          <w:p w14:paraId="04C0F4BD"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7979BB5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E15F4A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3B571C3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17E1F4E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527DC9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3E9A47E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3FC4B93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79014B9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61693626"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27C5E530" w14:textId="77777777" w:rsidR="000C35AF" w:rsidRPr="0055149C" w:rsidRDefault="000C35AF" w:rsidP="009238AE">
            <w:pPr>
              <w:pStyle w:val="Regresjonstabell"/>
              <w:rPr>
                <w:sz w:val="20"/>
                <w:szCs w:val="20"/>
              </w:rPr>
            </w:pPr>
            <w:r w:rsidRPr="0055149C">
              <w:rPr>
                <w:color w:val="000000"/>
                <w:sz w:val="20"/>
                <w:szCs w:val="20"/>
              </w:rPr>
              <w:t>Innbyggere 0 til 1 år</w:t>
            </w:r>
          </w:p>
        </w:tc>
        <w:tc>
          <w:tcPr>
            <w:tcW w:w="1399" w:type="dxa"/>
            <w:tcBorders>
              <w:top w:val="single" w:sz="4" w:space="0" w:color="auto"/>
              <w:left w:val="single" w:sz="4" w:space="0" w:color="auto"/>
              <w:bottom w:val="nil"/>
              <w:right w:val="nil"/>
            </w:tcBorders>
            <w:vAlign w:val="bottom"/>
          </w:tcPr>
          <w:p w14:paraId="6DF62379" w14:textId="77777777" w:rsidR="000C35AF" w:rsidRPr="00113056" w:rsidRDefault="000C35AF" w:rsidP="009238AE">
            <w:pPr>
              <w:pStyle w:val="Regresjonstabell"/>
              <w:jc w:val="right"/>
              <w:rPr>
                <w:sz w:val="20"/>
                <w:szCs w:val="20"/>
              </w:rPr>
            </w:pPr>
            <w:r w:rsidRPr="00113056">
              <w:rPr>
                <w:color w:val="000000"/>
                <w:sz w:val="20"/>
                <w:szCs w:val="20"/>
              </w:rPr>
              <w:t>-11.868</w:t>
            </w:r>
          </w:p>
        </w:tc>
        <w:tc>
          <w:tcPr>
            <w:tcW w:w="1399" w:type="dxa"/>
            <w:tcBorders>
              <w:top w:val="single" w:sz="4" w:space="0" w:color="auto"/>
              <w:left w:val="nil"/>
              <w:bottom w:val="nil"/>
              <w:right w:val="nil"/>
            </w:tcBorders>
            <w:vAlign w:val="bottom"/>
          </w:tcPr>
          <w:p w14:paraId="16BBCC46" w14:textId="77777777" w:rsidR="000C35AF" w:rsidRPr="00113056" w:rsidRDefault="000C35AF" w:rsidP="009238AE">
            <w:pPr>
              <w:pStyle w:val="Regresjonstabell"/>
              <w:jc w:val="right"/>
              <w:rPr>
                <w:sz w:val="20"/>
                <w:szCs w:val="20"/>
              </w:rPr>
            </w:pPr>
            <w:r w:rsidRPr="00113056">
              <w:rPr>
                <w:color w:val="000000"/>
                <w:sz w:val="20"/>
                <w:szCs w:val="20"/>
              </w:rPr>
              <w:t>26.060</w:t>
            </w:r>
          </w:p>
        </w:tc>
        <w:tc>
          <w:tcPr>
            <w:tcW w:w="1399" w:type="dxa"/>
            <w:tcBorders>
              <w:top w:val="single" w:sz="4" w:space="0" w:color="auto"/>
              <w:left w:val="nil"/>
              <w:bottom w:val="nil"/>
              <w:right w:val="nil"/>
            </w:tcBorders>
            <w:vAlign w:val="bottom"/>
          </w:tcPr>
          <w:p w14:paraId="3D9861E3" w14:textId="77777777" w:rsidR="000C35AF" w:rsidRPr="00113056" w:rsidRDefault="000C35AF" w:rsidP="009238AE">
            <w:pPr>
              <w:pStyle w:val="Regresjonstabell"/>
              <w:jc w:val="right"/>
              <w:rPr>
                <w:sz w:val="20"/>
                <w:szCs w:val="20"/>
              </w:rPr>
            </w:pPr>
            <w:r w:rsidRPr="00113056">
              <w:rPr>
                <w:color w:val="000000"/>
                <w:sz w:val="20"/>
                <w:szCs w:val="20"/>
              </w:rPr>
              <w:t>-37.928</w:t>
            </w:r>
          </w:p>
        </w:tc>
        <w:tc>
          <w:tcPr>
            <w:tcW w:w="1399" w:type="dxa"/>
            <w:tcBorders>
              <w:top w:val="single" w:sz="4" w:space="0" w:color="auto"/>
              <w:left w:val="nil"/>
              <w:bottom w:val="nil"/>
              <w:right w:val="nil"/>
            </w:tcBorders>
            <w:vAlign w:val="bottom"/>
          </w:tcPr>
          <w:p w14:paraId="19F00DBF" w14:textId="77777777" w:rsidR="000C35AF" w:rsidRPr="00113056" w:rsidRDefault="000C35AF" w:rsidP="009238AE">
            <w:pPr>
              <w:pStyle w:val="Regresjonstabell"/>
              <w:jc w:val="right"/>
              <w:rPr>
                <w:sz w:val="20"/>
                <w:szCs w:val="20"/>
              </w:rPr>
            </w:pPr>
            <w:r w:rsidRPr="00113056">
              <w:rPr>
                <w:color w:val="000000"/>
                <w:sz w:val="20"/>
                <w:szCs w:val="20"/>
              </w:rPr>
              <w:t>0.183</w:t>
            </w:r>
          </w:p>
        </w:tc>
        <w:tc>
          <w:tcPr>
            <w:tcW w:w="1399" w:type="dxa"/>
            <w:tcBorders>
              <w:top w:val="single" w:sz="4" w:space="0" w:color="auto"/>
              <w:left w:val="nil"/>
              <w:bottom w:val="nil"/>
              <w:right w:val="nil"/>
            </w:tcBorders>
            <w:vAlign w:val="bottom"/>
          </w:tcPr>
          <w:p w14:paraId="294C086B" w14:textId="77777777" w:rsidR="000C35AF" w:rsidRPr="00113056" w:rsidRDefault="000C35AF" w:rsidP="009238AE">
            <w:pPr>
              <w:pStyle w:val="Regresjonstabell"/>
              <w:jc w:val="right"/>
              <w:rPr>
                <w:sz w:val="20"/>
                <w:szCs w:val="20"/>
              </w:rPr>
            </w:pPr>
            <w:r w:rsidRPr="00113056">
              <w:rPr>
                <w:color w:val="000000"/>
                <w:sz w:val="20"/>
                <w:szCs w:val="20"/>
              </w:rPr>
              <w:t>0.187</w:t>
            </w:r>
          </w:p>
        </w:tc>
        <w:tc>
          <w:tcPr>
            <w:tcW w:w="1399" w:type="dxa"/>
            <w:tcBorders>
              <w:top w:val="single" w:sz="4" w:space="0" w:color="auto"/>
              <w:left w:val="nil"/>
              <w:bottom w:val="nil"/>
              <w:right w:val="nil"/>
            </w:tcBorders>
            <w:vAlign w:val="bottom"/>
          </w:tcPr>
          <w:p w14:paraId="64EBB4E7" w14:textId="77777777" w:rsidR="000C35AF" w:rsidRPr="00113056" w:rsidRDefault="000C35AF" w:rsidP="009238AE">
            <w:pPr>
              <w:pStyle w:val="Regresjonstabell"/>
              <w:jc w:val="right"/>
              <w:rPr>
                <w:sz w:val="20"/>
                <w:szCs w:val="20"/>
              </w:rPr>
            </w:pPr>
            <w:r w:rsidRPr="00113056">
              <w:rPr>
                <w:color w:val="000000"/>
                <w:sz w:val="20"/>
                <w:szCs w:val="20"/>
              </w:rPr>
              <w:t>0.439</w:t>
            </w:r>
          </w:p>
        </w:tc>
        <w:tc>
          <w:tcPr>
            <w:tcW w:w="1400" w:type="dxa"/>
            <w:tcBorders>
              <w:top w:val="single" w:sz="4" w:space="0" w:color="auto"/>
              <w:left w:val="nil"/>
              <w:bottom w:val="nil"/>
              <w:right w:val="nil"/>
            </w:tcBorders>
            <w:vAlign w:val="bottom"/>
          </w:tcPr>
          <w:p w14:paraId="4187FF6C" w14:textId="77777777" w:rsidR="000C35AF" w:rsidRPr="00113056" w:rsidRDefault="000C35AF" w:rsidP="009238AE">
            <w:pPr>
              <w:pStyle w:val="Regresjonstabell"/>
              <w:jc w:val="right"/>
              <w:rPr>
                <w:sz w:val="20"/>
                <w:szCs w:val="20"/>
              </w:rPr>
            </w:pPr>
            <w:r w:rsidRPr="00113056">
              <w:rPr>
                <w:color w:val="000000"/>
                <w:sz w:val="20"/>
                <w:szCs w:val="20"/>
              </w:rPr>
              <w:t>0.626</w:t>
            </w:r>
          </w:p>
        </w:tc>
        <w:tc>
          <w:tcPr>
            <w:tcW w:w="1400" w:type="dxa"/>
            <w:tcBorders>
              <w:top w:val="single" w:sz="4" w:space="0" w:color="auto"/>
              <w:left w:val="nil"/>
              <w:bottom w:val="nil"/>
              <w:right w:val="single" w:sz="4" w:space="0" w:color="auto"/>
            </w:tcBorders>
            <w:vAlign w:val="bottom"/>
          </w:tcPr>
          <w:p w14:paraId="195EB598" w14:textId="77777777" w:rsidR="000C35AF" w:rsidRPr="00113056" w:rsidRDefault="000C35AF" w:rsidP="009238AE">
            <w:pPr>
              <w:pStyle w:val="Regresjonstabell"/>
              <w:jc w:val="right"/>
              <w:rPr>
                <w:sz w:val="20"/>
                <w:szCs w:val="20"/>
              </w:rPr>
            </w:pPr>
            <w:r w:rsidRPr="00113056">
              <w:rPr>
                <w:color w:val="000000"/>
                <w:sz w:val="20"/>
                <w:szCs w:val="20"/>
              </w:rPr>
              <w:t>-11.242</w:t>
            </w:r>
          </w:p>
        </w:tc>
      </w:tr>
      <w:tr w:rsidR="000C35AF" w:rsidRPr="0055149C" w14:paraId="6BDEB60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C4F36E9" w14:textId="77777777" w:rsidR="000C35AF" w:rsidRPr="0055149C" w:rsidRDefault="000C35AF" w:rsidP="009238AE">
            <w:pPr>
              <w:pStyle w:val="Regresjonstabell"/>
              <w:rPr>
                <w:sz w:val="20"/>
                <w:szCs w:val="20"/>
              </w:rPr>
            </w:pPr>
            <w:r w:rsidRPr="0055149C">
              <w:rPr>
                <w:sz w:val="20"/>
                <w:szCs w:val="20"/>
              </w:rPr>
              <w:t>(Kriterium 3)</w:t>
            </w:r>
          </w:p>
        </w:tc>
        <w:tc>
          <w:tcPr>
            <w:tcW w:w="1399" w:type="dxa"/>
            <w:tcBorders>
              <w:top w:val="nil"/>
              <w:left w:val="single" w:sz="4" w:space="0" w:color="auto"/>
              <w:bottom w:val="nil"/>
              <w:right w:val="nil"/>
            </w:tcBorders>
            <w:vAlign w:val="center"/>
          </w:tcPr>
          <w:p w14:paraId="25FA39B9" w14:textId="77777777" w:rsidR="000C35AF" w:rsidRPr="00113056" w:rsidRDefault="000C35AF" w:rsidP="009238AE">
            <w:pPr>
              <w:pStyle w:val="Regresjonstabell"/>
              <w:jc w:val="right"/>
              <w:rPr>
                <w:sz w:val="20"/>
                <w:szCs w:val="20"/>
              </w:rPr>
            </w:pPr>
            <w:r w:rsidRPr="00113056">
              <w:rPr>
                <w:color w:val="000000"/>
                <w:sz w:val="20"/>
                <w:szCs w:val="20"/>
              </w:rPr>
              <w:t>(31.219)</w:t>
            </w:r>
          </w:p>
        </w:tc>
        <w:tc>
          <w:tcPr>
            <w:tcW w:w="1399" w:type="dxa"/>
            <w:tcBorders>
              <w:top w:val="nil"/>
              <w:left w:val="nil"/>
              <w:bottom w:val="nil"/>
              <w:right w:val="nil"/>
            </w:tcBorders>
            <w:vAlign w:val="center"/>
          </w:tcPr>
          <w:p w14:paraId="0B854713" w14:textId="77777777" w:rsidR="000C35AF" w:rsidRPr="00113056" w:rsidRDefault="000C35AF" w:rsidP="009238AE">
            <w:pPr>
              <w:pStyle w:val="Regresjonstabell"/>
              <w:jc w:val="right"/>
              <w:rPr>
                <w:sz w:val="20"/>
                <w:szCs w:val="20"/>
              </w:rPr>
            </w:pPr>
            <w:r w:rsidRPr="00113056">
              <w:rPr>
                <w:color w:val="000000"/>
                <w:sz w:val="20"/>
                <w:szCs w:val="20"/>
              </w:rPr>
              <w:t>(21.906)</w:t>
            </w:r>
          </w:p>
        </w:tc>
        <w:tc>
          <w:tcPr>
            <w:tcW w:w="1399" w:type="dxa"/>
            <w:tcBorders>
              <w:top w:val="nil"/>
              <w:left w:val="nil"/>
              <w:bottom w:val="nil"/>
              <w:right w:val="nil"/>
            </w:tcBorders>
            <w:vAlign w:val="center"/>
          </w:tcPr>
          <w:p w14:paraId="130467B7" w14:textId="77777777" w:rsidR="000C35AF" w:rsidRPr="00113056" w:rsidRDefault="000C35AF" w:rsidP="009238AE">
            <w:pPr>
              <w:pStyle w:val="Regresjonstabell"/>
              <w:jc w:val="right"/>
              <w:rPr>
                <w:sz w:val="20"/>
                <w:szCs w:val="20"/>
              </w:rPr>
            </w:pPr>
            <w:r w:rsidRPr="00113056">
              <w:rPr>
                <w:color w:val="000000"/>
                <w:sz w:val="20"/>
                <w:szCs w:val="20"/>
              </w:rPr>
              <w:t>(23.669)</w:t>
            </w:r>
          </w:p>
        </w:tc>
        <w:tc>
          <w:tcPr>
            <w:tcW w:w="1399" w:type="dxa"/>
            <w:tcBorders>
              <w:top w:val="nil"/>
              <w:left w:val="nil"/>
              <w:bottom w:val="nil"/>
              <w:right w:val="nil"/>
            </w:tcBorders>
            <w:vAlign w:val="center"/>
          </w:tcPr>
          <w:p w14:paraId="2B0B99B8" w14:textId="77777777" w:rsidR="000C35AF" w:rsidRPr="00113056" w:rsidRDefault="000C35AF" w:rsidP="009238AE">
            <w:pPr>
              <w:pStyle w:val="Regresjonstabell"/>
              <w:jc w:val="right"/>
              <w:rPr>
                <w:sz w:val="20"/>
                <w:szCs w:val="20"/>
              </w:rPr>
            </w:pPr>
            <w:r w:rsidRPr="00113056">
              <w:rPr>
                <w:color w:val="000000"/>
                <w:sz w:val="20"/>
                <w:szCs w:val="20"/>
              </w:rPr>
              <w:t>(0.199)</w:t>
            </w:r>
          </w:p>
        </w:tc>
        <w:tc>
          <w:tcPr>
            <w:tcW w:w="1399" w:type="dxa"/>
            <w:tcBorders>
              <w:top w:val="nil"/>
              <w:left w:val="nil"/>
              <w:bottom w:val="nil"/>
              <w:right w:val="nil"/>
            </w:tcBorders>
            <w:vAlign w:val="center"/>
          </w:tcPr>
          <w:p w14:paraId="7714F132" w14:textId="77777777" w:rsidR="000C35AF" w:rsidRPr="00113056" w:rsidRDefault="000C35AF" w:rsidP="009238AE">
            <w:pPr>
              <w:pStyle w:val="Regresjonstabell"/>
              <w:jc w:val="right"/>
              <w:rPr>
                <w:sz w:val="20"/>
                <w:szCs w:val="20"/>
              </w:rPr>
            </w:pPr>
            <w:r w:rsidRPr="00113056">
              <w:rPr>
                <w:color w:val="000000"/>
                <w:sz w:val="20"/>
                <w:szCs w:val="20"/>
              </w:rPr>
              <w:t>(0.234)</w:t>
            </w:r>
          </w:p>
        </w:tc>
        <w:tc>
          <w:tcPr>
            <w:tcW w:w="1399" w:type="dxa"/>
            <w:tcBorders>
              <w:top w:val="nil"/>
              <w:left w:val="nil"/>
              <w:bottom w:val="nil"/>
              <w:right w:val="nil"/>
            </w:tcBorders>
            <w:vAlign w:val="center"/>
          </w:tcPr>
          <w:p w14:paraId="797604B2" w14:textId="77777777" w:rsidR="000C35AF" w:rsidRPr="00113056" w:rsidRDefault="000C35AF" w:rsidP="009238AE">
            <w:pPr>
              <w:pStyle w:val="Regresjonstabell"/>
              <w:jc w:val="right"/>
              <w:rPr>
                <w:sz w:val="20"/>
                <w:szCs w:val="20"/>
              </w:rPr>
            </w:pPr>
            <w:r w:rsidRPr="00113056">
              <w:rPr>
                <w:color w:val="000000"/>
                <w:sz w:val="20"/>
                <w:szCs w:val="20"/>
              </w:rPr>
              <w:t>(0.548)</w:t>
            </w:r>
          </w:p>
        </w:tc>
        <w:tc>
          <w:tcPr>
            <w:tcW w:w="1400" w:type="dxa"/>
            <w:tcBorders>
              <w:top w:val="nil"/>
              <w:left w:val="nil"/>
              <w:bottom w:val="nil"/>
              <w:right w:val="nil"/>
            </w:tcBorders>
            <w:vAlign w:val="center"/>
          </w:tcPr>
          <w:p w14:paraId="3F9F127B" w14:textId="77777777" w:rsidR="000C35AF" w:rsidRPr="00113056" w:rsidRDefault="000C35AF" w:rsidP="009238AE">
            <w:pPr>
              <w:pStyle w:val="Regresjonstabell"/>
              <w:jc w:val="right"/>
              <w:rPr>
                <w:sz w:val="20"/>
                <w:szCs w:val="20"/>
              </w:rPr>
            </w:pPr>
            <w:r w:rsidRPr="00113056">
              <w:rPr>
                <w:color w:val="000000"/>
                <w:sz w:val="20"/>
                <w:szCs w:val="20"/>
              </w:rPr>
              <w:t>(0.783)</w:t>
            </w:r>
          </w:p>
        </w:tc>
        <w:tc>
          <w:tcPr>
            <w:tcW w:w="1400" w:type="dxa"/>
            <w:tcBorders>
              <w:top w:val="nil"/>
              <w:left w:val="nil"/>
              <w:bottom w:val="nil"/>
              <w:right w:val="single" w:sz="4" w:space="0" w:color="auto"/>
            </w:tcBorders>
            <w:vAlign w:val="center"/>
          </w:tcPr>
          <w:p w14:paraId="5494CF3A" w14:textId="77777777" w:rsidR="000C35AF" w:rsidRPr="00113056" w:rsidRDefault="000C35AF" w:rsidP="009238AE">
            <w:pPr>
              <w:pStyle w:val="Regresjonstabell"/>
              <w:jc w:val="right"/>
              <w:rPr>
                <w:sz w:val="20"/>
                <w:szCs w:val="20"/>
              </w:rPr>
            </w:pPr>
            <w:r w:rsidRPr="00113056">
              <w:rPr>
                <w:color w:val="000000"/>
                <w:sz w:val="20"/>
                <w:szCs w:val="20"/>
              </w:rPr>
              <w:t>(31.555)</w:t>
            </w:r>
          </w:p>
        </w:tc>
      </w:tr>
      <w:tr w:rsidR="000C35AF" w:rsidRPr="0055149C" w14:paraId="5EE8BEB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9FA92E5" w14:textId="77777777" w:rsidR="000C35AF" w:rsidRPr="0055149C" w:rsidRDefault="000C35AF" w:rsidP="009238AE">
            <w:pPr>
              <w:pStyle w:val="Regresjonstabell"/>
              <w:rPr>
                <w:sz w:val="20"/>
                <w:szCs w:val="20"/>
              </w:rPr>
            </w:pPr>
            <w:r w:rsidRPr="0055149C">
              <w:rPr>
                <w:color w:val="000000"/>
                <w:sz w:val="20"/>
                <w:szCs w:val="20"/>
              </w:rPr>
              <w:t>Innbyggere 2 til 5 år</w:t>
            </w:r>
          </w:p>
        </w:tc>
        <w:tc>
          <w:tcPr>
            <w:tcW w:w="1399" w:type="dxa"/>
            <w:tcBorders>
              <w:top w:val="nil"/>
              <w:left w:val="single" w:sz="4" w:space="0" w:color="auto"/>
              <w:bottom w:val="nil"/>
              <w:right w:val="nil"/>
            </w:tcBorders>
            <w:vAlign w:val="bottom"/>
          </w:tcPr>
          <w:p w14:paraId="7CE23F5E" w14:textId="77777777" w:rsidR="000C35AF" w:rsidRPr="00113056" w:rsidRDefault="000C35AF" w:rsidP="009238AE">
            <w:pPr>
              <w:pStyle w:val="Regresjonstabell"/>
              <w:jc w:val="right"/>
              <w:rPr>
                <w:sz w:val="20"/>
                <w:szCs w:val="20"/>
              </w:rPr>
            </w:pPr>
            <w:r w:rsidRPr="00113056">
              <w:rPr>
                <w:color w:val="000000"/>
                <w:sz w:val="20"/>
                <w:szCs w:val="20"/>
              </w:rPr>
              <w:t>-73.048**</w:t>
            </w:r>
          </w:p>
        </w:tc>
        <w:tc>
          <w:tcPr>
            <w:tcW w:w="1399" w:type="dxa"/>
            <w:tcBorders>
              <w:top w:val="nil"/>
              <w:left w:val="nil"/>
              <w:bottom w:val="nil"/>
              <w:right w:val="nil"/>
            </w:tcBorders>
            <w:vAlign w:val="bottom"/>
          </w:tcPr>
          <w:p w14:paraId="0EA5F3BC" w14:textId="77777777" w:rsidR="000C35AF" w:rsidRPr="00113056" w:rsidRDefault="000C35AF" w:rsidP="009238AE">
            <w:pPr>
              <w:pStyle w:val="Regresjonstabell"/>
              <w:jc w:val="right"/>
              <w:rPr>
                <w:sz w:val="20"/>
                <w:szCs w:val="20"/>
              </w:rPr>
            </w:pPr>
            <w:r w:rsidRPr="00113056">
              <w:rPr>
                <w:color w:val="000000"/>
                <w:sz w:val="20"/>
                <w:szCs w:val="20"/>
              </w:rPr>
              <w:t>-28.226</w:t>
            </w:r>
          </w:p>
        </w:tc>
        <w:tc>
          <w:tcPr>
            <w:tcW w:w="1399" w:type="dxa"/>
            <w:tcBorders>
              <w:top w:val="nil"/>
              <w:left w:val="nil"/>
              <w:bottom w:val="nil"/>
              <w:right w:val="nil"/>
            </w:tcBorders>
            <w:vAlign w:val="bottom"/>
          </w:tcPr>
          <w:p w14:paraId="0F842D12" w14:textId="77777777" w:rsidR="000C35AF" w:rsidRPr="00113056" w:rsidRDefault="000C35AF" w:rsidP="009238AE">
            <w:pPr>
              <w:pStyle w:val="Regresjonstabell"/>
              <w:jc w:val="right"/>
              <w:rPr>
                <w:sz w:val="20"/>
                <w:szCs w:val="20"/>
              </w:rPr>
            </w:pPr>
            <w:r w:rsidRPr="00113056">
              <w:rPr>
                <w:color w:val="000000"/>
                <w:sz w:val="20"/>
                <w:szCs w:val="20"/>
              </w:rPr>
              <w:t>-44.823***</w:t>
            </w:r>
          </w:p>
        </w:tc>
        <w:tc>
          <w:tcPr>
            <w:tcW w:w="1399" w:type="dxa"/>
            <w:tcBorders>
              <w:top w:val="nil"/>
              <w:left w:val="nil"/>
              <w:bottom w:val="nil"/>
              <w:right w:val="nil"/>
            </w:tcBorders>
            <w:vAlign w:val="bottom"/>
          </w:tcPr>
          <w:p w14:paraId="5CC1C0BD" w14:textId="77777777" w:rsidR="000C35AF" w:rsidRPr="00113056" w:rsidRDefault="000C35AF" w:rsidP="009238AE">
            <w:pPr>
              <w:pStyle w:val="Regresjonstabell"/>
              <w:jc w:val="right"/>
              <w:rPr>
                <w:sz w:val="20"/>
                <w:szCs w:val="20"/>
              </w:rPr>
            </w:pPr>
            <w:r w:rsidRPr="00113056">
              <w:rPr>
                <w:color w:val="000000"/>
                <w:sz w:val="20"/>
                <w:szCs w:val="20"/>
              </w:rPr>
              <w:t>-0.129</w:t>
            </w:r>
          </w:p>
        </w:tc>
        <w:tc>
          <w:tcPr>
            <w:tcW w:w="1399" w:type="dxa"/>
            <w:tcBorders>
              <w:top w:val="nil"/>
              <w:left w:val="nil"/>
              <w:bottom w:val="nil"/>
              <w:right w:val="nil"/>
            </w:tcBorders>
            <w:vAlign w:val="bottom"/>
          </w:tcPr>
          <w:p w14:paraId="100BEB27" w14:textId="77777777" w:rsidR="000C35AF" w:rsidRPr="00113056" w:rsidRDefault="000C35AF" w:rsidP="009238AE">
            <w:pPr>
              <w:pStyle w:val="Regresjonstabell"/>
              <w:jc w:val="right"/>
              <w:rPr>
                <w:sz w:val="20"/>
                <w:szCs w:val="20"/>
              </w:rPr>
            </w:pPr>
            <w:r w:rsidRPr="00113056">
              <w:rPr>
                <w:color w:val="000000"/>
                <w:sz w:val="20"/>
                <w:szCs w:val="20"/>
              </w:rPr>
              <w:t>-0.129</w:t>
            </w:r>
          </w:p>
        </w:tc>
        <w:tc>
          <w:tcPr>
            <w:tcW w:w="1399" w:type="dxa"/>
            <w:tcBorders>
              <w:top w:val="nil"/>
              <w:left w:val="nil"/>
              <w:bottom w:val="nil"/>
              <w:right w:val="nil"/>
            </w:tcBorders>
            <w:vAlign w:val="bottom"/>
          </w:tcPr>
          <w:p w14:paraId="3448FE80" w14:textId="77777777" w:rsidR="000C35AF" w:rsidRPr="00113056" w:rsidRDefault="000C35AF" w:rsidP="009238AE">
            <w:pPr>
              <w:pStyle w:val="Regresjonstabell"/>
              <w:jc w:val="right"/>
              <w:rPr>
                <w:sz w:val="20"/>
                <w:szCs w:val="20"/>
              </w:rPr>
            </w:pPr>
            <w:r w:rsidRPr="00113056">
              <w:rPr>
                <w:color w:val="000000"/>
                <w:sz w:val="20"/>
                <w:szCs w:val="20"/>
              </w:rPr>
              <w:t>-0.302</w:t>
            </w:r>
          </w:p>
        </w:tc>
        <w:tc>
          <w:tcPr>
            <w:tcW w:w="1400" w:type="dxa"/>
            <w:tcBorders>
              <w:top w:val="nil"/>
              <w:left w:val="nil"/>
              <w:bottom w:val="nil"/>
              <w:right w:val="nil"/>
            </w:tcBorders>
            <w:vAlign w:val="bottom"/>
          </w:tcPr>
          <w:p w14:paraId="6F584B57" w14:textId="77777777" w:rsidR="000C35AF" w:rsidRPr="00113056" w:rsidRDefault="000C35AF" w:rsidP="009238AE">
            <w:pPr>
              <w:pStyle w:val="Regresjonstabell"/>
              <w:jc w:val="right"/>
              <w:rPr>
                <w:sz w:val="20"/>
                <w:szCs w:val="20"/>
              </w:rPr>
            </w:pPr>
            <w:r w:rsidRPr="00113056">
              <w:rPr>
                <w:color w:val="000000"/>
                <w:sz w:val="20"/>
                <w:szCs w:val="20"/>
              </w:rPr>
              <w:t>-0.431</w:t>
            </w:r>
          </w:p>
        </w:tc>
        <w:tc>
          <w:tcPr>
            <w:tcW w:w="1400" w:type="dxa"/>
            <w:tcBorders>
              <w:top w:val="nil"/>
              <w:left w:val="nil"/>
              <w:bottom w:val="nil"/>
              <w:right w:val="single" w:sz="4" w:space="0" w:color="auto"/>
            </w:tcBorders>
            <w:vAlign w:val="bottom"/>
          </w:tcPr>
          <w:p w14:paraId="294F3674" w14:textId="77777777" w:rsidR="000C35AF" w:rsidRPr="00113056" w:rsidRDefault="000C35AF" w:rsidP="009238AE">
            <w:pPr>
              <w:pStyle w:val="Regresjonstabell"/>
              <w:jc w:val="right"/>
              <w:rPr>
                <w:sz w:val="20"/>
                <w:szCs w:val="20"/>
              </w:rPr>
            </w:pPr>
            <w:r w:rsidRPr="00113056">
              <w:rPr>
                <w:color w:val="000000"/>
                <w:sz w:val="20"/>
                <w:szCs w:val="20"/>
              </w:rPr>
              <w:t>-73.479**</w:t>
            </w:r>
          </w:p>
        </w:tc>
      </w:tr>
      <w:tr w:rsidR="000C35AF" w:rsidRPr="0055149C" w14:paraId="3331623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1E8F2EF"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00BC71C0" w14:textId="77777777" w:rsidR="000C35AF" w:rsidRPr="00113056" w:rsidRDefault="000C35AF" w:rsidP="009238AE">
            <w:pPr>
              <w:pStyle w:val="Regresjonstabell"/>
              <w:jc w:val="right"/>
              <w:rPr>
                <w:sz w:val="20"/>
                <w:szCs w:val="20"/>
              </w:rPr>
            </w:pPr>
            <w:r w:rsidRPr="00113056">
              <w:rPr>
                <w:color w:val="000000"/>
                <w:sz w:val="20"/>
                <w:szCs w:val="20"/>
              </w:rPr>
              <w:t>(32.387)</w:t>
            </w:r>
          </w:p>
        </w:tc>
        <w:tc>
          <w:tcPr>
            <w:tcW w:w="1399" w:type="dxa"/>
            <w:tcBorders>
              <w:top w:val="nil"/>
              <w:left w:val="nil"/>
              <w:bottom w:val="nil"/>
              <w:right w:val="nil"/>
            </w:tcBorders>
            <w:vAlign w:val="center"/>
          </w:tcPr>
          <w:p w14:paraId="58648BB2" w14:textId="77777777" w:rsidR="000C35AF" w:rsidRPr="00113056" w:rsidRDefault="000C35AF" w:rsidP="009238AE">
            <w:pPr>
              <w:pStyle w:val="Regresjonstabell"/>
              <w:jc w:val="right"/>
              <w:rPr>
                <w:sz w:val="20"/>
                <w:szCs w:val="20"/>
              </w:rPr>
            </w:pPr>
            <w:r w:rsidRPr="00113056">
              <w:rPr>
                <w:color w:val="000000"/>
                <w:sz w:val="20"/>
                <w:szCs w:val="20"/>
              </w:rPr>
              <w:t>(21.614)</w:t>
            </w:r>
          </w:p>
        </w:tc>
        <w:tc>
          <w:tcPr>
            <w:tcW w:w="1399" w:type="dxa"/>
            <w:tcBorders>
              <w:top w:val="nil"/>
              <w:left w:val="nil"/>
              <w:bottom w:val="nil"/>
              <w:right w:val="nil"/>
            </w:tcBorders>
            <w:vAlign w:val="center"/>
          </w:tcPr>
          <w:p w14:paraId="2450074E" w14:textId="77777777" w:rsidR="000C35AF" w:rsidRPr="00113056" w:rsidRDefault="000C35AF" w:rsidP="009238AE">
            <w:pPr>
              <w:pStyle w:val="Regresjonstabell"/>
              <w:jc w:val="right"/>
              <w:rPr>
                <w:sz w:val="20"/>
                <w:szCs w:val="20"/>
              </w:rPr>
            </w:pPr>
            <w:r w:rsidRPr="00113056">
              <w:rPr>
                <w:color w:val="000000"/>
                <w:sz w:val="20"/>
                <w:szCs w:val="20"/>
              </w:rPr>
              <w:t>(16.365)</w:t>
            </w:r>
          </w:p>
        </w:tc>
        <w:tc>
          <w:tcPr>
            <w:tcW w:w="1399" w:type="dxa"/>
            <w:tcBorders>
              <w:top w:val="nil"/>
              <w:left w:val="nil"/>
              <w:bottom w:val="nil"/>
              <w:right w:val="nil"/>
            </w:tcBorders>
            <w:vAlign w:val="center"/>
          </w:tcPr>
          <w:p w14:paraId="2D34FFE6" w14:textId="77777777" w:rsidR="000C35AF" w:rsidRPr="00113056" w:rsidRDefault="000C35AF" w:rsidP="009238AE">
            <w:pPr>
              <w:pStyle w:val="Regresjonstabell"/>
              <w:jc w:val="right"/>
              <w:rPr>
                <w:sz w:val="20"/>
                <w:szCs w:val="20"/>
              </w:rPr>
            </w:pPr>
            <w:r w:rsidRPr="00113056">
              <w:rPr>
                <w:color w:val="000000"/>
                <w:sz w:val="20"/>
                <w:szCs w:val="20"/>
              </w:rPr>
              <w:t>(0.137)</w:t>
            </w:r>
          </w:p>
        </w:tc>
        <w:tc>
          <w:tcPr>
            <w:tcW w:w="1399" w:type="dxa"/>
            <w:tcBorders>
              <w:top w:val="nil"/>
              <w:left w:val="nil"/>
              <w:bottom w:val="nil"/>
              <w:right w:val="nil"/>
            </w:tcBorders>
            <w:vAlign w:val="center"/>
          </w:tcPr>
          <w:p w14:paraId="6549D5BF" w14:textId="77777777" w:rsidR="000C35AF" w:rsidRPr="00113056" w:rsidRDefault="000C35AF" w:rsidP="009238AE">
            <w:pPr>
              <w:pStyle w:val="Regresjonstabell"/>
              <w:jc w:val="right"/>
              <w:rPr>
                <w:sz w:val="20"/>
                <w:szCs w:val="20"/>
              </w:rPr>
            </w:pPr>
            <w:r w:rsidRPr="00113056">
              <w:rPr>
                <w:color w:val="000000"/>
                <w:sz w:val="20"/>
                <w:szCs w:val="20"/>
              </w:rPr>
              <w:t>(0.196)</w:t>
            </w:r>
          </w:p>
        </w:tc>
        <w:tc>
          <w:tcPr>
            <w:tcW w:w="1399" w:type="dxa"/>
            <w:tcBorders>
              <w:top w:val="nil"/>
              <w:left w:val="nil"/>
              <w:bottom w:val="nil"/>
              <w:right w:val="nil"/>
            </w:tcBorders>
            <w:vAlign w:val="center"/>
          </w:tcPr>
          <w:p w14:paraId="5C99ED42" w14:textId="77777777" w:rsidR="000C35AF" w:rsidRPr="00113056" w:rsidRDefault="000C35AF" w:rsidP="009238AE">
            <w:pPr>
              <w:pStyle w:val="Regresjonstabell"/>
              <w:jc w:val="right"/>
              <w:rPr>
                <w:sz w:val="20"/>
                <w:szCs w:val="20"/>
              </w:rPr>
            </w:pPr>
            <w:r w:rsidRPr="00113056">
              <w:rPr>
                <w:color w:val="000000"/>
                <w:sz w:val="20"/>
                <w:szCs w:val="20"/>
              </w:rPr>
              <w:t>(0.459)</w:t>
            </w:r>
          </w:p>
        </w:tc>
        <w:tc>
          <w:tcPr>
            <w:tcW w:w="1400" w:type="dxa"/>
            <w:tcBorders>
              <w:top w:val="nil"/>
              <w:left w:val="nil"/>
              <w:bottom w:val="nil"/>
              <w:right w:val="nil"/>
            </w:tcBorders>
            <w:vAlign w:val="center"/>
          </w:tcPr>
          <w:p w14:paraId="182FD3E5" w14:textId="77777777" w:rsidR="000C35AF" w:rsidRPr="00113056" w:rsidRDefault="000C35AF" w:rsidP="009238AE">
            <w:pPr>
              <w:pStyle w:val="Regresjonstabell"/>
              <w:jc w:val="right"/>
              <w:rPr>
                <w:sz w:val="20"/>
                <w:szCs w:val="20"/>
              </w:rPr>
            </w:pPr>
            <w:r w:rsidRPr="00113056">
              <w:rPr>
                <w:color w:val="000000"/>
                <w:sz w:val="20"/>
                <w:szCs w:val="20"/>
              </w:rPr>
              <w:t>(0.655)</w:t>
            </w:r>
          </w:p>
        </w:tc>
        <w:tc>
          <w:tcPr>
            <w:tcW w:w="1400" w:type="dxa"/>
            <w:tcBorders>
              <w:top w:val="nil"/>
              <w:left w:val="nil"/>
              <w:bottom w:val="nil"/>
              <w:right w:val="single" w:sz="4" w:space="0" w:color="auto"/>
            </w:tcBorders>
            <w:vAlign w:val="center"/>
          </w:tcPr>
          <w:p w14:paraId="7DE0C6A3" w14:textId="77777777" w:rsidR="000C35AF" w:rsidRPr="00113056" w:rsidRDefault="000C35AF" w:rsidP="009238AE">
            <w:pPr>
              <w:pStyle w:val="Regresjonstabell"/>
              <w:jc w:val="right"/>
              <w:rPr>
                <w:sz w:val="20"/>
                <w:szCs w:val="20"/>
              </w:rPr>
            </w:pPr>
            <w:r w:rsidRPr="00113056">
              <w:rPr>
                <w:color w:val="000000"/>
                <w:sz w:val="20"/>
                <w:szCs w:val="20"/>
              </w:rPr>
              <w:t>(32.636)</w:t>
            </w:r>
          </w:p>
        </w:tc>
      </w:tr>
      <w:tr w:rsidR="000C35AF" w:rsidRPr="0055149C" w14:paraId="2C3D576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8927DEE" w14:textId="77777777" w:rsidR="000C35AF" w:rsidRPr="0055149C" w:rsidRDefault="000C35AF" w:rsidP="009238AE">
            <w:pPr>
              <w:pStyle w:val="Regresjonstabell"/>
              <w:rPr>
                <w:sz w:val="20"/>
                <w:szCs w:val="20"/>
              </w:rPr>
            </w:pPr>
            <w:r w:rsidRPr="0055149C">
              <w:rPr>
                <w:color w:val="000000"/>
                <w:sz w:val="20"/>
                <w:szCs w:val="20"/>
              </w:rPr>
              <w:t>Innbyggere 6 til 15 år</w:t>
            </w:r>
          </w:p>
        </w:tc>
        <w:tc>
          <w:tcPr>
            <w:tcW w:w="1399" w:type="dxa"/>
            <w:tcBorders>
              <w:top w:val="nil"/>
              <w:left w:val="single" w:sz="4" w:space="0" w:color="auto"/>
              <w:bottom w:val="nil"/>
              <w:right w:val="nil"/>
            </w:tcBorders>
            <w:vAlign w:val="bottom"/>
          </w:tcPr>
          <w:p w14:paraId="76F5B6AD" w14:textId="77777777" w:rsidR="000C35AF" w:rsidRPr="00113056" w:rsidRDefault="000C35AF" w:rsidP="009238AE">
            <w:pPr>
              <w:pStyle w:val="Regresjonstabell"/>
              <w:jc w:val="right"/>
              <w:rPr>
                <w:sz w:val="20"/>
                <w:szCs w:val="20"/>
              </w:rPr>
            </w:pPr>
            <w:r w:rsidRPr="00113056">
              <w:rPr>
                <w:color w:val="000000"/>
                <w:sz w:val="20"/>
                <w:szCs w:val="20"/>
              </w:rPr>
              <w:t>13.137</w:t>
            </w:r>
          </w:p>
        </w:tc>
        <w:tc>
          <w:tcPr>
            <w:tcW w:w="1399" w:type="dxa"/>
            <w:tcBorders>
              <w:top w:val="nil"/>
              <w:left w:val="nil"/>
              <w:bottom w:val="nil"/>
              <w:right w:val="nil"/>
            </w:tcBorders>
            <w:vAlign w:val="bottom"/>
          </w:tcPr>
          <w:p w14:paraId="4B6DF2EC" w14:textId="77777777" w:rsidR="000C35AF" w:rsidRPr="00113056" w:rsidRDefault="000C35AF" w:rsidP="009238AE">
            <w:pPr>
              <w:pStyle w:val="Regresjonstabell"/>
              <w:jc w:val="right"/>
              <w:rPr>
                <w:sz w:val="20"/>
                <w:szCs w:val="20"/>
              </w:rPr>
            </w:pPr>
            <w:r w:rsidRPr="00113056">
              <w:rPr>
                <w:color w:val="000000"/>
                <w:sz w:val="20"/>
                <w:szCs w:val="20"/>
              </w:rPr>
              <w:t>0.668</w:t>
            </w:r>
          </w:p>
        </w:tc>
        <w:tc>
          <w:tcPr>
            <w:tcW w:w="1399" w:type="dxa"/>
            <w:tcBorders>
              <w:top w:val="nil"/>
              <w:left w:val="nil"/>
              <w:bottom w:val="nil"/>
              <w:right w:val="nil"/>
            </w:tcBorders>
            <w:vAlign w:val="bottom"/>
          </w:tcPr>
          <w:p w14:paraId="540D2D1D" w14:textId="77777777" w:rsidR="000C35AF" w:rsidRPr="00113056" w:rsidRDefault="000C35AF" w:rsidP="009238AE">
            <w:pPr>
              <w:pStyle w:val="Regresjonstabell"/>
              <w:jc w:val="right"/>
              <w:rPr>
                <w:sz w:val="20"/>
                <w:szCs w:val="20"/>
              </w:rPr>
            </w:pPr>
            <w:r w:rsidRPr="00113056">
              <w:rPr>
                <w:color w:val="000000"/>
                <w:sz w:val="20"/>
                <w:szCs w:val="20"/>
              </w:rPr>
              <w:t>12.469*</w:t>
            </w:r>
          </w:p>
        </w:tc>
        <w:tc>
          <w:tcPr>
            <w:tcW w:w="1399" w:type="dxa"/>
            <w:tcBorders>
              <w:top w:val="nil"/>
              <w:left w:val="nil"/>
              <w:bottom w:val="nil"/>
              <w:right w:val="nil"/>
            </w:tcBorders>
            <w:vAlign w:val="bottom"/>
          </w:tcPr>
          <w:p w14:paraId="18888229" w14:textId="77777777" w:rsidR="000C35AF" w:rsidRPr="00113056" w:rsidRDefault="000C35AF" w:rsidP="009238AE">
            <w:pPr>
              <w:pStyle w:val="Regresjonstabell"/>
              <w:jc w:val="right"/>
              <w:rPr>
                <w:sz w:val="20"/>
                <w:szCs w:val="20"/>
              </w:rPr>
            </w:pPr>
            <w:r w:rsidRPr="00113056">
              <w:rPr>
                <w:color w:val="000000"/>
                <w:sz w:val="20"/>
                <w:szCs w:val="20"/>
              </w:rPr>
              <w:t>-0.054</w:t>
            </w:r>
          </w:p>
        </w:tc>
        <w:tc>
          <w:tcPr>
            <w:tcW w:w="1399" w:type="dxa"/>
            <w:tcBorders>
              <w:top w:val="nil"/>
              <w:left w:val="nil"/>
              <w:bottom w:val="nil"/>
              <w:right w:val="nil"/>
            </w:tcBorders>
            <w:vAlign w:val="bottom"/>
          </w:tcPr>
          <w:p w14:paraId="47F62374" w14:textId="77777777" w:rsidR="000C35AF" w:rsidRPr="00113056" w:rsidRDefault="000C35AF" w:rsidP="009238AE">
            <w:pPr>
              <w:pStyle w:val="Regresjonstabell"/>
              <w:jc w:val="right"/>
              <w:rPr>
                <w:sz w:val="20"/>
                <w:szCs w:val="20"/>
              </w:rPr>
            </w:pPr>
            <w:r w:rsidRPr="00113056">
              <w:rPr>
                <w:color w:val="000000"/>
                <w:sz w:val="20"/>
                <w:szCs w:val="20"/>
              </w:rPr>
              <w:t>-0.070</w:t>
            </w:r>
          </w:p>
        </w:tc>
        <w:tc>
          <w:tcPr>
            <w:tcW w:w="1399" w:type="dxa"/>
            <w:tcBorders>
              <w:top w:val="nil"/>
              <w:left w:val="nil"/>
              <w:bottom w:val="nil"/>
              <w:right w:val="nil"/>
            </w:tcBorders>
            <w:vAlign w:val="bottom"/>
          </w:tcPr>
          <w:p w14:paraId="48BAFAB2" w14:textId="77777777" w:rsidR="000C35AF" w:rsidRPr="00113056" w:rsidRDefault="000C35AF" w:rsidP="009238AE">
            <w:pPr>
              <w:pStyle w:val="Regresjonstabell"/>
              <w:jc w:val="right"/>
              <w:rPr>
                <w:sz w:val="20"/>
                <w:szCs w:val="20"/>
              </w:rPr>
            </w:pPr>
            <w:r w:rsidRPr="00113056">
              <w:rPr>
                <w:color w:val="000000"/>
                <w:sz w:val="20"/>
                <w:szCs w:val="20"/>
              </w:rPr>
              <w:t>-0.164</w:t>
            </w:r>
          </w:p>
        </w:tc>
        <w:tc>
          <w:tcPr>
            <w:tcW w:w="1400" w:type="dxa"/>
            <w:tcBorders>
              <w:top w:val="nil"/>
              <w:left w:val="nil"/>
              <w:bottom w:val="nil"/>
              <w:right w:val="nil"/>
            </w:tcBorders>
            <w:vAlign w:val="bottom"/>
          </w:tcPr>
          <w:p w14:paraId="48306B89" w14:textId="77777777" w:rsidR="000C35AF" w:rsidRPr="00113056" w:rsidRDefault="000C35AF" w:rsidP="009238AE">
            <w:pPr>
              <w:pStyle w:val="Regresjonstabell"/>
              <w:jc w:val="right"/>
              <w:rPr>
                <w:sz w:val="20"/>
                <w:szCs w:val="20"/>
              </w:rPr>
            </w:pPr>
            <w:r w:rsidRPr="00113056">
              <w:rPr>
                <w:color w:val="000000"/>
                <w:sz w:val="20"/>
                <w:szCs w:val="20"/>
              </w:rPr>
              <w:t>-0.234</w:t>
            </w:r>
          </w:p>
        </w:tc>
        <w:tc>
          <w:tcPr>
            <w:tcW w:w="1400" w:type="dxa"/>
            <w:tcBorders>
              <w:top w:val="nil"/>
              <w:left w:val="nil"/>
              <w:bottom w:val="nil"/>
              <w:right w:val="single" w:sz="4" w:space="0" w:color="auto"/>
            </w:tcBorders>
            <w:vAlign w:val="bottom"/>
          </w:tcPr>
          <w:p w14:paraId="049A3DB1" w14:textId="77777777" w:rsidR="000C35AF" w:rsidRPr="00113056" w:rsidRDefault="000C35AF" w:rsidP="009238AE">
            <w:pPr>
              <w:pStyle w:val="Regresjonstabell"/>
              <w:jc w:val="right"/>
              <w:rPr>
                <w:sz w:val="20"/>
                <w:szCs w:val="20"/>
              </w:rPr>
            </w:pPr>
            <w:r w:rsidRPr="00113056">
              <w:rPr>
                <w:color w:val="000000"/>
                <w:sz w:val="20"/>
                <w:szCs w:val="20"/>
              </w:rPr>
              <w:t>12.903</w:t>
            </w:r>
          </w:p>
        </w:tc>
      </w:tr>
      <w:tr w:rsidR="000C35AF" w:rsidRPr="0055149C" w14:paraId="2FA51D6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84E519F"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7F9E26BC" w14:textId="77777777" w:rsidR="000C35AF" w:rsidRPr="00113056" w:rsidRDefault="000C35AF" w:rsidP="009238AE">
            <w:pPr>
              <w:pStyle w:val="Regresjonstabell"/>
              <w:jc w:val="right"/>
              <w:rPr>
                <w:sz w:val="20"/>
                <w:szCs w:val="20"/>
              </w:rPr>
            </w:pPr>
            <w:r w:rsidRPr="00113056">
              <w:rPr>
                <w:color w:val="000000"/>
                <w:sz w:val="20"/>
                <w:szCs w:val="20"/>
              </w:rPr>
              <w:t>(11.705)</w:t>
            </w:r>
          </w:p>
        </w:tc>
        <w:tc>
          <w:tcPr>
            <w:tcW w:w="1399" w:type="dxa"/>
            <w:tcBorders>
              <w:top w:val="nil"/>
              <w:left w:val="nil"/>
              <w:bottom w:val="nil"/>
              <w:right w:val="nil"/>
            </w:tcBorders>
            <w:vAlign w:val="center"/>
          </w:tcPr>
          <w:p w14:paraId="714102AA" w14:textId="77777777" w:rsidR="000C35AF" w:rsidRPr="00113056" w:rsidRDefault="000C35AF" w:rsidP="009238AE">
            <w:pPr>
              <w:pStyle w:val="Regresjonstabell"/>
              <w:jc w:val="right"/>
              <w:rPr>
                <w:sz w:val="20"/>
                <w:szCs w:val="20"/>
              </w:rPr>
            </w:pPr>
            <w:r w:rsidRPr="00113056">
              <w:rPr>
                <w:color w:val="000000"/>
                <w:sz w:val="20"/>
                <w:szCs w:val="20"/>
              </w:rPr>
              <w:t>(8.101)</w:t>
            </w:r>
          </w:p>
        </w:tc>
        <w:tc>
          <w:tcPr>
            <w:tcW w:w="1399" w:type="dxa"/>
            <w:tcBorders>
              <w:top w:val="nil"/>
              <w:left w:val="nil"/>
              <w:bottom w:val="nil"/>
              <w:right w:val="nil"/>
            </w:tcBorders>
            <w:vAlign w:val="center"/>
          </w:tcPr>
          <w:p w14:paraId="66102413" w14:textId="77777777" w:rsidR="000C35AF" w:rsidRPr="00113056" w:rsidRDefault="000C35AF" w:rsidP="009238AE">
            <w:pPr>
              <w:pStyle w:val="Regresjonstabell"/>
              <w:jc w:val="right"/>
              <w:rPr>
                <w:sz w:val="20"/>
                <w:szCs w:val="20"/>
              </w:rPr>
            </w:pPr>
            <w:r w:rsidRPr="00113056">
              <w:rPr>
                <w:color w:val="000000"/>
                <w:sz w:val="20"/>
                <w:szCs w:val="20"/>
              </w:rPr>
              <w:t>(6.426)</w:t>
            </w:r>
          </w:p>
        </w:tc>
        <w:tc>
          <w:tcPr>
            <w:tcW w:w="1399" w:type="dxa"/>
            <w:tcBorders>
              <w:top w:val="nil"/>
              <w:left w:val="nil"/>
              <w:bottom w:val="nil"/>
              <w:right w:val="nil"/>
            </w:tcBorders>
            <w:vAlign w:val="center"/>
          </w:tcPr>
          <w:p w14:paraId="1444D189" w14:textId="77777777" w:rsidR="000C35AF" w:rsidRPr="00113056" w:rsidRDefault="000C35AF" w:rsidP="009238AE">
            <w:pPr>
              <w:pStyle w:val="Regresjonstabell"/>
              <w:jc w:val="right"/>
              <w:rPr>
                <w:sz w:val="20"/>
                <w:szCs w:val="20"/>
              </w:rPr>
            </w:pPr>
            <w:r w:rsidRPr="00113056">
              <w:rPr>
                <w:color w:val="000000"/>
                <w:sz w:val="20"/>
                <w:szCs w:val="20"/>
              </w:rPr>
              <w:t>(0.058)</w:t>
            </w:r>
          </w:p>
        </w:tc>
        <w:tc>
          <w:tcPr>
            <w:tcW w:w="1399" w:type="dxa"/>
            <w:tcBorders>
              <w:top w:val="nil"/>
              <w:left w:val="nil"/>
              <w:bottom w:val="nil"/>
              <w:right w:val="nil"/>
            </w:tcBorders>
            <w:vAlign w:val="center"/>
          </w:tcPr>
          <w:p w14:paraId="2F272613" w14:textId="77777777" w:rsidR="000C35AF" w:rsidRPr="00113056" w:rsidRDefault="000C35AF" w:rsidP="009238AE">
            <w:pPr>
              <w:pStyle w:val="Regresjonstabell"/>
              <w:jc w:val="right"/>
              <w:rPr>
                <w:sz w:val="20"/>
                <w:szCs w:val="20"/>
              </w:rPr>
            </w:pPr>
            <w:r w:rsidRPr="00113056">
              <w:rPr>
                <w:color w:val="000000"/>
                <w:sz w:val="20"/>
                <w:szCs w:val="20"/>
              </w:rPr>
              <w:t>(0.077)</w:t>
            </w:r>
          </w:p>
        </w:tc>
        <w:tc>
          <w:tcPr>
            <w:tcW w:w="1399" w:type="dxa"/>
            <w:tcBorders>
              <w:top w:val="nil"/>
              <w:left w:val="nil"/>
              <w:bottom w:val="nil"/>
              <w:right w:val="nil"/>
            </w:tcBorders>
            <w:vAlign w:val="center"/>
          </w:tcPr>
          <w:p w14:paraId="0BEC6E50" w14:textId="77777777" w:rsidR="000C35AF" w:rsidRPr="00113056" w:rsidRDefault="000C35AF" w:rsidP="009238AE">
            <w:pPr>
              <w:pStyle w:val="Regresjonstabell"/>
              <w:jc w:val="right"/>
              <w:rPr>
                <w:sz w:val="20"/>
                <w:szCs w:val="20"/>
              </w:rPr>
            </w:pPr>
            <w:r w:rsidRPr="00113056">
              <w:rPr>
                <w:color w:val="000000"/>
                <w:sz w:val="20"/>
                <w:szCs w:val="20"/>
              </w:rPr>
              <w:t>(0.181)</w:t>
            </w:r>
          </w:p>
        </w:tc>
        <w:tc>
          <w:tcPr>
            <w:tcW w:w="1400" w:type="dxa"/>
            <w:tcBorders>
              <w:top w:val="nil"/>
              <w:left w:val="nil"/>
              <w:bottom w:val="nil"/>
              <w:right w:val="nil"/>
            </w:tcBorders>
            <w:vAlign w:val="center"/>
          </w:tcPr>
          <w:p w14:paraId="0850AA83" w14:textId="77777777" w:rsidR="000C35AF" w:rsidRPr="00113056" w:rsidRDefault="000C35AF" w:rsidP="009238AE">
            <w:pPr>
              <w:pStyle w:val="Regresjonstabell"/>
              <w:jc w:val="right"/>
              <w:rPr>
                <w:sz w:val="20"/>
                <w:szCs w:val="20"/>
              </w:rPr>
            </w:pPr>
            <w:r w:rsidRPr="00113056">
              <w:rPr>
                <w:color w:val="000000"/>
                <w:sz w:val="20"/>
                <w:szCs w:val="20"/>
              </w:rPr>
              <w:t>(0.258)</w:t>
            </w:r>
          </w:p>
        </w:tc>
        <w:tc>
          <w:tcPr>
            <w:tcW w:w="1400" w:type="dxa"/>
            <w:tcBorders>
              <w:top w:val="nil"/>
              <w:left w:val="nil"/>
              <w:bottom w:val="nil"/>
              <w:right w:val="single" w:sz="4" w:space="0" w:color="auto"/>
            </w:tcBorders>
            <w:vAlign w:val="center"/>
          </w:tcPr>
          <w:p w14:paraId="19AA26F4" w14:textId="77777777" w:rsidR="000C35AF" w:rsidRPr="00113056" w:rsidRDefault="000C35AF" w:rsidP="009238AE">
            <w:pPr>
              <w:pStyle w:val="Regresjonstabell"/>
              <w:jc w:val="right"/>
              <w:rPr>
                <w:sz w:val="20"/>
                <w:szCs w:val="20"/>
              </w:rPr>
            </w:pPr>
            <w:r w:rsidRPr="00113056">
              <w:rPr>
                <w:color w:val="000000"/>
                <w:sz w:val="20"/>
                <w:szCs w:val="20"/>
              </w:rPr>
              <w:t>(11.819)</w:t>
            </w:r>
          </w:p>
        </w:tc>
      </w:tr>
      <w:tr w:rsidR="000C35AF" w:rsidRPr="0055149C" w14:paraId="5D85F959"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6C66E70A"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nil"/>
              <w:left w:val="single" w:sz="4" w:space="0" w:color="auto"/>
              <w:bottom w:val="nil"/>
              <w:right w:val="nil"/>
            </w:tcBorders>
            <w:vAlign w:val="bottom"/>
          </w:tcPr>
          <w:p w14:paraId="42BA61EB" w14:textId="77777777" w:rsidR="000C35AF" w:rsidRPr="00113056" w:rsidRDefault="000C35AF" w:rsidP="009238AE">
            <w:pPr>
              <w:pStyle w:val="Regresjonstabell"/>
              <w:jc w:val="right"/>
              <w:rPr>
                <w:sz w:val="20"/>
                <w:szCs w:val="20"/>
              </w:rPr>
            </w:pPr>
            <w:r w:rsidRPr="00113056">
              <w:rPr>
                <w:color w:val="000000"/>
                <w:sz w:val="20"/>
                <w:szCs w:val="20"/>
              </w:rPr>
              <w:t>-15.119</w:t>
            </w:r>
          </w:p>
        </w:tc>
        <w:tc>
          <w:tcPr>
            <w:tcW w:w="1399" w:type="dxa"/>
            <w:tcBorders>
              <w:top w:val="nil"/>
              <w:left w:val="nil"/>
              <w:bottom w:val="nil"/>
              <w:right w:val="nil"/>
            </w:tcBorders>
            <w:vAlign w:val="bottom"/>
          </w:tcPr>
          <w:p w14:paraId="034B54CF" w14:textId="77777777" w:rsidR="000C35AF" w:rsidRPr="00113056" w:rsidRDefault="000C35AF" w:rsidP="009238AE">
            <w:pPr>
              <w:pStyle w:val="Regresjonstabell"/>
              <w:jc w:val="right"/>
              <w:rPr>
                <w:sz w:val="20"/>
                <w:szCs w:val="20"/>
              </w:rPr>
            </w:pPr>
            <w:r w:rsidRPr="00113056">
              <w:rPr>
                <w:color w:val="000000"/>
                <w:sz w:val="20"/>
                <w:szCs w:val="20"/>
              </w:rPr>
              <w:t>-0.276</w:t>
            </w:r>
          </w:p>
        </w:tc>
        <w:tc>
          <w:tcPr>
            <w:tcW w:w="1399" w:type="dxa"/>
            <w:tcBorders>
              <w:top w:val="nil"/>
              <w:left w:val="nil"/>
              <w:bottom w:val="nil"/>
              <w:right w:val="nil"/>
            </w:tcBorders>
            <w:vAlign w:val="bottom"/>
          </w:tcPr>
          <w:p w14:paraId="7C0133E8" w14:textId="77777777" w:rsidR="000C35AF" w:rsidRPr="00113056" w:rsidRDefault="000C35AF" w:rsidP="009238AE">
            <w:pPr>
              <w:pStyle w:val="Regresjonstabell"/>
              <w:jc w:val="right"/>
              <w:rPr>
                <w:sz w:val="20"/>
                <w:szCs w:val="20"/>
              </w:rPr>
            </w:pPr>
            <w:r w:rsidRPr="00113056">
              <w:rPr>
                <w:color w:val="000000"/>
                <w:sz w:val="20"/>
                <w:szCs w:val="20"/>
              </w:rPr>
              <w:t>-14.843*</w:t>
            </w:r>
          </w:p>
        </w:tc>
        <w:tc>
          <w:tcPr>
            <w:tcW w:w="1399" w:type="dxa"/>
            <w:tcBorders>
              <w:top w:val="nil"/>
              <w:left w:val="nil"/>
              <w:bottom w:val="nil"/>
              <w:right w:val="nil"/>
            </w:tcBorders>
            <w:vAlign w:val="bottom"/>
          </w:tcPr>
          <w:p w14:paraId="553139A7" w14:textId="77777777" w:rsidR="000C35AF" w:rsidRPr="00113056" w:rsidRDefault="000C35AF" w:rsidP="009238AE">
            <w:pPr>
              <w:pStyle w:val="Regresjonstabell"/>
              <w:jc w:val="right"/>
              <w:rPr>
                <w:sz w:val="20"/>
                <w:szCs w:val="20"/>
              </w:rPr>
            </w:pPr>
            <w:r w:rsidRPr="00113056">
              <w:rPr>
                <w:color w:val="000000"/>
                <w:sz w:val="20"/>
                <w:szCs w:val="20"/>
              </w:rPr>
              <w:t>0.029</w:t>
            </w:r>
          </w:p>
        </w:tc>
        <w:tc>
          <w:tcPr>
            <w:tcW w:w="1399" w:type="dxa"/>
            <w:tcBorders>
              <w:top w:val="nil"/>
              <w:left w:val="nil"/>
              <w:bottom w:val="nil"/>
              <w:right w:val="nil"/>
            </w:tcBorders>
            <w:vAlign w:val="bottom"/>
          </w:tcPr>
          <w:p w14:paraId="5C7D9B80" w14:textId="77777777" w:rsidR="000C35AF" w:rsidRPr="00113056" w:rsidRDefault="000C35AF" w:rsidP="009238AE">
            <w:pPr>
              <w:pStyle w:val="Regresjonstabell"/>
              <w:jc w:val="right"/>
              <w:rPr>
                <w:sz w:val="20"/>
                <w:szCs w:val="20"/>
              </w:rPr>
            </w:pPr>
            <w:r w:rsidRPr="00113056">
              <w:rPr>
                <w:color w:val="000000"/>
                <w:sz w:val="20"/>
                <w:szCs w:val="20"/>
              </w:rPr>
              <w:t>0.076</w:t>
            </w:r>
          </w:p>
        </w:tc>
        <w:tc>
          <w:tcPr>
            <w:tcW w:w="1399" w:type="dxa"/>
            <w:tcBorders>
              <w:top w:val="nil"/>
              <w:left w:val="nil"/>
              <w:bottom w:val="nil"/>
              <w:right w:val="nil"/>
            </w:tcBorders>
            <w:vAlign w:val="bottom"/>
          </w:tcPr>
          <w:p w14:paraId="59C3638D" w14:textId="77777777" w:rsidR="000C35AF" w:rsidRPr="00113056" w:rsidRDefault="000C35AF" w:rsidP="009238AE">
            <w:pPr>
              <w:pStyle w:val="Regresjonstabell"/>
              <w:jc w:val="right"/>
              <w:rPr>
                <w:sz w:val="20"/>
                <w:szCs w:val="20"/>
              </w:rPr>
            </w:pPr>
            <w:r w:rsidRPr="00113056">
              <w:rPr>
                <w:color w:val="000000"/>
                <w:sz w:val="20"/>
                <w:szCs w:val="20"/>
              </w:rPr>
              <w:t>0.177</w:t>
            </w:r>
          </w:p>
        </w:tc>
        <w:tc>
          <w:tcPr>
            <w:tcW w:w="1400" w:type="dxa"/>
            <w:tcBorders>
              <w:top w:val="nil"/>
              <w:left w:val="nil"/>
              <w:bottom w:val="nil"/>
              <w:right w:val="nil"/>
            </w:tcBorders>
            <w:vAlign w:val="bottom"/>
          </w:tcPr>
          <w:p w14:paraId="37CF0133" w14:textId="77777777" w:rsidR="000C35AF" w:rsidRPr="00113056" w:rsidRDefault="000C35AF" w:rsidP="009238AE">
            <w:pPr>
              <w:pStyle w:val="Regresjonstabell"/>
              <w:jc w:val="right"/>
              <w:rPr>
                <w:sz w:val="20"/>
                <w:szCs w:val="20"/>
              </w:rPr>
            </w:pPr>
            <w:r w:rsidRPr="00113056">
              <w:rPr>
                <w:color w:val="000000"/>
                <w:sz w:val="20"/>
                <w:szCs w:val="20"/>
              </w:rPr>
              <w:t>0.253</w:t>
            </w:r>
          </w:p>
        </w:tc>
        <w:tc>
          <w:tcPr>
            <w:tcW w:w="1400" w:type="dxa"/>
            <w:tcBorders>
              <w:top w:val="nil"/>
              <w:left w:val="nil"/>
              <w:bottom w:val="nil"/>
              <w:right w:val="single" w:sz="4" w:space="0" w:color="auto"/>
            </w:tcBorders>
            <w:vAlign w:val="bottom"/>
          </w:tcPr>
          <w:p w14:paraId="1B6DC75D" w14:textId="77777777" w:rsidR="000C35AF" w:rsidRPr="00113056" w:rsidRDefault="000C35AF" w:rsidP="009238AE">
            <w:pPr>
              <w:pStyle w:val="Regresjonstabell"/>
              <w:jc w:val="right"/>
              <w:rPr>
                <w:sz w:val="20"/>
                <w:szCs w:val="20"/>
              </w:rPr>
            </w:pPr>
            <w:r w:rsidRPr="00113056">
              <w:rPr>
                <w:color w:val="000000"/>
                <w:sz w:val="20"/>
                <w:szCs w:val="20"/>
              </w:rPr>
              <w:t>-14.867</w:t>
            </w:r>
          </w:p>
        </w:tc>
      </w:tr>
      <w:tr w:rsidR="000C35AF" w:rsidRPr="0055149C" w14:paraId="26577F4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7BBBEDE"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78964E4B" w14:textId="77777777" w:rsidR="000C35AF" w:rsidRPr="00113056" w:rsidRDefault="000C35AF" w:rsidP="009238AE">
            <w:pPr>
              <w:pStyle w:val="Regresjonstabell"/>
              <w:jc w:val="right"/>
              <w:rPr>
                <w:sz w:val="20"/>
                <w:szCs w:val="20"/>
              </w:rPr>
            </w:pPr>
            <w:r w:rsidRPr="00113056">
              <w:rPr>
                <w:color w:val="000000"/>
                <w:sz w:val="20"/>
                <w:szCs w:val="20"/>
              </w:rPr>
              <w:t>(11.851)</w:t>
            </w:r>
          </w:p>
        </w:tc>
        <w:tc>
          <w:tcPr>
            <w:tcW w:w="1399" w:type="dxa"/>
            <w:tcBorders>
              <w:top w:val="nil"/>
              <w:left w:val="nil"/>
              <w:bottom w:val="nil"/>
              <w:right w:val="nil"/>
            </w:tcBorders>
            <w:vAlign w:val="center"/>
          </w:tcPr>
          <w:p w14:paraId="394698FE" w14:textId="77777777" w:rsidR="000C35AF" w:rsidRPr="00113056" w:rsidRDefault="000C35AF" w:rsidP="009238AE">
            <w:pPr>
              <w:pStyle w:val="Regresjonstabell"/>
              <w:jc w:val="right"/>
              <w:rPr>
                <w:sz w:val="20"/>
                <w:szCs w:val="20"/>
              </w:rPr>
            </w:pPr>
            <w:r w:rsidRPr="00113056">
              <w:rPr>
                <w:color w:val="000000"/>
                <w:sz w:val="20"/>
                <w:szCs w:val="20"/>
              </w:rPr>
              <w:t>(8.436)</w:t>
            </w:r>
          </w:p>
        </w:tc>
        <w:tc>
          <w:tcPr>
            <w:tcW w:w="1399" w:type="dxa"/>
            <w:tcBorders>
              <w:top w:val="nil"/>
              <w:left w:val="nil"/>
              <w:bottom w:val="nil"/>
              <w:right w:val="nil"/>
            </w:tcBorders>
            <w:vAlign w:val="center"/>
          </w:tcPr>
          <w:p w14:paraId="64682AF4" w14:textId="77777777" w:rsidR="000C35AF" w:rsidRPr="00113056" w:rsidRDefault="000C35AF" w:rsidP="009238AE">
            <w:pPr>
              <w:pStyle w:val="Regresjonstabell"/>
              <w:jc w:val="right"/>
              <w:rPr>
                <w:sz w:val="20"/>
                <w:szCs w:val="20"/>
              </w:rPr>
            </w:pPr>
            <w:r w:rsidRPr="00113056">
              <w:rPr>
                <w:color w:val="000000"/>
                <w:sz w:val="20"/>
                <w:szCs w:val="20"/>
              </w:rPr>
              <w:t>(7.677)</w:t>
            </w:r>
          </w:p>
        </w:tc>
        <w:tc>
          <w:tcPr>
            <w:tcW w:w="1399" w:type="dxa"/>
            <w:tcBorders>
              <w:top w:val="nil"/>
              <w:left w:val="nil"/>
              <w:bottom w:val="nil"/>
              <w:right w:val="nil"/>
            </w:tcBorders>
            <w:vAlign w:val="center"/>
          </w:tcPr>
          <w:p w14:paraId="0B44B4F3" w14:textId="77777777" w:rsidR="000C35AF" w:rsidRPr="00113056" w:rsidRDefault="000C35AF" w:rsidP="009238AE">
            <w:pPr>
              <w:pStyle w:val="Regresjonstabell"/>
              <w:jc w:val="right"/>
              <w:rPr>
                <w:sz w:val="20"/>
                <w:szCs w:val="20"/>
              </w:rPr>
            </w:pPr>
            <w:r w:rsidRPr="00113056">
              <w:rPr>
                <w:color w:val="000000"/>
                <w:sz w:val="20"/>
                <w:szCs w:val="20"/>
              </w:rPr>
              <w:t>(0.050)</w:t>
            </w:r>
          </w:p>
        </w:tc>
        <w:tc>
          <w:tcPr>
            <w:tcW w:w="1399" w:type="dxa"/>
            <w:tcBorders>
              <w:top w:val="nil"/>
              <w:left w:val="nil"/>
              <w:bottom w:val="nil"/>
              <w:right w:val="nil"/>
            </w:tcBorders>
            <w:vAlign w:val="center"/>
          </w:tcPr>
          <w:p w14:paraId="65DE8DBD" w14:textId="77777777" w:rsidR="000C35AF" w:rsidRPr="00113056" w:rsidRDefault="000C35AF" w:rsidP="009238AE">
            <w:pPr>
              <w:pStyle w:val="Regresjonstabell"/>
              <w:jc w:val="right"/>
              <w:rPr>
                <w:sz w:val="20"/>
                <w:szCs w:val="20"/>
              </w:rPr>
            </w:pPr>
            <w:r w:rsidRPr="00113056">
              <w:rPr>
                <w:color w:val="000000"/>
                <w:sz w:val="20"/>
                <w:szCs w:val="20"/>
              </w:rPr>
              <w:t>(0.055)</w:t>
            </w:r>
          </w:p>
        </w:tc>
        <w:tc>
          <w:tcPr>
            <w:tcW w:w="1399" w:type="dxa"/>
            <w:tcBorders>
              <w:top w:val="nil"/>
              <w:left w:val="nil"/>
              <w:bottom w:val="nil"/>
              <w:right w:val="nil"/>
            </w:tcBorders>
            <w:vAlign w:val="center"/>
          </w:tcPr>
          <w:p w14:paraId="25F08618" w14:textId="77777777" w:rsidR="000C35AF" w:rsidRPr="00113056" w:rsidRDefault="000C35AF" w:rsidP="009238AE">
            <w:pPr>
              <w:pStyle w:val="Regresjonstabell"/>
              <w:jc w:val="right"/>
              <w:rPr>
                <w:sz w:val="20"/>
                <w:szCs w:val="20"/>
              </w:rPr>
            </w:pPr>
            <w:r w:rsidRPr="00113056">
              <w:rPr>
                <w:color w:val="000000"/>
                <w:sz w:val="20"/>
                <w:szCs w:val="20"/>
              </w:rPr>
              <w:t>(0.130)</w:t>
            </w:r>
          </w:p>
        </w:tc>
        <w:tc>
          <w:tcPr>
            <w:tcW w:w="1400" w:type="dxa"/>
            <w:tcBorders>
              <w:top w:val="nil"/>
              <w:left w:val="nil"/>
              <w:bottom w:val="nil"/>
              <w:right w:val="nil"/>
            </w:tcBorders>
            <w:vAlign w:val="center"/>
          </w:tcPr>
          <w:p w14:paraId="175518EB" w14:textId="77777777" w:rsidR="000C35AF" w:rsidRPr="00113056" w:rsidRDefault="000C35AF" w:rsidP="009238AE">
            <w:pPr>
              <w:pStyle w:val="Regresjonstabell"/>
              <w:jc w:val="right"/>
              <w:rPr>
                <w:sz w:val="20"/>
                <w:szCs w:val="20"/>
              </w:rPr>
            </w:pPr>
            <w:r w:rsidRPr="00113056">
              <w:rPr>
                <w:color w:val="000000"/>
                <w:sz w:val="20"/>
                <w:szCs w:val="20"/>
              </w:rPr>
              <w:t>(0.185)</w:t>
            </w:r>
          </w:p>
        </w:tc>
        <w:tc>
          <w:tcPr>
            <w:tcW w:w="1400" w:type="dxa"/>
            <w:tcBorders>
              <w:top w:val="nil"/>
              <w:left w:val="nil"/>
              <w:bottom w:val="nil"/>
              <w:right w:val="single" w:sz="4" w:space="0" w:color="auto"/>
            </w:tcBorders>
            <w:vAlign w:val="center"/>
          </w:tcPr>
          <w:p w14:paraId="36A9ACD0" w14:textId="77777777" w:rsidR="000C35AF" w:rsidRPr="00113056" w:rsidRDefault="000C35AF" w:rsidP="009238AE">
            <w:pPr>
              <w:pStyle w:val="Regresjonstabell"/>
              <w:jc w:val="right"/>
              <w:rPr>
                <w:sz w:val="20"/>
                <w:szCs w:val="20"/>
              </w:rPr>
            </w:pPr>
            <w:r w:rsidRPr="00113056">
              <w:rPr>
                <w:color w:val="000000"/>
                <w:sz w:val="20"/>
                <w:szCs w:val="20"/>
              </w:rPr>
              <w:t>(11.893)</w:t>
            </w:r>
          </w:p>
        </w:tc>
      </w:tr>
      <w:tr w:rsidR="000C35AF" w:rsidRPr="0055149C" w14:paraId="602AF58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5BBA1B7" w14:textId="77777777" w:rsidR="000C35AF" w:rsidRPr="0055149C" w:rsidRDefault="000C35AF" w:rsidP="009238AE">
            <w:pPr>
              <w:pStyle w:val="Regresjonstabell"/>
              <w:rPr>
                <w:color w:val="000000"/>
                <w:sz w:val="20"/>
                <w:szCs w:val="20"/>
              </w:rPr>
            </w:pPr>
            <w:r w:rsidRPr="0055149C">
              <w:rPr>
                <w:color w:val="000000"/>
                <w:sz w:val="20"/>
                <w:szCs w:val="20"/>
              </w:rPr>
              <w:t>Barn av aleneforsørger, 0 til 15 år</w:t>
            </w:r>
          </w:p>
        </w:tc>
        <w:tc>
          <w:tcPr>
            <w:tcW w:w="1399" w:type="dxa"/>
            <w:tcBorders>
              <w:top w:val="nil"/>
              <w:left w:val="single" w:sz="4" w:space="0" w:color="auto"/>
              <w:bottom w:val="nil"/>
              <w:right w:val="nil"/>
            </w:tcBorders>
            <w:vAlign w:val="bottom"/>
          </w:tcPr>
          <w:p w14:paraId="0A379CCF" w14:textId="77777777" w:rsidR="000C35AF" w:rsidRPr="00113056" w:rsidRDefault="000C35AF" w:rsidP="009238AE">
            <w:pPr>
              <w:pStyle w:val="Regresjonstabell"/>
              <w:jc w:val="right"/>
              <w:rPr>
                <w:sz w:val="20"/>
                <w:szCs w:val="20"/>
              </w:rPr>
            </w:pPr>
            <w:r w:rsidRPr="00113056">
              <w:rPr>
                <w:color w:val="000000"/>
                <w:sz w:val="20"/>
                <w:szCs w:val="20"/>
              </w:rPr>
              <w:t>8.833</w:t>
            </w:r>
          </w:p>
        </w:tc>
        <w:tc>
          <w:tcPr>
            <w:tcW w:w="1399" w:type="dxa"/>
            <w:tcBorders>
              <w:top w:val="nil"/>
              <w:left w:val="nil"/>
              <w:bottom w:val="nil"/>
              <w:right w:val="nil"/>
            </w:tcBorders>
            <w:vAlign w:val="bottom"/>
          </w:tcPr>
          <w:p w14:paraId="128774F0" w14:textId="77777777" w:rsidR="000C35AF" w:rsidRPr="00113056" w:rsidRDefault="000C35AF" w:rsidP="009238AE">
            <w:pPr>
              <w:pStyle w:val="Regresjonstabell"/>
              <w:jc w:val="right"/>
              <w:rPr>
                <w:sz w:val="20"/>
                <w:szCs w:val="20"/>
              </w:rPr>
            </w:pPr>
            <w:r w:rsidRPr="00113056">
              <w:rPr>
                <w:color w:val="000000"/>
                <w:sz w:val="20"/>
                <w:szCs w:val="20"/>
              </w:rPr>
              <w:t>23.147</w:t>
            </w:r>
          </w:p>
        </w:tc>
        <w:tc>
          <w:tcPr>
            <w:tcW w:w="1399" w:type="dxa"/>
            <w:tcBorders>
              <w:top w:val="nil"/>
              <w:left w:val="nil"/>
              <w:bottom w:val="nil"/>
              <w:right w:val="nil"/>
            </w:tcBorders>
            <w:vAlign w:val="bottom"/>
          </w:tcPr>
          <w:p w14:paraId="719DD674" w14:textId="77777777" w:rsidR="000C35AF" w:rsidRPr="00113056" w:rsidRDefault="000C35AF" w:rsidP="009238AE">
            <w:pPr>
              <w:pStyle w:val="Regresjonstabell"/>
              <w:jc w:val="right"/>
              <w:rPr>
                <w:sz w:val="20"/>
                <w:szCs w:val="20"/>
              </w:rPr>
            </w:pPr>
            <w:r w:rsidRPr="00113056">
              <w:rPr>
                <w:color w:val="000000"/>
                <w:sz w:val="20"/>
                <w:szCs w:val="20"/>
              </w:rPr>
              <w:t>-14.314</w:t>
            </w:r>
          </w:p>
        </w:tc>
        <w:tc>
          <w:tcPr>
            <w:tcW w:w="1399" w:type="dxa"/>
            <w:tcBorders>
              <w:top w:val="nil"/>
              <w:left w:val="nil"/>
              <w:bottom w:val="nil"/>
              <w:right w:val="nil"/>
            </w:tcBorders>
            <w:vAlign w:val="bottom"/>
          </w:tcPr>
          <w:p w14:paraId="4F3913FB" w14:textId="77777777" w:rsidR="000C35AF" w:rsidRPr="00113056" w:rsidRDefault="000C35AF" w:rsidP="009238AE">
            <w:pPr>
              <w:pStyle w:val="Regresjonstabell"/>
              <w:jc w:val="right"/>
              <w:rPr>
                <w:sz w:val="20"/>
                <w:szCs w:val="20"/>
              </w:rPr>
            </w:pPr>
            <w:r w:rsidRPr="00113056">
              <w:rPr>
                <w:color w:val="000000"/>
                <w:sz w:val="20"/>
                <w:szCs w:val="20"/>
              </w:rPr>
              <w:t>0.203</w:t>
            </w:r>
          </w:p>
        </w:tc>
        <w:tc>
          <w:tcPr>
            <w:tcW w:w="1399" w:type="dxa"/>
            <w:tcBorders>
              <w:top w:val="nil"/>
              <w:left w:val="nil"/>
              <w:bottom w:val="nil"/>
              <w:right w:val="nil"/>
            </w:tcBorders>
            <w:vAlign w:val="bottom"/>
          </w:tcPr>
          <w:p w14:paraId="5BC05721" w14:textId="77777777" w:rsidR="000C35AF" w:rsidRPr="00113056" w:rsidRDefault="000C35AF" w:rsidP="009238AE">
            <w:pPr>
              <w:pStyle w:val="Regresjonstabell"/>
              <w:jc w:val="right"/>
              <w:rPr>
                <w:sz w:val="20"/>
                <w:szCs w:val="20"/>
              </w:rPr>
            </w:pPr>
            <w:r w:rsidRPr="00113056">
              <w:rPr>
                <w:color w:val="000000"/>
                <w:sz w:val="20"/>
                <w:szCs w:val="20"/>
              </w:rPr>
              <w:t>0.131</w:t>
            </w:r>
          </w:p>
        </w:tc>
        <w:tc>
          <w:tcPr>
            <w:tcW w:w="1399" w:type="dxa"/>
            <w:tcBorders>
              <w:top w:val="nil"/>
              <w:left w:val="nil"/>
              <w:bottom w:val="nil"/>
              <w:right w:val="nil"/>
            </w:tcBorders>
            <w:vAlign w:val="bottom"/>
          </w:tcPr>
          <w:p w14:paraId="7CDB69BF" w14:textId="77777777" w:rsidR="000C35AF" w:rsidRPr="00113056" w:rsidRDefault="000C35AF" w:rsidP="009238AE">
            <w:pPr>
              <w:pStyle w:val="Regresjonstabell"/>
              <w:jc w:val="right"/>
              <w:rPr>
                <w:sz w:val="20"/>
                <w:szCs w:val="20"/>
              </w:rPr>
            </w:pPr>
            <w:r w:rsidRPr="00113056">
              <w:rPr>
                <w:color w:val="000000"/>
                <w:sz w:val="20"/>
                <w:szCs w:val="20"/>
              </w:rPr>
              <w:t>0.307</w:t>
            </w:r>
          </w:p>
        </w:tc>
        <w:tc>
          <w:tcPr>
            <w:tcW w:w="1400" w:type="dxa"/>
            <w:tcBorders>
              <w:top w:val="nil"/>
              <w:left w:val="nil"/>
              <w:bottom w:val="nil"/>
              <w:right w:val="nil"/>
            </w:tcBorders>
            <w:vAlign w:val="bottom"/>
          </w:tcPr>
          <w:p w14:paraId="0874BFA6" w14:textId="77777777" w:rsidR="000C35AF" w:rsidRPr="00113056" w:rsidRDefault="000C35AF" w:rsidP="009238AE">
            <w:pPr>
              <w:pStyle w:val="Regresjonstabell"/>
              <w:jc w:val="right"/>
              <w:rPr>
                <w:sz w:val="20"/>
                <w:szCs w:val="20"/>
              </w:rPr>
            </w:pPr>
            <w:r w:rsidRPr="00113056">
              <w:rPr>
                <w:color w:val="000000"/>
                <w:sz w:val="20"/>
                <w:szCs w:val="20"/>
              </w:rPr>
              <w:t>0.438</w:t>
            </w:r>
          </w:p>
        </w:tc>
        <w:tc>
          <w:tcPr>
            <w:tcW w:w="1400" w:type="dxa"/>
            <w:tcBorders>
              <w:top w:val="nil"/>
              <w:left w:val="nil"/>
              <w:bottom w:val="nil"/>
              <w:right w:val="single" w:sz="4" w:space="0" w:color="auto"/>
            </w:tcBorders>
            <w:vAlign w:val="bottom"/>
          </w:tcPr>
          <w:p w14:paraId="01E8EF24" w14:textId="77777777" w:rsidR="000C35AF" w:rsidRPr="00113056" w:rsidRDefault="000C35AF" w:rsidP="009238AE">
            <w:pPr>
              <w:pStyle w:val="Regresjonstabell"/>
              <w:jc w:val="right"/>
              <w:rPr>
                <w:sz w:val="20"/>
                <w:szCs w:val="20"/>
              </w:rPr>
            </w:pPr>
            <w:r w:rsidRPr="00113056">
              <w:rPr>
                <w:color w:val="000000"/>
                <w:sz w:val="20"/>
                <w:szCs w:val="20"/>
              </w:rPr>
              <w:t>9.271</w:t>
            </w:r>
          </w:p>
        </w:tc>
      </w:tr>
      <w:tr w:rsidR="000C35AF" w:rsidRPr="0055149C" w14:paraId="4A4A30C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B19C70F" w14:textId="77777777" w:rsidR="000C35AF" w:rsidRPr="0055149C" w:rsidRDefault="000C35AF" w:rsidP="009238AE">
            <w:pPr>
              <w:pStyle w:val="Regresjonstabell"/>
              <w:rPr>
                <w:color w:val="000000"/>
                <w:sz w:val="20"/>
                <w:szCs w:val="20"/>
              </w:rPr>
            </w:pPr>
            <w:r w:rsidRPr="0055149C">
              <w:rPr>
                <w:color w:val="000000"/>
                <w:sz w:val="20"/>
                <w:szCs w:val="20"/>
              </w:rPr>
              <w:t>(Kriterium 27)</w:t>
            </w:r>
          </w:p>
        </w:tc>
        <w:tc>
          <w:tcPr>
            <w:tcW w:w="1399" w:type="dxa"/>
            <w:tcBorders>
              <w:top w:val="nil"/>
              <w:left w:val="single" w:sz="4" w:space="0" w:color="auto"/>
              <w:bottom w:val="nil"/>
              <w:right w:val="nil"/>
            </w:tcBorders>
            <w:vAlign w:val="center"/>
          </w:tcPr>
          <w:p w14:paraId="56F66FD3" w14:textId="77777777" w:rsidR="000C35AF" w:rsidRPr="00113056" w:rsidRDefault="000C35AF" w:rsidP="009238AE">
            <w:pPr>
              <w:pStyle w:val="Regresjonstabell"/>
              <w:jc w:val="right"/>
              <w:rPr>
                <w:sz w:val="20"/>
                <w:szCs w:val="20"/>
              </w:rPr>
            </w:pPr>
            <w:r w:rsidRPr="00113056">
              <w:rPr>
                <w:color w:val="000000"/>
                <w:sz w:val="20"/>
                <w:szCs w:val="20"/>
              </w:rPr>
              <w:t>(22.254)</w:t>
            </w:r>
          </w:p>
        </w:tc>
        <w:tc>
          <w:tcPr>
            <w:tcW w:w="1399" w:type="dxa"/>
            <w:tcBorders>
              <w:top w:val="nil"/>
              <w:left w:val="nil"/>
              <w:bottom w:val="nil"/>
              <w:right w:val="nil"/>
            </w:tcBorders>
            <w:vAlign w:val="center"/>
          </w:tcPr>
          <w:p w14:paraId="472CE8B7" w14:textId="77777777" w:rsidR="000C35AF" w:rsidRPr="00113056" w:rsidRDefault="000C35AF" w:rsidP="009238AE">
            <w:pPr>
              <w:pStyle w:val="Regresjonstabell"/>
              <w:jc w:val="right"/>
              <w:rPr>
                <w:sz w:val="20"/>
                <w:szCs w:val="20"/>
              </w:rPr>
            </w:pPr>
            <w:r w:rsidRPr="00113056">
              <w:rPr>
                <w:color w:val="000000"/>
                <w:sz w:val="20"/>
                <w:szCs w:val="20"/>
              </w:rPr>
              <w:t>(14.689)</w:t>
            </w:r>
          </w:p>
        </w:tc>
        <w:tc>
          <w:tcPr>
            <w:tcW w:w="1399" w:type="dxa"/>
            <w:tcBorders>
              <w:top w:val="nil"/>
              <w:left w:val="nil"/>
              <w:bottom w:val="nil"/>
              <w:right w:val="nil"/>
            </w:tcBorders>
            <w:vAlign w:val="center"/>
          </w:tcPr>
          <w:p w14:paraId="20E88003" w14:textId="77777777" w:rsidR="000C35AF" w:rsidRPr="00113056" w:rsidRDefault="000C35AF" w:rsidP="009238AE">
            <w:pPr>
              <w:pStyle w:val="Regresjonstabell"/>
              <w:jc w:val="right"/>
              <w:rPr>
                <w:sz w:val="20"/>
                <w:szCs w:val="20"/>
              </w:rPr>
            </w:pPr>
            <w:r w:rsidRPr="00113056">
              <w:rPr>
                <w:color w:val="000000"/>
                <w:sz w:val="20"/>
                <w:szCs w:val="20"/>
              </w:rPr>
              <w:t>(14.585)</w:t>
            </w:r>
          </w:p>
        </w:tc>
        <w:tc>
          <w:tcPr>
            <w:tcW w:w="1399" w:type="dxa"/>
            <w:tcBorders>
              <w:top w:val="nil"/>
              <w:left w:val="nil"/>
              <w:bottom w:val="nil"/>
              <w:right w:val="nil"/>
            </w:tcBorders>
            <w:vAlign w:val="center"/>
          </w:tcPr>
          <w:p w14:paraId="1283AA2A" w14:textId="77777777" w:rsidR="000C35AF" w:rsidRPr="00113056" w:rsidRDefault="000C35AF" w:rsidP="009238AE">
            <w:pPr>
              <w:pStyle w:val="Regresjonstabell"/>
              <w:jc w:val="right"/>
              <w:rPr>
                <w:sz w:val="20"/>
                <w:szCs w:val="20"/>
              </w:rPr>
            </w:pPr>
            <w:r w:rsidRPr="00113056">
              <w:rPr>
                <w:color w:val="000000"/>
                <w:sz w:val="20"/>
                <w:szCs w:val="20"/>
              </w:rPr>
              <w:t>(0.142)</w:t>
            </w:r>
          </w:p>
        </w:tc>
        <w:tc>
          <w:tcPr>
            <w:tcW w:w="1399" w:type="dxa"/>
            <w:tcBorders>
              <w:top w:val="nil"/>
              <w:left w:val="nil"/>
              <w:bottom w:val="nil"/>
              <w:right w:val="nil"/>
            </w:tcBorders>
            <w:vAlign w:val="center"/>
          </w:tcPr>
          <w:p w14:paraId="6023D423" w14:textId="77777777" w:rsidR="000C35AF" w:rsidRPr="00113056" w:rsidRDefault="000C35AF" w:rsidP="009238AE">
            <w:pPr>
              <w:pStyle w:val="Regresjonstabell"/>
              <w:jc w:val="right"/>
              <w:rPr>
                <w:sz w:val="20"/>
                <w:szCs w:val="20"/>
              </w:rPr>
            </w:pPr>
            <w:r w:rsidRPr="00113056">
              <w:rPr>
                <w:color w:val="000000"/>
                <w:sz w:val="20"/>
                <w:szCs w:val="20"/>
              </w:rPr>
              <w:t>(0.189)</w:t>
            </w:r>
          </w:p>
        </w:tc>
        <w:tc>
          <w:tcPr>
            <w:tcW w:w="1399" w:type="dxa"/>
            <w:tcBorders>
              <w:top w:val="nil"/>
              <w:left w:val="nil"/>
              <w:bottom w:val="nil"/>
              <w:right w:val="nil"/>
            </w:tcBorders>
            <w:vAlign w:val="center"/>
          </w:tcPr>
          <w:p w14:paraId="598E3C79" w14:textId="77777777" w:rsidR="000C35AF" w:rsidRPr="00113056" w:rsidRDefault="000C35AF" w:rsidP="009238AE">
            <w:pPr>
              <w:pStyle w:val="Regresjonstabell"/>
              <w:jc w:val="right"/>
              <w:rPr>
                <w:sz w:val="20"/>
                <w:szCs w:val="20"/>
              </w:rPr>
            </w:pPr>
            <w:r w:rsidRPr="00113056">
              <w:rPr>
                <w:color w:val="000000"/>
                <w:sz w:val="20"/>
                <w:szCs w:val="20"/>
              </w:rPr>
              <w:t>(0.442)</w:t>
            </w:r>
          </w:p>
        </w:tc>
        <w:tc>
          <w:tcPr>
            <w:tcW w:w="1400" w:type="dxa"/>
            <w:tcBorders>
              <w:top w:val="nil"/>
              <w:left w:val="nil"/>
              <w:bottom w:val="nil"/>
              <w:right w:val="nil"/>
            </w:tcBorders>
            <w:vAlign w:val="center"/>
          </w:tcPr>
          <w:p w14:paraId="40B2CE2A" w14:textId="77777777" w:rsidR="000C35AF" w:rsidRPr="00113056" w:rsidRDefault="000C35AF" w:rsidP="009238AE">
            <w:pPr>
              <w:pStyle w:val="Regresjonstabell"/>
              <w:jc w:val="right"/>
              <w:rPr>
                <w:sz w:val="20"/>
                <w:szCs w:val="20"/>
              </w:rPr>
            </w:pPr>
            <w:r w:rsidRPr="00113056">
              <w:rPr>
                <w:color w:val="000000"/>
                <w:sz w:val="20"/>
                <w:szCs w:val="20"/>
              </w:rPr>
              <w:t>(0.631)</w:t>
            </w:r>
          </w:p>
        </w:tc>
        <w:tc>
          <w:tcPr>
            <w:tcW w:w="1400" w:type="dxa"/>
            <w:tcBorders>
              <w:top w:val="nil"/>
              <w:left w:val="nil"/>
              <w:bottom w:val="nil"/>
              <w:right w:val="single" w:sz="4" w:space="0" w:color="auto"/>
            </w:tcBorders>
            <w:vAlign w:val="center"/>
          </w:tcPr>
          <w:p w14:paraId="269C03CA" w14:textId="77777777" w:rsidR="000C35AF" w:rsidRPr="00113056" w:rsidRDefault="000C35AF" w:rsidP="009238AE">
            <w:pPr>
              <w:pStyle w:val="Regresjonstabell"/>
              <w:jc w:val="right"/>
              <w:rPr>
                <w:sz w:val="20"/>
                <w:szCs w:val="20"/>
              </w:rPr>
            </w:pPr>
            <w:r w:rsidRPr="00113056">
              <w:rPr>
                <w:color w:val="000000"/>
                <w:sz w:val="20"/>
                <w:szCs w:val="20"/>
              </w:rPr>
              <w:t>(22.569)</w:t>
            </w:r>
          </w:p>
        </w:tc>
      </w:tr>
      <w:tr w:rsidR="000C35AF" w:rsidRPr="0055149C" w14:paraId="1060192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B3D23D2" w14:textId="77777777" w:rsidR="000C35AF" w:rsidRPr="0055149C" w:rsidRDefault="000C35AF" w:rsidP="009238AE">
            <w:pPr>
              <w:pStyle w:val="Regresjonstabell"/>
              <w:rPr>
                <w:color w:val="000000"/>
                <w:sz w:val="20"/>
                <w:szCs w:val="20"/>
              </w:rPr>
            </w:pPr>
            <w:r w:rsidRPr="0055149C">
              <w:rPr>
                <w:color w:val="000000"/>
                <w:sz w:val="20"/>
                <w:szCs w:val="20"/>
              </w:rPr>
              <w:t>Lavinntektskriterium</w:t>
            </w:r>
          </w:p>
        </w:tc>
        <w:tc>
          <w:tcPr>
            <w:tcW w:w="1399" w:type="dxa"/>
            <w:tcBorders>
              <w:top w:val="nil"/>
              <w:left w:val="single" w:sz="4" w:space="0" w:color="auto"/>
              <w:bottom w:val="nil"/>
              <w:right w:val="nil"/>
            </w:tcBorders>
            <w:vAlign w:val="bottom"/>
          </w:tcPr>
          <w:p w14:paraId="1394029D" w14:textId="77777777" w:rsidR="000C35AF" w:rsidRPr="00113056" w:rsidRDefault="000C35AF" w:rsidP="009238AE">
            <w:pPr>
              <w:pStyle w:val="Regresjonstabell"/>
              <w:jc w:val="right"/>
              <w:rPr>
                <w:sz w:val="20"/>
                <w:szCs w:val="20"/>
              </w:rPr>
            </w:pPr>
            <w:r w:rsidRPr="00113056">
              <w:rPr>
                <w:color w:val="000000"/>
                <w:sz w:val="20"/>
                <w:szCs w:val="20"/>
              </w:rPr>
              <w:t>26.283***</w:t>
            </w:r>
          </w:p>
        </w:tc>
        <w:tc>
          <w:tcPr>
            <w:tcW w:w="1399" w:type="dxa"/>
            <w:tcBorders>
              <w:top w:val="nil"/>
              <w:left w:val="nil"/>
              <w:bottom w:val="nil"/>
              <w:right w:val="nil"/>
            </w:tcBorders>
            <w:vAlign w:val="bottom"/>
          </w:tcPr>
          <w:p w14:paraId="3034F3EA" w14:textId="77777777" w:rsidR="000C35AF" w:rsidRPr="00113056" w:rsidRDefault="000C35AF" w:rsidP="009238AE">
            <w:pPr>
              <w:pStyle w:val="Regresjonstabell"/>
              <w:jc w:val="right"/>
              <w:rPr>
                <w:sz w:val="20"/>
                <w:szCs w:val="20"/>
              </w:rPr>
            </w:pPr>
            <w:r w:rsidRPr="00113056">
              <w:rPr>
                <w:color w:val="000000"/>
                <w:sz w:val="20"/>
                <w:szCs w:val="20"/>
              </w:rPr>
              <w:t>12.378**</w:t>
            </w:r>
          </w:p>
        </w:tc>
        <w:tc>
          <w:tcPr>
            <w:tcW w:w="1399" w:type="dxa"/>
            <w:tcBorders>
              <w:top w:val="nil"/>
              <w:left w:val="nil"/>
              <w:bottom w:val="nil"/>
              <w:right w:val="nil"/>
            </w:tcBorders>
            <w:vAlign w:val="bottom"/>
          </w:tcPr>
          <w:p w14:paraId="7A7E184B" w14:textId="77777777" w:rsidR="000C35AF" w:rsidRPr="00113056" w:rsidRDefault="000C35AF" w:rsidP="009238AE">
            <w:pPr>
              <w:pStyle w:val="Regresjonstabell"/>
              <w:jc w:val="right"/>
              <w:rPr>
                <w:sz w:val="20"/>
                <w:szCs w:val="20"/>
              </w:rPr>
            </w:pPr>
            <w:r w:rsidRPr="00113056">
              <w:rPr>
                <w:color w:val="000000"/>
                <w:sz w:val="20"/>
                <w:szCs w:val="20"/>
              </w:rPr>
              <w:t>13.905**</w:t>
            </w:r>
          </w:p>
        </w:tc>
        <w:tc>
          <w:tcPr>
            <w:tcW w:w="1399" w:type="dxa"/>
            <w:tcBorders>
              <w:top w:val="nil"/>
              <w:left w:val="nil"/>
              <w:bottom w:val="nil"/>
              <w:right w:val="nil"/>
            </w:tcBorders>
            <w:vAlign w:val="bottom"/>
          </w:tcPr>
          <w:p w14:paraId="5276EF9A" w14:textId="77777777" w:rsidR="000C35AF" w:rsidRPr="00113056" w:rsidRDefault="000C35AF" w:rsidP="009238AE">
            <w:pPr>
              <w:pStyle w:val="Regresjonstabell"/>
              <w:jc w:val="right"/>
              <w:rPr>
                <w:sz w:val="20"/>
                <w:szCs w:val="20"/>
              </w:rPr>
            </w:pPr>
            <w:r w:rsidRPr="00113056">
              <w:rPr>
                <w:color w:val="000000"/>
                <w:sz w:val="20"/>
                <w:szCs w:val="20"/>
              </w:rPr>
              <w:t>-0.010</w:t>
            </w:r>
          </w:p>
        </w:tc>
        <w:tc>
          <w:tcPr>
            <w:tcW w:w="1399" w:type="dxa"/>
            <w:tcBorders>
              <w:top w:val="nil"/>
              <w:left w:val="nil"/>
              <w:bottom w:val="nil"/>
              <w:right w:val="nil"/>
            </w:tcBorders>
            <w:vAlign w:val="bottom"/>
          </w:tcPr>
          <w:p w14:paraId="37D2D89D" w14:textId="77777777" w:rsidR="000C35AF" w:rsidRPr="00113056" w:rsidRDefault="000C35AF" w:rsidP="009238AE">
            <w:pPr>
              <w:pStyle w:val="Regresjonstabell"/>
              <w:jc w:val="right"/>
              <w:rPr>
                <w:sz w:val="20"/>
                <w:szCs w:val="20"/>
              </w:rPr>
            </w:pPr>
            <w:r w:rsidRPr="00113056">
              <w:rPr>
                <w:color w:val="000000"/>
                <w:sz w:val="20"/>
                <w:szCs w:val="20"/>
              </w:rPr>
              <w:t>0.015</w:t>
            </w:r>
          </w:p>
        </w:tc>
        <w:tc>
          <w:tcPr>
            <w:tcW w:w="1399" w:type="dxa"/>
            <w:tcBorders>
              <w:top w:val="nil"/>
              <w:left w:val="nil"/>
              <w:bottom w:val="nil"/>
              <w:right w:val="nil"/>
            </w:tcBorders>
            <w:vAlign w:val="bottom"/>
          </w:tcPr>
          <w:p w14:paraId="2ECCC791" w14:textId="77777777" w:rsidR="000C35AF" w:rsidRPr="00113056" w:rsidRDefault="000C35AF" w:rsidP="009238AE">
            <w:pPr>
              <w:pStyle w:val="Regresjonstabell"/>
              <w:jc w:val="right"/>
              <w:rPr>
                <w:sz w:val="20"/>
                <w:szCs w:val="20"/>
              </w:rPr>
            </w:pPr>
            <w:r w:rsidRPr="00113056">
              <w:rPr>
                <w:color w:val="000000"/>
                <w:sz w:val="20"/>
                <w:szCs w:val="20"/>
              </w:rPr>
              <w:t>0.035</w:t>
            </w:r>
          </w:p>
        </w:tc>
        <w:tc>
          <w:tcPr>
            <w:tcW w:w="1400" w:type="dxa"/>
            <w:tcBorders>
              <w:top w:val="nil"/>
              <w:left w:val="nil"/>
              <w:bottom w:val="nil"/>
              <w:right w:val="nil"/>
            </w:tcBorders>
            <w:vAlign w:val="bottom"/>
          </w:tcPr>
          <w:p w14:paraId="0110D8ED" w14:textId="77777777" w:rsidR="000C35AF" w:rsidRPr="00113056" w:rsidRDefault="000C35AF" w:rsidP="009238AE">
            <w:pPr>
              <w:pStyle w:val="Regresjonstabell"/>
              <w:jc w:val="right"/>
              <w:rPr>
                <w:sz w:val="20"/>
                <w:szCs w:val="20"/>
              </w:rPr>
            </w:pPr>
            <w:r w:rsidRPr="00113056">
              <w:rPr>
                <w:color w:val="000000"/>
                <w:sz w:val="20"/>
                <w:szCs w:val="20"/>
              </w:rPr>
              <w:t>0.049</w:t>
            </w:r>
          </w:p>
        </w:tc>
        <w:tc>
          <w:tcPr>
            <w:tcW w:w="1400" w:type="dxa"/>
            <w:tcBorders>
              <w:top w:val="nil"/>
              <w:left w:val="nil"/>
              <w:bottom w:val="nil"/>
              <w:right w:val="single" w:sz="4" w:space="0" w:color="auto"/>
            </w:tcBorders>
            <w:vAlign w:val="bottom"/>
          </w:tcPr>
          <w:p w14:paraId="7E5EA801" w14:textId="77777777" w:rsidR="000C35AF" w:rsidRPr="00113056" w:rsidRDefault="000C35AF" w:rsidP="009238AE">
            <w:pPr>
              <w:pStyle w:val="Regresjonstabell"/>
              <w:jc w:val="right"/>
              <w:rPr>
                <w:sz w:val="20"/>
                <w:szCs w:val="20"/>
              </w:rPr>
            </w:pPr>
            <w:r w:rsidRPr="00113056">
              <w:rPr>
                <w:color w:val="000000"/>
                <w:sz w:val="20"/>
                <w:szCs w:val="20"/>
              </w:rPr>
              <w:t>26.332***</w:t>
            </w:r>
          </w:p>
        </w:tc>
      </w:tr>
      <w:tr w:rsidR="000C35AF" w:rsidRPr="0055149C" w14:paraId="7B47106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1B132F3" w14:textId="77777777" w:rsidR="000C35AF" w:rsidRPr="0055149C" w:rsidRDefault="000C35AF" w:rsidP="009238AE">
            <w:pPr>
              <w:pStyle w:val="Regresjonstabell"/>
              <w:rPr>
                <w:color w:val="000000"/>
                <w:sz w:val="20"/>
                <w:szCs w:val="20"/>
              </w:rPr>
            </w:pPr>
            <w:r w:rsidRPr="0055149C">
              <w:rPr>
                <w:color w:val="000000"/>
                <w:sz w:val="20"/>
                <w:szCs w:val="20"/>
              </w:rPr>
              <w:t>(Kriterium 28)</w:t>
            </w:r>
          </w:p>
        </w:tc>
        <w:tc>
          <w:tcPr>
            <w:tcW w:w="1399" w:type="dxa"/>
            <w:tcBorders>
              <w:top w:val="nil"/>
              <w:left w:val="single" w:sz="4" w:space="0" w:color="auto"/>
              <w:bottom w:val="nil"/>
              <w:right w:val="nil"/>
            </w:tcBorders>
            <w:vAlign w:val="center"/>
          </w:tcPr>
          <w:p w14:paraId="15FC68F3" w14:textId="77777777" w:rsidR="000C35AF" w:rsidRPr="00113056" w:rsidRDefault="000C35AF" w:rsidP="009238AE">
            <w:pPr>
              <w:pStyle w:val="Regresjonstabell"/>
              <w:jc w:val="right"/>
              <w:rPr>
                <w:sz w:val="20"/>
                <w:szCs w:val="20"/>
              </w:rPr>
            </w:pPr>
            <w:r w:rsidRPr="00113056">
              <w:rPr>
                <w:color w:val="000000"/>
                <w:sz w:val="20"/>
                <w:szCs w:val="20"/>
              </w:rPr>
              <w:t>(8.399)</w:t>
            </w:r>
          </w:p>
        </w:tc>
        <w:tc>
          <w:tcPr>
            <w:tcW w:w="1399" w:type="dxa"/>
            <w:tcBorders>
              <w:top w:val="nil"/>
              <w:left w:val="nil"/>
              <w:bottom w:val="nil"/>
              <w:right w:val="nil"/>
            </w:tcBorders>
            <w:vAlign w:val="center"/>
          </w:tcPr>
          <w:p w14:paraId="0F52EF7F" w14:textId="77777777" w:rsidR="000C35AF" w:rsidRPr="00113056" w:rsidRDefault="000C35AF" w:rsidP="009238AE">
            <w:pPr>
              <w:pStyle w:val="Regresjonstabell"/>
              <w:jc w:val="right"/>
              <w:rPr>
                <w:sz w:val="20"/>
                <w:szCs w:val="20"/>
              </w:rPr>
            </w:pPr>
            <w:r w:rsidRPr="00113056">
              <w:rPr>
                <w:color w:val="000000"/>
                <w:sz w:val="20"/>
                <w:szCs w:val="20"/>
              </w:rPr>
              <w:t>(5.437)</w:t>
            </w:r>
          </w:p>
        </w:tc>
        <w:tc>
          <w:tcPr>
            <w:tcW w:w="1399" w:type="dxa"/>
            <w:tcBorders>
              <w:top w:val="nil"/>
              <w:left w:val="nil"/>
              <w:bottom w:val="nil"/>
              <w:right w:val="nil"/>
            </w:tcBorders>
            <w:vAlign w:val="center"/>
          </w:tcPr>
          <w:p w14:paraId="7BBA9DF8" w14:textId="77777777" w:rsidR="000C35AF" w:rsidRPr="00113056" w:rsidRDefault="000C35AF" w:rsidP="009238AE">
            <w:pPr>
              <w:pStyle w:val="Regresjonstabell"/>
              <w:jc w:val="right"/>
              <w:rPr>
                <w:sz w:val="20"/>
                <w:szCs w:val="20"/>
              </w:rPr>
            </w:pPr>
            <w:r w:rsidRPr="00113056">
              <w:rPr>
                <w:color w:val="000000"/>
                <w:sz w:val="20"/>
                <w:szCs w:val="20"/>
              </w:rPr>
              <w:t>(6.258)</w:t>
            </w:r>
          </w:p>
        </w:tc>
        <w:tc>
          <w:tcPr>
            <w:tcW w:w="1399" w:type="dxa"/>
            <w:tcBorders>
              <w:top w:val="nil"/>
              <w:left w:val="nil"/>
              <w:bottom w:val="nil"/>
              <w:right w:val="nil"/>
            </w:tcBorders>
            <w:vAlign w:val="center"/>
          </w:tcPr>
          <w:p w14:paraId="414B3432" w14:textId="77777777" w:rsidR="000C35AF" w:rsidRPr="00113056" w:rsidRDefault="000C35AF" w:rsidP="009238AE">
            <w:pPr>
              <w:pStyle w:val="Regresjonstabell"/>
              <w:jc w:val="right"/>
              <w:rPr>
                <w:sz w:val="20"/>
                <w:szCs w:val="20"/>
              </w:rPr>
            </w:pPr>
            <w:r w:rsidRPr="00113056">
              <w:rPr>
                <w:color w:val="000000"/>
                <w:sz w:val="20"/>
                <w:szCs w:val="20"/>
              </w:rPr>
              <w:t>(0.038)</w:t>
            </w:r>
          </w:p>
        </w:tc>
        <w:tc>
          <w:tcPr>
            <w:tcW w:w="1399" w:type="dxa"/>
            <w:tcBorders>
              <w:top w:val="nil"/>
              <w:left w:val="nil"/>
              <w:bottom w:val="nil"/>
              <w:right w:val="nil"/>
            </w:tcBorders>
            <w:vAlign w:val="center"/>
          </w:tcPr>
          <w:p w14:paraId="7D1E3ACD" w14:textId="77777777" w:rsidR="000C35AF" w:rsidRPr="00113056" w:rsidRDefault="000C35AF" w:rsidP="009238AE">
            <w:pPr>
              <w:pStyle w:val="Regresjonstabell"/>
              <w:jc w:val="right"/>
              <w:rPr>
                <w:sz w:val="20"/>
                <w:szCs w:val="20"/>
              </w:rPr>
            </w:pPr>
            <w:r w:rsidRPr="00113056">
              <w:rPr>
                <w:color w:val="000000"/>
                <w:sz w:val="20"/>
                <w:szCs w:val="20"/>
              </w:rPr>
              <w:t>(0.038)</w:t>
            </w:r>
          </w:p>
        </w:tc>
        <w:tc>
          <w:tcPr>
            <w:tcW w:w="1399" w:type="dxa"/>
            <w:tcBorders>
              <w:top w:val="nil"/>
              <w:left w:val="nil"/>
              <w:bottom w:val="nil"/>
              <w:right w:val="nil"/>
            </w:tcBorders>
            <w:vAlign w:val="center"/>
          </w:tcPr>
          <w:p w14:paraId="0BC2C61C" w14:textId="77777777" w:rsidR="000C35AF" w:rsidRPr="00113056" w:rsidRDefault="000C35AF" w:rsidP="009238AE">
            <w:pPr>
              <w:pStyle w:val="Regresjonstabell"/>
              <w:jc w:val="right"/>
              <w:rPr>
                <w:sz w:val="20"/>
                <w:szCs w:val="20"/>
              </w:rPr>
            </w:pPr>
            <w:r w:rsidRPr="00113056">
              <w:rPr>
                <w:color w:val="000000"/>
                <w:sz w:val="20"/>
                <w:szCs w:val="20"/>
              </w:rPr>
              <w:t>(0.089)</w:t>
            </w:r>
          </w:p>
        </w:tc>
        <w:tc>
          <w:tcPr>
            <w:tcW w:w="1400" w:type="dxa"/>
            <w:tcBorders>
              <w:top w:val="nil"/>
              <w:left w:val="nil"/>
              <w:bottom w:val="nil"/>
              <w:right w:val="nil"/>
            </w:tcBorders>
            <w:vAlign w:val="center"/>
          </w:tcPr>
          <w:p w14:paraId="4A36C88F" w14:textId="77777777" w:rsidR="000C35AF" w:rsidRPr="00113056" w:rsidRDefault="000C35AF" w:rsidP="009238AE">
            <w:pPr>
              <w:pStyle w:val="Regresjonstabell"/>
              <w:jc w:val="right"/>
              <w:rPr>
                <w:sz w:val="20"/>
                <w:szCs w:val="20"/>
              </w:rPr>
            </w:pPr>
            <w:r w:rsidRPr="00113056">
              <w:rPr>
                <w:color w:val="000000"/>
                <w:sz w:val="20"/>
                <w:szCs w:val="20"/>
              </w:rPr>
              <w:t>(0.126)</w:t>
            </w:r>
          </w:p>
        </w:tc>
        <w:tc>
          <w:tcPr>
            <w:tcW w:w="1400" w:type="dxa"/>
            <w:tcBorders>
              <w:top w:val="nil"/>
              <w:left w:val="nil"/>
              <w:bottom w:val="nil"/>
              <w:right w:val="single" w:sz="4" w:space="0" w:color="auto"/>
            </w:tcBorders>
            <w:vAlign w:val="center"/>
          </w:tcPr>
          <w:p w14:paraId="32B8EC1E" w14:textId="77777777" w:rsidR="000C35AF" w:rsidRPr="00113056" w:rsidRDefault="000C35AF" w:rsidP="009238AE">
            <w:pPr>
              <w:pStyle w:val="Regresjonstabell"/>
              <w:jc w:val="right"/>
              <w:rPr>
                <w:sz w:val="20"/>
                <w:szCs w:val="20"/>
              </w:rPr>
            </w:pPr>
            <w:r w:rsidRPr="00113056">
              <w:rPr>
                <w:color w:val="000000"/>
                <w:sz w:val="20"/>
                <w:szCs w:val="20"/>
              </w:rPr>
              <w:t>(8.421)</w:t>
            </w:r>
          </w:p>
        </w:tc>
      </w:tr>
      <w:tr w:rsidR="000C35AF" w:rsidRPr="0055149C" w14:paraId="3935857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4CAFD5"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4902609C"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bottom"/>
          </w:tcPr>
          <w:p w14:paraId="7B411F9A"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399" w:type="dxa"/>
            <w:tcBorders>
              <w:top w:val="nil"/>
              <w:left w:val="nil"/>
              <w:bottom w:val="nil"/>
              <w:right w:val="nil"/>
            </w:tcBorders>
            <w:vAlign w:val="bottom"/>
          </w:tcPr>
          <w:p w14:paraId="0C665C79" w14:textId="77777777" w:rsidR="000C35AF" w:rsidRPr="00113056" w:rsidRDefault="000C35AF" w:rsidP="009238AE">
            <w:pPr>
              <w:pStyle w:val="Regresjonstabell"/>
              <w:jc w:val="right"/>
              <w:rPr>
                <w:sz w:val="20"/>
                <w:szCs w:val="20"/>
              </w:rPr>
            </w:pPr>
            <w:r w:rsidRPr="00113056">
              <w:rPr>
                <w:color w:val="000000"/>
                <w:sz w:val="20"/>
                <w:szCs w:val="20"/>
              </w:rPr>
              <w:t>0.008***</w:t>
            </w:r>
          </w:p>
        </w:tc>
        <w:tc>
          <w:tcPr>
            <w:tcW w:w="1399" w:type="dxa"/>
            <w:tcBorders>
              <w:top w:val="nil"/>
              <w:left w:val="nil"/>
              <w:bottom w:val="nil"/>
              <w:right w:val="nil"/>
            </w:tcBorders>
            <w:vAlign w:val="bottom"/>
          </w:tcPr>
          <w:p w14:paraId="4DF63572"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796D25AF"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6B4BB185"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nil"/>
            </w:tcBorders>
            <w:vAlign w:val="bottom"/>
          </w:tcPr>
          <w:p w14:paraId="51E61A66"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single" w:sz="4" w:space="0" w:color="auto"/>
            </w:tcBorders>
            <w:vAlign w:val="bottom"/>
          </w:tcPr>
          <w:p w14:paraId="038FA83B" w14:textId="77777777" w:rsidR="000C35AF" w:rsidRPr="00113056" w:rsidRDefault="000C35AF" w:rsidP="009238AE">
            <w:pPr>
              <w:pStyle w:val="Regresjonstabell"/>
              <w:jc w:val="right"/>
              <w:rPr>
                <w:sz w:val="20"/>
                <w:szCs w:val="20"/>
              </w:rPr>
            </w:pPr>
            <w:r w:rsidRPr="00113056">
              <w:rPr>
                <w:color w:val="000000"/>
                <w:sz w:val="20"/>
                <w:szCs w:val="20"/>
              </w:rPr>
              <w:t>-0.006</w:t>
            </w:r>
          </w:p>
        </w:tc>
      </w:tr>
      <w:tr w:rsidR="000C35AF" w:rsidRPr="0055149C" w14:paraId="0162C19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54F3D77"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5BF5E063"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center"/>
          </w:tcPr>
          <w:p w14:paraId="02AE0DDC"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center"/>
          </w:tcPr>
          <w:p w14:paraId="6A5666DE"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center"/>
          </w:tcPr>
          <w:p w14:paraId="0FB54A77"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38F66C5B"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60A7B094"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nil"/>
            </w:tcBorders>
            <w:vAlign w:val="center"/>
          </w:tcPr>
          <w:p w14:paraId="1C2E0F96"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single" w:sz="4" w:space="0" w:color="auto"/>
            </w:tcBorders>
            <w:vAlign w:val="center"/>
          </w:tcPr>
          <w:p w14:paraId="2E189D99" w14:textId="77777777" w:rsidR="000C35AF" w:rsidRPr="00113056" w:rsidRDefault="000C35AF" w:rsidP="009238AE">
            <w:pPr>
              <w:pStyle w:val="Regresjonstabell"/>
              <w:jc w:val="right"/>
              <w:rPr>
                <w:sz w:val="20"/>
                <w:szCs w:val="20"/>
              </w:rPr>
            </w:pPr>
            <w:r w:rsidRPr="00113056">
              <w:rPr>
                <w:color w:val="000000"/>
                <w:sz w:val="20"/>
                <w:szCs w:val="20"/>
              </w:rPr>
              <w:t>(0.005)</w:t>
            </w:r>
          </w:p>
        </w:tc>
      </w:tr>
      <w:tr w:rsidR="000C35AF" w:rsidRPr="0055149C" w14:paraId="38C8CD2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4A96A83"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32680752" w14:textId="77777777" w:rsidR="000C35AF" w:rsidRPr="00113056" w:rsidRDefault="000C35AF" w:rsidP="009238AE">
            <w:pPr>
              <w:pStyle w:val="Regresjonstabell"/>
              <w:jc w:val="right"/>
              <w:rPr>
                <w:sz w:val="20"/>
                <w:szCs w:val="20"/>
              </w:rPr>
            </w:pPr>
            <w:r w:rsidRPr="00113056">
              <w:rPr>
                <w:color w:val="000000"/>
                <w:sz w:val="20"/>
                <w:szCs w:val="20"/>
              </w:rPr>
              <w:t>5.171***</w:t>
            </w:r>
          </w:p>
        </w:tc>
        <w:tc>
          <w:tcPr>
            <w:tcW w:w="1399" w:type="dxa"/>
            <w:tcBorders>
              <w:top w:val="nil"/>
              <w:left w:val="nil"/>
              <w:bottom w:val="nil"/>
              <w:right w:val="nil"/>
            </w:tcBorders>
            <w:vAlign w:val="bottom"/>
          </w:tcPr>
          <w:p w14:paraId="5BEDB106" w14:textId="77777777" w:rsidR="000C35AF" w:rsidRPr="00113056" w:rsidRDefault="000C35AF" w:rsidP="009238AE">
            <w:pPr>
              <w:pStyle w:val="Regresjonstabell"/>
              <w:jc w:val="right"/>
              <w:rPr>
                <w:sz w:val="20"/>
                <w:szCs w:val="20"/>
              </w:rPr>
            </w:pPr>
            <w:r w:rsidRPr="00113056">
              <w:rPr>
                <w:color w:val="000000"/>
                <w:sz w:val="20"/>
                <w:szCs w:val="20"/>
              </w:rPr>
              <w:t>1.967**</w:t>
            </w:r>
          </w:p>
        </w:tc>
        <w:tc>
          <w:tcPr>
            <w:tcW w:w="1399" w:type="dxa"/>
            <w:tcBorders>
              <w:top w:val="nil"/>
              <w:left w:val="nil"/>
              <w:bottom w:val="nil"/>
              <w:right w:val="nil"/>
            </w:tcBorders>
            <w:vAlign w:val="bottom"/>
          </w:tcPr>
          <w:p w14:paraId="48AD2406" w14:textId="77777777" w:rsidR="000C35AF" w:rsidRPr="00113056" w:rsidRDefault="000C35AF" w:rsidP="009238AE">
            <w:pPr>
              <w:pStyle w:val="Regresjonstabell"/>
              <w:jc w:val="right"/>
              <w:rPr>
                <w:sz w:val="20"/>
                <w:szCs w:val="20"/>
              </w:rPr>
            </w:pPr>
            <w:r w:rsidRPr="00113056">
              <w:rPr>
                <w:color w:val="000000"/>
                <w:sz w:val="20"/>
                <w:szCs w:val="20"/>
              </w:rPr>
              <w:t>3.204***</w:t>
            </w:r>
          </w:p>
        </w:tc>
        <w:tc>
          <w:tcPr>
            <w:tcW w:w="1399" w:type="dxa"/>
            <w:tcBorders>
              <w:top w:val="nil"/>
              <w:left w:val="nil"/>
              <w:bottom w:val="nil"/>
              <w:right w:val="nil"/>
            </w:tcBorders>
            <w:vAlign w:val="bottom"/>
          </w:tcPr>
          <w:p w14:paraId="354BC2C9" w14:textId="77777777" w:rsidR="000C35AF" w:rsidRPr="00113056" w:rsidRDefault="000C35AF" w:rsidP="009238AE">
            <w:pPr>
              <w:pStyle w:val="Regresjonstabell"/>
              <w:jc w:val="right"/>
              <w:rPr>
                <w:sz w:val="20"/>
                <w:szCs w:val="20"/>
              </w:rPr>
            </w:pPr>
            <w:r w:rsidRPr="00113056">
              <w:rPr>
                <w:color w:val="000000"/>
                <w:sz w:val="20"/>
                <w:szCs w:val="20"/>
              </w:rPr>
              <w:t>0.009</w:t>
            </w:r>
          </w:p>
        </w:tc>
        <w:tc>
          <w:tcPr>
            <w:tcW w:w="1399" w:type="dxa"/>
            <w:tcBorders>
              <w:top w:val="nil"/>
              <w:left w:val="nil"/>
              <w:bottom w:val="nil"/>
              <w:right w:val="nil"/>
            </w:tcBorders>
            <w:vAlign w:val="bottom"/>
          </w:tcPr>
          <w:p w14:paraId="367C733C"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bottom"/>
          </w:tcPr>
          <w:p w14:paraId="5F5D92F2" w14:textId="77777777" w:rsidR="000C35AF" w:rsidRPr="00113056" w:rsidRDefault="000C35AF" w:rsidP="009238AE">
            <w:pPr>
              <w:pStyle w:val="Regresjonstabell"/>
              <w:jc w:val="right"/>
              <w:rPr>
                <w:sz w:val="20"/>
                <w:szCs w:val="20"/>
              </w:rPr>
            </w:pPr>
            <w:r w:rsidRPr="00113056">
              <w:rPr>
                <w:color w:val="000000"/>
                <w:sz w:val="20"/>
                <w:szCs w:val="20"/>
              </w:rPr>
              <w:t>0.017</w:t>
            </w:r>
          </w:p>
        </w:tc>
        <w:tc>
          <w:tcPr>
            <w:tcW w:w="1400" w:type="dxa"/>
            <w:tcBorders>
              <w:top w:val="nil"/>
              <w:left w:val="nil"/>
              <w:bottom w:val="nil"/>
              <w:right w:val="nil"/>
            </w:tcBorders>
            <w:vAlign w:val="bottom"/>
          </w:tcPr>
          <w:p w14:paraId="23DB3910" w14:textId="77777777" w:rsidR="000C35AF" w:rsidRPr="00113056" w:rsidRDefault="000C35AF" w:rsidP="009238AE">
            <w:pPr>
              <w:pStyle w:val="Regresjonstabell"/>
              <w:jc w:val="right"/>
              <w:rPr>
                <w:sz w:val="20"/>
                <w:szCs w:val="20"/>
              </w:rPr>
            </w:pPr>
            <w:r w:rsidRPr="00113056">
              <w:rPr>
                <w:color w:val="000000"/>
                <w:sz w:val="20"/>
                <w:szCs w:val="20"/>
              </w:rPr>
              <w:t>0.024</w:t>
            </w:r>
          </w:p>
        </w:tc>
        <w:tc>
          <w:tcPr>
            <w:tcW w:w="1400" w:type="dxa"/>
            <w:tcBorders>
              <w:top w:val="nil"/>
              <w:left w:val="nil"/>
              <w:bottom w:val="nil"/>
              <w:right w:val="single" w:sz="4" w:space="0" w:color="auto"/>
            </w:tcBorders>
            <w:vAlign w:val="bottom"/>
          </w:tcPr>
          <w:p w14:paraId="2C28EAEA" w14:textId="77777777" w:rsidR="000C35AF" w:rsidRPr="00113056" w:rsidRDefault="000C35AF" w:rsidP="009238AE">
            <w:pPr>
              <w:pStyle w:val="Regresjonstabell"/>
              <w:jc w:val="right"/>
              <w:rPr>
                <w:sz w:val="20"/>
                <w:szCs w:val="20"/>
              </w:rPr>
            </w:pPr>
            <w:r w:rsidRPr="00113056">
              <w:rPr>
                <w:color w:val="000000"/>
                <w:sz w:val="20"/>
                <w:szCs w:val="20"/>
              </w:rPr>
              <w:t>5.195***</w:t>
            </w:r>
          </w:p>
        </w:tc>
      </w:tr>
      <w:tr w:rsidR="000C35AF" w:rsidRPr="0055149C" w14:paraId="4685D37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A732936"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7F00C080" w14:textId="77777777" w:rsidR="000C35AF" w:rsidRPr="00113056" w:rsidRDefault="000C35AF" w:rsidP="009238AE">
            <w:pPr>
              <w:pStyle w:val="Regresjonstabell"/>
              <w:jc w:val="right"/>
              <w:rPr>
                <w:sz w:val="20"/>
                <w:szCs w:val="20"/>
              </w:rPr>
            </w:pPr>
            <w:r w:rsidRPr="00113056">
              <w:rPr>
                <w:color w:val="000000"/>
                <w:sz w:val="20"/>
                <w:szCs w:val="20"/>
              </w:rPr>
              <w:t>(1.404)</w:t>
            </w:r>
          </w:p>
        </w:tc>
        <w:tc>
          <w:tcPr>
            <w:tcW w:w="1399" w:type="dxa"/>
            <w:tcBorders>
              <w:top w:val="nil"/>
              <w:left w:val="nil"/>
              <w:bottom w:val="nil"/>
              <w:right w:val="nil"/>
            </w:tcBorders>
            <w:vAlign w:val="center"/>
          </w:tcPr>
          <w:p w14:paraId="5AE5DE11" w14:textId="77777777" w:rsidR="000C35AF" w:rsidRPr="00113056" w:rsidRDefault="000C35AF" w:rsidP="009238AE">
            <w:pPr>
              <w:pStyle w:val="Regresjonstabell"/>
              <w:jc w:val="right"/>
              <w:rPr>
                <w:sz w:val="20"/>
                <w:szCs w:val="20"/>
              </w:rPr>
            </w:pPr>
            <w:r w:rsidRPr="00113056">
              <w:rPr>
                <w:color w:val="000000"/>
                <w:sz w:val="20"/>
                <w:szCs w:val="20"/>
              </w:rPr>
              <w:t>(0.917)</w:t>
            </w:r>
          </w:p>
        </w:tc>
        <w:tc>
          <w:tcPr>
            <w:tcW w:w="1399" w:type="dxa"/>
            <w:tcBorders>
              <w:top w:val="nil"/>
              <w:left w:val="nil"/>
              <w:bottom w:val="nil"/>
              <w:right w:val="nil"/>
            </w:tcBorders>
            <w:vAlign w:val="center"/>
          </w:tcPr>
          <w:p w14:paraId="3F851DD9" w14:textId="77777777" w:rsidR="000C35AF" w:rsidRPr="00113056" w:rsidRDefault="000C35AF" w:rsidP="009238AE">
            <w:pPr>
              <w:pStyle w:val="Regresjonstabell"/>
              <w:jc w:val="right"/>
              <w:rPr>
                <w:sz w:val="20"/>
                <w:szCs w:val="20"/>
              </w:rPr>
            </w:pPr>
            <w:r w:rsidRPr="00113056">
              <w:rPr>
                <w:color w:val="000000"/>
                <w:sz w:val="20"/>
                <w:szCs w:val="20"/>
              </w:rPr>
              <w:t>(0.979)</w:t>
            </w:r>
          </w:p>
        </w:tc>
        <w:tc>
          <w:tcPr>
            <w:tcW w:w="1399" w:type="dxa"/>
            <w:tcBorders>
              <w:top w:val="nil"/>
              <w:left w:val="nil"/>
              <w:bottom w:val="nil"/>
              <w:right w:val="nil"/>
            </w:tcBorders>
            <w:vAlign w:val="center"/>
          </w:tcPr>
          <w:p w14:paraId="70D6E858"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7F9C61FD"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2D682803" w14:textId="77777777" w:rsidR="000C35AF" w:rsidRPr="00113056" w:rsidRDefault="000C35AF" w:rsidP="009238AE">
            <w:pPr>
              <w:pStyle w:val="Regresjonstabell"/>
              <w:jc w:val="right"/>
              <w:rPr>
                <w:sz w:val="20"/>
                <w:szCs w:val="20"/>
              </w:rPr>
            </w:pPr>
            <w:r w:rsidRPr="00113056">
              <w:rPr>
                <w:color w:val="000000"/>
                <w:sz w:val="20"/>
                <w:szCs w:val="20"/>
              </w:rPr>
              <w:t>(0.017)</w:t>
            </w:r>
          </w:p>
        </w:tc>
        <w:tc>
          <w:tcPr>
            <w:tcW w:w="1400" w:type="dxa"/>
            <w:tcBorders>
              <w:top w:val="nil"/>
              <w:left w:val="nil"/>
              <w:bottom w:val="nil"/>
              <w:right w:val="nil"/>
            </w:tcBorders>
            <w:vAlign w:val="center"/>
          </w:tcPr>
          <w:p w14:paraId="0FD3D3BC" w14:textId="77777777" w:rsidR="000C35AF" w:rsidRPr="00113056" w:rsidRDefault="000C35AF" w:rsidP="009238AE">
            <w:pPr>
              <w:pStyle w:val="Regresjonstabell"/>
              <w:jc w:val="right"/>
              <w:rPr>
                <w:sz w:val="20"/>
                <w:szCs w:val="20"/>
              </w:rPr>
            </w:pPr>
            <w:r w:rsidRPr="00113056">
              <w:rPr>
                <w:color w:val="000000"/>
                <w:sz w:val="20"/>
                <w:szCs w:val="20"/>
              </w:rPr>
              <w:t>(0.024)</w:t>
            </w:r>
          </w:p>
        </w:tc>
        <w:tc>
          <w:tcPr>
            <w:tcW w:w="1400" w:type="dxa"/>
            <w:tcBorders>
              <w:top w:val="nil"/>
              <w:left w:val="nil"/>
              <w:bottom w:val="nil"/>
              <w:right w:val="single" w:sz="4" w:space="0" w:color="auto"/>
            </w:tcBorders>
            <w:vAlign w:val="center"/>
          </w:tcPr>
          <w:p w14:paraId="4C6E8234" w14:textId="77777777" w:rsidR="000C35AF" w:rsidRPr="00113056" w:rsidRDefault="000C35AF" w:rsidP="009238AE">
            <w:pPr>
              <w:pStyle w:val="Regresjonstabell"/>
              <w:jc w:val="right"/>
              <w:rPr>
                <w:sz w:val="20"/>
                <w:szCs w:val="20"/>
              </w:rPr>
            </w:pPr>
            <w:r w:rsidRPr="00113056">
              <w:rPr>
                <w:color w:val="000000"/>
                <w:sz w:val="20"/>
                <w:szCs w:val="20"/>
              </w:rPr>
              <w:t>(1.412)</w:t>
            </w:r>
          </w:p>
        </w:tc>
      </w:tr>
      <w:tr w:rsidR="000C35AF" w:rsidRPr="0055149C" w14:paraId="2C75D366"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70F5102"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41A37119"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3636AED7"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6ADE3104"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690B4828"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70DC2156"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47F7D548"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400" w:type="dxa"/>
            <w:tcBorders>
              <w:top w:val="nil"/>
              <w:left w:val="nil"/>
              <w:bottom w:val="nil"/>
              <w:right w:val="nil"/>
            </w:tcBorders>
            <w:vAlign w:val="bottom"/>
          </w:tcPr>
          <w:p w14:paraId="09BDFA82"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400" w:type="dxa"/>
            <w:tcBorders>
              <w:top w:val="nil"/>
              <w:left w:val="nil"/>
              <w:bottom w:val="nil"/>
              <w:right w:val="single" w:sz="4" w:space="0" w:color="auto"/>
            </w:tcBorders>
            <w:vAlign w:val="bottom"/>
          </w:tcPr>
          <w:p w14:paraId="58400E6A" w14:textId="77777777" w:rsidR="000C35AF" w:rsidRPr="00113056" w:rsidRDefault="000C35AF" w:rsidP="009238AE">
            <w:pPr>
              <w:pStyle w:val="Regresjonstabell"/>
              <w:jc w:val="right"/>
              <w:rPr>
                <w:sz w:val="20"/>
                <w:szCs w:val="20"/>
              </w:rPr>
            </w:pPr>
            <w:r w:rsidRPr="00113056">
              <w:rPr>
                <w:color w:val="000000"/>
                <w:sz w:val="20"/>
                <w:szCs w:val="20"/>
              </w:rPr>
              <w:t>353</w:t>
            </w:r>
          </w:p>
        </w:tc>
      </w:tr>
      <w:tr w:rsidR="000C35AF" w:rsidRPr="0055149C" w14:paraId="111854D6"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3F3BB032"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6FE33438" w14:textId="77777777" w:rsidR="000C35AF" w:rsidRPr="00113056" w:rsidRDefault="000C35AF" w:rsidP="009238AE">
            <w:pPr>
              <w:pStyle w:val="Regresjonstabell"/>
              <w:jc w:val="right"/>
              <w:rPr>
                <w:sz w:val="20"/>
                <w:szCs w:val="20"/>
              </w:rPr>
            </w:pPr>
            <w:r w:rsidRPr="00113056">
              <w:rPr>
                <w:color w:val="000000"/>
                <w:sz w:val="20"/>
                <w:szCs w:val="20"/>
              </w:rPr>
              <w:t>0.094</w:t>
            </w:r>
          </w:p>
        </w:tc>
        <w:tc>
          <w:tcPr>
            <w:tcW w:w="1399" w:type="dxa"/>
            <w:tcBorders>
              <w:top w:val="nil"/>
              <w:left w:val="nil"/>
              <w:bottom w:val="single" w:sz="4" w:space="0" w:color="auto"/>
              <w:right w:val="nil"/>
            </w:tcBorders>
            <w:vAlign w:val="bottom"/>
          </w:tcPr>
          <w:p w14:paraId="7A57422D" w14:textId="77777777" w:rsidR="000C35AF" w:rsidRPr="00113056" w:rsidRDefault="000C35AF" w:rsidP="009238AE">
            <w:pPr>
              <w:pStyle w:val="Regresjonstabell"/>
              <w:jc w:val="right"/>
              <w:rPr>
                <w:sz w:val="20"/>
                <w:szCs w:val="20"/>
              </w:rPr>
            </w:pPr>
            <w:r w:rsidRPr="00113056">
              <w:rPr>
                <w:color w:val="000000"/>
                <w:sz w:val="20"/>
                <w:szCs w:val="20"/>
              </w:rPr>
              <w:t>0.080</w:t>
            </w:r>
          </w:p>
        </w:tc>
        <w:tc>
          <w:tcPr>
            <w:tcW w:w="1399" w:type="dxa"/>
            <w:tcBorders>
              <w:top w:val="nil"/>
              <w:left w:val="nil"/>
              <w:bottom w:val="single" w:sz="4" w:space="0" w:color="auto"/>
              <w:right w:val="nil"/>
            </w:tcBorders>
            <w:vAlign w:val="bottom"/>
          </w:tcPr>
          <w:p w14:paraId="00929FAE" w14:textId="77777777" w:rsidR="000C35AF" w:rsidRPr="00113056" w:rsidRDefault="000C35AF" w:rsidP="009238AE">
            <w:pPr>
              <w:pStyle w:val="Regresjonstabell"/>
              <w:jc w:val="right"/>
              <w:rPr>
                <w:sz w:val="20"/>
                <w:szCs w:val="20"/>
              </w:rPr>
            </w:pPr>
            <w:r w:rsidRPr="00113056">
              <w:rPr>
                <w:color w:val="000000"/>
                <w:sz w:val="20"/>
                <w:szCs w:val="20"/>
              </w:rPr>
              <w:t>0.160</w:t>
            </w:r>
          </w:p>
        </w:tc>
        <w:tc>
          <w:tcPr>
            <w:tcW w:w="1399" w:type="dxa"/>
            <w:tcBorders>
              <w:top w:val="nil"/>
              <w:left w:val="nil"/>
              <w:bottom w:val="single" w:sz="4" w:space="0" w:color="auto"/>
              <w:right w:val="nil"/>
            </w:tcBorders>
            <w:vAlign w:val="bottom"/>
          </w:tcPr>
          <w:p w14:paraId="140475E9" w14:textId="77777777" w:rsidR="000C35AF" w:rsidRPr="00113056" w:rsidRDefault="000C35AF" w:rsidP="009238AE">
            <w:pPr>
              <w:pStyle w:val="Regresjonstabell"/>
              <w:jc w:val="right"/>
              <w:rPr>
                <w:sz w:val="20"/>
                <w:szCs w:val="20"/>
              </w:rPr>
            </w:pPr>
            <w:r w:rsidRPr="00113056">
              <w:rPr>
                <w:color w:val="000000"/>
                <w:sz w:val="20"/>
                <w:szCs w:val="20"/>
              </w:rPr>
              <w:t>0.021</w:t>
            </w:r>
          </w:p>
        </w:tc>
        <w:tc>
          <w:tcPr>
            <w:tcW w:w="1399" w:type="dxa"/>
            <w:tcBorders>
              <w:top w:val="nil"/>
              <w:left w:val="nil"/>
              <w:bottom w:val="single" w:sz="4" w:space="0" w:color="auto"/>
              <w:right w:val="nil"/>
            </w:tcBorders>
            <w:vAlign w:val="bottom"/>
          </w:tcPr>
          <w:p w14:paraId="0A2C18C2"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399" w:type="dxa"/>
            <w:tcBorders>
              <w:top w:val="nil"/>
              <w:left w:val="nil"/>
              <w:bottom w:val="single" w:sz="4" w:space="0" w:color="auto"/>
              <w:right w:val="nil"/>
            </w:tcBorders>
            <w:vAlign w:val="bottom"/>
          </w:tcPr>
          <w:p w14:paraId="58BE706D"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400" w:type="dxa"/>
            <w:tcBorders>
              <w:top w:val="nil"/>
              <w:left w:val="nil"/>
              <w:bottom w:val="single" w:sz="4" w:space="0" w:color="auto"/>
              <w:right w:val="nil"/>
            </w:tcBorders>
            <w:vAlign w:val="bottom"/>
          </w:tcPr>
          <w:p w14:paraId="1CEBF2A9"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400" w:type="dxa"/>
            <w:tcBorders>
              <w:top w:val="nil"/>
              <w:left w:val="nil"/>
              <w:bottom w:val="single" w:sz="4" w:space="0" w:color="auto"/>
              <w:right w:val="single" w:sz="4" w:space="0" w:color="auto"/>
            </w:tcBorders>
            <w:vAlign w:val="bottom"/>
          </w:tcPr>
          <w:p w14:paraId="22C8EC27" w14:textId="77777777" w:rsidR="000C35AF" w:rsidRPr="00113056" w:rsidRDefault="000C35AF" w:rsidP="009238AE">
            <w:pPr>
              <w:pStyle w:val="Regresjonstabell"/>
              <w:jc w:val="right"/>
              <w:rPr>
                <w:sz w:val="20"/>
                <w:szCs w:val="20"/>
              </w:rPr>
            </w:pPr>
            <w:r w:rsidRPr="00113056">
              <w:rPr>
                <w:color w:val="000000"/>
                <w:sz w:val="20"/>
                <w:szCs w:val="20"/>
              </w:rPr>
              <w:t>0.093</w:t>
            </w:r>
          </w:p>
        </w:tc>
      </w:tr>
    </w:tbl>
    <w:p w14:paraId="6D7B3FD9"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w:t>
      </w:r>
    </w:p>
    <w:p w14:paraId="2C4D6B2F" w14:textId="77777777" w:rsidR="000C35AF" w:rsidRPr="0055149C" w:rsidRDefault="000C35AF" w:rsidP="000C35AF">
      <w:pPr>
        <w:pStyle w:val="Source"/>
        <w:rPr>
          <w:lang w:eastAsia="nb-NO"/>
        </w:rPr>
      </w:pPr>
      <w:r w:rsidRPr="0055149C">
        <w:rPr>
          <w:lang w:eastAsia="nb-NO"/>
        </w:rPr>
        <w:t>Kilde: Vista Analyse</w:t>
      </w:r>
    </w:p>
    <w:p w14:paraId="3115AD96" w14:textId="77777777" w:rsidR="000C35AF" w:rsidRPr="0055149C" w:rsidRDefault="000C35AF" w:rsidP="000C35AF">
      <w:pPr>
        <w:pStyle w:val="Bildetekst"/>
      </w:pPr>
      <w:r w:rsidRPr="0055149C">
        <w:br w:type="page"/>
      </w:r>
    </w:p>
    <w:p w14:paraId="27B12038" w14:textId="6072BFB0" w:rsidR="000C35AF" w:rsidRPr="0055149C" w:rsidRDefault="000C35AF" w:rsidP="000C35AF">
      <w:pPr>
        <w:pStyle w:val="Bildetekst"/>
      </w:pPr>
      <w:bookmarkStart w:id="143" w:name="_Ref178358805"/>
      <w:r w:rsidRPr="0055149C">
        <w:lastRenderedPageBreak/>
        <w:t xml:space="preserve">Tabell </w:t>
      </w:r>
      <w:fldSimple w:instr=" STYLEREF 1 \s ">
        <w:r w:rsidR="009B1DA8">
          <w:rPr>
            <w:noProof/>
          </w:rPr>
          <w:t>4</w:t>
        </w:r>
      </w:fldSimple>
      <w:r w:rsidRPr="0055149C">
        <w:t>.</w:t>
      </w:r>
      <w:fldSimple w:instr=" SEQ Tabell \* ARABIC \s 1 ">
        <w:r w:rsidR="009B1DA8">
          <w:rPr>
            <w:noProof/>
          </w:rPr>
          <w:t>21</w:t>
        </w:r>
      </w:fldSimple>
      <w:bookmarkEnd w:id="143"/>
      <w:r w:rsidRPr="0055149C">
        <w:t xml:space="preserve"> </w:t>
      </w:r>
      <w:r w:rsidRPr="0055149C">
        <w:tab/>
        <w:t xml:space="preserve">Regresjoner ved minste kvadraters metode, der kostnadene innen sosialsektoren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33B4B9A0" w14:textId="77777777" w:rsidTr="009238AE">
        <w:tc>
          <w:tcPr>
            <w:tcW w:w="2798" w:type="dxa"/>
            <w:tcBorders>
              <w:top w:val="single" w:sz="4" w:space="0" w:color="auto"/>
              <w:left w:val="single" w:sz="4" w:space="0" w:color="auto"/>
              <w:bottom w:val="nil"/>
              <w:right w:val="nil"/>
            </w:tcBorders>
            <w:shd w:val="clear" w:color="auto" w:fill="3672B0" w:themeFill="accent2"/>
          </w:tcPr>
          <w:p w14:paraId="512DDE2F"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67B182B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1FF1B2C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6644A8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208B9C1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26EF2A8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403EEAD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48C3E84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1EB227F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499A6520" w14:textId="77777777" w:rsidTr="009238AE">
        <w:tc>
          <w:tcPr>
            <w:tcW w:w="2798" w:type="dxa"/>
            <w:tcBorders>
              <w:top w:val="nil"/>
              <w:left w:val="single" w:sz="4" w:space="0" w:color="auto"/>
              <w:bottom w:val="single" w:sz="4" w:space="0" w:color="auto"/>
              <w:right w:val="nil"/>
            </w:tcBorders>
            <w:shd w:val="clear" w:color="auto" w:fill="3672B0" w:themeFill="accent2"/>
          </w:tcPr>
          <w:p w14:paraId="3742091D"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7B647D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921C59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7FA600E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1E7D8FF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208958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2E5D289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46EC27A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6CBA7EA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63064841"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432651F8"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single" w:sz="4" w:space="0" w:color="auto"/>
              <w:left w:val="single" w:sz="4" w:space="0" w:color="auto"/>
              <w:bottom w:val="nil"/>
              <w:right w:val="nil"/>
            </w:tcBorders>
            <w:vAlign w:val="bottom"/>
          </w:tcPr>
          <w:p w14:paraId="30236CAA" w14:textId="77777777" w:rsidR="000C35AF" w:rsidRPr="00E63B6F" w:rsidRDefault="000C35AF" w:rsidP="009238AE">
            <w:pPr>
              <w:pStyle w:val="Regresjonstabell"/>
              <w:jc w:val="right"/>
              <w:rPr>
                <w:sz w:val="20"/>
                <w:szCs w:val="20"/>
              </w:rPr>
            </w:pPr>
            <w:r w:rsidRPr="00E63B6F">
              <w:rPr>
                <w:color w:val="000000"/>
                <w:sz w:val="20"/>
                <w:szCs w:val="20"/>
              </w:rPr>
              <w:t>7.125</w:t>
            </w:r>
          </w:p>
        </w:tc>
        <w:tc>
          <w:tcPr>
            <w:tcW w:w="1399" w:type="dxa"/>
            <w:tcBorders>
              <w:top w:val="single" w:sz="4" w:space="0" w:color="auto"/>
              <w:left w:val="nil"/>
              <w:bottom w:val="nil"/>
              <w:right w:val="nil"/>
            </w:tcBorders>
            <w:vAlign w:val="bottom"/>
          </w:tcPr>
          <w:p w14:paraId="5A0C79DE" w14:textId="77777777" w:rsidR="000C35AF" w:rsidRPr="00E63B6F" w:rsidRDefault="000C35AF" w:rsidP="009238AE">
            <w:pPr>
              <w:pStyle w:val="Regresjonstabell"/>
              <w:jc w:val="right"/>
              <w:rPr>
                <w:sz w:val="20"/>
                <w:szCs w:val="20"/>
              </w:rPr>
            </w:pPr>
            <w:r w:rsidRPr="00E63B6F">
              <w:rPr>
                <w:color w:val="000000"/>
                <w:sz w:val="20"/>
                <w:szCs w:val="20"/>
              </w:rPr>
              <w:t>7.084</w:t>
            </w:r>
          </w:p>
        </w:tc>
        <w:tc>
          <w:tcPr>
            <w:tcW w:w="1399" w:type="dxa"/>
            <w:tcBorders>
              <w:top w:val="single" w:sz="4" w:space="0" w:color="auto"/>
              <w:left w:val="nil"/>
              <w:bottom w:val="nil"/>
              <w:right w:val="nil"/>
            </w:tcBorders>
            <w:vAlign w:val="bottom"/>
          </w:tcPr>
          <w:p w14:paraId="2BAC17C3" w14:textId="77777777" w:rsidR="000C35AF" w:rsidRPr="00E63B6F" w:rsidRDefault="000C35AF" w:rsidP="009238AE">
            <w:pPr>
              <w:pStyle w:val="Regresjonstabell"/>
              <w:jc w:val="right"/>
              <w:rPr>
                <w:sz w:val="20"/>
                <w:szCs w:val="20"/>
              </w:rPr>
            </w:pPr>
            <w:r w:rsidRPr="00E63B6F">
              <w:rPr>
                <w:color w:val="000000"/>
                <w:sz w:val="20"/>
                <w:szCs w:val="20"/>
              </w:rPr>
              <w:t>7.969</w:t>
            </w:r>
          </w:p>
        </w:tc>
        <w:tc>
          <w:tcPr>
            <w:tcW w:w="1399" w:type="dxa"/>
            <w:tcBorders>
              <w:top w:val="single" w:sz="4" w:space="0" w:color="auto"/>
              <w:left w:val="nil"/>
              <w:bottom w:val="nil"/>
              <w:right w:val="nil"/>
            </w:tcBorders>
            <w:vAlign w:val="bottom"/>
          </w:tcPr>
          <w:p w14:paraId="04184CB7" w14:textId="77777777" w:rsidR="000C35AF" w:rsidRPr="00E63B6F" w:rsidRDefault="000C35AF" w:rsidP="009238AE">
            <w:pPr>
              <w:pStyle w:val="Regresjonstabell"/>
              <w:jc w:val="right"/>
              <w:rPr>
                <w:sz w:val="20"/>
                <w:szCs w:val="20"/>
              </w:rPr>
            </w:pPr>
            <w:r w:rsidRPr="00E63B6F">
              <w:rPr>
                <w:color w:val="000000"/>
                <w:sz w:val="20"/>
                <w:szCs w:val="20"/>
              </w:rPr>
              <w:t>9.121</w:t>
            </w:r>
          </w:p>
        </w:tc>
        <w:tc>
          <w:tcPr>
            <w:tcW w:w="1399" w:type="dxa"/>
            <w:tcBorders>
              <w:top w:val="single" w:sz="4" w:space="0" w:color="auto"/>
              <w:left w:val="nil"/>
              <w:bottom w:val="nil"/>
              <w:right w:val="nil"/>
            </w:tcBorders>
            <w:vAlign w:val="bottom"/>
          </w:tcPr>
          <w:p w14:paraId="3343B6CA" w14:textId="77777777" w:rsidR="000C35AF" w:rsidRPr="00E63B6F" w:rsidRDefault="000C35AF" w:rsidP="009238AE">
            <w:pPr>
              <w:pStyle w:val="Regresjonstabell"/>
              <w:jc w:val="right"/>
              <w:rPr>
                <w:sz w:val="20"/>
                <w:szCs w:val="20"/>
              </w:rPr>
            </w:pPr>
            <w:r w:rsidRPr="00E63B6F">
              <w:rPr>
                <w:color w:val="000000"/>
                <w:sz w:val="20"/>
                <w:szCs w:val="20"/>
              </w:rPr>
              <w:t>-19.257*</w:t>
            </w:r>
          </w:p>
        </w:tc>
        <w:tc>
          <w:tcPr>
            <w:tcW w:w="1399" w:type="dxa"/>
            <w:tcBorders>
              <w:top w:val="single" w:sz="4" w:space="0" w:color="auto"/>
              <w:left w:val="nil"/>
              <w:bottom w:val="nil"/>
              <w:right w:val="nil"/>
            </w:tcBorders>
            <w:vAlign w:val="bottom"/>
          </w:tcPr>
          <w:p w14:paraId="47C82099" w14:textId="77777777" w:rsidR="000C35AF" w:rsidRPr="00E63B6F" w:rsidRDefault="000C35AF" w:rsidP="009238AE">
            <w:pPr>
              <w:pStyle w:val="Regresjonstabell"/>
              <w:jc w:val="right"/>
              <w:rPr>
                <w:sz w:val="20"/>
                <w:szCs w:val="20"/>
              </w:rPr>
            </w:pPr>
            <w:r w:rsidRPr="00E63B6F">
              <w:rPr>
                <w:color w:val="000000"/>
                <w:sz w:val="20"/>
                <w:szCs w:val="20"/>
              </w:rPr>
              <w:t>-19.064</w:t>
            </w:r>
          </w:p>
        </w:tc>
        <w:tc>
          <w:tcPr>
            <w:tcW w:w="1400" w:type="dxa"/>
            <w:tcBorders>
              <w:top w:val="single" w:sz="4" w:space="0" w:color="auto"/>
              <w:left w:val="nil"/>
              <w:bottom w:val="nil"/>
              <w:right w:val="nil"/>
            </w:tcBorders>
            <w:vAlign w:val="bottom"/>
          </w:tcPr>
          <w:p w14:paraId="639776C8" w14:textId="77777777" w:rsidR="000C35AF" w:rsidRPr="00E63B6F" w:rsidRDefault="000C35AF" w:rsidP="009238AE">
            <w:pPr>
              <w:pStyle w:val="Regresjonstabell"/>
              <w:jc w:val="right"/>
              <w:rPr>
                <w:sz w:val="20"/>
                <w:szCs w:val="20"/>
              </w:rPr>
            </w:pPr>
            <w:r w:rsidRPr="00E63B6F">
              <w:rPr>
                <w:color w:val="000000"/>
                <w:sz w:val="20"/>
                <w:szCs w:val="20"/>
              </w:rPr>
              <w:t>-18.994</w:t>
            </w:r>
          </w:p>
        </w:tc>
        <w:tc>
          <w:tcPr>
            <w:tcW w:w="1400" w:type="dxa"/>
            <w:tcBorders>
              <w:top w:val="single" w:sz="4" w:space="0" w:color="auto"/>
              <w:left w:val="nil"/>
              <w:bottom w:val="nil"/>
              <w:right w:val="single" w:sz="4" w:space="0" w:color="auto"/>
            </w:tcBorders>
            <w:vAlign w:val="bottom"/>
          </w:tcPr>
          <w:p w14:paraId="44B4B165" w14:textId="77777777" w:rsidR="000C35AF" w:rsidRPr="00E63B6F" w:rsidRDefault="000C35AF" w:rsidP="009238AE">
            <w:pPr>
              <w:pStyle w:val="Regresjonstabell"/>
              <w:jc w:val="right"/>
              <w:rPr>
                <w:sz w:val="20"/>
                <w:szCs w:val="20"/>
              </w:rPr>
            </w:pPr>
            <w:r w:rsidRPr="00E63B6F">
              <w:rPr>
                <w:color w:val="000000"/>
                <w:sz w:val="20"/>
                <w:szCs w:val="20"/>
              </w:rPr>
              <w:t>-18.385</w:t>
            </w:r>
          </w:p>
        </w:tc>
      </w:tr>
      <w:tr w:rsidR="000C35AF" w:rsidRPr="0055149C" w14:paraId="1AA354D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30EDA48"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6BD8A883" w14:textId="77777777" w:rsidR="000C35AF" w:rsidRPr="00E63B6F" w:rsidRDefault="000C35AF" w:rsidP="009238AE">
            <w:pPr>
              <w:pStyle w:val="Regresjonstabell"/>
              <w:jc w:val="right"/>
              <w:rPr>
                <w:sz w:val="20"/>
                <w:szCs w:val="20"/>
              </w:rPr>
            </w:pPr>
            <w:r w:rsidRPr="00E63B6F">
              <w:rPr>
                <w:color w:val="000000"/>
                <w:sz w:val="20"/>
                <w:szCs w:val="20"/>
              </w:rPr>
              <w:t>(7.564)</w:t>
            </w:r>
          </w:p>
        </w:tc>
        <w:tc>
          <w:tcPr>
            <w:tcW w:w="1399" w:type="dxa"/>
            <w:tcBorders>
              <w:top w:val="nil"/>
              <w:left w:val="nil"/>
              <w:bottom w:val="nil"/>
              <w:right w:val="nil"/>
            </w:tcBorders>
            <w:vAlign w:val="center"/>
          </w:tcPr>
          <w:p w14:paraId="71C597CF" w14:textId="77777777" w:rsidR="000C35AF" w:rsidRPr="00E63B6F" w:rsidRDefault="000C35AF" w:rsidP="009238AE">
            <w:pPr>
              <w:pStyle w:val="Regresjonstabell"/>
              <w:jc w:val="right"/>
              <w:rPr>
                <w:sz w:val="20"/>
                <w:szCs w:val="20"/>
              </w:rPr>
            </w:pPr>
            <w:r w:rsidRPr="00E63B6F">
              <w:rPr>
                <w:color w:val="000000"/>
                <w:sz w:val="20"/>
                <w:szCs w:val="20"/>
              </w:rPr>
              <w:t>(7.606)</w:t>
            </w:r>
          </w:p>
        </w:tc>
        <w:tc>
          <w:tcPr>
            <w:tcW w:w="1399" w:type="dxa"/>
            <w:tcBorders>
              <w:top w:val="nil"/>
              <w:left w:val="nil"/>
              <w:bottom w:val="nil"/>
              <w:right w:val="nil"/>
            </w:tcBorders>
            <w:vAlign w:val="center"/>
          </w:tcPr>
          <w:p w14:paraId="445DD876" w14:textId="77777777" w:rsidR="000C35AF" w:rsidRPr="00E63B6F" w:rsidRDefault="000C35AF" w:rsidP="009238AE">
            <w:pPr>
              <w:pStyle w:val="Regresjonstabell"/>
              <w:jc w:val="right"/>
              <w:rPr>
                <w:sz w:val="20"/>
                <w:szCs w:val="20"/>
              </w:rPr>
            </w:pPr>
            <w:r w:rsidRPr="00E63B6F">
              <w:rPr>
                <w:color w:val="000000"/>
                <w:sz w:val="20"/>
                <w:szCs w:val="20"/>
              </w:rPr>
              <w:t>(7.685)</w:t>
            </w:r>
          </w:p>
        </w:tc>
        <w:tc>
          <w:tcPr>
            <w:tcW w:w="1399" w:type="dxa"/>
            <w:tcBorders>
              <w:top w:val="nil"/>
              <w:left w:val="nil"/>
              <w:bottom w:val="nil"/>
              <w:right w:val="nil"/>
            </w:tcBorders>
            <w:vAlign w:val="center"/>
          </w:tcPr>
          <w:p w14:paraId="5F45EEDF" w14:textId="77777777" w:rsidR="000C35AF" w:rsidRPr="00E63B6F" w:rsidRDefault="000C35AF" w:rsidP="009238AE">
            <w:pPr>
              <w:pStyle w:val="Regresjonstabell"/>
              <w:jc w:val="right"/>
              <w:rPr>
                <w:sz w:val="20"/>
                <w:szCs w:val="20"/>
              </w:rPr>
            </w:pPr>
            <w:r w:rsidRPr="00E63B6F">
              <w:rPr>
                <w:color w:val="000000"/>
                <w:sz w:val="20"/>
                <w:szCs w:val="20"/>
              </w:rPr>
              <w:t>(7.926)</w:t>
            </w:r>
          </w:p>
        </w:tc>
        <w:tc>
          <w:tcPr>
            <w:tcW w:w="1399" w:type="dxa"/>
            <w:tcBorders>
              <w:top w:val="nil"/>
              <w:left w:val="nil"/>
              <w:bottom w:val="nil"/>
              <w:right w:val="nil"/>
            </w:tcBorders>
            <w:vAlign w:val="center"/>
          </w:tcPr>
          <w:p w14:paraId="18E9D035" w14:textId="77777777" w:rsidR="000C35AF" w:rsidRPr="00E63B6F" w:rsidRDefault="000C35AF" w:rsidP="009238AE">
            <w:pPr>
              <w:pStyle w:val="Regresjonstabell"/>
              <w:jc w:val="right"/>
              <w:rPr>
                <w:sz w:val="20"/>
                <w:szCs w:val="20"/>
              </w:rPr>
            </w:pPr>
            <w:r w:rsidRPr="00E63B6F">
              <w:rPr>
                <w:color w:val="000000"/>
                <w:sz w:val="20"/>
                <w:szCs w:val="20"/>
              </w:rPr>
              <w:t>(11.658)</w:t>
            </w:r>
          </w:p>
        </w:tc>
        <w:tc>
          <w:tcPr>
            <w:tcW w:w="1399" w:type="dxa"/>
            <w:tcBorders>
              <w:top w:val="nil"/>
              <w:left w:val="nil"/>
              <w:bottom w:val="nil"/>
              <w:right w:val="nil"/>
            </w:tcBorders>
            <w:vAlign w:val="center"/>
          </w:tcPr>
          <w:p w14:paraId="5CE54A02" w14:textId="77777777" w:rsidR="000C35AF" w:rsidRPr="00E63B6F" w:rsidRDefault="000C35AF" w:rsidP="009238AE">
            <w:pPr>
              <w:pStyle w:val="Regresjonstabell"/>
              <w:jc w:val="right"/>
              <w:rPr>
                <w:sz w:val="20"/>
                <w:szCs w:val="20"/>
              </w:rPr>
            </w:pPr>
            <w:r w:rsidRPr="00E63B6F">
              <w:rPr>
                <w:color w:val="000000"/>
                <w:sz w:val="20"/>
                <w:szCs w:val="20"/>
              </w:rPr>
              <w:t>(11.666)</w:t>
            </w:r>
          </w:p>
        </w:tc>
        <w:tc>
          <w:tcPr>
            <w:tcW w:w="1400" w:type="dxa"/>
            <w:tcBorders>
              <w:top w:val="nil"/>
              <w:left w:val="nil"/>
              <w:bottom w:val="nil"/>
              <w:right w:val="nil"/>
            </w:tcBorders>
            <w:vAlign w:val="center"/>
          </w:tcPr>
          <w:p w14:paraId="635516E0" w14:textId="77777777" w:rsidR="000C35AF" w:rsidRPr="00E63B6F" w:rsidRDefault="000C35AF" w:rsidP="009238AE">
            <w:pPr>
              <w:pStyle w:val="Regresjonstabell"/>
              <w:jc w:val="right"/>
              <w:rPr>
                <w:sz w:val="20"/>
                <w:szCs w:val="20"/>
              </w:rPr>
            </w:pPr>
            <w:r w:rsidRPr="00E63B6F">
              <w:rPr>
                <w:color w:val="000000"/>
                <w:sz w:val="20"/>
                <w:szCs w:val="20"/>
              </w:rPr>
              <w:t>(11.684)</w:t>
            </w:r>
          </w:p>
        </w:tc>
        <w:tc>
          <w:tcPr>
            <w:tcW w:w="1400" w:type="dxa"/>
            <w:tcBorders>
              <w:top w:val="nil"/>
              <w:left w:val="nil"/>
              <w:bottom w:val="nil"/>
              <w:right w:val="single" w:sz="4" w:space="0" w:color="auto"/>
            </w:tcBorders>
            <w:vAlign w:val="center"/>
          </w:tcPr>
          <w:p w14:paraId="525B7BA5" w14:textId="77777777" w:rsidR="000C35AF" w:rsidRPr="00E63B6F" w:rsidRDefault="000C35AF" w:rsidP="009238AE">
            <w:pPr>
              <w:pStyle w:val="Regresjonstabell"/>
              <w:jc w:val="right"/>
              <w:rPr>
                <w:sz w:val="20"/>
                <w:szCs w:val="20"/>
              </w:rPr>
            </w:pPr>
            <w:r w:rsidRPr="00E63B6F">
              <w:rPr>
                <w:color w:val="000000"/>
                <w:sz w:val="20"/>
                <w:szCs w:val="20"/>
              </w:rPr>
              <w:t>(11.766)</w:t>
            </w:r>
          </w:p>
        </w:tc>
      </w:tr>
      <w:tr w:rsidR="000C35AF" w:rsidRPr="0055149C" w14:paraId="48145CD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6FA852A" w14:textId="77777777" w:rsidR="000C35AF" w:rsidRPr="0055149C" w:rsidRDefault="000C35AF" w:rsidP="009238AE">
            <w:pPr>
              <w:pStyle w:val="Regresjonstabell"/>
              <w:rPr>
                <w:sz w:val="20"/>
                <w:szCs w:val="20"/>
              </w:rPr>
            </w:pPr>
            <w:r w:rsidRPr="0055149C">
              <w:rPr>
                <w:color w:val="000000"/>
                <w:sz w:val="20"/>
                <w:szCs w:val="20"/>
              </w:rPr>
              <w:t>Innbyggere 23 til 66 år</w:t>
            </w:r>
          </w:p>
        </w:tc>
        <w:tc>
          <w:tcPr>
            <w:tcW w:w="1399" w:type="dxa"/>
            <w:tcBorders>
              <w:top w:val="nil"/>
              <w:left w:val="single" w:sz="4" w:space="0" w:color="auto"/>
              <w:bottom w:val="nil"/>
              <w:right w:val="nil"/>
            </w:tcBorders>
            <w:vAlign w:val="bottom"/>
          </w:tcPr>
          <w:p w14:paraId="53D3538E" w14:textId="77777777" w:rsidR="000C35AF" w:rsidRPr="00E63B6F" w:rsidRDefault="000C35AF" w:rsidP="009238AE">
            <w:pPr>
              <w:pStyle w:val="Regresjonstabell"/>
              <w:jc w:val="right"/>
              <w:rPr>
                <w:sz w:val="20"/>
                <w:szCs w:val="20"/>
              </w:rPr>
            </w:pPr>
            <w:r w:rsidRPr="00E63B6F">
              <w:rPr>
                <w:color w:val="000000"/>
                <w:sz w:val="20"/>
                <w:szCs w:val="20"/>
              </w:rPr>
              <w:t>-4.833</w:t>
            </w:r>
          </w:p>
        </w:tc>
        <w:tc>
          <w:tcPr>
            <w:tcW w:w="1399" w:type="dxa"/>
            <w:tcBorders>
              <w:top w:val="nil"/>
              <w:left w:val="nil"/>
              <w:bottom w:val="nil"/>
              <w:right w:val="nil"/>
            </w:tcBorders>
            <w:vAlign w:val="bottom"/>
          </w:tcPr>
          <w:p w14:paraId="6D394A5F" w14:textId="77777777" w:rsidR="000C35AF" w:rsidRPr="00E63B6F" w:rsidRDefault="000C35AF" w:rsidP="009238AE">
            <w:pPr>
              <w:pStyle w:val="Regresjonstabell"/>
              <w:jc w:val="right"/>
              <w:rPr>
                <w:sz w:val="20"/>
                <w:szCs w:val="20"/>
              </w:rPr>
            </w:pPr>
            <w:r w:rsidRPr="00E63B6F">
              <w:rPr>
                <w:color w:val="000000"/>
                <w:sz w:val="20"/>
                <w:szCs w:val="20"/>
              </w:rPr>
              <w:t>-4.816</w:t>
            </w:r>
          </w:p>
        </w:tc>
        <w:tc>
          <w:tcPr>
            <w:tcW w:w="1399" w:type="dxa"/>
            <w:tcBorders>
              <w:top w:val="nil"/>
              <w:left w:val="nil"/>
              <w:bottom w:val="nil"/>
              <w:right w:val="nil"/>
            </w:tcBorders>
            <w:vAlign w:val="bottom"/>
          </w:tcPr>
          <w:p w14:paraId="49E70BE8" w14:textId="77777777" w:rsidR="000C35AF" w:rsidRPr="00E63B6F" w:rsidRDefault="000C35AF" w:rsidP="009238AE">
            <w:pPr>
              <w:pStyle w:val="Regresjonstabell"/>
              <w:jc w:val="right"/>
              <w:rPr>
                <w:sz w:val="20"/>
                <w:szCs w:val="20"/>
              </w:rPr>
            </w:pPr>
            <w:r w:rsidRPr="00E63B6F">
              <w:rPr>
                <w:color w:val="000000"/>
                <w:sz w:val="20"/>
                <w:szCs w:val="20"/>
              </w:rPr>
              <w:t>-4.823</w:t>
            </w:r>
          </w:p>
        </w:tc>
        <w:tc>
          <w:tcPr>
            <w:tcW w:w="1399" w:type="dxa"/>
            <w:tcBorders>
              <w:top w:val="nil"/>
              <w:left w:val="nil"/>
              <w:bottom w:val="nil"/>
              <w:right w:val="nil"/>
            </w:tcBorders>
            <w:vAlign w:val="bottom"/>
          </w:tcPr>
          <w:p w14:paraId="3FC0A49D" w14:textId="77777777" w:rsidR="000C35AF" w:rsidRPr="00E63B6F" w:rsidRDefault="000C35AF" w:rsidP="009238AE">
            <w:pPr>
              <w:pStyle w:val="Regresjonstabell"/>
              <w:jc w:val="right"/>
              <w:rPr>
                <w:sz w:val="20"/>
                <w:szCs w:val="20"/>
              </w:rPr>
            </w:pPr>
            <w:r w:rsidRPr="00E63B6F">
              <w:rPr>
                <w:color w:val="000000"/>
                <w:sz w:val="20"/>
                <w:szCs w:val="20"/>
              </w:rPr>
              <w:t>-4.813</w:t>
            </w:r>
          </w:p>
        </w:tc>
        <w:tc>
          <w:tcPr>
            <w:tcW w:w="1399" w:type="dxa"/>
            <w:tcBorders>
              <w:top w:val="nil"/>
              <w:left w:val="nil"/>
              <w:bottom w:val="nil"/>
              <w:right w:val="nil"/>
            </w:tcBorders>
            <w:vAlign w:val="bottom"/>
          </w:tcPr>
          <w:p w14:paraId="5C77F300" w14:textId="77777777" w:rsidR="000C35AF" w:rsidRPr="00E63B6F" w:rsidRDefault="000C35AF" w:rsidP="009238AE">
            <w:pPr>
              <w:pStyle w:val="Regresjonstabell"/>
              <w:jc w:val="right"/>
              <w:rPr>
                <w:sz w:val="20"/>
                <w:szCs w:val="20"/>
              </w:rPr>
            </w:pPr>
            <w:r w:rsidRPr="00E63B6F">
              <w:rPr>
                <w:color w:val="000000"/>
                <w:sz w:val="20"/>
                <w:szCs w:val="20"/>
              </w:rPr>
              <w:t>-5.209</w:t>
            </w:r>
          </w:p>
        </w:tc>
        <w:tc>
          <w:tcPr>
            <w:tcW w:w="1399" w:type="dxa"/>
            <w:tcBorders>
              <w:top w:val="nil"/>
              <w:left w:val="nil"/>
              <w:bottom w:val="nil"/>
              <w:right w:val="nil"/>
            </w:tcBorders>
            <w:vAlign w:val="bottom"/>
          </w:tcPr>
          <w:p w14:paraId="00B22A49" w14:textId="77777777" w:rsidR="000C35AF" w:rsidRPr="00E63B6F" w:rsidRDefault="000C35AF" w:rsidP="009238AE">
            <w:pPr>
              <w:pStyle w:val="Regresjonstabell"/>
              <w:jc w:val="right"/>
              <w:rPr>
                <w:sz w:val="20"/>
                <w:szCs w:val="20"/>
              </w:rPr>
            </w:pPr>
            <w:r w:rsidRPr="00E63B6F">
              <w:rPr>
                <w:color w:val="000000"/>
                <w:sz w:val="20"/>
                <w:szCs w:val="20"/>
              </w:rPr>
              <w:t>-5.250</w:t>
            </w:r>
          </w:p>
        </w:tc>
        <w:tc>
          <w:tcPr>
            <w:tcW w:w="1400" w:type="dxa"/>
            <w:tcBorders>
              <w:top w:val="nil"/>
              <w:left w:val="nil"/>
              <w:bottom w:val="nil"/>
              <w:right w:val="nil"/>
            </w:tcBorders>
            <w:vAlign w:val="bottom"/>
          </w:tcPr>
          <w:p w14:paraId="4E0CD97B" w14:textId="77777777" w:rsidR="000C35AF" w:rsidRPr="00E63B6F" w:rsidRDefault="000C35AF" w:rsidP="009238AE">
            <w:pPr>
              <w:pStyle w:val="Regresjonstabell"/>
              <w:jc w:val="right"/>
              <w:rPr>
                <w:sz w:val="20"/>
                <w:szCs w:val="20"/>
              </w:rPr>
            </w:pPr>
            <w:r w:rsidRPr="00E63B6F">
              <w:rPr>
                <w:color w:val="000000"/>
                <w:sz w:val="20"/>
                <w:szCs w:val="20"/>
              </w:rPr>
              <w:t>-5.360</w:t>
            </w:r>
          </w:p>
        </w:tc>
        <w:tc>
          <w:tcPr>
            <w:tcW w:w="1400" w:type="dxa"/>
            <w:tcBorders>
              <w:top w:val="nil"/>
              <w:left w:val="nil"/>
              <w:bottom w:val="nil"/>
              <w:right w:val="single" w:sz="4" w:space="0" w:color="auto"/>
            </w:tcBorders>
            <w:vAlign w:val="bottom"/>
          </w:tcPr>
          <w:p w14:paraId="5E002EE8" w14:textId="77777777" w:rsidR="000C35AF" w:rsidRPr="00E63B6F" w:rsidRDefault="000C35AF" w:rsidP="009238AE">
            <w:pPr>
              <w:pStyle w:val="Regresjonstabell"/>
              <w:jc w:val="right"/>
              <w:rPr>
                <w:sz w:val="20"/>
                <w:szCs w:val="20"/>
              </w:rPr>
            </w:pPr>
            <w:r w:rsidRPr="00E63B6F">
              <w:rPr>
                <w:color w:val="000000"/>
                <w:sz w:val="20"/>
                <w:szCs w:val="20"/>
              </w:rPr>
              <w:t>-5.713</w:t>
            </w:r>
          </w:p>
        </w:tc>
      </w:tr>
      <w:tr w:rsidR="000C35AF" w:rsidRPr="0055149C" w14:paraId="177F8D6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0396BEE" w14:textId="77777777" w:rsidR="000C35AF" w:rsidRPr="0055149C" w:rsidRDefault="000C35AF" w:rsidP="009238AE">
            <w:pPr>
              <w:pStyle w:val="Regresjonstabell"/>
              <w:rPr>
                <w:sz w:val="20"/>
                <w:szCs w:val="20"/>
              </w:rPr>
            </w:pPr>
            <w:r w:rsidRPr="0055149C">
              <w:rPr>
                <w:sz w:val="20"/>
                <w:szCs w:val="20"/>
              </w:rPr>
              <w:t>(Kriterium 7)</w:t>
            </w:r>
          </w:p>
        </w:tc>
        <w:tc>
          <w:tcPr>
            <w:tcW w:w="1399" w:type="dxa"/>
            <w:tcBorders>
              <w:top w:val="nil"/>
              <w:left w:val="single" w:sz="4" w:space="0" w:color="auto"/>
              <w:bottom w:val="nil"/>
              <w:right w:val="nil"/>
            </w:tcBorders>
            <w:vAlign w:val="center"/>
          </w:tcPr>
          <w:p w14:paraId="45EE7788" w14:textId="77777777" w:rsidR="000C35AF" w:rsidRPr="00E63B6F" w:rsidRDefault="000C35AF" w:rsidP="009238AE">
            <w:pPr>
              <w:pStyle w:val="Regresjonstabell"/>
              <w:jc w:val="right"/>
              <w:rPr>
                <w:sz w:val="20"/>
                <w:szCs w:val="20"/>
              </w:rPr>
            </w:pPr>
            <w:r w:rsidRPr="00E63B6F">
              <w:rPr>
                <w:color w:val="000000"/>
                <w:sz w:val="20"/>
                <w:szCs w:val="20"/>
              </w:rPr>
              <w:t>(4.237)</w:t>
            </w:r>
          </w:p>
        </w:tc>
        <w:tc>
          <w:tcPr>
            <w:tcW w:w="1399" w:type="dxa"/>
            <w:tcBorders>
              <w:top w:val="nil"/>
              <w:left w:val="nil"/>
              <w:bottom w:val="nil"/>
              <w:right w:val="nil"/>
            </w:tcBorders>
            <w:vAlign w:val="center"/>
          </w:tcPr>
          <w:p w14:paraId="686C6FB9" w14:textId="77777777" w:rsidR="000C35AF" w:rsidRPr="00E63B6F" w:rsidRDefault="000C35AF" w:rsidP="009238AE">
            <w:pPr>
              <w:pStyle w:val="Regresjonstabell"/>
              <w:jc w:val="right"/>
              <w:rPr>
                <w:sz w:val="20"/>
                <w:szCs w:val="20"/>
              </w:rPr>
            </w:pPr>
            <w:r w:rsidRPr="00E63B6F">
              <w:rPr>
                <w:color w:val="000000"/>
                <w:sz w:val="20"/>
                <w:szCs w:val="20"/>
              </w:rPr>
              <w:t>(4.232)</w:t>
            </w:r>
          </w:p>
        </w:tc>
        <w:tc>
          <w:tcPr>
            <w:tcW w:w="1399" w:type="dxa"/>
            <w:tcBorders>
              <w:top w:val="nil"/>
              <w:left w:val="nil"/>
              <w:bottom w:val="nil"/>
              <w:right w:val="nil"/>
            </w:tcBorders>
            <w:vAlign w:val="center"/>
          </w:tcPr>
          <w:p w14:paraId="23070BD0" w14:textId="77777777" w:rsidR="000C35AF" w:rsidRPr="00E63B6F" w:rsidRDefault="000C35AF" w:rsidP="009238AE">
            <w:pPr>
              <w:pStyle w:val="Regresjonstabell"/>
              <w:jc w:val="right"/>
              <w:rPr>
                <w:sz w:val="20"/>
                <w:szCs w:val="20"/>
              </w:rPr>
            </w:pPr>
            <w:r w:rsidRPr="00E63B6F">
              <w:rPr>
                <w:color w:val="000000"/>
                <w:sz w:val="20"/>
                <w:szCs w:val="20"/>
              </w:rPr>
              <w:t>(4.256)</w:t>
            </w:r>
          </w:p>
        </w:tc>
        <w:tc>
          <w:tcPr>
            <w:tcW w:w="1399" w:type="dxa"/>
            <w:tcBorders>
              <w:top w:val="nil"/>
              <w:left w:val="nil"/>
              <w:bottom w:val="nil"/>
              <w:right w:val="nil"/>
            </w:tcBorders>
            <w:vAlign w:val="center"/>
          </w:tcPr>
          <w:p w14:paraId="605CEAD9" w14:textId="77777777" w:rsidR="000C35AF" w:rsidRPr="00E63B6F" w:rsidRDefault="000C35AF" w:rsidP="009238AE">
            <w:pPr>
              <w:pStyle w:val="Regresjonstabell"/>
              <w:jc w:val="right"/>
              <w:rPr>
                <w:sz w:val="20"/>
                <w:szCs w:val="20"/>
              </w:rPr>
            </w:pPr>
            <w:r w:rsidRPr="00E63B6F">
              <w:rPr>
                <w:color w:val="000000"/>
                <w:sz w:val="20"/>
                <w:szCs w:val="20"/>
              </w:rPr>
              <w:t>(4.285)</w:t>
            </w:r>
          </w:p>
        </w:tc>
        <w:tc>
          <w:tcPr>
            <w:tcW w:w="1399" w:type="dxa"/>
            <w:tcBorders>
              <w:top w:val="nil"/>
              <w:left w:val="nil"/>
              <w:bottom w:val="nil"/>
              <w:right w:val="nil"/>
            </w:tcBorders>
            <w:vAlign w:val="center"/>
          </w:tcPr>
          <w:p w14:paraId="67AA8130" w14:textId="77777777" w:rsidR="000C35AF" w:rsidRPr="00E63B6F" w:rsidRDefault="000C35AF" w:rsidP="009238AE">
            <w:pPr>
              <w:pStyle w:val="Regresjonstabell"/>
              <w:jc w:val="right"/>
              <w:rPr>
                <w:sz w:val="20"/>
                <w:szCs w:val="20"/>
              </w:rPr>
            </w:pPr>
            <w:r w:rsidRPr="00E63B6F">
              <w:rPr>
                <w:color w:val="000000"/>
                <w:sz w:val="20"/>
                <w:szCs w:val="20"/>
              </w:rPr>
              <w:t>(4.347)</w:t>
            </w:r>
          </w:p>
        </w:tc>
        <w:tc>
          <w:tcPr>
            <w:tcW w:w="1399" w:type="dxa"/>
            <w:tcBorders>
              <w:top w:val="nil"/>
              <w:left w:val="nil"/>
              <w:bottom w:val="nil"/>
              <w:right w:val="nil"/>
            </w:tcBorders>
            <w:vAlign w:val="center"/>
          </w:tcPr>
          <w:p w14:paraId="132B0008" w14:textId="77777777" w:rsidR="000C35AF" w:rsidRPr="00E63B6F" w:rsidRDefault="000C35AF" w:rsidP="009238AE">
            <w:pPr>
              <w:pStyle w:val="Regresjonstabell"/>
              <w:jc w:val="right"/>
              <w:rPr>
                <w:sz w:val="20"/>
                <w:szCs w:val="20"/>
              </w:rPr>
            </w:pPr>
            <w:r w:rsidRPr="00E63B6F">
              <w:rPr>
                <w:color w:val="000000"/>
                <w:sz w:val="20"/>
                <w:szCs w:val="20"/>
              </w:rPr>
              <w:t>(4.352)</w:t>
            </w:r>
          </w:p>
        </w:tc>
        <w:tc>
          <w:tcPr>
            <w:tcW w:w="1400" w:type="dxa"/>
            <w:tcBorders>
              <w:top w:val="nil"/>
              <w:left w:val="nil"/>
              <w:bottom w:val="nil"/>
              <w:right w:val="nil"/>
            </w:tcBorders>
            <w:vAlign w:val="center"/>
          </w:tcPr>
          <w:p w14:paraId="73ACF477" w14:textId="77777777" w:rsidR="000C35AF" w:rsidRPr="00E63B6F" w:rsidRDefault="000C35AF" w:rsidP="009238AE">
            <w:pPr>
              <w:pStyle w:val="Regresjonstabell"/>
              <w:jc w:val="right"/>
              <w:rPr>
                <w:sz w:val="20"/>
                <w:szCs w:val="20"/>
              </w:rPr>
            </w:pPr>
            <w:r w:rsidRPr="00E63B6F">
              <w:rPr>
                <w:color w:val="000000"/>
                <w:sz w:val="20"/>
                <w:szCs w:val="20"/>
              </w:rPr>
              <w:t>(4.357)</w:t>
            </w:r>
          </w:p>
        </w:tc>
        <w:tc>
          <w:tcPr>
            <w:tcW w:w="1400" w:type="dxa"/>
            <w:tcBorders>
              <w:top w:val="nil"/>
              <w:left w:val="nil"/>
              <w:bottom w:val="nil"/>
              <w:right w:val="single" w:sz="4" w:space="0" w:color="auto"/>
            </w:tcBorders>
            <w:vAlign w:val="center"/>
          </w:tcPr>
          <w:p w14:paraId="4D2B76F6" w14:textId="77777777" w:rsidR="000C35AF" w:rsidRPr="00E63B6F" w:rsidRDefault="000C35AF" w:rsidP="009238AE">
            <w:pPr>
              <w:pStyle w:val="Regresjonstabell"/>
              <w:jc w:val="right"/>
              <w:rPr>
                <w:sz w:val="20"/>
                <w:szCs w:val="20"/>
              </w:rPr>
            </w:pPr>
            <w:r w:rsidRPr="00E63B6F">
              <w:rPr>
                <w:color w:val="000000"/>
                <w:sz w:val="20"/>
                <w:szCs w:val="20"/>
              </w:rPr>
              <w:t>(4.387)</w:t>
            </w:r>
          </w:p>
        </w:tc>
      </w:tr>
      <w:tr w:rsidR="000C35AF" w:rsidRPr="0055149C" w14:paraId="2834A3F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360F161" w14:textId="77777777" w:rsidR="000C35AF" w:rsidRPr="0055149C" w:rsidRDefault="000C35AF" w:rsidP="009238AE">
            <w:pPr>
              <w:pStyle w:val="Regresjonstabell"/>
              <w:rPr>
                <w:sz w:val="20"/>
                <w:szCs w:val="20"/>
              </w:rPr>
            </w:pPr>
            <w:r w:rsidRPr="0055149C">
              <w:rPr>
                <w:color w:val="000000"/>
                <w:sz w:val="20"/>
                <w:szCs w:val="20"/>
              </w:rPr>
              <w:t>Uføre 18 til 49 år</w:t>
            </w:r>
          </w:p>
        </w:tc>
        <w:tc>
          <w:tcPr>
            <w:tcW w:w="1399" w:type="dxa"/>
            <w:tcBorders>
              <w:top w:val="nil"/>
              <w:left w:val="single" w:sz="4" w:space="0" w:color="auto"/>
              <w:bottom w:val="nil"/>
              <w:right w:val="nil"/>
            </w:tcBorders>
            <w:vAlign w:val="bottom"/>
          </w:tcPr>
          <w:p w14:paraId="0918CFDD" w14:textId="77777777" w:rsidR="000C35AF" w:rsidRPr="00E63B6F" w:rsidRDefault="000C35AF" w:rsidP="009238AE">
            <w:pPr>
              <w:pStyle w:val="Regresjonstabell"/>
              <w:jc w:val="right"/>
              <w:rPr>
                <w:sz w:val="20"/>
                <w:szCs w:val="20"/>
              </w:rPr>
            </w:pPr>
            <w:r w:rsidRPr="00E63B6F">
              <w:rPr>
                <w:color w:val="000000"/>
                <w:sz w:val="20"/>
                <w:szCs w:val="20"/>
              </w:rPr>
              <w:t>36.679***</w:t>
            </w:r>
          </w:p>
        </w:tc>
        <w:tc>
          <w:tcPr>
            <w:tcW w:w="1399" w:type="dxa"/>
            <w:tcBorders>
              <w:top w:val="nil"/>
              <w:left w:val="nil"/>
              <w:bottom w:val="nil"/>
              <w:right w:val="nil"/>
            </w:tcBorders>
            <w:vAlign w:val="bottom"/>
          </w:tcPr>
          <w:p w14:paraId="17EAF88D" w14:textId="77777777" w:rsidR="000C35AF" w:rsidRPr="00E63B6F" w:rsidRDefault="000C35AF" w:rsidP="009238AE">
            <w:pPr>
              <w:pStyle w:val="Regresjonstabell"/>
              <w:jc w:val="right"/>
              <w:rPr>
                <w:sz w:val="20"/>
                <w:szCs w:val="20"/>
              </w:rPr>
            </w:pPr>
            <w:r w:rsidRPr="00E63B6F">
              <w:rPr>
                <w:color w:val="000000"/>
                <w:sz w:val="20"/>
                <w:szCs w:val="20"/>
              </w:rPr>
              <w:t>36.542***</w:t>
            </w:r>
          </w:p>
        </w:tc>
        <w:tc>
          <w:tcPr>
            <w:tcW w:w="1399" w:type="dxa"/>
            <w:tcBorders>
              <w:top w:val="nil"/>
              <w:left w:val="nil"/>
              <w:bottom w:val="nil"/>
              <w:right w:val="nil"/>
            </w:tcBorders>
            <w:vAlign w:val="bottom"/>
          </w:tcPr>
          <w:p w14:paraId="2C4DF398" w14:textId="77777777" w:rsidR="000C35AF" w:rsidRPr="00E63B6F" w:rsidRDefault="000C35AF" w:rsidP="009238AE">
            <w:pPr>
              <w:pStyle w:val="Regresjonstabell"/>
              <w:jc w:val="right"/>
              <w:rPr>
                <w:sz w:val="20"/>
                <w:szCs w:val="20"/>
              </w:rPr>
            </w:pPr>
            <w:r w:rsidRPr="00E63B6F">
              <w:rPr>
                <w:color w:val="000000"/>
                <w:sz w:val="20"/>
                <w:szCs w:val="20"/>
              </w:rPr>
              <w:t>36.852***</w:t>
            </w:r>
          </w:p>
        </w:tc>
        <w:tc>
          <w:tcPr>
            <w:tcW w:w="1399" w:type="dxa"/>
            <w:tcBorders>
              <w:top w:val="nil"/>
              <w:left w:val="nil"/>
              <w:bottom w:val="nil"/>
              <w:right w:val="nil"/>
            </w:tcBorders>
            <w:vAlign w:val="bottom"/>
          </w:tcPr>
          <w:p w14:paraId="4586D4CD" w14:textId="77777777" w:rsidR="000C35AF" w:rsidRPr="00E63B6F" w:rsidRDefault="000C35AF" w:rsidP="009238AE">
            <w:pPr>
              <w:pStyle w:val="Regresjonstabell"/>
              <w:jc w:val="right"/>
              <w:rPr>
                <w:sz w:val="20"/>
                <w:szCs w:val="20"/>
              </w:rPr>
            </w:pPr>
            <w:r w:rsidRPr="00E63B6F">
              <w:rPr>
                <w:color w:val="000000"/>
                <w:sz w:val="20"/>
                <w:szCs w:val="20"/>
              </w:rPr>
              <w:t>37.084***</w:t>
            </w:r>
          </w:p>
        </w:tc>
        <w:tc>
          <w:tcPr>
            <w:tcW w:w="1399" w:type="dxa"/>
            <w:tcBorders>
              <w:top w:val="nil"/>
              <w:left w:val="nil"/>
              <w:bottom w:val="nil"/>
              <w:right w:val="nil"/>
            </w:tcBorders>
            <w:vAlign w:val="bottom"/>
          </w:tcPr>
          <w:p w14:paraId="609E9A5B" w14:textId="77777777" w:rsidR="000C35AF" w:rsidRPr="00E63B6F" w:rsidRDefault="000C35AF" w:rsidP="009238AE">
            <w:pPr>
              <w:pStyle w:val="Regresjonstabell"/>
              <w:jc w:val="right"/>
              <w:rPr>
                <w:sz w:val="20"/>
                <w:szCs w:val="20"/>
              </w:rPr>
            </w:pPr>
            <w:r w:rsidRPr="00E63B6F">
              <w:rPr>
                <w:color w:val="000000"/>
                <w:sz w:val="20"/>
                <w:szCs w:val="20"/>
              </w:rPr>
              <w:t>27.172***</w:t>
            </w:r>
          </w:p>
        </w:tc>
        <w:tc>
          <w:tcPr>
            <w:tcW w:w="1399" w:type="dxa"/>
            <w:tcBorders>
              <w:top w:val="nil"/>
              <w:left w:val="nil"/>
              <w:bottom w:val="nil"/>
              <w:right w:val="nil"/>
            </w:tcBorders>
            <w:vAlign w:val="bottom"/>
          </w:tcPr>
          <w:p w14:paraId="3F9485C0" w14:textId="77777777" w:rsidR="000C35AF" w:rsidRPr="00E63B6F" w:rsidRDefault="000C35AF" w:rsidP="009238AE">
            <w:pPr>
              <w:pStyle w:val="Regresjonstabell"/>
              <w:jc w:val="right"/>
              <w:rPr>
                <w:sz w:val="20"/>
                <w:szCs w:val="20"/>
              </w:rPr>
            </w:pPr>
            <w:r w:rsidRPr="00E63B6F">
              <w:rPr>
                <w:color w:val="000000"/>
                <w:sz w:val="20"/>
                <w:szCs w:val="20"/>
              </w:rPr>
              <w:t>27.105**</w:t>
            </w:r>
          </w:p>
        </w:tc>
        <w:tc>
          <w:tcPr>
            <w:tcW w:w="1400" w:type="dxa"/>
            <w:tcBorders>
              <w:top w:val="nil"/>
              <w:left w:val="nil"/>
              <w:bottom w:val="nil"/>
              <w:right w:val="nil"/>
            </w:tcBorders>
            <w:vAlign w:val="bottom"/>
          </w:tcPr>
          <w:p w14:paraId="3FDBF7C8" w14:textId="77777777" w:rsidR="000C35AF" w:rsidRPr="00E63B6F" w:rsidRDefault="000C35AF" w:rsidP="009238AE">
            <w:pPr>
              <w:pStyle w:val="Regresjonstabell"/>
              <w:jc w:val="right"/>
              <w:rPr>
                <w:sz w:val="20"/>
                <w:szCs w:val="20"/>
              </w:rPr>
            </w:pPr>
            <w:r w:rsidRPr="00E63B6F">
              <w:rPr>
                <w:color w:val="000000"/>
                <w:sz w:val="20"/>
                <w:szCs w:val="20"/>
              </w:rPr>
              <w:t>27.311***</w:t>
            </w:r>
          </w:p>
        </w:tc>
        <w:tc>
          <w:tcPr>
            <w:tcW w:w="1400" w:type="dxa"/>
            <w:tcBorders>
              <w:top w:val="nil"/>
              <w:left w:val="nil"/>
              <w:bottom w:val="nil"/>
              <w:right w:val="single" w:sz="4" w:space="0" w:color="auto"/>
            </w:tcBorders>
            <w:vAlign w:val="bottom"/>
          </w:tcPr>
          <w:p w14:paraId="74BD961C" w14:textId="77777777" w:rsidR="000C35AF" w:rsidRPr="00E63B6F" w:rsidRDefault="000C35AF" w:rsidP="009238AE">
            <w:pPr>
              <w:pStyle w:val="Regresjonstabell"/>
              <w:jc w:val="right"/>
              <w:rPr>
                <w:sz w:val="20"/>
                <w:szCs w:val="20"/>
              </w:rPr>
            </w:pPr>
            <w:r w:rsidRPr="00E63B6F">
              <w:rPr>
                <w:color w:val="000000"/>
                <w:sz w:val="20"/>
                <w:szCs w:val="20"/>
              </w:rPr>
              <w:t>27.634***</w:t>
            </w:r>
          </w:p>
        </w:tc>
      </w:tr>
      <w:tr w:rsidR="000C35AF" w:rsidRPr="0055149C" w14:paraId="0379D5C8" w14:textId="77777777" w:rsidTr="009238AE">
        <w:trPr>
          <w:trHeight w:val="14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0681FA18" w14:textId="77777777" w:rsidR="000C35AF" w:rsidRPr="0055149C" w:rsidRDefault="000C35AF" w:rsidP="009238AE">
            <w:pPr>
              <w:pStyle w:val="Regresjonstabell"/>
              <w:rPr>
                <w:sz w:val="20"/>
                <w:szCs w:val="20"/>
              </w:rPr>
            </w:pPr>
            <w:r w:rsidRPr="0055149C">
              <w:rPr>
                <w:sz w:val="20"/>
                <w:szCs w:val="20"/>
              </w:rPr>
              <w:t>(Kriterium 21)</w:t>
            </w:r>
          </w:p>
        </w:tc>
        <w:tc>
          <w:tcPr>
            <w:tcW w:w="1399" w:type="dxa"/>
            <w:tcBorders>
              <w:top w:val="nil"/>
              <w:left w:val="single" w:sz="4" w:space="0" w:color="auto"/>
              <w:bottom w:val="nil"/>
              <w:right w:val="nil"/>
            </w:tcBorders>
            <w:vAlign w:val="center"/>
          </w:tcPr>
          <w:p w14:paraId="43641E45" w14:textId="77777777" w:rsidR="000C35AF" w:rsidRPr="00E63B6F" w:rsidRDefault="000C35AF" w:rsidP="009238AE">
            <w:pPr>
              <w:pStyle w:val="Regresjonstabell"/>
              <w:jc w:val="right"/>
              <w:rPr>
                <w:sz w:val="20"/>
                <w:szCs w:val="20"/>
              </w:rPr>
            </w:pPr>
            <w:r w:rsidRPr="00E63B6F">
              <w:rPr>
                <w:color w:val="000000"/>
                <w:sz w:val="20"/>
                <w:szCs w:val="20"/>
              </w:rPr>
              <w:t>(10.150)</w:t>
            </w:r>
          </w:p>
        </w:tc>
        <w:tc>
          <w:tcPr>
            <w:tcW w:w="1399" w:type="dxa"/>
            <w:tcBorders>
              <w:top w:val="nil"/>
              <w:left w:val="nil"/>
              <w:bottom w:val="nil"/>
              <w:right w:val="nil"/>
            </w:tcBorders>
            <w:vAlign w:val="center"/>
          </w:tcPr>
          <w:p w14:paraId="72EA15B4" w14:textId="77777777" w:rsidR="000C35AF" w:rsidRPr="00E63B6F" w:rsidRDefault="000C35AF" w:rsidP="009238AE">
            <w:pPr>
              <w:pStyle w:val="Regresjonstabell"/>
              <w:jc w:val="right"/>
              <w:rPr>
                <w:sz w:val="20"/>
                <w:szCs w:val="20"/>
              </w:rPr>
            </w:pPr>
            <w:r w:rsidRPr="00E63B6F">
              <w:rPr>
                <w:color w:val="000000"/>
                <w:sz w:val="20"/>
                <w:szCs w:val="20"/>
              </w:rPr>
              <w:t>(10.234)</w:t>
            </w:r>
          </w:p>
        </w:tc>
        <w:tc>
          <w:tcPr>
            <w:tcW w:w="1399" w:type="dxa"/>
            <w:tcBorders>
              <w:top w:val="nil"/>
              <w:left w:val="nil"/>
              <w:bottom w:val="nil"/>
              <w:right w:val="nil"/>
            </w:tcBorders>
            <w:vAlign w:val="center"/>
          </w:tcPr>
          <w:p w14:paraId="194F9606" w14:textId="77777777" w:rsidR="000C35AF" w:rsidRPr="00E63B6F" w:rsidRDefault="000C35AF" w:rsidP="009238AE">
            <w:pPr>
              <w:pStyle w:val="Regresjonstabell"/>
              <w:jc w:val="right"/>
              <w:rPr>
                <w:sz w:val="20"/>
                <w:szCs w:val="20"/>
              </w:rPr>
            </w:pPr>
            <w:r w:rsidRPr="00E63B6F">
              <w:rPr>
                <w:color w:val="000000"/>
                <w:sz w:val="20"/>
                <w:szCs w:val="20"/>
              </w:rPr>
              <w:t>(10.220)</w:t>
            </w:r>
          </w:p>
        </w:tc>
        <w:tc>
          <w:tcPr>
            <w:tcW w:w="1399" w:type="dxa"/>
            <w:tcBorders>
              <w:top w:val="nil"/>
              <w:left w:val="nil"/>
              <w:bottom w:val="nil"/>
              <w:right w:val="nil"/>
            </w:tcBorders>
            <w:vAlign w:val="center"/>
          </w:tcPr>
          <w:p w14:paraId="1D3B32EF" w14:textId="77777777" w:rsidR="000C35AF" w:rsidRPr="00E63B6F" w:rsidRDefault="000C35AF" w:rsidP="009238AE">
            <w:pPr>
              <w:pStyle w:val="Regresjonstabell"/>
              <w:jc w:val="right"/>
              <w:rPr>
                <w:sz w:val="20"/>
                <w:szCs w:val="20"/>
              </w:rPr>
            </w:pPr>
            <w:r w:rsidRPr="00E63B6F">
              <w:rPr>
                <w:color w:val="000000"/>
                <w:sz w:val="20"/>
                <w:szCs w:val="20"/>
              </w:rPr>
              <w:t>(10.330)</w:t>
            </w:r>
          </w:p>
        </w:tc>
        <w:tc>
          <w:tcPr>
            <w:tcW w:w="1399" w:type="dxa"/>
            <w:tcBorders>
              <w:top w:val="nil"/>
              <w:left w:val="nil"/>
              <w:bottom w:val="nil"/>
              <w:right w:val="nil"/>
            </w:tcBorders>
            <w:vAlign w:val="center"/>
          </w:tcPr>
          <w:p w14:paraId="031DAAA2" w14:textId="77777777" w:rsidR="000C35AF" w:rsidRPr="00E63B6F" w:rsidRDefault="000C35AF" w:rsidP="009238AE">
            <w:pPr>
              <w:pStyle w:val="Regresjonstabell"/>
              <w:jc w:val="right"/>
              <w:rPr>
                <w:sz w:val="20"/>
                <w:szCs w:val="20"/>
              </w:rPr>
            </w:pPr>
            <w:r w:rsidRPr="00E63B6F">
              <w:rPr>
                <w:color w:val="000000"/>
                <w:sz w:val="20"/>
                <w:szCs w:val="20"/>
              </w:rPr>
              <w:t>(10.463)</w:t>
            </w:r>
          </w:p>
        </w:tc>
        <w:tc>
          <w:tcPr>
            <w:tcW w:w="1399" w:type="dxa"/>
            <w:tcBorders>
              <w:top w:val="nil"/>
              <w:left w:val="nil"/>
              <w:bottom w:val="nil"/>
              <w:right w:val="nil"/>
            </w:tcBorders>
            <w:vAlign w:val="center"/>
          </w:tcPr>
          <w:p w14:paraId="2427B7FC" w14:textId="77777777" w:rsidR="000C35AF" w:rsidRPr="00E63B6F" w:rsidRDefault="000C35AF" w:rsidP="009238AE">
            <w:pPr>
              <w:pStyle w:val="Regresjonstabell"/>
              <w:jc w:val="right"/>
              <w:rPr>
                <w:sz w:val="20"/>
                <w:szCs w:val="20"/>
              </w:rPr>
            </w:pPr>
            <w:r w:rsidRPr="00E63B6F">
              <w:rPr>
                <w:color w:val="000000"/>
                <w:sz w:val="20"/>
                <w:szCs w:val="20"/>
              </w:rPr>
              <w:t>(10.489)</w:t>
            </w:r>
          </w:p>
        </w:tc>
        <w:tc>
          <w:tcPr>
            <w:tcW w:w="1400" w:type="dxa"/>
            <w:tcBorders>
              <w:top w:val="nil"/>
              <w:left w:val="nil"/>
              <w:bottom w:val="nil"/>
              <w:right w:val="nil"/>
            </w:tcBorders>
            <w:vAlign w:val="center"/>
          </w:tcPr>
          <w:p w14:paraId="22C9FBB1" w14:textId="77777777" w:rsidR="000C35AF" w:rsidRPr="00E63B6F" w:rsidRDefault="000C35AF" w:rsidP="009238AE">
            <w:pPr>
              <w:pStyle w:val="Regresjonstabell"/>
              <w:jc w:val="right"/>
              <w:rPr>
                <w:sz w:val="20"/>
                <w:szCs w:val="20"/>
              </w:rPr>
            </w:pPr>
            <w:r w:rsidRPr="00E63B6F">
              <w:rPr>
                <w:color w:val="000000"/>
                <w:sz w:val="20"/>
                <w:szCs w:val="20"/>
              </w:rPr>
              <w:t>(10.491)</w:t>
            </w:r>
          </w:p>
        </w:tc>
        <w:tc>
          <w:tcPr>
            <w:tcW w:w="1400" w:type="dxa"/>
            <w:tcBorders>
              <w:top w:val="nil"/>
              <w:left w:val="nil"/>
              <w:bottom w:val="nil"/>
              <w:right w:val="single" w:sz="4" w:space="0" w:color="auto"/>
            </w:tcBorders>
            <w:vAlign w:val="center"/>
          </w:tcPr>
          <w:p w14:paraId="39C9882C" w14:textId="77777777" w:rsidR="000C35AF" w:rsidRPr="00E63B6F" w:rsidRDefault="000C35AF" w:rsidP="009238AE">
            <w:pPr>
              <w:pStyle w:val="Regresjonstabell"/>
              <w:jc w:val="right"/>
              <w:rPr>
                <w:sz w:val="20"/>
                <w:szCs w:val="20"/>
              </w:rPr>
            </w:pPr>
            <w:r w:rsidRPr="00E63B6F">
              <w:rPr>
                <w:color w:val="000000"/>
                <w:sz w:val="20"/>
                <w:szCs w:val="20"/>
              </w:rPr>
              <w:t>(10.579)</w:t>
            </w:r>
          </w:p>
        </w:tc>
      </w:tr>
      <w:tr w:rsidR="000C35AF" w:rsidRPr="0055149C" w14:paraId="23E3D1F9"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740B0C4E" w14:textId="77777777" w:rsidR="000C35AF" w:rsidRPr="0055149C" w:rsidRDefault="000C35AF" w:rsidP="009238AE">
            <w:pPr>
              <w:pStyle w:val="Regresjonstabell"/>
              <w:rPr>
                <w:sz w:val="20"/>
                <w:szCs w:val="20"/>
              </w:rPr>
            </w:pPr>
            <w:r w:rsidRPr="0055149C">
              <w:rPr>
                <w:color w:val="000000"/>
                <w:sz w:val="20"/>
                <w:szCs w:val="20"/>
              </w:rPr>
              <w:t>Flykninger</w:t>
            </w:r>
          </w:p>
        </w:tc>
        <w:tc>
          <w:tcPr>
            <w:tcW w:w="1399" w:type="dxa"/>
            <w:tcBorders>
              <w:top w:val="nil"/>
              <w:left w:val="single" w:sz="4" w:space="0" w:color="auto"/>
              <w:bottom w:val="nil"/>
              <w:right w:val="nil"/>
            </w:tcBorders>
            <w:vAlign w:val="bottom"/>
          </w:tcPr>
          <w:p w14:paraId="66E40472" w14:textId="77777777" w:rsidR="000C35AF" w:rsidRPr="00E63B6F" w:rsidRDefault="000C35AF" w:rsidP="009238AE">
            <w:pPr>
              <w:pStyle w:val="Regresjonstabell"/>
              <w:jc w:val="right"/>
              <w:rPr>
                <w:sz w:val="20"/>
                <w:szCs w:val="20"/>
              </w:rPr>
            </w:pPr>
            <w:r w:rsidRPr="00E63B6F">
              <w:rPr>
                <w:color w:val="000000"/>
                <w:sz w:val="20"/>
                <w:szCs w:val="20"/>
              </w:rPr>
              <w:t>29.861***</w:t>
            </w:r>
          </w:p>
        </w:tc>
        <w:tc>
          <w:tcPr>
            <w:tcW w:w="1399" w:type="dxa"/>
            <w:tcBorders>
              <w:top w:val="nil"/>
              <w:left w:val="nil"/>
              <w:bottom w:val="nil"/>
              <w:right w:val="nil"/>
            </w:tcBorders>
            <w:vAlign w:val="bottom"/>
          </w:tcPr>
          <w:p w14:paraId="548B69D9" w14:textId="77777777" w:rsidR="000C35AF" w:rsidRPr="00E63B6F" w:rsidRDefault="000C35AF" w:rsidP="009238AE">
            <w:pPr>
              <w:pStyle w:val="Regresjonstabell"/>
              <w:jc w:val="right"/>
              <w:rPr>
                <w:sz w:val="20"/>
                <w:szCs w:val="20"/>
              </w:rPr>
            </w:pPr>
            <w:r w:rsidRPr="00E63B6F">
              <w:rPr>
                <w:color w:val="000000"/>
                <w:sz w:val="20"/>
                <w:szCs w:val="20"/>
              </w:rPr>
              <w:t>29.965***</w:t>
            </w:r>
          </w:p>
        </w:tc>
        <w:tc>
          <w:tcPr>
            <w:tcW w:w="1399" w:type="dxa"/>
            <w:tcBorders>
              <w:top w:val="nil"/>
              <w:left w:val="nil"/>
              <w:bottom w:val="nil"/>
              <w:right w:val="nil"/>
            </w:tcBorders>
            <w:vAlign w:val="bottom"/>
          </w:tcPr>
          <w:p w14:paraId="03687AE9" w14:textId="77777777" w:rsidR="000C35AF" w:rsidRPr="00E63B6F" w:rsidRDefault="000C35AF" w:rsidP="009238AE">
            <w:pPr>
              <w:pStyle w:val="Regresjonstabell"/>
              <w:jc w:val="right"/>
              <w:rPr>
                <w:sz w:val="20"/>
                <w:szCs w:val="20"/>
              </w:rPr>
            </w:pPr>
            <w:r w:rsidRPr="00E63B6F">
              <w:rPr>
                <w:color w:val="000000"/>
                <w:sz w:val="20"/>
                <w:szCs w:val="20"/>
              </w:rPr>
              <w:t>29.793***</w:t>
            </w:r>
          </w:p>
        </w:tc>
        <w:tc>
          <w:tcPr>
            <w:tcW w:w="1399" w:type="dxa"/>
            <w:tcBorders>
              <w:top w:val="nil"/>
              <w:left w:val="nil"/>
              <w:bottom w:val="nil"/>
              <w:right w:val="nil"/>
            </w:tcBorders>
            <w:vAlign w:val="bottom"/>
          </w:tcPr>
          <w:p w14:paraId="5A3FDE49" w14:textId="77777777" w:rsidR="000C35AF" w:rsidRPr="00E63B6F" w:rsidRDefault="000C35AF" w:rsidP="009238AE">
            <w:pPr>
              <w:pStyle w:val="Regresjonstabell"/>
              <w:jc w:val="right"/>
              <w:rPr>
                <w:sz w:val="20"/>
                <w:szCs w:val="20"/>
              </w:rPr>
            </w:pPr>
            <w:r w:rsidRPr="00E63B6F">
              <w:rPr>
                <w:color w:val="000000"/>
                <w:sz w:val="20"/>
                <w:szCs w:val="20"/>
              </w:rPr>
              <w:t>29.696***</w:t>
            </w:r>
          </w:p>
        </w:tc>
        <w:tc>
          <w:tcPr>
            <w:tcW w:w="1399" w:type="dxa"/>
            <w:tcBorders>
              <w:top w:val="nil"/>
              <w:left w:val="nil"/>
              <w:bottom w:val="nil"/>
              <w:right w:val="nil"/>
            </w:tcBorders>
            <w:vAlign w:val="bottom"/>
          </w:tcPr>
          <w:p w14:paraId="5F3F85B6" w14:textId="77777777" w:rsidR="000C35AF" w:rsidRPr="00E63B6F" w:rsidRDefault="000C35AF" w:rsidP="009238AE">
            <w:pPr>
              <w:pStyle w:val="Regresjonstabell"/>
              <w:jc w:val="right"/>
              <w:rPr>
                <w:sz w:val="20"/>
                <w:szCs w:val="20"/>
              </w:rPr>
            </w:pPr>
            <w:r w:rsidRPr="00E63B6F">
              <w:rPr>
                <w:color w:val="000000"/>
                <w:sz w:val="20"/>
                <w:szCs w:val="20"/>
              </w:rPr>
              <w:t>42.845***</w:t>
            </w:r>
          </w:p>
        </w:tc>
        <w:tc>
          <w:tcPr>
            <w:tcW w:w="1399" w:type="dxa"/>
            <w:tcBorders>
              <w:top w:val="nil"/>
              <w:left w:val="nil"/>
              <w:bottom w:val="nil"/>
              <w:right w:val="nil"/>
            </w:tcBorders>
            <w:vAlign w:val="bottom"/>
          </w:tcPr>
          <w:p w14:paraId="22F9863D" w14:textId="77777777" w:rsidR="000C35AF" w:rsidRPr="00E63B6F" w:rsidRDefault="000C35AF" w:rsidP="009238AE">
            <w:pPr>
              <w:pStyle w:val="Regresjonstabell"/>
              <w:jc w:val="right"/>
              <w:rPr>
                <w:sz w:val="20"/>
                <w:szCs w:val="20"/>
              </w:rPr>
            </w:pPr>
            <w:r w:rsidRPr="00E63B6F">
              <w:rPr>
                <w:color w:val="000000"/>
                <w:sz w:val="20"/>
                <w:szCs w:val="20"/>
              </w:rPr>
              <w:t>43.026***</w:t>
            </w:r>
          </w:p>
        </w:tc>
        <w:tc>
          <w:tcPr>
            <w:tcW w:w="1400" w:type="dxa"/>
            <w:tcBorders>
              <w:top w:val="nil"/>
              <w:left w:val="nil"/>
              <w:bottom w:val="nil"/>
              <w:right w:val="nil"/>
            </w:tcBorders>
            <w:vAlign w:val="bottom"/>
          </w:tcPr>
          <w:p w14:paraId="599F93F2" w14:textId="77777777" w:rsidR="000C35AF" w:rsidRPr="00E63B6F" w:rsidRDefault="000C35AF" w:rsidP="009238AE">
            <w:pPr>
              <w:pStyle w:val="Regresjonstabell"/>
              <w:jc w:val="right"/>
              <w:rPr>
                <w:sz w:val="20"/>
                <w:szCs w:val="20"/>
              </w:rPr>
            </w:pPr>
            <w:r w:rsidRPr="00E63B6F">
              <w:rPr>
                <w:color w:val="000000"/>
                <w:sz w:val="20"/>
                <w:szCs w:val="20"/>
              </w:rPr>
              <w:t>42.894***</w:t>
            </w:r>
          </w:p>
        </w:tc>
        <w:tc>
          <w:tcPr>
            <w:tcW w:w="1400" w:type="dxa"/>
            <w:tcBorders>
              <w:top w:val="nil"/>
              <w:left w:val="nil"/>
              <w:bottom w:val="nil"/>
              <w:right w:val="single" w:sz="4" w:space="0" w:color="auto"/>
            </w:tcBorders>
            <w:vAlign w:val="bottom"/>
          </w:tcPr>
          <w:p w14:paraId="59FB972F" w14:textId="77777777" w:rsidR="000C35AF" w:rsidRPr="00E63B6F" w:rsidRDefault="000C35AF" w:rsidP="009238AE">
            <w:pPr>
              <w:pStyle w:val="Regresjonstabell"/>
              <w:jc w:val="right"/>
              <w:rPr>
                <w:sz w:val="20"/>
                <w:szCs w:val="20"/>
              </w:rPr>
            </w:pPr>
            <w:r w:rsidRPr="00E63B6F">
              <w:rPr>
                <w:color w:val="000000"/>
                <w:sz w:val="20"/>
                <w:szCs w:val="20"/>
              </w:rPr>
              <w:t>43.013***</w:t>
            </w:r>
          </w:p>
        </w:tc>
      </w:tr>
      <w:tr w:rsidR="000C35AF" w:rsidRPr="0055149C" w14:paraId="7A9E442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5FB0682" w14:textId="77777777" w:rsidR="000C35AF" w:rsidRPr="0055149C" w:rsidRDefault="000C35AF" w:rsidP="009238AE">
            <w:pPr>
              <w:pStyle w:val="Regresjonstabell"/>
              <w:rPr>
                <w:sz w:val="20"/>
                <w:szCs w:val="20"/>
              </w:rPr>
            </w:pPr>
            <w:r w:rsidRPr="0055149C">
              <w:rPr>
                <w:sz w:val="20"/>
                <w:szCs w:val="20"/>
              </w:rPr>
              <w:t>(Kriterium 22)</w:t>
            </w:r>
          </w:p>
        </w:tc>
        <w:tc>
          <w:tcPr>
            <w:tcW w:w="1399" w:type="dxa"/>
            <w:tcBorders>
              <w:top w:val="nil"/>
              <w:left w:val="single" w:sz="4" w:space="0" w:color="auto"/>
              <w:bottom w:val="nil"/>
              <w:right w:val="nil"/>
            </w:tcBorders>
            <w:vAlign w:val="center"/>
          </w:tcPr>
          <w:p w14:paraId="3A35AD40" w14:textId="77777777" w:rsidR="000C35AF" w:rsidRPr="00E63B6F" w:rsidRDefault="000C35AF" w:rsidP="009238AE">
            <w:pPr>
              <w:pStyle w:val="Regresjonstabell"/>
              <w:jc w:val="right"/>
              <w:rPr>
                <w:sz w:val="20"/>
                <w:szCs w:val="20"/>
              </w:rPr>
            </w:pPr>
            <w:r w:rsidRPr="00E63B6F">
              <w:rPr>
                <w:color w:val="000000"/>
                <w:sz w:val="20"/>
                <w:szCs w:val="20"/>
              </w:rPr>
              <w:t>(6.738)</w:t>
            </w:r>
          </w:p>
        </w:tc>
        <w:tc>
          <w:tcPr>
            <w:tcW w:w="1399" w:type="dxa"/>
            <w:tcBorders>
              <w:top w:val="nil"/>
              <w:left w:val="nil"/>
              <w:bottom w:val="nil"/>
              <w:right w:val="nil"/>
            </w:tcBorders>
            <w:vAlign w:val="center"/>
          </w:tcPr>
          <w:p w14:paraId="38444C30" w14:textId="77777777" w:rsidR="000C35AF" w:rsidRPr="00E63B6F" w:rsidRDefault="000C35AF" w:rsidP="009238AE">
            <w:pPr>
              <w:pStyle w:val="Regresjonstabell"/>
              <w:jc w:val="right"/>
              <w:rPr>
                <w:sz w:val="20"/>
                <w:szCs w:val="20"/>
              </w:rPr>
            </w:pPr>
            <w:r w:rsidRPr="00E63B6F">
              <w:rPr>
                <w:color w:val="000000"/>
                <w:sz w:val="20"/>
                <w:szCs w:val="20"/>
              </w:rPr>
              <w:t>(6.779)</w:t>
            </w:r>
          </w:p>
        </w:tc>
        <w:tc>
          <w:tcPr>
            <w:tcW w:w="1399" w:type="dxa"/>
            <w:tcBorders>
              <w:top w:val="nil"/>
              <w:left w:val="nil"/>
              <w:bottom w:val="nil"/>
              <w:right w:val="nil"/>
            </w:tcBorders>
            <w:vAlign w:val="center"/>
          </w:tcPr>
          <w:p w14:paraId="2F2BA268" w14:textId="77777777" w:rsidR="000C35AF" w:rsidRPr="00E63B6F" w:rsidRDefault="000C35AF" w:rsidP="009238AE">
            <w:pPr>
              <w:pStyle w:val="Regresjonstabell"/>
              <w:jc w:val="right"/>
              <w:rPr>
                <w:sz w:val="20"/>
                <w:szCs w:val="20"/>
              </w:rPr>
            </w:pPr>
            <w:r w:rsidRPr="00E63B6F">
              <w:rPr>
                <w:color w:val="000000"/>
                <w:sz w:val="20"/>
                <w:szCs w:val="20"/>
              </w:rPr>
              <w:t>(6.779)</w:t>
            </w:r>
          </w:p>
        </w:tc>
        <w:tc>
          <w:tcPr>
            <w:tcW w:w="1399" w:type="dxa"/>
            <w:tcBorders>
              <w:top w:val="nil"/>
              <w:left w:val="nil"/>
              <w:bottom w:val="nil"/>
              <w:right w:val="nil"/>
            </w:tcBorders>
            <w:vAlign w:val="center"/>
          </w:tcPr>
          <w:p w14:paraId="380248DF" w14:textId="77777777" w:rsidR="000C35AF" w:rsidRPr="00E63B6F" w:rsidRDefault="000C35AF" w:rsidP="009238AE">
            <w:pPr>
              <w:pStyle w:val="Regresjonstabell"/>
              <w:jc w:val="right"/>
              <w:rPr>
                <w:sz w:val="20"/>
                <w:szCs w:val="20"/>
              </w:rPr>
            </w:pPr>
            <w:r w:rsidRPr="00E63B6F">
              <w:rPr>
                <w:color w:val="000000"/>
                <w:sz w:val="20"/>
                <w:szCs w:val="20"/>
              </w:rPr>
              <w:t>(6.840)</w:t>
            </w:r>
          </w:p>
        </w:tc>
        <w:tc>
          <w:tcPr>
            <w:tcW w:w="1399" w:type="dxa"/>
            <w:tcBorders>
              <w:top w:val="nil"/>
              <w:left w:val="nil"/>
              <w:bottom w:val="nil"/>
              <w:right w:val="nil"/>
            </w:tcBorders>
            <w:vAlign w:val="center"/>
          </w:tcPr>
          <w:p w14:paraId="4AB26BBA" w14:textId="77777777" w:rsidR="000C35AF" w:rsidRPr="00E63B6F" w:rsidRDefault="000C35AF" w:rsidP="009238AE">
            <w:pPr>
              <w:pStyle w:val="Regresjonstabell"/>
              <w:jc w:val="right"/>
              <w:rPr>
                <w:sz w:val="20"/>
                <w:szCs w:val="20"/>
              </w:rPr>
            </w:pPr>
            <w:r w:rsidRPr="00E63B6F">
              <w:rPr>
                <w:color w:val="000000"/>
                <w:sz w:val="20"/>
                <w:szCs w:val="20"/>
              </w:rPr>
              <w:t>(6.822)</w:t>
            </w:r>
          </w:p>
        </w:tc>
        <w:tc>
          <w:tcPr>
            <w:tcW w:w="1399" w:type="dxa"/>
            <w:tcBorders>
              <w:top w:val="nil"/>
              <w:left w:val="nil"/>
              <w:bottom w:val="nil"/>
              <w:right w:val="nil"/>
            </w:tcBorders>
            <w:vAlign w:val="center"/>
          </w:tcPr>
          <w:p w14:paraId="39DB9ACF" w14:textId="77777777" w:rsidR="000C35AF" w:rsidRPr="00E63B6F" w:rsidRDefault="000C35AF" w:rsidP="009238AE">
            <w:pPr>
              <w:pStyle w:val="Regresjonstabell"/>
              <w:jc w:val="right"/>
              <w:rPr>
                <w:sz w:val="20"/>
                <w:szCs w:val="20"/>
              </w:rPr>
            </w:pPr>
            <w:r w:rsidRPr="00E63B6F">
              <w:rPr>
                <w:color w:val="000000"/>
                <w:sz w:val="20"/>
                <w:szCs w:val="20"/>
              </w:rPr>
              <w:t>(6.837)</w:t>
            </w:r>
          </w:p>
        </w:tc>
        <w:tc>
          <w:tcPr>
            <w:tcW w:w="1400" w:type="dxa"/>
            <w:tcBorders>
              <w:top w:val="nil"/>
              <w:left w:val="nil"/>
              <w:bottom w:val="nil"/>
              <w:right w:val="nil"/>
            </w:tcBorders>
            <w:vAlign w:val="center"/>
          </w:tcPr>
          <w:p w14:paraId="38CEC1AE" w14:textId="77777777" w:rsidR="000C35AF" w:rsidRPr="00E63B6F" w:rsidRDefault="000C35AF" w:rsidP="009238AE">
            <w:pPr>
              <w:pStyle w:val="Regresjonstabell"/>
              <w:jc w:val="right"/>
              <w:rPr>
                <w:sz w:val="20"/>
                <w:szCs w:val="20"/>
              </w:rPr>
            </w:pPr>
            <w:r w:rsidRPr="00E63B6F">
              <w:rPr>
                <w:color w:val="000000"/>
                <w:sz w:val="20"/>
                <w:szCs w:val="20"/>
              </w:rPr>
              <w:t>(6.841)</w:t>
            </w:r>
          </w:p>
        </w:tc>
        <w:tc>
          <w:tcPr>
            <w:tcW w:w="1400" w:type="dxa"/>
            <w:tcBorders>
              <w:top w:val="nil"/>
              <w:left w:val="nil"/>
              <w:bottom w:val="nil"/>
              <w:right w:val="single" w:sz="4" w:space="0" w:color="auto"/>
            </w:tcBorders>
            <w:vAlign w:val="center"/>
          </w:tcPr>
          <w:p w14:paraId="6EE8F8D0" w14:textId="77777777" w:rsidR="000C35AF" w:rsidRPr="00E63B6F" w:rsidRDefault="000C35AF" w:rsidP="009238AE">
            <w:pPr>
              <w:pStyle w:val="Regresjonstabell"/>
              <w:jc w:val="right"/>
              <w:rPr>
                <w:sz w:val="20"/>
                <w:szCs w:val="20"/>
              </w:rPr>
            </w:pPr>
            <w:r w:rsidRPr="00E63B6F">
              <w:rPr>
                <w:color w:val="000000"/>
                <w:sz w:val="20"/>
                <w:szCs w:val="20"/>
              </w:rPr>
              <w:t>(6.897)</w:t>
            </w:r>
          </w:p>
        </w:tc>
      </w:tr>
      <w:tr w:rsidR="000C35AF" w:rsidRPr="0055149C" w14:paraId="4373F22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4A8E73B" w14:textId="77777777" w:rsidR="000C35AF" w:rsidRPr="0055149C" w:rsidRDefault="000C35AF" w:rsidP="009238AE">
            <w:pPr>
              <w:pStyle w:val="Regresjonstabell"/>
              <w:rPr>
                <w:color w:val="000000"/>
                <w:sz w:val="20"/>
                <w:szCs w:val="20"/>
              </w:rPr>
            </w:pPr>
            <w:r w:rsidRPr="0055149C">
              <w:rPr>
                <w:color w:val="000000"/>
                <w:sz w:val="20"/>
                <w:szCs w:val="20"/>
              </w:rPr>
              <w:t>Opphopningsindeks</w:t>
            </w:r>
          </w:p>
        </w:tc>
        <w:tc>
          <w:tcPr>
            <w:tcW w:w="1399" w:type="dxa"/>
            <w:tcBorders>
              <w:top w:val="nil"/>
              <w:left w:val="single" w:sz="4" w:space="0" w:color="auto"/>
              <w:bottom w:val="nil"/>
              <w:right w:val="nil"/>
            </w:tcBorders>
            <w:vAlign w:val="bottom"/>
          </w:tcPr>
          <w:p w14:paraId="7EBB874A" w14:textId="77777777" w:rsidR="000C35AF" w:rsidRPr="00E63B6F" w:rsidRDefault="000C35AF" w:rsidP="009238AE">
            <w:pPr>
              <w:pStyle w:val="Regresjonstabell"/>
              <w:jc w:val="right"/>
              <w:rPr>
                <w:sz w:val="20"/>
                <w:szCs w:val="20"/>
              </w:rPr>
            </w:pPr>
            <w:r w:rsidRPr="00E63B6F">
              <w:rPr>
                <w:color w:val="000000"/>
                <w:sz w:val="20"/>
                <w:szCs w:val="20"/>
              </w:rPr>
              <w:t>13,606.752</w:t>
            </w:r>
          </w:p>
        </w:tc>
        <w:tc>
          <w:tcPr>
            <w:tcW w:w="1399" w:type="dxa"/>
            <w:tcBorders>
              <w:top w:val="nil"/>
              <w:left w:val="nil"/>
              <w:bottom w:val="nil"/>
              <w:right w:val="nil"/>
            </w:tcBorders>
            <w:vAlign w:val="bottom"/>
          </w:tcPr>
          <w:p w14:paraId="7B421F4F" w14:textId="77777777" w:rsidR="000C35AF" w:rsidRPr="00E63B6F" w:rsidRDefault="000C35AF" w:rsidP="009238AE">
            <w:pPr>
              <w:pStyle w:val="Regresjonstabell"/>
              <w:jc w:val="right"/>
              <w:rPr>
                <w:sz w:val="20"/>
                <w:szCs w:val="20"/>
              </w:rPr>
            </w:pPr>
            <w:r w:rsidRPr="00E63B6F">
              <w:rPr>
                <w:color w:val="000000"/>
                <w:sz w:val="20"/>
                <w:szCs w:val="20"/>
              </w:rPr>
              <w:t>13,520.499</w:t>
            </w:r>
          </w:p>
        </w:tc>
        <w:tc>
          <w:tcPr>
            <w:tcW w:w="1399" w:type="dxa"/>
            <w:tcBorders>
              <w:top w:val="nil"/>
              <w:left w:val="nil"/>
              <w:bottom w:val="nil"/>
              <w:right w:val="nil"/>
            </w:tcBorders>
            <w:vAlign w:val="bottom"/>
          </w:tcPr>
          <w:p w14:paraId="32B81C9A" w14:textId="77777777" w:rsidR="000C35AF" w:rsidRPr="00E63B6F" w:rsidRDefault="000C35AF" w:rsidP="009238AE">
            <w:pPr>
              <w:pStyle w:val="Regresjonstabell"/>
              <w:jc w:val="right"/>
              <w:rPr>
                <w:sz w:val="20"/>
                <w:szCs w:val="20"/>
              </w:rPr>
            </w:pPr>
            <w:r w:rsidRPr="00E63B6F">
              <w:rPr>
                <w:color w:val="000000"/>
                <w:sz w:val="20"/>
                <w:szCs w:val="20"/>
              </w:rPr>
              <w:t>13,633.360</w:t>
            </w:r>
          </w:p>
        </w:tc>
        <w:tc>
          <w:tcPr>
            <w:tcW w:w="1399" w:type="dxa"/>
            <w:tcBorders>
              <w:top w:val="nil"/>
              <w:left w:val="nil"/>
              <w:bottom w:val="nil"/>
              <w:right w:val="nil"/>
            </w:tcBorders>
            <w:vAlign w:val="bottom"/>
          </w:tcPr>
          <w:p w14:paraId="5C2E0002" w14:textId="77777777" w:rsidR="000C35AF" w:rsidRPr="00E63B6F" w:rsidRDefault="000C35AF" w:rsidP="009238AE">
            <w:pPr>
              <w:pStyle w:val="Regresjonstabell"/>
              <w:jc w:val="right"/>
              <w:rPr>
                <w:sz w:val="20"/>
                <w:szCs w:val="20"/>
              </w:rPr>
            </w:pPr>
            <w:r w:rsidRPr="00E63B6F">
              <w:rPr>
                <w:color w:val="000000"/>
                <w:sz w:val="20"/>
                <w:szCs w:val="20"/>
              </w:rPr>
              <w:t>13,671.531</w:t>
            </w:r>
          </w:p>
        </w:tc>
        <w:tc>
          <w:tcPr>
            <w:tcW w:w="1399" w:type="dxa"/>
            <w:tcBorders>
              <w:top w:val="nil"/>
              <w:left w:val="nil"/>
              <w:bottom w:val="nil"/>
              <w:right w:val="nil"/>
            </w:tcBorders>
            <w:vAlign w:val="bottom"/>
          </w:tcPr>
          <w:p w14:paraId="6BC3322D" w14:textId="77777777" w:rsidR="000C35AF" w:rsidRPr="00E63B6F" w:rsidRDefault="000C35AF" w:rsidP="009238AE">
            <w:pPr>
              <w:pStyle w:val="Regresjonstabell"/>
              <w:jc w:val="right"/>
              <w:rPr>
                <w:sz w:val="20"/>
                <w:szCs w:val="20"/>
              </w:rPr>
            </w:pPr>
            <w:r w:rsidRPr="00E63B6F">
              <w:rPr>
                <w:color w:val="000000"/>
                <w:sz w:val="20"/>
                <w:szCs w:val="20"/>
              </w:rPr>
              <w:t>-6,141.653</w:t>
            </w:r>
          </w:p>
        </w:tc>
        <w:tc>
          <w:tcPr>
            <w:tcW w:w="1399" w:type="dxa"/>
            <w:tcBorders>
              <w:top w:val="nil"/>
              <w:left w:val="nil"/>
              <w:bottom w:val="nil"/>
              <w:right w:val="nil"/>
            </w:tcBorders>
            <w:vAlign w:val="bottom"/>
          </w:tcPr>
          <w:p w14:paraId="3A68E64E" w14:textId="77777777" w:rsidR="000C35AF" w:rsidRPr="00E63B6F" w:rsidRDefault="000C35AF" w:rsidP="009238AE">
            <w:pPr>
              <w:pStyle w:val="Regresjonstabell"/>
              <w:jc w:val="right"/>
              <w:rPr>
                <w:sz w:val="20"/>
                <w:szCs w:val="20"/>
              </w:rPr>
            </w:pPr>
            <w:r w:rsidRPr="00E63B6F">
              <w:rPr>
                <w:color w:val="000000"/>
                <w:sz w:val="20"/>
                <w:szCs w:val="20"/>
              </w:rPr>
              <w:t>-6,231.794</w:t>
            </w:r>
          </w:p>
        </w:tc>
        <w:tc>
          <w:tcPr>
            <w:tcW w:w="1400" w:type="dxa"/>
            <w:tcBorders>
              <w:top w:val="nil"/>
              <w:left w:val="nil"/>
              <w:bottom w:val="nil"/>
              <w:right w:val="nil"/>
            </w:tcBorders>
            <w:vAlign w:val="bottom"/>
          </w:tcPr>
          <w:p w14:paraId="6557FED9" w14:textId="77777777" w:rsidR="000C35AF" w:rsidRPr="00E63B6F" w:rsidRDefault="000C35AF" w:rsidP="009238AE">
            <w:pPr>
              <w:pStyle w:val="Regresjonstabell"/>
              <w:jc w:val="right"/>
              <w:rPr>
                <w:sz w:val="20"/>
                <w:szCs w:val="20"/>
              </w:rPr>
            </w:pPr>
            <w:r w:rsidRPr="00E63B6F">
              <w:rPr>
                <w:color w:val="000000"/>
                <w:sz w:val="20"/>
                <w:szCs w:val="20"/>
              </w:rPr>
              <w:t>-6,094.281</w:t>
            </w:r>
          </w:p>
        </w:tc>
        <w:tc>
          <w:tcPr>
            <w:tcW w:w="1400" w:type="dxa"/>
            <w:tcBorders>
              <w:top w:val="nil"/>
              <w:left w:val="nil"/>
              <w:bottom w:val="nil"/>
              <w:right w:val="single" w:sz="4" w:space="0" w:color="auto"/>
            </w:tcBorders>
            <w:vAlign w:val="bottom"/>
          </w:tcPr>
          <w:p w14:paraId="7BD8B3BA" w14:textId="77777777" w:rsidR="000C35AF" w:rsidRPr="00E63B6F" w:rsidRDefault="000C35AF" w:rsidP="009238AE">
            <w:pPr>
              <w:pStyle w:val="Regresjonstabell"/>
              <w:jc w:val="right"/>
              <w:rPr>
                <w:sz w:val="20"/>
                <w:szCs w:val="20"/>
              </w:rPr>
            </w:pPr>
            <w:r w:rsidRPr="00E63B6F">
              <w:rPr>
                <w:color w:val="000000"/>
                <w:sz w:val="20"/>
                <w:szCs w:val="20"/>
              </w:rPr>
              <w:t>-5,985.482</w:t>
            </w:r>
          </w:p>
        </w:tc>
      </w:tr>
      <w:tr w:rsidR="000C35AF" w:rsidRPr="0055149C" w14:paraId="7369F35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21DF805" w14:textId="77777777" w:rsidR="000C35AF" w:rsidRPr="0055149C" w:rsidRDefault="000C35AF" w:rsidP="009238AE">
            <w:pPr>
              <w:pStyle w:val="Regresjonstabell"/>
              <w:rPr>
                <w:color w:val="000000"/>
                <w:sz w:val="20"/>
                <w:szCs w:val="20"/>
              </w:rPr>
            </w:pPr>
            <w:r w:rsidRPr="0055149C">
              <w:rPr>
                <w:color w:val="000000"/>
                <w:sz w:val="20"/>
                <w:szCs w:val="20"/>
              </w:rPr>
              <w:t>(Kriterium 25)</w:t>
            </w:r>
          </w:p>
        </w:tc>
        <w:tc>
          <w:tcPr>
            <w:tcW w:w="1399" w:type="dxa"/>
            <w:tcBorders>
              <w:top w:val="nil"/>
              <w:left w:val="single" w:sz="4" w:space="0" w:color="auto"/>
              <w:bottom w:val="nil"/>
              <w:right w:val="nil"/>
            </w:tcBorders>
            <w:vAlign w:val="center"/>
          </w:tcPr>
          <w:p w14:paraId="62C0AB96" w14:textId="77777777" w:rsidR="000C35AF" w:rsidRPr="00E63B6F" w:rsidRDefault="000C35AF" w:rsidP="009238AE">
            <w:pPr>
              <w:pStyle w:val="Regresjonstabell"/>
              <w:jc w:val="right"/>
              <w:rPr>
                <w:sz w:val="20"/>
                <w:szCs w:val="20"/>
              </w:rPr>
            </w:pPr>
            <w:r w:rsidRPr="00E63B6F">
              <w:rPr>
                <w:color w:val="000000"/>
                <w:sz w:val="20"/>
                <w:szCs w:val="20"/>
              </w:rPr>
              <w:t>(8,528.498)</w:t>
            </w:r>
          </w:p>
        </w:tc>
        <w:tc>
          <w:tcPr>
            <w:tcW w:w="1399" w:type="dxa"/>
            <w:tcBorders>
              <w:top w:val="nil"/>
              <w:left w:val="nil"/>
              <w:bottom w:val="nil"/>
              <w:right w:val="nil"/>
            </w:tcBorders>
            <w:vAlign w:val="center"/>
          </w:tcPr>
          <w:p w14:paraId="1483762E" w14:textId="77777777" w:rsidR="000C35AF" w:rsidRPr="00E63B6F" w:rsidRDefault="000C35AF" w:rsidP="009238AE">
            <w:pPr>
              <w:pStyle w:val="Regresjonstabell"/>
              <w:jc w:val="right"/>
              <w:rPr>
                <w:sz w:val="20"/>
                <w:szCs w:val="20"/>
              </w:rPr>
            </w:pPr>
            <w:r w:rsidRPr="00E63B6F">
              <w:rPr>
                <w:color w:val="000000"/>
                <w:sz w:val="20"/>
                <w:szCs w:val="20"/>
              </w:rPr>
              <w:t>(8,552.038)</w:t>
            </w:r>
          </w:p>
        </w:tc>
        <w:tc>
          <w:tcPr>
            <w:tcW w:w="1399" w:type="dxa"/>
            <w:tcBorders>
              <w:top w:val="nil"/>
              <w:left w:val="nil"/>
              <w:bottom w:val="nil"/>
              <w:right w:val="nil"/>
            </w:tcBorders>
            <w:vAlign w:val="center"/>
          </w:tcPr>
          <w:p w14:paraId="125990A4" w14:textId="77777777" w:rsidR="000C35AF" w:rsidRPr="00E63B6F" w:rsidRDefault="000C35AF" w:rsidP="009238AE">
            <w:pPr>
              <w:pStyle w:val="Regresjonstabell"/>
              <w:jc w:val="right"/>
              <w:rPr>
                <w:sz w:val="20"/>
                <w:szCs w:val="20"/>
              </w:rPr>
            </w:pPr>
            <w:r w:rsidRPr="00E63B6F">
              <w:rPr>
                <w:color w:val="000000"/>
                <w:sz w:val="20"/>
                <w:szCs w:val="20"/>
              </w:rPr>
              <w:t>(8,576.809)</w:t>
            </w:r>
          </w:p>
        </w:tc>
        <w:tc>
          <w:tcPr>
            <w:tcW w:w="1399" w:type="dxa"/>
            <w:tcBorders>
              <w:top w:val="nil"/>
              <w:left w:val="nil"/>
              <w:bottom w:val="nil"/>
              <w:right w:val="nil"/>
            </w:tcBorders>
            <w:vAlign w:val="center"/>
          </w:tcPr>
          <w:p w14:paraId="110E9376" w14:textId="77777777" w:rsidR="000C35AF" w:rsidRPr="00E63B6F" w:rsidRDefault="000C35AF" w:rsidP="009238AE">
            <w:pPr>
              <w:pStyle w:val="Regresjonstabell"/>
              <w:jc w:val="right"/>
              <w:rPr>
                <w:sz w:val="20"/>
                <w:szCs w:val="20"/>
              </w:rPr>
            </w:pPr>
            <w:r w:rsidRPr="00E63B6F">
              <w:rPr>
                <w:color w:val="000000"/>
                <w:sz w:val="20"/>
                <w:szCs w:val="20"/>
              </w:rPr>
              <w:t>(8,645.795)</w:t>
            </w:r>
          </w:p>
        </w:tc>
        <w:tc>
          <w:tcPr>
            <w:tcW w:w="1399" w:type="dxa"/>
            <w:tcBorders>
              <w:top w:val="nil"/>
              <w:left w:val="nil"/>
              <w:bottom w:val="nil"/>
              <w:right w:val="nil"/>
            </w:tcBorders>
            <w:vAlign w:val="center"/>
          </w:tcPr>
          <w:p w14:paraId="773BCBF6" w14:textId="77777777" w:rsidR="000C35AF" w:rsidRPr="00E63B6F" w:rsidRDefault="000C35AF" w:rsidP="009238AE">
            <w:pPr>
              <w:pStyle w:val="Regresjonstabell"/>
              <w:jc w:val="right"/>
              <w:rPr>
                <w:sz w:val="20"/>
                <w:szCs w:val="20"/>
              </w:rPr>
            </w:pPr>
            <w:r w:rsidRPr="00E63B6F">
              <w:rPr>
                <w:color w:val="000000"/>
                <w:sz w:val="20"/>
                <w:szCs w:val="20"/>
              </w:rPr>
              <w:t>(7,454.036)</w:t>
            </w:r>
          </w:p>
        </w:tc>
        <w:tc>
          <w:tcPr>
            <w:tcW w:w="1399" w:type="dxa"/>
            <w:tcBorders>
              <w:top w:val="nil"/>
              <w:left w:val="nil"/>
              <w:bottom w:val="nil"/>
              <w:right w:val="nil"/>
            </w:tcBorders>
            <w:vAlign w:val="center"/>
          </w:tcPr>
          <w:p w14:paraId="4C0CA21D" w14:textId="77777777" w:rsidR="000C35AF" w:rsidRPr="00E63B6F" w:rsidRDefault="000C35AF" w:rsidP="009238AE">
            <w:pPr>
              <w:pStyle w:val="Regresjonstabell"/>
              <w:jc w:val="right"/>
              <w:rPr>
                <w:sz w:val="20"/>
                <w:szCs w:val="20"/>
              </w:rPr>
            </w:pPr>
            <w:r w:rsidRPr="00E63B6F">
              <w:rPr>
                <w:color w:val="000000"/>
                <w:sz w:val="20"/>
                <w:szCs w:val="20"/>
              </w:rPr>
              <w:t>(7,462.399)</w:t>
            </w:r>
          </w:p>
        </w:tc>
        <w:tc>
          <w:tcPr>
            <w:tcW w:w="1400" w:type="dxa"/>
            <w:tcBorders>
              <w:top w:val="nil"/>
              <w:left w:val="nil"/>
              <w:bottom w:val="nil"/>
              <w:right w:val="nil"/>
            </w:tcBorders>
            <w:vAlign w:val="center"/>
          </w:tcPr>
          <w:p w14:paraId="1BB41538" w14:textId="77777777" w:rsidR="000C35AF" w:rsidRPr="00E63B6F" w:rsidRDefault="000C35AF" w:rsidP="009238AE">
            <w:pPr>
              <w:pStyle w:val="Regresjonstabell"/>
              <w:jc w:val="right"/>
              <w:rPr>
                <w:sz w:val="20"/>
                <w:szCs w:val="20"/>
              </w:rPr>
            </w:pPr>
            <w:r w:rsidRPr="00E63B6F">
              <w:rPr>
                <w:color w:val="000000"/>
                <w:sz w:val="20"/>
                <w:szCs w:val="20"/>
              </w:rPr>
              <w:t>(7,464.890)</w:t>
            </w:r>
          </w:p>
        </w:tc>
        <w:tc>
          <w:tcPr>
            <w:tcW w:w="1400" w:type="dxa"/>
            <w:tcBorders>
              <w:top w:val="nil"/>
              <w:left w:val="nil"/>
              <w:bottom w:val="nil"/>
              <w:right w:val="single" w:sz="4" w:space="0" w:color="auto"/>
            </w:tcBorders>
            <w:vAlign w:val="center"/>
          </w:tcPr>
          <w:p w14:paraId="669EC149" w14:textId="77777777" w:rsidR="000C35AF" w:rsidRPr="00E63B6F" w:rsidRDefault="000C35AF" w:rsidP="009238AE">
            <w:pPr>
              <w:pStyle w:val="Regresjonstabell"/>
              <w:jc w:val="right"/>
              <w:rPr>
                <w:sz w:val="20"/>
                <w:szCs w:val="20"/>
              </w:rPr>
            </w:pPr>
            <w:r w:rsidRPr="00E63B6F">
              <w:rPr>
                <w:color w:val="000000"/>
                <w:sz w:val="20"/>
                <w:szCs w:val="20"/>
              </w:rPr>
              <w:t>(7,495.405)</w:t>
            </w:r>
          </w:p>
        </w:tc>
      </w:tr>
      <w:tr w:rsidR="000C35AF" w:rsidRPr="0055149C" w14:paraId="034D505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2A97167" w14:textId="77777777" w:rsidR="000C35AF" w:rsidRPr="0055149C" w:rsidRDefault="000C35AF" w:rsidP="009238AE">
            <w:pPr>
              <w:pStyle w:val="Regresjonstabell"/>
              <w:rPr>
                <w:color w:val="000000"/>
                <w:sz w:val="20"/>
                <w:szCs w:val="20"/>
              </w:rPr>
            </w:pPr>
            <w:r w:rsidRPr="0055149C">
              <w:rPr>
                <w:color w:val="000000"/>
                <w:sz w:val="20"/>
                <w:szCs w:val="20"/>
              </w:rPr>
              <w:t>Aleneboende 30 til 66 år</w:t>
            </w:r>
          </w:p>
        </w:tc>
        <w:tc>
          <w:tcPr>
            <w:tcW w:w="1399" w:type="dxa"/>
            <w:tcBorders>
              <w:top w:val="nil"/>
              <w:left w:val="single" w:sz="4" w:space="0" w:color="auto"/>
              <w:bottom w:val="nil"/>
              <w:right w:val="nil"/>
            </w:tcBorders>
            <w:vAlign w:val="bottom"/>
          </w:tcPr>
          <w:p w14:paraId="79704EC3" w14:textId="77777777" w:rsidR="000C35AF" w:rsidRPr="00E63B6F" w:rsidRDefault="000C35AF" w:rsidP="009238AE">
            <w:pPr>
              <w:pStyle w:val="Regresjonstabell"/>
              <w:jc w:val="right"/>
              <w:rPr>
                <w:sz w:val="20"/>
                <w:szCs w:val="20"/>
              </w:rPr>
            </w:pPr>
            <w:r w:rsidRPr="00E63B6F">
              <w:rPr>
                <w:color w:val="000000"/>
                <w:sz w:val="20"/>
                <w:szCs w:val="20"/>
              </w:rPr>
              <w:t>18.719***</w:t>
            </w:r>
          </w:p>
        </w:tc>
        <w:tc>
          <w:tcPr>
            <w:tcW w:w="1399" w:type="dxa"/>
            <w:tcBorders>
              <w:top w:val="nil"/>
              <w:left w:val="nil"/>
              <w:bottom w:val="nil"/>
              <w:right w:val="nil"/>
            </w:tcBorders>
            <w:vAlign w:val="bottom"/>
          </w:tcPr>
          <w:p w14:paraId="648A8094" w14:textId="77777777" w:rsidR="000C35AF" w:rsidRPr="00E63B6F" w:rsidRDefault="000C35AF" w:rsidP="009238AE">
            <w:pPr>
              <w:pStyle w:val="Regresjonstabell"/>
              <w:jc w:val="right"/>
              <w:rPr>
                <w:sz w:val="20"/>
                <w:szCs w:val="20"/>
              </w:rPr>
            </w:pPr>
            <w:r w:rsidRPr="00E63B6F">
              <w:rPr>
                <w:color w:val="000000"/>
                <w:sz w:val="20"/>
                <w:szCs w:val="20"/>
              </w:rPr>
              <w:t>18.845***</w:t>
            </w:r>
          </w:p>
        </w:tc>
        <w:tc>
          <w:tcPr>
            <w:tcW w:w="1399" w:type="dxa"/>
            <w:tcBorders>
              <w:top w:val="nil"/>
              <w:left w:val="nil"/>
              <w:bottom w:val="nil"/>
              <w:right w:val="nil"/>
            </w:tcBorders>
            <w:vAlign w:val="bottom"/>
          </w:tcPr>
          <w:p w14:paraId="3073A3C7" w14:textId="77777777" w:rsidR="000C35AF" w:rsidRPr="00E63B6F" w:rsidRDefault="000C35AF" w:rsidP="009238AE">
            <w:pPr>
              <w:pStyle w:val="Regresjonstabell"/>
              <w:jc w:val="right"/>
              <w:rPr>
                <w:sz w:val="20"/>
                <w:szCs w:val="20"/>
              </w:rPr>
            </w:pPr>
            <w:r w:rsidRPr="00E63B6F">
              <w:rPr>
                <w:color w:val="000000"/>
                <w:sz w:val="20"/>
                <w:szCs w:val="20"/>
              </w:rPr>
              <w:t>19.010***</w:t>
            </w:r>
          </w:p>
        </w:tc>
        <w:tc>
          <w:tcPr>
            <w:tcW w:w="1399" w:type="dxa"/>
            <w:tcBorders>
              <w:top w:val="nil"/>
              <w:left w:val="nil"/>
              <w:bottom w:val="nil"/>
              <w:right w:val="nil"/>
            </w:tcBorders>
            <w:vAlign w:val="bottom"/>
          </w:tcPr>
          <w:p w14:paraId="5F5EE65A" w14:textId="77777777" w:rsidR="000C35AF" w:rsidRPr="00E63B6F" w:rsidRDefault="000C35AF" w:rsidP="009238AE">
            <w:pPr>
              <w:pStyle w:val="Regresjonstabell"/>
              <w:jc w:val="right"/>
              <w:rPr>
                <w:sz w:val="20"/>
                <w:szCs w:val="20"/>
              </w:rPr>
            </w:pPr>
            <w:r w:rsidRPr="00E63B6F">
              <w:rPr>
                <w:color w:val="000000"/>
                <w:sz w:val="20"/>
                <w:szCs w:val="20"/>
              </w:rPr>
              <w:t>19.407***</w:t>
            </w:r>
          </w:p>
        </w:tc>
        <w:tc>
          <w:tcPr>
            <w:tcW w:w="1399" w:type="dxa"/>
            <w:tcBorders>
              <w:top w:val="nil"/>
              <w:left w:val="nil"/>
              <w:bottom w:val="nil"/>
              <w:right w:val="nil"/>
            </w:tcBorders>
            <w:vAlign w:val="bottom"/>
          </w:tcPr>
          <w:p w14:paraId="56B7FB76" w14:textId="77777777" w:rsidR="000C35AF" w:rsidRPr="00E63B6F" w:rsidRDefault="000C35AF" w:rsidP="009238AE">
            <w:pPr>
              <w:pStyle w:val="Regresjonstabell"/>
              <w:jc w:val="right"/>
              <w:rPr>
                <w:sz w:val="20"/>
                <w:szCs w:val="20"/>
              </w:rPr>
            </w:pPr>
            <w:r w:rsidRPr="00E63B6F">
              <w:rPr>
                <w:color w:val="000000"/>
                <w:sz w:val="20"/>
                <w:szCs w:val="20"/>
              </w:rPr>
              <w:t>11.542*</w:t>
            </w:r>
          </w:p>
        </w:tc>
        <w:tc>
          <w:tcPr>
            <w:tcW w:w="1399" w:type="dxa"/>
            <w:tcBorders>
              <w:top w:val="nil"/>
              <w:left w:val="nil"/>
              <w:bottom w:val="nil"/>
              <w:right w:val="nil"/>
            </w:tcBorders>
            <w:vAlign w:val="bottom"/>
          </w:tcPr>
          <w:p w14:paraId="6B36C5DE" w14:textId="77777777" w:rsidR="000C35AF" w:rsidRPr="00E63B6F" w:rsidRDefault="000C35AF" w:rsidP="009238AE">
            <w:pPr>
              <w:pStyle w:val="Regresjonstabell"/>
              <w:jc w:val="right"/>
              <w:rPr>
                <w:sz w:val="20"/>
                <w:szCs w:val="20"/>
              </w:rPr>
            </w:pPr>
            <w:r w:rsidRPr="00E63B6F">
              <w:rPr>
                <w:color w:val="000000"/>
                <w:sz w:val="20"/>
                <w:szCs w:val="20"/>
              </w:rPr>
              <w:t>11.710*</w:t>
            </w:r>
          </w:p>
        </w:tc>
        <w:tc>
          <w:tcPr>
            <w:tcW w:w="1400" w:type="dxa"/>
            <w:tcBorders>
              <w:top w:val="nil"/>
              <w:left w:val="nil"/>
              <w:bottom w:val="nil"/>
              <w:right w:val="nil"/>
            </w:tcBorders>
            <w:vAlign w:val="bottom"/>
          </w:tcPr>
          <w:p w14:paraId="2F51B3FC" w14:textId="77777777" w:rsidR="000C35AF" w:rsidRPr="00E63B6F" w:rsidRDefault="000C35AF" w:rsidP="009238AE">
            <w:pPr>
              <w:pStyle w:val="Regresjonstabell"/>
              <w:jc w:val="right"/>
              <w:rPr>
                <w:sz w:val="20"/>
                <w:szCs w:val="20"/>
              </w:rPr>
            </w:pPr>
            <w:r w:rsidRPr="00E63B6F">
              <w:rPr>
                <w:color w:val="000000"/>
                <w:sz w:val="20"/>
                <w:szCs w:val="20"/>
              </w:rPr>
              <w:t>11.835*</w:t>
            </w:r>
          </w:p>
        </w:tc>
        <w:tc>
          <w:tcPr>
            <w:tcW w:w="1400" w:type="dxa"/>
            <w:tcBorders>
              <w:top w:val="nil"/>
              <w:left w:val="nil"/>
              <w:bottom w:val="nil"/>
              <w:right w:val="single" w:sz="4" w:space="0" w:color="auto"/>
            </w:tcBorders>
            <w:vAlign w:val="bottom"/>
          </w:tcPr>
          <w:p w14:paraId="6C729865" w14:textId="77777777" w:rsidR="000C35AF" w:rsidRPr="00E63B6F" w:rsidRDefault="000C35AF" w:rsidP="009238AE">
            <w:pPr>
              <w:pStyle w:val="Regresjonstabell"/>
              <w:jc w:val="right"/>
              <w:rPr>
                <w:sz w:val="20"/>
                <w:szCs w:val="20"/>
              </w:rPr>
            </w:pPr>
            <w:r w:rsidRPr="00E63B6F">
              <w:rPr>
                <w:color w:val="000000"/>
                <w:sz w:val="20"/>
                <w:szCs w:val="20"/>
              </w:rPr>
              <w:t>12.520*</w:t>
            </w:r>
          </w:p>
        </w:tc>
      </w:tr>
      <w:tr w:rsidR="000C35AF" w:rsidRPr="0055149C" w14:paraId="03D8E43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80F873F" w14:textId="77777777" w:rsidR="000C35AF" w:rsidRPr="0055149C" w:rsidRDefault="000C35AF" w:rsidP="009238AE">
            <w:pPr>
              <w:pStyle w:val="Regresjonstabell"/>
              <w:rPr>
                <w:color w:val="000000"/>
                <w:sz w:val="20"/>
                <w:szCs w:val="20"/>
              </w:rPr>
            </w:pPr>
            <w:r w:rsidRPr="0055149C">
              <w:rPr>
                <w:color w:val="000000"/>
                <w:sz w:val="20"/>
                <w:szCs w:val="20"/>
              </w:rPr>
              <w:t>(Kriterium 26)</w:t>
            </w:r>
          </w:p>
        </w:tc>
        <w:tc>
          <w:tcPr>
            <w:tcW w:w="1399" w:type="dxa"/>
            <w:tcBorders>
              <w:top w:val="nil"/>
              <w:left w:val="single" w:sz="4" w:space="0" w:color="auto"/>
              <w:bottom w:val="nil"/>
              <w:right w:val="nil"/>
            </w:tcBorders>
            <w:vAlign w:val="center"/>
          </w:tcPr>
          <w:p w14:paraId="16C468D6" w14:textId="77777777" w:rsidR="000C35AF" w:rsidRPr="00E63B6F" w:rsidRDefault="000C35AF" w:rsidP="009238AE">
            <w:pPr>
              <w:pStyle w:val="Regresjonstabell"/>
              <w:jc w:val="right"/>
              <w:rPr>
                <w:sz w:val="20"/>
                <w:szCs w:val="20"/>
              </w:rPr>
            </w:pPr>
            <w:r w:rsidRPr="00E63B6F">
              <w:rPr>
                <w:color w:val="000000"/>
                <w:sz w:val="20"/>
                <w:szCs w:val="20"/>
              </w:rPr>
              <w:t>(6.581)</w:t>
            </w:r>
          </w:p>
        </w:tc>
        <w:tc>
          <w:tcPr>
            <w:tcW w:w="1399" w:type="dxa"/>
            <w:tcBorders>
              <w:top w:val="nil"/>
              <w:left w:val="nil"/>
              <w:bottom w:val="nil"/>
              <w:right w:val="nil"/>
            </w:tcBorders>
            <w:vAlign w:val="center"/>
          </w:tcPr>
          <w:p w14:paraId="07F6A845" w14:textId="77777777" w:rsidR="000C35AF" w:rsidRPr="00E63B6F" w:rsidRDefault="000C35AF" w:rsidP="009238AE">
            <w:pPr>
              <w:pStyle w:val="Regresjonstabell"/>
              <w:jc w:val="right"/>
              <w:rPr>
                <w:sz w:val="20"/>
                <w:szCs w:val="20"/>
              </w:rPr>
            </w:pPr>
            <w:r w:rsidRPr="00E63B6F">
              <w:rPr>
                <w:color w:val="000000"/>
                <w:sz w:val="20"/>
                <w:szCs w:val="20"/>
              </w:rPr>
              <w:t>(6.632)</w:t>
            </w:r>
          </w:p>
        </w:tc>
        <w:tc>
          <w:tcPr>
            <w:tcW w:w="1399" w:type="dxa"/>
            <w:tcBorders>
              <w:top w:val="nil"/>
              <w:left w:val="nil"/>
              <w:bottom w:val="nil"/>
              <w:right w:val="nil"/>
            </w:tcBorders>
            <w:vAlign w:val="center"/>
          </w:tcPr>
          <w:p w14:paraId="1CA22055" w14:textId="77777777" w:rsidR="000C35AF" w:rsidRPr="00E63B6F" w:rsidRDefault="000C35AF" w:rsidP="009238AE">
            <w:pPr>
              <w:pStyle w:val="Regresjonstabell"/>
              <w:jc w:val="right"/>
              <w:rPr>
                <w:sz w:val="20"/>
                <w:szCs w:val="20"/>
              </w:rPr>
            </w:pPr>
            <w:r w:rsidRPr="00E63B6F">
              <w:rPr>
                <w:color w:val="000000"/>
                <w:sz w:val="20"/>
                <w:szCs w:val="20"/>
              </w:rPr>
              <w:t>(6.612)</w:t>
            </w:r>
          </w:p>
        </w:tc>
        <w:tc>
          <w:tcPr>
            <w:tcW w:w="1399" w:type="dxa"/>
            <w:tcBorders>
              <w:top w:val="nil"/>
              <w:left w:val="nil"/>
              <w:bottom w:val="nil"/>
              <w:right w:val="nil"/>
            </w:tcBorders>
            <w:vAlign w:val="center"/>
          </w:tcPr>
          <w:p w14:paraId="12BF1860" w14:textId="77777777" w:rsidR="000C35AF" w:rsidRPr="00E63B6F" w:rsidRDefault="000C35AF" w:rsidP="009238AE">
            <w:pPr>
              <w:pStyle w:val="Regresjonstabell"/>
              <w:jc w:val="right"/>
              <w:rPr>
                <w:sz w:val="20"/>
                <w:szCs w:val="20"/>
              </w:rPr>
            </w:pPr>
            <w:r w:rsidRPr="00E63B6F">
              <w:rPr>
                <w:color w:val="000000"/>
                <w:sz w:val="20"/>
                <w:szCs w:val="20"/>
              </w:rPr>
              <w:t>(6.662)</w:t>
            </w:r>
          </w:p>
        </w:tc>
        <w:tc>
          <w:tcPr>
            <w:tcW w:w="1399" w:type="dxa"/>
            <w:tcBorders>
              <w:top w:val="nil"/>
              <w:left w:val="nil"/>
              <w:bottom w:val="nil"/>
              <w:right w:val="nil"/>
            </w:tcBorders>
            <w:vAlign w:val="center"/>
          </w:tcPr>
          <w:p w14:paraId="4816D6E4" w14:textId="77777777" w:rsidR="000C35AF" w:rsidRPr="00E63B6F" w:rsidRDefault="000C35AF" w:rsidP="009238AE">
            <w:pPr>
              <w:pStyle w:val="Regresjonstabell"/>
              <w:jc w:val="right"/>
              <w:rPr>
                <w:sz w:val="20"/>
                <w:szCs w:val="20"/>
              </w:rPr>
            </w:pPr>
            <w:r w:rsidRPr="00E63B6F">
              <w:rPr>
                <w:color w:val="000000"/>
                <w:sz w:val="20"/>
                <w:szCs w:val="20"/>
              </w:rPr>
              <w:t>(6.909)</w:t>
            </w:r>
          </w:p>
        </w:tc>
        <w:tc>
          <w:tcPr>
            <w:tcW w:w="1399" w:type="dxa"/>
            <w:tcBorders>
              <w:top w:val="nil"/>
              <w:left w:val="nil"/>
              <w:bottom w:val="nil"/>
              <w:right w:val="nil"/>
            </w:tcBorders>
            <w:vAlign w:val="center"/>
          </w:tcPr>
          <w:p w14:paraId="2F3ED5A0" w14:textId="77777777" w:rsidR="000C35AF" w:rsidRPr="00E63B6F" w:rsidRDefault="000C35AF" w:rsidP="009238AE">
            <w:pPr>
              <w:pStyle w:val="Regresjonstabell"/>
              <w:jc w:val="right"/>
              <w:rPr>
                <w:sz w:val="20"/>
                <w:szCs w:val="20"/>
              </w:rPr>
            </w:pPr>
            <w:r w:rsidRPr="00E63B6F">
              <w:rPr>
                <w:color w:val="000000"/>
                <w:sz w:val="20"/>
                <w:szCs w:val="20"/>
              </w:rPr>
              <w:t>(6.937)</w:t>
            </w:r>
          </w:p>
        </w:tc>
        <w:tc>
          <w:tcPr>
            <w:tcW w:w="1400" w:type="dxa"/>
            <w:tcBorders>
              <w:top w:val="nil"/>
              <w:left w:val="nil"/>
              <w:bottom w:val="nil"/>
              <w:right w:val="nil"/>
            </w:tcBorders>
            <w:vAlign w:val="center"/>
          </w:tcPr>
          <w:p w14:paraId="18962B14" w14:textId="77777777" w:rsidR="000C35AF" w:rsidRPr="00E63B6F" w:rsidRDefault="000C35AF" w:rsidP="009238AE">
            <w:pPr>
              <w:pStyle w:val="Regresjonstabell"/>
              <w:jc w:val="right"/>
              <w:rPr>
                <w:sz w:val="20"/>
                <w:szCs w:val="20"/>
              </w:rPr>
            </w:pPr>
            <w:r w:rsidRPr="00E63B6F">
              <w:rPr>
                <w:color w:val="000000"/>
                <w:sz w:val="20"/>
                <w:szCs w:val="20"/>
              </w:rPr>
              <w:t>(6.934)</w:t>
            </w:r>
          </w:p>
        </w:tc>
        <w:tc>
          <w:tcPr>
            <w:tcW w:w="1400" w:type="dxa"/>
            <w:tcBorders>
              <w:top w:val="nil"/>
              <w:left w:val="nil"/>
              <w:bottom w:val="nil"/>
              <w:right w:val="single" w:sz="4" w:space="0" w:color="auto"/>
            </w:tcBorders>
            <w:vAlign w:val="center"/>
          </w:tcPr>
          <w:p w14:paraId="53FF4A79" w14:textId="77777777" w:rsidR="000C35AF" w:rsidRPr="00E63B6F" w:rsidRDefault="000C35AF" w:rsidP="009238AE">
            <w:pPr>
              <w:pStyle w:val="Regresjonstabell"/>
              <w:jc w:val="right"/>
              <w:rPr>
                <w:sz w:val="20"/>
                <w:szCs w:val="20"/>
              </w:rPr>
            </w:pPr>
            <w:r w:rsidRPr="00E63B6F">
              <w:rPr>
                <w:color w:val="000000"/>
                <w:sz w:val="20"/>
                <w:szCs w:val="20"/>
              </w:rPr>
              <w:t>(7.008)</w:t>
            </w:r>
          </w:p>
        </w:tc>
      </w:tr>
      <w:tr w:rsidR="000C35AF" w:rsidRPr="0055149C" w14:paraId="7EE9FD1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2B8E1A9"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79B5E0A4"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5177E206"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7F26D020"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0F0B5490"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40B7D262" w14:textId="77777777" w:rsidR="000C35AF" w:rsidRPr="00E63B6F" w:rsidRDefault="000C35AF" w:rsidP="009238AE">
            <w:pPr>
              <w:pStyle w:val="Regresjonstabell"/>
              <w:jc w:val="right"/>
              <w:rPr>
                <w:sz w:val="20"/>
                <w:szCs w:val="20"/>
              </w:rPr>
            </w:pPr>
            <w:r w:rsidRPr="00E63B6F">
              <w:rPr>
                <w:color w:val="000000"/>
                <w:sz w:val="20"/>
                <w:szCs w:val="20"/>
              </w:rPr>
              <w:t>0.016***</w:t>
            </w:r>
          </w:p>
        </w:tc>
        <w:tc>
          <w:tcPr>
            <w:tcW w:w="1399" w:type="dxa"/>
            <w:tcBorders>
              <w:top w:val="nil"/>
              <w:left w:val="nil"/>
              <w:bottom w:val="nil"/>
              <w:right w:val="nil"/>
            </w:tcBorders>
            <w:vAlign w:val="bottom"/>
          </w:tcPr>
          <w:p w14:paraId="670ECAAC" w14:textId="77777777" w:rsidR="000C35AF" w:rsidRPr="00E63B6F" w:rsidRDefault="000C35AF" w:rsidP="009238AE">
            <w:pPr>
              <w:pStyle w:val="Regresjonstabell"/>
              <w:jc w:val="right"/>
              <w:rPr>
                <w:sz w:val="20"/>
                <w:szCs w:val="20"/>
              </w:rPr>
            </w:pPr>
            <w:r w:rsidRPr="00E63B6F">
              <w:rPr>
                <w:color w:val="000000"/>
                <w:sz w:val="20"/>
                <w:szCs w:val="20"/>
              </w:rPr>
              <w:t>0.016***</w:t>
            </w:r>
          </w:p>
        </w:tc>
        <w:tc>
          <w:tcPr>
            <w:tcW w:w="1400" w:type="dxa"/>
            <w:tcBorders>
              <w:top w:val="nil"/>
              <w:left w:val="nil"/>
              <w:bottom w:val="nil"/>
              <w:right w:val="nil"/>
            </w:tcBorders>
            <w:vAlign w:val="bottom"/>
          </w:tcPr>
          <w:p w14:paraId="3D8216DB" w14:textId="77777777" w:rsidR="000C35AF" w:rsidRPr="00E63B6F" w:rsidRDefault="000C35AF" w:rsidP="009238AE">
            <w:pPr>
              <w:pStyle w:val="Regresjonstabell"/>
              <w:jc w:val="right"/>
              <w:rPr>
                <w:sz w:val="20"/>
                <w:szCs w:val="20"/>
              </w:rPr>
            </w:pPr>
            <w:r w:rsidRPr="00E63B6F">
              <w:rPr>
                <w:color w:val="000000"/>
                <w:sz w:val="20"/>
                <w:szCs w:val="20"/>
              </w:rPr>
              <w:t>0.016***</w:t>
            </w:r>
          </w:p>
        </w:tc>
        <w:tc>
          <w:tcPr>
            <w:tcW w:w="1400" w:type="dxa"/>
            <w:tcBorders>
              <w:top w:val="nil"/>
              <w:left w:val="nil"/>
              <w:bottom w:val="nil"/>
              <w:right w:val="single" w:sz="4" w:space="0" w:color="auto"/>
            </w:tcBorders>
            <w:vAlign w:val="bottom"/>
          </w:tcPr>
          <w:p w14:paraId="42B39864" w14:textId="77777777" w:rsidR="000C35AF" w:rsidRPr="00E63B6F" w:rsidRDefault="000C35AF" w:rsidP="009238AE">
            <w:pPr>
              <w:pStyle w:val="Regresjonstabell"/>
              <w:jc w:val="right"/>
              <w:rPr>
                <w:sz w:val="20"/>
                <w:szCs w:val="20"/>
              </w:rPr>
            </w:pPr>
            <w:r w:rsidRPr="00E63B6F">
              <w:rPr>
                <w:color w:val="000000"/>
                <w:sz w:val="20"/>
                <w:szCs w:val="20"/>
              </w:rPr>
              <w:t>0.016***</w:t>
            </w:r>
          </w:p>
        </w:tc>
      </w:tr>
      <w:tr w:rsidR="000C35AF" w:rsidRPr="0055149C" w14:paraId="122721B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19EF6C7"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7A6E1CB6"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6D506C06"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414D1066"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447AFA63"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3CE47FEE"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250CB0BE"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nil"/>
            </w:tcBorders>
            <w:vAlign w:val="center"/>
          </w:tcPr>
          <w:p w14:paraId="72E53659"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single" w:sz="4" w:space="0" w:color="auto"/>
            </w:tcBorders>
            <w:vAlign w:val="center"/>
          </w:tcPr>
          <w:p w14:paraId="5E62DF8E" w14:textId="77777777" w:rsidR="000C35AF" w:rsidRPr="00E63B6F" w:rsidRDefault="000C35AF" w:rsidP="009238AE">
            <w:pPr>
              <w:pStyle w:val="Regresjonstabell"/>
              <w:jc w:val="right"/>
              <w:rPr>
                <w:sz w:val="20"/>
                <w:szCs w:val="20"/>
              </w:rPr>
            </w:pPr>
            <w:r w:rsidRPr="00E63B6F">
              <w:rPr>
                <w:color w:val="000000"/>
                <w:sz w:val="20"/>
                <w:szCs w:val="20"/>
              </w:rPr>
              <w:t>(0.006)</w:t>
            </w:r>
          </w:p>
        </w:tc>
      </w:tr>
      <w:tr w:rsidR="000C35AF" w:rsidRPr="0055149C" w14:paraId="17B98D7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245BFEE"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48E0BB64" w14:textId="77777777" w:rsidR="000C35AF" w:rsidRPr="00E63B6F" w:rsidRDefault="000C35AF" w:rsidP="009238AE">
            <w:pPr>
              <w:pStyle w:val="Regresjonstabell"/>
              <w:jc w:val="right"/>
              <w:rPr>
                <w:sz w:val="20"/>
                <w:szCs w:val="20"/>
              </w:rPr>
            </w:pPr>
            <w:r w:rsidRPr="00E63B6F">
              <w:rPr>
                <w:color w:val="000000"/>
                <w:sz w:val="20"/>
                <w:szCs w:val="20"/>
              </w:rPr>
              <w:t>1.049</w:t>
            </w:r>
          </w:p>
        </w:tc>
        <w:tc>
          <w:tcPr>
            <w:tcW w:w="1399" w:type="dxa"/>
            <w:tcBorders>
              <w:top w:val="nil"/>
              <w:left w:val="nil"/>
              <w:bottom w:val="nil"/>
              <w:right w:val="nil"/>
            </w:tcBorders>
            <w:vAlign w:val="bottom"/>
          </w:tcPr>
          <w:p w14:paraId="7081D26E" w14:textId="77777777" w:rsidR="000C35AF" w:rsidRPr="00E63B6F" w:rsidRDefault="000C35AF" w:rsidP="009238AE">
            <w:pPr>
              <w:pStyle w:val="Regresjonstabell"/>
              <w:jc w:val="right"/>
              <w:rPr>
                <w:sz w:val="20"/>
                <w:szCs w:val="20"/>
              </w:rPr>
            </w:pPr>
            <w:r w:rsidRPr="00E63B6F">
              <w:rPr>
                <w:color w:val="000000"/>
                <w:sz w:val="20"/>
                <w:szCs w:val="20"/>
              </w:rPr>
              <w:t>1.033</w:t>
            </w:r>
          </w:p>
        </w:tc>
        <w:tc>
          <w:tcPr>
            <w:tcW w:w="1399" w:type="dxa"/>
            <w:tcBorders>
              <w:top w:val="nil"/>
              <w:left w:val="nil"/>
              <w:bottom w:val="nil"/>
              <w:right w:val="nil"/>
            </w:tcBorders>
            <w:vAlign w:val="bottom"/>
          </w:tcPr>
          <w:p w14:paraId="3F72B468" w14:textId="77777777" w:rsidR="000C35AF" w:rsidRPr="00E63B6F" w:rsidRDefault="000C35AF" w:rsidP="009238AE">
            <w:pPr>
              <w:pStyle w:val="Regresjonstabell"/>
              <w:jc w:val="right"/>
              <w:rPr>
                <w:sz w:val="20"/>
                <w:szCs w:val="20"/>
              </w:rPr>
            </w:pPr>
            <w:r w:rsidRPr="00E63B6F">
              <w:rPr>
                <w:color w:val="000000"/>
                <w:sz w:val="20"/>
                <w:szCs w:val="20"/>
              </w:rPr>
              <w:t>0.947</w:t>
            </w:r>
          </w:p>
        </w:tc>
        <w:tc>
          <w:tcPr>
            <w:tcW w:w="1399" w:type="dxa"/>
            <w:tcBorders>
              <w:top w:val="nil"/>
              <w:left w:val="nil"/>
              <w:bottom w:val="nil"/>
              <w:right w:val="nil"/>
            </w:tcBorders>
            <w:vAlign w:val="bottom"/>
          </w:tcPr>
          <w:p w14:paraId="2E7FC9BB" w14:textId="77777777" w:rsidR="000C35AF" w:rsidRPr="00E63B6F" w:rsidRDefault="000C35AF" w:rsidP="009238AE">
            <w:pPr>
              <w:pStyle w:val="Regresjonstabell"/>
              <w:jc w:val="right"/>
              <w:rPr>
                <w:sz w:val="20"/>
                <w:szCs w:val="20"/>
              </w:rPr>
            </w:pPr>
            <w:r w:rsidRPr="00E63B6F">
              <w:rPr>
                <w:color w:val="000000"/>
                <w:sz w:val="20"/>
                <w:szCs w:val="20"/>
              </w:rPr>
              <w:t>0.811</w:t>
            </w:r>
          </w:p>
        </w:tc>
        <w:tc>
          <w:tcPr>
            <w:tcW w:w="1399" w:type="dxa"/>
            <w:tcBorders>
              <w:top w:val="nil"/>
              <w:left w:val="nil"/>
              <w:bottom w:val="nil"/>
              <w:right w:val="nil"/>
            </w:tcBorders>
            <w:vAlign w:val="bottom"/>
          </w:tcPr>
          <w:p w14:paraId="776ADD80" w14:textId="77777777" w:rsidR="000C35AF" w:rsidRPr="00E63B6F" w:rsidRDefault="000C35AF" w:rsidP="009238AE">
            <w:pPr>
              <w:pStyle w:val="Regresjonstabell"/>
              <w:jc w:val="right"/>
              <w:rPr>
                <w:sz w:val="20"/>
                <w:szCs w:val="20"/>
              </w:rPr>
            </w:pPr>
            <w:r w:rsidRPr="00E63B6F">
              <w:rPr>
                <w:color w:val="000000"/>
                <w:sz w:val="20"/>
                <w:szCs w:val="20"/>
              </w:rPr>
              <w:t>4.904*</w:t>
            </w:r>
          </w:p>
        </w:tc>
        <w:tc>
          <w:tcPr>
            <w:tcW w:w="1399" w:type="dxa"/>
            <w:tcBorders>
              <w:top w:val="nil"/>
              <w:left w:val="nil"/>
              <w:bottom w:val="nil"/>
              <w:right w:val="nil"/>
            </w:tcBorders>
            <w:vAlign w:val="bottom"/>
          </w:tcPr>
          <w:p w14:paraId="59C07E25" w14:textId="77777777" w:rsidR="000C35AF" w:rsidRPr="00E63B6F" w:rsidRDefault="000C35AF" w:rsidP="009238AE">
            <w:pPr>
              <w:pStyle w:val="Regresjonstabell"/>
              <w:jc w:val="right"/>
              <w:rPr>
                <w:sz w:val="20"/>
                <w:szCs w:val="20"/>
              </w:rPr>
            </w:pPr>
            <w:r w:rsidRPr="00E63B6F">
              <w:rPr>
                <w:color w:val="000000"/>
                <w:sz w:val="20"/>
                <w:szCs w:val="20"/>
              </w:rPr>
              <w:t>4.901*</w:t>
            </w:r>
          </w:p>
        </w:tc>
        <w:tc>
          <w:tcPr>
            <w:tcW w:w="1400" w:type="dxa"/>
            <w:tcBorders>
              <w:top w:val="nil"/>
              <w:left w:val="nil"/>
              <w:bottom w:val="nil"/>
              <w:right w:val="nil"/>
            </w:tcBorders>
            <w:vAlign w:val="bottom"/>
          </w:tcPr>
          <w:p w14:paraId="48B43B04" w14:textId="77777777" w:rsidR="000C35AF" w:rsidRPr="00E63B6F" w:rsidRDefault="000C35AF" w:rsidP="009238AE">
            <w:pPr>
              <w:pStyle w:val="Regresjonstabell"/>
              <w:jc w:val="right"/>
              <w:rPr>
                <w:sz w:val="20"/>
                <w:szCs w:val="20"/>
              </w:rPr>
            </w:pPr>
            <w:r w:rsidRPr="00E63B6F">
              <w:rPr>
                <w:color w:val="000000"/>
                <w:sz w:val="20"/>
                <w:szCs w:val="20"/>
              </w:rPr>
              <w:t>4.948*</w:t>
            </w:r>
          </w:p>
        </w:tc>
        <w:tc>
          <w:tcPr>
            <w:tcW w:w="1400" w:type="dxa"/>
            <w:tcBorders>
              <w:top w:val="nil"/>
              <w:left w:val="nil"/>
              <w:bottom w:val="nil"/>
              <w:right w:val="single" w:sz="4" w:space="0" w:color="auto"/>
            </w:tcBorders>
            <w:vAlign w:val="bottom"/>
          </w:tcPr>
          <w:p w14:paraId="4548DFAB" w14:textId="77777777" w:rsidR="000C35AF" w:rsidRPr="00E63B6F" w:rsidRDefault="000C35AF" w:rsidP="009238AE">
            <w:pPr>
              <w:pStyle w:val="Regresjonstabell"/>
              <w:jc w:val="right"/>
              <w:rPr>
                <w:sz w:val="20"/>
                <w:szCs w:val="20"/>
              </w:rPr>
            </w:pPr>
            <w:r w:rsidRPr="00E63B6F">
              <w:rPr>
                <w:color w:val="000000"/>
                <w:sz w:val="20"/>
                <w:szCs w:val="20"/>
              </w:rPr>
              <w:t>5.053*</w:t>
            </w:r>
          </w:p>
        </w:tc>
      </w:tr>
      <w:tr w:rsidR="000C35AF" w:rsidRPr="0055149C" w14:paraId="4F56ED7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4741E96"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35C647F8" w14:textId="77777777" w:rsidR="000C35AF" w:rsidRPr="00E63B6F" w:rsidRDefault="000C35AF" w:rsidP="009238AE">
            <w:pPr>
              <w:pStyle w:val="Regresjonstabell"/>
              <w:jc w:val="right"/>
              <w:rPr>
                <w:sz w:val="20"/>
                <w:szCs w:val="20"/>
              </w:rPr>
            </w:pPr>
            <w:r w:rsidRPr="00E63B6F">
              <w:rPr>
                <w:color w:val="000000"/>
                <w:sz w:val="20"/>
                <w:szCs w:val="20"/>
              </w:rPr>
              <w:t>(2.533)</w:t>
            </w:r>
          </w:p>
        </w:tc>
        <w:tc>
          <w:tcPr>
            <w:tcW w:w="1399" w:type="dxa"/>
            <w:tcBorders>
              <w:top w:val="nil"/>
              <w:left w:val="nil"/>
              <w:bottom w:val="nil"/>
              <w:right w:val="nil"/>
            </w:tcBorders>
            <w:vAlign w:val="center"/>
          </w:tcPr>
          <w:p w14:paraId="12C3C904" w14:textId="77777777" w:rsidR="000C35AF" w:rsidRPr="00E63B6F" w:rsidRDefault="000C35AF" w:rsidP="009238AE">
            <w:pPr>
              <w:pStyle w:val="Regresjonstabell"/>
              <w:jc w:val="right"/>
              <w:rPr>
                <w:sz w:val="20"/>
                <w:szCs w:val="20"/>
              </w:rPr>
            </w:pPr>
            <w:r w:rsidRPr="00E63B6F">
              <w:rPr>
                <w:color w:val="000000"/>
                <w:sz w:val="20"/>
                <w:szCs w:val="20"/>
              </w:rPr>
              <w:t>(2.525)</w:t>
            </w:r>
          </w:p>
        </w:tc>
        <w:tc>
          <w:tcPr>
            <w:tcW w:w="1399" w:type="dxa"/>
            <w:tcBorders>
              <w:top w:val="nil"/>
              <w:left w:val="nil"/>
              <w:bottom w:val="nil"/>
              <w:right w:val="nil"/>
            </w:tcBorders>
            <w:vAlign w:val="center"/>
          </w:tcPr>
          <w:p w14:paraId="7C0362B6" w14:textId="77777777" w:rsidR="000C35AF" w:rsidRPr="00E63B6F" w:rsidRDefault="000C35AF" w:rsidP="009238AE">
            <w:pPr>
              <w:pStyle w:val="Regresjonstabell"/>
              <w:jc w:val="right"/>
              <w:rPr>
                <w:sz w:val="20"/>
                <w:szCs w:val="20"/>
              </w:rPr>
            </w:pPr>
            <w:r w:rsidRPr="00E63B6F">
              <w:rPr>
                <w:color w:val="000000"/>
                <w:sz w:val="20"/>
                <w:szCs w:val="20"/>
              </w:rPr>
              <w:t>(2.547)</w:t>
            </w:r>
          </w:p>
        </w:tc>
        <w:tc>
          <w:tcPr>
            <w:tcW w:w="1399" w:type="dxa"/>
            <w:tcBorders>
              <w:top w:val="nil"/>
              <w:left w:val="nil"/>
              <w:bottom w:val="nil"/>
              <w:right w:val="nil"/>
            </w:tcBorders>
            <w:vAlign w:val="center"/>
          </w:tcPr>
          <w:p w14:paraId="28EECC2A" w14:textId="77777777" w:rsidR="000C35AF" w:rsidRPr="00E63B6F" w:rsidRDefault="000C35AF" w:rsidP="009238AE">
            <w:pPr>
              <w:pStyle w:val="Regresjonstabell"/>
              <w:jc w:val="right"/>
              <w:rPr>
                <w:sz w:val="20"/>
                <w:szCs w:val="20"/>
              </w:rPr>
            </w:pPr>
            <w:r w:rsidRPr="00E63B6F">
              <w:rPr>
                <w:color w:val="000000"/>
                <w:sz w:val="20"/>
                <w:szCs w:val="20"/>
              </w:rPr>
              <w:t>(2.572)</w:t>
            </w:r>
          </w:p>
        </w:tc>
        <w:tc>
          <w:tcPr>
            <w:tcW w:w="1399" w:type="dxa"/>
            <w:tcBorders>
              <w:top w:val="nil"/>
              <w:left w:val="nil"/>
              <w:bottom w:val="nil"/>
              <w:right w:val="nil"/>
            </w:tcBorders>
            <w:vAlign w:val="center"/>
          </w:tcPr>
          <w:p w14:paraId="6C1B3E66" w14:textId="77777777" w:rsidR="000C35AF" w:rsidRPr="00E63B6F" w:rsidRDefault="000C35AF" w:rsidP="009238AE">
            <w:pPr>
              <w:pStyle w:val="Regresjonstabell"/>
              <w:jc w:val="right"/>
              <w:rPr>
                <w:sz w:val="20"/>
                <w:szCs w:val="20"/>
              </w:rPr>
            </w:pPr>
            <w:r w:rsidRPr="00E63B6F">
              <w:rPr>
                <w:color w:val="000000"/>
                <w:sz w:val="20"/>
                <w:szCs w:val="20"/>
              </w:rPr>
              <w:t>(2.908)</w:t>
            </w:r>
          </w:p>
        </w:tc>
        <w:tc>
          <w:tcPr>
            <w:tcW w:w="1399" w:type="dxa"/>
            <w:tcBorders>
              <w:top w:val="nil"/>
              <w:left w:val="nil"/>
              <w:bottom w:val="nil"/>
              <w:right w:val="nil"/>
            </w:tcBorders>
            <w:vAlign w:val="center"/>
          </w:tcPr>
          <w:p w14:paraId="6C35B268" w14:textId="77777777" w:rsidR="000C35AF" w:rsidRPr="00E63B6F" w:rsidRDefault="000C35AF" w:rsidP="009238AE">
            <w:pPr>
              <w:pStyle w:val="Regresjonstabell"/>
              <w:jc w:val="right"/>
              <w:rPr>
                <w:sz w:val="20"/>
                <w:szCs w:val="20"/>
              </w:rPr>
            </w:pPr>
            <w:r w:rsidRPr="00E63B6F">
              <w:rPr>
                <w:color w:val="000000"/>
                <w:sz w:val="20"/>
                <w:szCs w:val="20"/>
              </w:rPr>
              <w:t>(2.905)</w:t>
            </w:r>
          </w:p>
        </w:tc>
        <w:tc>
          <w:tcPr>
            <w:tcW w:w="1400" w:type="dxa"/>
            <w:tcBorders>
              <w:top w:val="nil"/>
              <w:left w:val="nil"/>
              <w:bottom w:val="nil"/>
              <w:right w:val="nil"/>
            </w:tcBorders>
            <w:vAlign w:val="center"/>
          </w:tcPr>
          <w:p w14:paraId="630A3A96" w14:textId="77777777" w:rsidR="000C35AF" w:rsidRPr="00E63B6F" w:rsidRDefault="000C35AF" w:rsidP="009238AE">
            <w:pPr>
              <w:pStyle w:val="Regresjonstabell"/>
              <w:jc w:val="right"/>
              <w:rPr>
                <w:sz w:val="20"/>
                <w:szCs w:val="20"/>
              </w:rPr>
            </w:pPr>
            <w:r w:rsidRPr="00E63B6F">
              <w:rPr>
                <w:color w:val="000000"/>
                <w:sz w:val="20"/>
                <w:szCs w:val="20"/>
              </w:rPr>
              <w:t>(2.911)</w:t>
            </w:r>
          </w:p>
        </w:tc>
        <w:tc>
          <w:tcPr>
            <w:tcW w:w="1400" w:type="dxa"/>
            <w:tcBorders>
              <w:top w:val="nil"/>
              <w:left w:val="nil"/>
              <w:bottom w:val="nil"/>
              <w:right w:val="single" w:sz="4" w:space="0" w:color="auto"/>
            </w:tcBorders>
            <w:vAlign w:val="center"/>
          </w:tcPr>
          <w:p w14:paraId="1A76819C" w14:textId="77777777" w:rsidR="000C35AF" w:rsidRPr="00E63B6F" w:rsidRDefault="000C35AF" w:rsidP="009238AE">
            <w:pPr>
              <w:pStyle w:val="Regresjonstabell"/>
              <w:jc w:val="right"/>
              <w:rPr>
                <w:sz w:val="20"/>
                <w:szCs w:val="20"/>
              </w:rPr>
            </w:pPr>
            <w:r w:rsidRPr="00E63B6F">
              <w:rPr>
                <w:color w:val="000000"/>
                <w:sz w:val="20"/>
                <w:szCs w:val="20"/>
              </w:rPr>
              <w:t>(2.922)</w:t>
            </w:r>
          </w:p>
        </w:tc>
      </w:tr>
      <w:tr w:rsidR="000C35AF" w:rsidRPr="0055149C" w14:paraId="45F4FBF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4E136D0"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5F00AD11"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37FC4768"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644C3FA3"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5C324EC4"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1104AD64" w14:textId="77777777" w:rsidR="000C35AF" w:rsidRPr="00E63B6F" w:rsidRDefault="000C35AF" w:rsidP="009238AE">
            <w:pPr>
              <w:pStyle w:val="Regresjonstabell"/>
              <w:jc w:val="right"/>
              <w:rPr>
                <w:sz w:val="20"/>
                <w:szCs w:val="20"/>
              </w:rPr>
            </w:pPr>
            <w:r w:rsidRPr="00E63B6F">
              <w:rPr>
                <w:color w:val="000000"/>
                <w:sz w:val="20"/>
                <w:szCs w:val="20"/>
              </w:rPr>
              <w:t>338</w:t>
            </w:r>
          </w:p>
        </w:tc>
        <w:tc>
          <w:tcPr>
            <w:tcW w:w="1399" w:type="dxa"/>
            <w:tcBorders>
              <w:top w:val="nil"/>
              <w:left w:val="nil"/>
              <w:bottom w:val="nil"/>
              <w:right w:val="nil"/>
            </w:tcBorders>
            <w:vAlign w:val="bottom"/>
          </w:tcPr>
          <w:p w14:paraId="7B7C964A" w14:textId="77777777" w:rsidR="000C35AF" w:rsidRPr="00E63B6F" w:rsidRDefault="000C35AF" w:rsidP="009238AE">
            <w:pPr>
              <w:pStyle w:val="Regresjonstabell"/>
              <w:jc w:val="right"/>
              <w:rPr>
                <w:sz w:val="20"/>
                <w:szCs w:val="20"/>
              </w:rPr>
            </w:pPr>
            <w:r w:rsidRPr="00E63B6F">
              <w:rPr>
                <w:color w:val="000000"/>
                <w:sz w:val="20"/>
                <w:szCs w:val="20"/>
              </w:rPr>
              <w:t>338</w:t>
            </w:r>
          </w:p>
        </w:tc>
        <w:tc>
          <w:tcPr>
            <w:tcW w:w="1400" w:type="dxa"/>
            <w:tcBorders>
              <w:top w:val="nil"/>
              <w:left w:val="nil"/>
              <w:bottom w:val="nil"/>
              <w:right w:val="nil"/>
            </w:tcBorders>
            <w:vAlign w:val="bottom"/>
          </w:tcPr>
          <w:p w14:paraId="759E813A" w14:textId="77777777" w:rsidR="000C35AF" w:rsidRPr="00E63B6F" w:rsidRDefault="000C35AF" w:rsidP="009238AE">
            <w:pPr>
              <w:pStyle w:val="Regresjonstabell"/>
              <w:jc w:val="right"/>
              <w:rPr>
                <w:sz w:val="20"/>
                <w:szCs w:val="20"/>
              </w:rPr>
            </w:pPr>
            <w:r w:rsidRPr="00E63B6F">
              <w:rPr>
                <w:color w:val="000000"/>
                <w:sz w:val="20"/>
                <w:szCs w:val="20"/>
              </w:rPr>
              <w:t>338</w:t>
            </w:r>
          </w:p>
        </w:tc>
        <w:tc>
          <w:tcPr>
            <w:tcW w:w="1400" w:type="dxa"/>
            <w:tcBorders>
              <w:top w:val="nil"/>
              <w:left w:val="nil"/>
              <w:bottom w:val="nil"/>
              <w:right w:val="single" w:sz="4" w:space="0" w:color="auto"/>
            </w:tcBorders>
            <w:vAlign w:val="bottom"/>
          </w:tcPr>
          <w:p w14:paraId="5CD08115" w14:textId="77777777" w:rsidR="000C35AF" w:rsidRPr="00E63B6F" w:rsidRDefault="000C35AF" w:rsidP="009238AE">
            <w:pPr>
              <w:pStyle w:val="Regresjonstabell"/>
              <w:jc w:val="right"/>
              <w:rPr>
                <w:sz w:val="20"/>
                <w:szCs w:val="20"/>
              </w:rPr>
            </w:pPr>
            <w:r w:rsidRPr="00E63B6F">
              <w:rPr>
                <w:color w:val="000000"/>
                <w:sz w:val="20"/>
                <w:szCs w:val="20"/>
              </w:rPr>
              <w:t>338</w:t>
            </w:r>
          </w:p>
        </w:tc>
      </w:tr>
      <w:tr w:rsidR="000C35AF" w:rsidRPr="0055149C" w14:paraId="7AD5A6A2"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627202F2"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4AE7F92C" w14:textId="77777777" w:rsidR="000C35AF" w:rsidRPr="00E63B6F" w:rsidRDefault="000C35AF" w:rsidP="009238AE">
            <w:pPr>
              <w:pStyle w:val="Regresjonstabell"/>
              <w:jc w:val="right"/>
              <w:rPr>
                <w:sz w:val="20"/>
                <w:szCs w:val="20"/>
              </w:rPr>
            </w:pPr>
            <w:r w:rsidRPr="00E63B6F">
              <w:rPr>
                <w:color w:val="000000"/>
                <w:sz w:val="20"/>
                <w:szCs w:val="20"/>
              </w:rPr>
              <w:t>0.258</w:t>
            </w:r>
          </w:p>
        </w:tc>
        <w:tc>
          <w:tcPr>
            <w:tcW w:w="1399" w:type="dxa"/>
            <w:tcBorders>
              <w:top w:val="nil"/>
              <w:left w:val="nil"/>
              <w:bottom w:val="single" w:sz="4" w:space="0" w:color="auto"/>
              <w:right w:val="nil"/>
            </w:tcBorders>
            <w:vAlign w:val="bottom"/>
          </w:tcPr>
          <w:p w14:paraId="404EDF1B" w14:textId="77777777" w:rsidR="000C35AF" w:rsidRPr="00E63B6F" w:rsidRDefault="000C35AF" w:rsidP="009238AE">
            <w:pPr>
              <w:pStyle w:val="Regresjonstabell"/>
              <w:jc w:val="right"/>
              <w:rPr>
                <w:sz w:val="20"/>
                <w:szCs w:val="20"/>
              </w:rPr>
            </w:pPr>
            <w:r w:rsidRPr="00E63B6F">
              <w:rPr>
                <w:color w:val="000000"/>
                <w:sz w:val="20"/>
                <w:szCs w:val="20"/>
              </w:rPr>
              <w:t>0.257</w:t>
            </w:r>
          </w:p>
        </w:tc>
        <w:tc>
          <w:tcPr>
            <w:tcW w:w="1399" w:type="dxa"/>
            <w:tcBorders>
              <w:top w:val="nil"/>
              <w:left w:val="nil"/>
              <w:bottom w:val="single" w:sz="4" w:space="0" w:color="auto"/>
              <w:right w:val="nil"/>
            </w:tcBorders>
            <w:vAlign w:val="bottom"/>
          </w:tcPr>
          <w:p w14:paraId="2CD1EBA5" w14:textId="77777777" w:rsidR="000C35AF" w:rsidRPr="00E63B6F" w:rsidRDefault="000C35AF" w:rsidP="009238AE">
            <w:pPr>
              <w:pStyle w:val="Regresjonstabell"/>
              <w:jc w:val="right"/>
              <w:rPr>
                <w:sz w:val="20"/>
                <w:szCs w:val="20"/>
              </w:rPr>
            </w:pPr>
            <w:r w:rsidRPr="00E63B6F">
              <w:rPr>
                <w:color w:val="000000"/>
                <w:sz w:val="20"/>
                <w:szCs w:val="20"/>
              </w:rPr>
              <w:t>0.258</w:t>
            </w:r>
          </w:p>
        </w:tc>
        <w:tc>
          <w:tcPr>
            <w:tcW w:w="1399" w:type="dxa"/>
            <w:tcBorders>
              <w:top w:val="nil"/>
              <w:left w:val="nil"/>
              <w:bottom w:val="single" w:sz="4" w:space="0" w:color="auto"/>
              <w:right w:val="nil"/>
            </w:tcBorders>
            <w:vAlign w:val="bottom"/>
          </w:tcPr>
          <w:p w14:paraId="0C49F4CF" w14:textId="77777777" w:rsidR="000C35AF" w:rsidRPr="00E63B6F" w:rsidRDefault="000C35AF" w:rsidP="009238AE">
            <w:pPr>
              <w:pStyle w:val="Regresjonstabell"/>
              <w:jc w:val="right"/>
              <w:rPr>
                <w:sz w:val="20"/>
                <w:szCs w:val="20"/>
              </w:rPr>
            </w:pPr>
            <w:r w:rsidRPr="00E63B6F">
              <w:rPr>
                <w:color w:val="000000"/>
                <w:sz w:val="20"/>
                <w:szCs w:val="20"/>
              </w:rPr>
              <w:t>0.258</w:t>
            </w:r>
          </w:p>
        </w:tc>
        <w:tc>
          <w:tcPr>
            <w:tcW w:w="1399" w:type="dxa"/>
            <w:tcBorders>
              <w:top w:val="nil"/>
              <w:left w:val="nil"/>
              <w:bottom w:val="single" w:sz="4" w:space="0" w:color="auto"/>
              <w:right w:val="nil"/>
            </w:tcBorders>
            <w:vAlign w:val="bottom"/>
          </w:tcPr>
          <w:p w14:paraId="0C4150D7" w14:textId="77777777" w:rsidR="000C35AF" w:rsidRPr="00E63B6F" w:rsidRDefault="000C35AF" w:rsidP="009238AE">
            <w:pPr>
              <w:pStyle w:val="Regresjonstabell"/>
              <w:jc w:val="right"/>
              <w:rPr>
                <w:sz w:val="20"/>
                <w:szCs w:val="20"/>
              </w:rPr>
            </w:pPr>
            <w:r w:rsidRPr="00E63B6F">
              <w:rPr>
                <w:color w:val="000000"/>
                <w:sz w:val="20"/>
                <w:szCs w:val="20"/>
              </w:rPr>
              <w:t>0.157</w:t>
            </w:r>
          </w:p>
        </w:tc>
        <w:tc>
          <w:tcPr>
            <w:tcW w:w="1399" w:type="dxa"/>
            <w:tcBorders>
              <w:top w:val="nil"/>
              <w:left w:val="nil"/>
              <w:bottom w:val="single" w:sz="4" w:space="0" w:color="auto"/>
              <w:right w:val="nil"/>
            </w:tcBorders>
            <w:vAlign w:val="bottom"/>
          </w:tcPr>
          <w:p w14:paraId="40C6FEF4" w14:textId="77777777" w:rsidR="000C35AF" w:rsidRPr="00E63B6F" w:rsidRDefault="000C35AF" w:rsidP="009238AE">
            <w:pPr>
              <w:pStyle w:val="Regresjonstabell"/>
              <w:jc w:val="right"/>
              <w:rPr>
                <w:sz w:val="20"/>
                <w:szCs w:val="20"/>
              </w:rPr>
            </w:pPr>
            <w:r w:rsidRPr="00E63B6F">
              <w:rPr>
                <w:color w:val="000000"/>
                <w:sz w:val="20"/>
                <w:szCs w:val="20"/>
              </w:rPr>
              <w:t>0.157</w:t>
            </w:r>
          </w:p>
        </w:tc>
        <w:tc>
          <w:tcPr>
            <w:tcW w:w="1400" w:type="dxa"/>
            <w:tcBorders>
              <w:top w:val="nil"/>
              <w:left w:val="nil"/>
              <w:bottom w:val="single" w:sz="4" w:space="0" w:color="auto"/>
              <w:right w:val="nil"/>
            </w:tcBorders>
            <w:vAlign w:val="bottom"/>
          </w:tcPr>
          <w:p w14:paraId="2D2FAEFC" w14:textId="77777777" w:rsidR="000C35AF" w:rsidRPr="00E63B6F" w:rsidRDefault="000C35AF" w:rsidP="009238AE">
            <w:pPr>
              <w:pStyle w:val="Regresjonstabell"/>
              <w:jc w:val="right"/>
              <w:rPr>
                <w:sz w:val="20"/>
                <w:szCs w:val="20"/>
              </w:rPr>
            </w:pPr>
            <w:r w:rsidRPr="00E63B6F">
              <w:rPr>
                <w:color w:val="000000"/>
                <w:sz w:val="20"/>
                <w:szCs w:val="20"/>
              </w:rPr>
              <w:t>0.157</w:t>
            </w:r>
          </w:p>
        </w:tc>
        <w:tc>
          <w:tcPr>
            <w:tcW w:w="1400" w:type="dxa"/>
            <w:tcBorders>
              <w:top w:val="nil"/>
              <w:left w:val="nil"/>
              <w:bottom w:val="single" w:sz="4" w:space="0" w:color="auto"/>
              <w:right w:val="single" w:sz="4" w:space="0" w:color="auto"/>
            </w:tcBorders>
            <w:vAlign w:val="bottom"/>
          </w:tcPr>
          <w:p w14:paraId="1958B2F2" w14:textId="77777777" w:rsidR="000C35AF" w:rsidRPr="00E63B6F" w:rsidRDefault="000C35AF" w:rsidP="009238AE">
            <w:pPr>
              <w:pStyle w:val="Regresjonstabell"/>
              <w:jc w:val="right"/>
              <w:rPr>
                <w:sz w:val="20"/>
                <w:szCs w:val="20"/>
              </w:rPr>
            </w:pPr>
            <w:r w:rsidRPr="00E63B6F">
              <w:rPr>
                <w:color w:val="000000"/>
                <w:sz w:val="20"/>
                <w:szCs w:val="20"/>
              </w:rPr>
              <w:t>0.157</w:t>
            </w:r>
          </w:p>
        </w:tc>
      </w:tr>
    </w:tbl>
    <w:p w14:paraId="716681F2"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04940CBD" w14:textId="77777777"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3EB970D2" w14:textId="5D14170B" w:rsidR="000C35AF" w:rsidRPr="0055149C" w:rsidRDefault="000C35AF" w:rsidP="000C35AF">
      <w:pPr>
        <w:pStyle w:val="Bildetekst"/>
      </w:pPr>
      <w:r w:rsidRPr="0055149C">
        <w:lastRenderedPageBreak/>
        <w:t xml:space="preserve">Tabell </w:t>
      </w:r>
      <w:fldSimple w:instr=" STYLEREF 1 \s ">
        <w:r w:rsidR="009B1DA8">
          <w:rPr>
            <w:noProof/>
          </w:rPr>
          <w:t>4</w:t>
        </w:r>
      </w:fldSimple>
      <w:r w:rsidRPr="0055149C">
        <w:t>.</w:t>
      </w:r>
      <w:fldSimple w:instr=" SEQ Tabell \* ARABIC \s 1 ">
        <w:r w:rsidR="009B1DA8">
          <w:rPr>
            <w:noProof/>
          </w:rPr>
          <w:t>22</w:t>
        </w:r>
      </w:fldSimple>
      <w:r w:rsidRPr="0055149C">
        <w:t xml:space="preserve"> </w:t>
      </w:r>
      <w:r w:rsidRPr="0055149C">
        <w:tab/>
        <w:t xml:space="preserve">Regresjoner ved minste kvadraters metode, der kostnadene innen sosialsektoren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26FB9652" w14:textId="77777777" w:rsidTr="009238AE">
        <w:tc>
          <w:tcPr>
            <w:tcW w:w="2798" w:type="dxa"/>
            <w:tcBorders>
              <w:top w:val="single" w:sz="4" w:space="0" w:color="auto"/>
              <w:left w:val="single" w:sz="4" w:space="0" w:color="auto"/>
              <w:bottom w:val="nil"/>
              <w:right w:val="nil"/>
            </w:tcBorders>
            <w:shd w:val="clear" w:color="auto" w:fill="3672B0" w:themeFill="accent2"/>
          </w:tcPr>
          <w:p w14:paraId="6B2A1109"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47DC83E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71BDE6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D31467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066926F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0B087C2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5F8F439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162037B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6D0655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4F0159DA" w14:textId="77777777" w:rsidTr="009238AE">
        <w:tc>
          <w:tcPr>
            <w:tcW w:w="2798" w:type="dxa"/>
            <w:tcBorders>
              <w:top w:val="nil"/>
              <w:left w:val="single" w:sz="4" w:space="0" w:color="auto"/>
              <w:bottom w:val="single" w:sz="4" w:space="0" w:color="auto"/>
              <w:right w:val="nil"/>
            </w:tcBorders>
            <w:shd w:val="clear" w:color="auto" w:fill="3672B0" w:themeFill="accent2"/>
          </w:tcPr>
          <w:p w14:paraId="1CC2938B"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6FA3077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5C628DD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BE845B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28C6C0A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6BD91A8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2DBD42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4665F89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50FE835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5ACAEB57"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01E0D159"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single" w:sz="4" w:space="0" w:color="auto"/>
              <w:left w:val="single" w:sz="4" w:space="0" w:color="auto"/>
              <w:bottom w:val="nil"/>
              <w:right w:val="nil"/>
            </w:tcBorders>
            <w:vAlign w:val="bottom"/>
          </w:tcPr>
          <w:p w14:paraId="28CBEBF2" w14:textId="77777777" w:rsidR="000C35AF" w:rsidRPr="00113056" w:rsidRDefault="000C35AF" w:rsidP="009238AE">
            <w:pPr>
              <w:pStyle w:val="Regresjonstabell"/>
              <w:jc w:val="right"/>
              <w:rPr>
                <w:sz w:val="20"/>
                <w:szCs w:val="20"/>
              </w:rPr>
            </w:pPr>
            <w:r w:rsidRPr="00113056">
              <w:rPr>
                <w:color w:val="000000"/>
                <w:sz w:val="20"/>
                <w:szCs w:val="20"/>
              </w:rPr>
              <w:t>-19.257*</w:t>
            </w:r>
          </w:p>
        </w:tc>
        <w:tc>
          <w:tcPr>
            <w:tcW w:w="1399" w:type="dxa"/>
            <w:tcBorders>
              <w:top w:val="single" w:sz="4" w:space="0" w:color="auto"/>
              <w:left w:val="nil"/>
              <w:bottom w:val="nil"/>
              <w:right w:val="nil"/>
            </w:tcBorders>
            <w:vAlign w:val="bottom"/>
          </w:tcPr>
          <w:p w14:paraId="322767A0" w14:textId="77777777" w:rsidR="000C35AF" w:rsidRPr="00113056" w:rsidRDefault="000C35AF" w:rsidP="009238AE">
            <w:pPr>
              <w:pStyle w:val="Regresjonstabell"/>
              <w:jc w:val="right"/>
              <w:rPr>
                <w:sz w:val="20"/>
                <w:szCs w:val="20"/>
              </w:rPr>
            </w:pPr>
            <w:r w:rsidRPr="00113056">
              <w:rPr>
                <w:color w:val="000000"/>
                <w:sz w:val="20"/>
                <w:szCs w:val="20"/>
              </w:rPr>
              <w:t>-6.750</w:t>
            </w:r>
          </w:p>
        </w:tc>
        <w:tc>
          <w:tcPr>
            <w:tcW w:w="1399" w:type="dxa"/>
            <w:tcBorders>
              <w:top w:val="single" w:sz="4" w:space="0" w:color="auto"/>
              <w:left w:val="nil"/>
              <w:bottom w:val="nil"/>
              <w:right w:val="nil"/>
            </w:tcBorders>
            <w:vAlign w:val="bottom"/>
          </w:tcPr>
          <w:p w14:paraId="2CBF4542" w14:textId="77777777" w:rsidR="000C35AF" w:rsidRPr="00113056" w:rsidRDefault="000C35AF" w:rsidP="009238AE">
            <w:pPr>
              <w:pStyle w:val="Regresjonstabell"/>
              <w:jc w:val="right"/>
              <w:rPr>
                <w:sz w:val="20"/>
                <w:szCs w:val="20"/>
              </w:rPr>
            </w:pPr>
            <w:r w:rsidRPr="00113056">
              <w:rPr>
                <w:color w:val="000000"/>
                <w:sz w:val="20"/>
                <w:szCs w:val="20"/>
              </w:rPr>
              <w:t>-12.507*</w:t>
            </w:r>
          </w:p>
        </w:tc>
        <w:tc>
          <w:tcPr>
            <w:tcW w:w="1399" w:type="dxa"/>
            <w:tcBorders>
              <w:top w:val="single" w:sz="4" w:space="0" w:color="auto"/>
              <w:left w:val="nil"/>
              <w:bottom w:val="nil"/>
              <w:right w:val="nil"/>
            </w:tcBorders>
            <w:vAlign w:val="bottom"/>
          </w:tcPr>
          <w:p w14:paraId="40D0D08A" w14:textId="77777777" w:rsidR="000C35AF" w:rsidRPr="00113056" w:rsidRDefault="000C35AF" w:rsidP="009238AE">
            <w:pPr>
              <w:pStyle w:val="Regresjonstabell"/>
              <w:jc w:val="right"/>
              <w:rPr>
                <w:sz w:val="20"/>
                <w:szCs w:val="20"/>
              </w:rPr>
            </w:pPr>
            <w:r w:rsidRPr="00113056">
              <w:rPr>
                <w:color w:val="000000"/>
                <w:sz w:val="20"/>
                <w:szCs w:val="20"/>
              </w:rPr>
              <w:t>0.193</w:t>
            </w:r>
          </w:p>
        </w:tc>
        <w:tc>
          <w:tcPr>
            <w:tcW w:w="1399" w:type="dxa"/>
            <w:tcBorders>
              <w:top w:val="single" w:sz="4" w:space="0" w:color="auto"/>
              <w:left w:val="nil"/>
              <w:bottom w:val="nil"/>
              <w:right w:val="nil"/>
            </w:tcBorders>
            <w:vAlign w:val="bottom"/>
          </w:tcPr>
          <w:p w14:paraId="25DD16A0" w14:textId="77777777" w:rsidR="000C35AF" w:rsidRPr="00113056" w:rsidRDefault="000C35AF" w:rsidP="009238AE">
            <w:pPr>
              <w:pStyle w:val="Regresjonstabell"/>
              <w:jc w:val="right"/>
              <w:rPr>
                <w:sz w:val="20"/>
                <w:szCs w:val="20"/>
              </w:rPr>
            </w:pPr>
            <w:r w:rsidRPr="00113056">
              <w:rPr>
                <w:color w:val="000000"/>
                <w:sz w:val="20"/>
                <w:szCs w:val="20"/>
              </w:rPr>
              <w:t>0.263</w:t>
            </w:r>
          </w:p>
        </w:tc>
        <w:tc>
          <w:tcPr>
            <w:tcW w:w="1399" w:type="dxa"/>
            <w:tcBorders>
              <w:top w:val="single" w:sz="4" w:space="0" w:color="auto"/>
              <w:left w:val="nil"/>
              <w:bottom w:val="nil"/>
              <w:right w:val="nil"/>
            </w:tcBorders>
            <w:vAlign w:val="bottom"/>
          </w:tcPr>
          <w:p w14:paraId="2DB9BF75" w14:textId="77777777" w:rsidR="000C35AF" w:rsidRPr="00113056" w:rsidRDefault="000C35AF" w:rsidP="009238AE">
            <w:pPr>
              <w:pStyle w:val="Regresjonstabell"/>
              <w:jc w:val="right"/>
              <w:rPr>
                <w:sz w:val="20"/>
                <w:szCs w:val="20"/>
              </w:rPr>
            </w:pPr>
            <w:r w:rsidRPr="00113056">
              <w:rPr>
                <w:color w:val="000000"/>
                <w:sz w:val="20"/>
                <w:szCs w:val="20"/>
              </w:rPr>
              <w:t>0.609</w:t>
            </w:r>
          </w:p>
        </w:tc>
        <w:tc>
          <w:tcPr>
            <w:tcW w:w="1400" w:type="dxa"/>
            <w:tcBorders>
              <w:top w:val="single" w:sz="4" w:space="0" w:color="auto"/>
              <w:left w:val="nil"/>
              <w:bottom w:val="nil"/>
              <w:right w:val="nil"/>
            </w:tcBorders>
            <w:vAlign w:val="bottom"/>
          </w:tcPr>
          <w:p w14:paraId="49F2C258" w14:textId="77777777" w:rsidR="000C35AF" w:rsidRPr="00113056" w:rsidRDefault="000C35AF" w:rsidP="009238AE">
            <w:pPr>
              <w:pStyle w:val="Regresjonstabell"/>
              <w:jc w:val="right"/>
              <w:rPr>
                <w:sz w:val="20"/>
                <w:szCs w:val="20"/>
              </w:rPr>
            </w:pPr>
            <w:r w:rsidRPr="00113056">
              <w:rPr>
                <w:color w:val="000000"/>
                <w:sz w:val="20"/>
                <w:szCs w:val="20"/>
              </w:rPr>
              <w:t>0.872</w:t>
            </w:r>
          </w:p>
        </w:tc>
        <w:tc>
          <w:tcPr>
            <w:tcW w:w="1400" w:type="dxa"/>
            <w:tcBorders>
              <w:top w:val="single" w:sz="4" w:space="0" w:color="auto"/>
              <w:left w:val="nil"/>
              <w:bottom w:val="nil"/>
              <w:right w:val="single" w:sz="4" w:space="0" w:color="auto"/>
            </w:tcBorders>
            <w:vAlign w:val="bottom"/>
          </w:tcPr>
          <w:p w14:paraId="011697D1" w14:textId="77777777" w:rsidR="000C35AF" w:rsidRPr="00113056" w:rsidRDefault="000C35AF" w:rsidP="009238AE">
            <w:pPr>
              <w:pStyle w:val="Regresjonstabell"/>
              <w:jc w:val="right"/>
              <w:rPr>
                <w:sz w:val="20"/>
                <w:szCs w:val="20"/>
              </w:rPr>
            </w:pPr>
            <w:r w:rsidRPr="00113056">
              <w:rPr>
                <w:color w:val="000000"/>
                <w:sz w:val="20"/>
                <w:szCs w:val="20"/>
              </w:rPr>
              <w:t>-18.385</w:t>
            </w:r>
          </w:p>
        </w:tc>
      </w:tr>
      <w:tr w:rsidR="000C35AF" w:rsidRPr="0055149C" w14:paraId="7C720B6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5B34E36"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3ACC383F" w14:textId="77777777" w:rsidR="000C35AF" w:rsidRPr="00113056" w:rsidRDefault="000C35AF" w:rsidP="009238AE">
            <w:pPr>
              <w:pStyle w:val="Regresjonstabell"/>
              <w:jc w:val="right"/>
              <w:rPr>
                <w:sz w:val="20"/>
                <w:szCs w:val="20"/>
              </w:rPr>
            </w:pPr>
            <w:r w:rsidRPr="00113056">
              <w:rPr>
                <w:color w:val="000000"/>
                <w:sz w:val="20"/>
                <w:szCs w:val="20"/>
              </w:rPr>
              <w:t>(11.658)</w:t>
            </w:r>
          </w:p>
        </w:tc>
        <w:tc>
          <w:tcPr>
            <w:tcW w:w="1399" w:type="dxa"/>
            <w:tcBorders>
              <w:top w:val="nil"/>
              <w:left w:val="nil"/>
              <w:bottom w:val="nil"/>
              <w:right w:val="nil"/>
            </w:tcBorders>
            <w:vAlign w:val="center"/>
          </w:tcPr>
          <w:p w14:paraId="47969F6E" w14:textId="77777777" w:rsidR="000C35AF" w:rsidRPr="00113056" w:rsidRDefault="000C35AF" w:rsidP="009238AE">
            <w:pPr>
              <w:pStyle w:val="Regresjonstabell"/>
              <w:jc w:val="right"/>
              <w:rPr>
                <w:sz w:val="20"/>
                <w:szCs w:val="20"/>
              </w:rPr>
            </w:pPr>
            <w:r w:rsidRPr="00113056">
              <w:rPr>
                <w:color w:val="000000"/>
                <w:sz w:val="20"/>
                <w:szCs w:val="20"/>
              </w:rPr>
              <w:t>(6.287)</w:t>
            </w:r>
          </w:p>
        </w:tc>
        <w:tc>
          <w:tcPr>
            <w:tcW w:w="1399" w:type="dxa"/>
            <w:tcBorders>
              <w:top w:val="nil"/>
              <w:left w:val="nil"/>
              <w:bottom w:val="nil"/>
              <w:right w:val="nil"/>
            </w:tcBorders>
            <w:vAlign w:val="center"/>
          </w:tcPr>
          <w:p w14:paraId="786F10EE" w14:textId="77777777" w:rsidR="000C35AF" w:rsidRPr="00113056" w:rsidRDefault="000C35AF" w:rsidP="009238AE">
            <w:pPr>
              <w:pStyle w:val="Regresjonstabell"/>
              <w:jc w:val="right"/>
              <w:rPr>
                <w:sz w:val="20"/>
                <w:szCs w:val="20"/>
              </w:rPr>
            </w:pPr>
            <w:r w:rsidRPr="00113056">
              <w:rPr>
                <w:color w:val="000000"/>
                <w:sz w:val="20"/>
                <w:szCs w:val="20"/>
              </w:rPr>
              <w:t>(7.315)</w:t>
            </w:r>
          </w:p>
        </w:tc>
        <w:tc>
          <w:tcPr>
            <w:tcW w:w="1399" w:type="dxa"/>
            <w:tcBorders>
              <w:top w:val="nil"/>
              <w:left w:val="nil"/>
              <w:bottom w:val="nil"/>
              <w:right w:val="nil"/>
            </w:tcBorders>
            <w:vAlign w:val="center"/>
          </w:tcPr>
          <w:p w14:paraId="57E96FB9" w14:textId="77777777" w:rsidR="000C35AF" w:rsidRPr="00113056" w:rsidRDefault="000C35AF" w:rsidP="009238AE">
            <w:pPr>
              <w:pStyle w:val="Regresjonstabell"/>
              <w:jc w:val="right"/>
              <w:rPr>
                <w:sz w:val="20"/>
                <w:szCs w:val="20"/>
              </w:rPr>
            </w:pPr>
            <w:r w:rsidRPr="00113056">
              <w:rPr>
                <w:color w:val="000000"/>
                <w:sz w:val="20"/>
                <w:szCs w:val="20"/>
              </w:rPr>
              <w:t>(0.182)</w:t>
            </w:r>
          </w:p>
        </w:tc>
        <w:tc>
          <w:tcPr>
            <w:tcW w:w="1399" w:type="dxa"/>
            <w:tcBorders>
              <w:top w:val="nil"/>
              <w:left w:val="nil"/>
              <w:bottom w:val="nil"/>
              <w:right w:val="nil"/>
            </w:tcBorders>
            <w:vAlign w:val="center"/>
          </w:tcPr>
          <w:p w14:paraId="316FF063" w14:textId="77777777" w:rsidR="000C35AF" w:rsidRPr="00113056" w:rsidRDefault="000C35AF" w:rsidP="009238AE">
            <w:pPr>
              <w:pStyle w:val="Regresjonstabell"/>
              <w:jc w:val="right"/>
              <w:rPr>
                <w:sz w:val="20"/>
                <w:szCs w:val="20"/>
              </w:rPr>
            </w:pPr>
            <w:r w:rsidRPr="00113056">
              <w:rPr>
                <w:color w:val="000000"/>
                <w:sz w:val="20"/>
                <w:szCs w:val="20"/>
              </w:rPr>
              <w:t>(0.266)</w:t>
            </w:r>
          </w:p>
        </w:tc>
        <w:tc>
          <w:tcPr>
            <w:tcW w:w="1399" w:type="dxa"/>
            <w:tcBorders>
              <w:top w:val="nil"/>
              <w:left w:val="nil"/>
              <w:bottom w:val="nil"/>
              <w:right w:val="nil"/>
            </w:tcBorders>
            <w:vAlign w:val="center"/>
          </w:tcPr>
          <w:p w14:paraId="2E65DA30" w14:textId="77777777" w:rsidR="000C35AF" w:rsidRPr="00113056" w:rsidRDefault="000C35AF" w:rsidP="009238AE">
            <w:pPr>
              <w:pStyle w:val="Regresjonstabell"/>
              <w:jc w:val="right"/>
              <w:rPr>
                <w:sz w:val="20"/>
                <w:szCs w:val="20"/>
              </w:rPr>
            </w:pPr>
            <w:r w:rsidRPr="00113056">
              <w:rPr>
                <w:color w:val="000000"/>
                <w:sz w:val="20"/>
                <w:szCs w:val="20"/>
              </w:rPr>
              <w:t>(0.622)</w:t>
            </w:r>
          </w:p>
        </w:tc>
        <w:tc>
          <w:tcPr>
            <w:tcW w:w="1400" w:type="dxa"/>
            <w:tcBorders>
              <w:top w:val="nil"/>
              <w:left w:val="nil"/>
              <w:bottom w:val="nil"/>
              <w:right w:val="nil"/>
            </w:tcBorders>
            <w:vAlign w:val="center"/>
          </w:tcPr>
          <w:p w14:paraId="14701D36" w14:textId="77777777" w:rsidR="000C35AF" w:rsidRPr="00113056" w:rsidRDefault="000C35AF" w:rsidP="009238AE">
            <w:pPr>
              <w:pStyle w:val="Regresjonstabell"/>
              <w:jc w:val="right"/>
              <w:rPr>
                <w:sz w:val="20"/>
                <w:szCs w:val="20"/>
              </w:rPr>
            </w:pPr>
            <w:r w:rsidRPr="00113056">
              <w:rPr>
                <w:color w:val="000000"/>
                <w:sz w:val="20"/>
                <w:szCs w:val="20"/>
              </w:rPr>
              <w:t>(0.888)</w:t>
            </w:r>
          </w:p>
        </w:tc>
        <w:tc>
          <w:tcPr>
            <w:tcW w:w="1400" w:type="dxa"/>
            <w:tcBorders>
              <w:top w:val="nil"/>
              <w:left w:val="nil"/>
              <w:bottom w:val="nil"/>
              <w:right w:val="single" w:sz="4" w:space="0" w:color="auto"/>
            </w:tcBorders>
            <w:vAlign w:val="center"/>
          </w:tcPr>
          <w:p w14:paraId="2C1D55D1" w14:textId="77777777" w:rsidR="000C35AF" w:rsidRPr="00113056" w:rsidRDefault="000C35AF" w:rsidP="009238AE">
            <w:pPr>
              <w:pStyle w:val="Regresjonstabell"/>
              <w:jc w:val="right"/>
              <w:rPr>
                <w:sz w:val="20"/>
                <w:szCs w:val="20"/>
              </w:rPr>
            </w:pPr>
            <w:r w:rsidRPr="00113056">
              <w:rPr>
                <w:color w:val="000000"/>
                <w:sz w:val="20"/>
                <w:szCs w:val="20"/>
              </w:rPr>
              <w:t>(11.766)</w:t>
            </w:r>
          </w:p>
        </w:tc>
      </w:tr>
      <w:tr w:rsidR="000C35AF" w:rsidRPr="0055149C" w14:paraId="184C511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E2CCF34" w14:textId="77777777" w:rsidR="000C35AF" w:rsidRPr="0055149C" w:rsidRDefault="000C35AF" w:rsidP="009238AE">
            <w:pPr>
              <w:pStyle w:val="Regresjonstabell"/>
              <w:rPr>
                <w:sz w:val="20"/>
                <w:szCs w:val="20"/>
              </w:rPr>
            </w:pPr>
            <w:r w:rsidRPr="0055149C">
              <w:rPr>
                <w:color w:val="000000"/>
                <w:sz w:val="20"/>
                <w:szCs w:val="20"/>
              </w:rPr>
              <w:t>Innbyggere 23 til 66 år</w:t>
            </w:r>
          </w:p>
        </w:tc>
        <w:tc>
          <w:tcPr>
            <w:tcW w:w="1399" w:type="dxa"/>
            <w:tcBorders>
              <w:top w:val="nil"/>
              <w:left w:val="single" w:sz="4" w:space="0" w:color="auto"/>
              <w:bottom w:val="nil"/>
              <w:right w:val="nil"/>
            </w:tcBorders>
            <w:vAlign w:val="bottom"/>
          </w:tcPr>
          <w:p w14:paraId="5815D4BB" w14:textId="77777777" w:rsidR="000C35AF" w:rsidRPr="00113056" w:rsidRDefault="000C35AF" w:rsidP="009238AE">
            <w:pPr>
              <w:pStyle w:val="Regresjonstabell"/>
              <w:jc w:val="right"/>
              <w:rPr>
                <w:sz w:val="20"/>
                <w:szCs w:val="20"/>
              </w:rPr>
            </w:pPr>
            <w:r w:rsidRPr="00113056">
              <w:rPr>
                <w:color w:val="000000"/>
                <w:sz w:val="20"/>
                <w:szCs w:val="20"/>
              </w:rPr>
              <w:t>-5.209</w:t>
            </w:r>
          </w:p>
        </w:tc>
        <w:tc>
          <w:tcPr>
            <w:tcW w:w="1399" w:type="dxa"/>
            <w:tcBorders>
              <w:top w:val="nil"/>
              <w:left w:val="nil"/>
              <w:bottom w:val="nil"/>
              <w:right w:val="nil"/>
            </w:tcBorders>
            <w:vAlign w:val="bottom"/>
          </w:tcPr>
          <w:p w14:paraId="588EF7C7" w14:textId="77777777" w:rsidR="000C35AF" w:rsidRPr="00113056" w:rsidRDefault="000C35AF" w:rsidP="009238AE">
            <w:pPr>
              <w:pStyle w:val="Regresjonstabell"/>
              <w:jc w:val="right"/>
              <w:rPr>
                <w:sz w:val="20"/>
                <w:szCs w:val="20"/>
              </w:rPr>
            </w:pPr>
            <w:r w:rsidRPr="00113056">
              <w:rPr>
                <w:color w:val="000000"/>
                <w:sz w:val="20"/>
                <w:szCs w:val="20"/>
              </w:rPr>
              <w:t>0.114</w:t>
            </w:r>
          </w:p>
        </w:tc>
        <w:tc>
          <w:tcPr>
            <w:tcW w:w="1399" w:type="dxa"/>
            <w:tcBorders>
              <w:top w:val="nil"/>
              <w:left w:val="nil"/>
              <w:bottom w:val="nil"/>
              <w:right w:val="nil"/>
            </w:tcBorders>
            <w:vAlign w:val="bottom"/>
          </w:tcPr>
          <w:p w14:paraId="7FC47211" w14:textId="77777777" w:rsidR="000C35AF" w:rsidRPr="00113056" w:rsidRDefault="000C35AF" w:rsidP="009238AE">
            <w:pPr>
              <w:pStyle w:val="Regresjonstabell"/>
              <w:jc w:val="right"/>
              <w:rPr>
                <w:sz w:val="20"/>
                <w:szCs w:val="20"/>
              </w:rPr>
            </w:pPr>
            <w:r w:rsidRPr="00113056">
              <w:rPr>
                <w:color w:val="000000"/>
                <w:sz w:val="20"/>
                <w:szCs w:val="20"/>
              </w:rPr>
              <w:t>-5.323*</w:t>
            </w:r>
          </w:p>
        </w:tc>
        <w:tc>
          <w:tcPr>
            <w:tcW w:w="1399" w:type="dxa"/>
            <w:tcBorders>
              <w:top w:val="nil"/>
              <w:left w:val="nil"/>
              <w:bottom w:val="nil"/>
              <w:right w:val="nil"/>
            </w:tcBorders>
            <w:vAlign w:val="bottom"/>
          </w:tcPr>
          <w:p w14:paraId="2E590225" w14:textId="77777777" w:rsidR="000C35AF" w:rsidRPr="00113056" w:rsidRDefault="000C35AF" w:rsidP="009238AE">
            <w:pPr>
              <w:pStyle w:val="Regresjonstabell"/>
              <w:jc w:val="right"/>
              <w:rPr>
                <w:sz w:val="20"/>
                <w:szCs w:val="20"/>
              </w:rPr>
            </w:pPr>
            <w:r w:rsidRPr="00113056">
              <w:rPr>
                <w:color w:val="000000"/>
                <w:sz w:val="20"/>
                <w:szCs w:val="20"/>
              </w:rPr>
              <w:t>-0.041</w:t>
            </w:r>
          </w:p>
        </w:tc>
        <w:tc>
          <w:tcPr>
            <w:tcW w:w="1399" w:type="dxa"/>
            <w:tcBorders>
              <w:top w:val="nil"/>
              <w:left w:val="nil"/>
              <w:bottom w:val="nil"/>
              <w:right w:val="nil"/>
            </w:tcBorders>
            <w:vAlign w:val="bottom"/>
          </w:tcPr>
          <w:p w14:paraId="27B4049C" w14:textId="77777777" w:rsidR="000C35AF" w:rsidRPr="00113056" w:rsidRDefault="000C35AF" w:rsidP="009238AE">
            <w:pPr>
              <w:pStyle w:val="Regresjonstabell"/>
              <w:jc w:val="right"/>
              <w:rPr>
                <w:sz w:val="20"/>
                <w:szCs w:val="20"/>
              </w:rPr>
            </w:pPr>
            <w:r w:rsidRPr="00113056">
              <w:rPr>
                <w:color w:val="000000"/>
                <w:sz w:val="20"/>
                <w:szCs w:val="20"/>
              </w:rPr>
              <w:t>-0.151</w:t>
            </w:r>
          </w:p>
        </w:tc>
        <w:tc>
          <w:tcPr>
            <w:tcW w:w="1399" w:type="dxa"/>
            <w:tcBorders>
              <w:top w:val="nil"/>
              <w:left w:val="nil"/>
              <w:bottom w:val="nil"/>
              <w:right w:val="nil"/>
            </w:tcBorders>
            <w:vAlign w:val="bottom"/>
          </w:tcPr>
          <w:p w14:paraId="40218CDE" w14:textId="77777777" w:rsidR="000C35AF" w:rsidRPr="00113056" w:rsidRDefault="000C35AF" w:rsidP="009238AE">
            <w:pPr>
              <w:pStyle w:val="Regresjonstabell"/>
              <w:jc w:val="right"/>
              <w:rPr>
                <w:sz w:val="20"/>
                <w:szCs w:val="20"/>
              </w:rPr>
            </w:pPr>
            <w:r w:rsidRPr="00113056">
              <w:rPr>
                <w:color w:val="000000"/>
                <w:sz w:val="20"/>
                <w:szCs w:val="20"/>
              </w:rPr>
              <w:t>-0.353</w:t>
            </w:r>
          </w:p>
        </w:tc>
        <w:tc>
          <w:tcPr>
            <w:tcW w:w="1400" w:type="dxa"/>
            <w:tcBorders>
              <w:top w:val="nil"/>
              <w:left w:val="nil"/>
              <w:bottom w:val="nil"/>
              <w:right w:val="nil"/>
            </w:tcBorders>
            <w:vAlign w:val="bottom"/>
          </w:tcPr>
          <w:p w14:paraId="62260354" w14:textId="77777777" w:rsidR="000C35AF" w:rsidRPr="00113056" w:rsidRDefault="000C35AF" w:rsidP="009238AE">
            <w:pPr>
              <w:pStyle w:val="Regresjonstabell"/>
              <w:jc w:val="right"/>
              <w:rPr>
                <w:sz w:val="20"/>
                <w:szCs w:val="20"/>
              </w:rPr>
            </w:pPr>
            <w:r w:rsidRPr="00113056">
              <w:rPr>
                <w:color w:val="000000"/>
                <w:sz w:val="20"/>
                <w:szCs w:val="20"/>
              </w:rPr>
              <w:t>-0.504</w:t>
            </w:r>
          </w:p>
        </w:tc>
        <w:tc>
          <w:tcPr>
            <w:tcW w:w="1400" w:type="dxa"/>
            <w:tcBorders>
              <w:top w:val="nil"/>
              <w:left w:val="nil"/>
              <w:bottom w:val="nil"/>
              <w:right w:val="single" w:sz="4" w:space="0" w:color="auto"/>
            </w:tcBorders>
            <w:vAlign w:val="bottom"/>
          </w:tcPr>
          <w:p w14:paraId="675A8FD2" w14:textId="77777777" w:rsidR="000C35AF" w:rsidRPr="00113056" w:rsidRDefault="000C35AF" w:rsidP="009238AE">
            <w:pPr>
              <w:pStyle w:val="Regresjonstabell"/>
              <w:jc w:val="right"/>
              <w:rPr>
                <w:sz w:val="20"/>
                <w:szCs w:val="20"/>
              </w:rPr>
            </w:pPr>
            <w:r w:rsidRPr="00113056">
              <w:rPr>
                <w:color w:val="000000"/>
                <w:sz w:val="20"/>
                <w:szCs w:val="20"/>
              </w:rPr>
              <w:t>-5.713</w:t>
            </w:r>
          </w:p>
        </w:tc>
      </w:tr>
      <w:tr w:rsidR="000C35AF" w:rsidRPr="0055149C" w14:paraId="2B387CA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2D0BFF8" w14:textId="77777777" w:rsidR="000C35AF" w:rsidRPr="0055149C" w:rsidRDefault="000C35AF" w:rsidP="009238AE">
            <w:pPr>
              <w:pStyle w:val="Regresjonstabell"/>
              <w:rPr>
                <w:sz w:val="20"/>
                <w:szCs w:val="20"/>
              </w:rPr>
            </w:pPr>
            <w:r w:rsidRPr="0055149C">
              <w:rPr>
                <w:sz w:val="20"/>
                <w:szCs w:val="20"/>
              </w:rPr>
              <w:t>(Kriterium 7)</w:t>
            </w:r>
          </w:p>
        </w:tc>
        <w:tc>
          <w:tcPr>
            <w:tcW w:w="1399" w:type="dxa"/>
            <w:tcBorders>
              <w:top w:val="nil"/>
              <w:left w:val="single" w:sz="4" w:space="0" w:color="auto"/>
              <w:bottom w:val="nil"/>
              <w:right w:val="nil"/>
            </w:tcBorders>
            <w:vAlign w:val="center"/>
          </w:tcPr>
          <w:p w14:paraId="5D615F4A" w14:textId="77777777" w:rsidR="000C35AF" w:rsidRPr="00113056" w:rsidRDefault="000C35AF" w:rsidP="009238AE">
            <w:pPr>
              <w:pStyle w:val="Regresjonstabell"/>
              <w:jc w:val="right"/>
              <w:rPr>
                <w:sz w:val="20"/>
                <w:szCs w:val="20"/>
              </w:rPr>
            </w:pPr>
            <w:r w:rsidRPr="00113056">
              <w:rPr>
                <w:color w:val="000000"/>
                <w:sz w:val="20"/>
                <w:szCs w:val="20"/>
              </w:rPr>
              <w:t>(4.347)</w:t>
            </w:r>
          </w:p>
        </w:tc>
        <w:tc>
          <w:tcPr>
            <w:tcW w:w="1399" w:type="dxa"/>
            <w:tcBorders>
              <w:top w:val="nil"/>
              <w:left w:val="nil"/>
              <w:bottom w:val="nil"/>
              <w:right w:val="nil"/>
            </w:tcBorders>
            <w:vAlign w:val="center"/>
          </w:tcPr>
          <w:p w14:paraId="7B917DAF" w14:textId="77777777" w:rsidR="000C35AF" w:rsidRPr="00113056" w:rsidRDefault="000C35AF" w:rsidP="009238AE">
            <w:pPr>
              <w:pStyle w:val="Regresjonstabell"/>
              <w:jc w:val="right"/>
              <w:rPr>
                <w:sz w:val="20"/>
                <w:szCs w:val="20"/>
              </w:rPr>
            </w:pPr>
            <w:r w:rsidRPr="00113056">
              <w:rPr>
                <w:color w:val="000000"/>
                <w:sz w:val="20"/>
                <w:szCs w:val="20"/>
              </w:rPr>
              <w:t>(2.421)</w:t>
            </w:r>
          </w:p>
        </w:tc>
        <w:tc>
          <w:tcPr>
            <w:tcW w:w="1399" w:type="dxa"/>
            <w:tcBorders>
              <w:top w:val="nil"/>
              <w:left w:val="nil"/>
              <w:bottom w:val="nil"/>
              <w:right w:val="nil"/>
            </w:tcBorders>
            <w:vAlign w:val="center"/>
          </w:tcPr>
          <w:p w14:paraId="178FA0AE" w14:textId="77777777" w:rsidR="000C35AF" w:rsidRPr="00113056" w:rsidRDefault="000C35AF" w:rsidP="009238AE">
            <w:pPr>
              <w:pStyle w:val="Regresjonstabell"/>
              <w:jc w:val="right"/>
              <w:rPr>
                <w:sz w:val="20"/>
                <w:szCs w:val="20"/>
              </w:rPr>
            </w:pPr>
            <w:r w:rsidRPr="00113056">
              <w:rPr>
                <w:color w:val="000000"/>
                <w:sz w:val="20"/>
                <w:szCs w:val="20"/>
              </w:rPr>
              <w:t>(2.863)</w:t>
            </w:r>
          </w:p>
        </w:tc>
        <w:tc>
          <w:tcPr>
            <w:tcW w:w="1399" w:type="dxa"/>
            <w:tcBorders>
              <w:top w:val="nil"/>
              <w:left w:val="nil"/>
              <w:bottom w:val="nil"/>
              <w:right w:val="nil"/>
            </w:tcBorders>
            <w:vAlign w:val="center"/>
          </w:tcPr>
          <w:p w14:paraId="7C1401A8" w14:textId="77777777" w:rsidR="000C35AF" w:rsidRPr="00113056" w:rsidRDefault="000C35AF" w:rsidP="009238AE">
            <w:pPr>
              <w:pStyle w:val="Regresjonstabell"/>
              <w:jc w:val="right"/>
              <w:rPr>
                <w:sz w:val="20"/>
                <w:szCs w:val="20"/>
              </w:rPr>
            </w:pPr>
            <w:r w:rsidRPr="00113056">
              <w:rPr>
                <w:color w:val="000000"/>
                <w:sz w:val="20"/>
                <w:szCs w:val="20"/>
              </w:rPr>
              <w:t>(0.105)</w:t>
            </w:r>
          </w:p>
        </w:tc>
        <w:tc>
          <w:tcPr>
            <w:tcW w:w="1399" w:type="dxa"/>
            <w:tcBorders>
              <w:top w:val="nil"/>
              <w:left w:val="nil"/>
              <w:bottom w:val="nil"/>
              <w:right w:val="nil"/>
            </w:tcBorders>
            <w:vAlign w:val="center"/>
          </w:tcPr>
          <w:p w14:paraId="2690910E" w14:textId="77777777" w:rsidR="000C35AF" w:rsidRPr="00113056" w:rsidRDefault="000C35AF" w:rsidP="009238AE">
            <w:pPr>
              <w:pStyle w:val="Regresjonstabell"/>
              <w:jc w:val="right"/>
              <w:rPr>
                <w:sz w:val="20"/>
                <w:szCs w:val="20"/>
              </w:rPr>
            </w:pPr>
            <w:r w:rsidRPr="00113056">
              <w:rPr>
                <w:color w:val="000000"/>
                <w:sz w:val="20"/>
                <w:szCs w:val="20"/>
              </w:rPr>
              <w:t>(0.092)</w:t>
            </w:r>
          </w:p>
        </w:tc>
        <w:tc>
          <w:tcPr>
            <w:tcW w:w="1399" w:type="dxa"/>
            <w:tcBorders>
              <w:top w:val="nil"/>
              <w:left w:val="nil"/>
              <w:bottom w:val="nil"/>
              <w:right w:val="nil"/>
            </w:tcBorders>
            <w:vAlign w:val="center"/>
          </w:tcPr>
          <w:p w14:paraId="131985DA" w14:textId="77777777" w:rsidR="000C35AF" w:rsidRPr="00113056" w:rsidRDefault="000C35AF" w:rsidP="009238AE">
            <w:pPr>
              <w:pStyle w:val="Regresjonstabell"/>
              <w:jc w:val="right"/>
              <w:rPr>
                <w:sz w:val="20"/>
                <w:szCs w:val="20"/>
              </w:rPr>
            </w:pPr>
            <w:r w:rsidRPr="00113056">
              <w:rPr>
                <w:color w:val="000000"/>
                <w:sz w:val="20"/>
                <w:szCs w:val="20"/>
              </w:rPr>
              <w:t>(0.216)</w:t>
            </w:r>
          </w:p>
        </w:tc>
        <w:tc>
          <w:tcPr>
            <w:tcW w:w="1400" w:type="dxa"/>
            <w:tcBorders>
              <w:top w:val="nil"/>
              <w:left w:val="nil"/>
              <w:bottom w:val="nil"/>
              <w:right w:val="nil"/>
            </w:tcBorders>
            <w:vAlign w:val="center"/>
          </w:tcPr>
          <w:p w14:paraId="5530C5C6" w14:textId="77777777" w:rsidR="000C35AF" w:rsidRPr="00113056" w:rsidRDefault="000C35AF" w:rsidP="009238AE">
            <w:pPr>
              <w:pStyle w:val="Regresjonstabell"/>
              <w:jc w:val="right"/>
              <w:rPr>
                <w:sz w:val="20"/>
                <w:szCs w:val="20"/>
              </w:rPr>
            </w:pPr>
            <w:r w:rsidRPr="00113056">
              <w:rPr>
                <w:color w:val="000000"/>
                <w:sz w:val="20"/>
                <w:szCs w:val="20"/>
              </w:rPr>
              <w:t>(0.308)</w:t>
            </w:r>
          </w:p>
        </w:tc>
        <w:tc>
          <w:tcPr>
            <w:tcW w:w="1400" w:type="dxa"/>
            <w:tcBorders>
              <w:top w:val="nil"/>
              <w:left w:val="nil"/>
              <w:bottom w:val="nil"/>
              <w:right w:val="single" w:sz="4" w:space="0" w:color="auto"/>
            </w:tcBorders>
            <w:vAlign w:val="center"/>
          </w:tcPr>
          <w:p w14:paraId="4B202501" w14:textId="77777777" w:rsidR="000C35AF" w:rsidRPr="00113056" w:rsidRDefault="000C35AF" w:rsidP="009238AE">
            <w:pPr>
              <w:pStyle w:val="Regresjonstabell"/>
              <w:jc w:val="right"/>
              <w:rPr>
                <w:sz w:val="20"/>
                <w:szCs w:val="20"/>
              </w:rPr>
            </w:pPr>
            <w:r w:rsidRPr="00113056">
              <w:rPr>
                <w:color w:val="000000"/>
                <w:sz w:val="20"/>
                <w:szCs w:val="20"/>
              </w:rPr>
              <w:t>(4.387)</w:t>
            </w:r>
          </w:p>
        </w:tc>
      </w:tr>
      <w:tr w:rsidR="000C35AF" w:rsidRPr="0055149C" w14:paraId="7ACE472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11375C7" w14:textId="77777777" w:rsidR="000C35AF" w:rsidRPr="0055149C" w:rsidRDefault="000C35AF" w:rsidP="009238AE">
            <w:pPr>
              <w:pStyle w:val="Regresjonstabell"/>
              <w:rPr>
                <w:sz w:val="20"/>
                <w:szCs w:val="20"/>
              </w:rPr>
            </w:pPr>
            <w:r w:rsidRPr="0055149C">
              <w:rPr>
                <w:color w:val="000000"/>
                <w:sz w:val="20"/>
                <w:szCs w:val="20"/>
              </w:rPr>
              <w:t>Uføre 18 til 49 år</w:t>
            </w:r>
          </w:p>
        </w:tc>
        <w:tc>
          <w:tcPr>
            <w:tcW w:w="1399" w:type="dxa"/>
            <w:tcBorders>
              <w:top w:val="nil"/>
              <w:left w:val="single" w:sz="4" w:space="0" w:color="auto"/>
              <w:bottom w:val="nil"/>
              <w:right w:val="nil"/>
            </w:tcBorders>
            <w:vAlign w:val="bottom"/>
          </w:tcPr>
          <w:p w14:paraId="529A1BF9" w14:textId="77777777" w:rsidR="000C35AF" w:rsidRPr="00113056" w:rsidRDefault="000C35AF" w:rsidP="009238AE">
            <w:pPr>
              <w:pStyle w:val="Regresjonstabell"/>
              <w:jc w:val="right"/>
              <w:rPr>
                <w:sz w:val="20"/>
                <w:szCs w:val="20"/>
              </w:rPr>
            </w:pPr>
            <w:r w:rsidRPr="00113056">
              <w:rPr>
                <w:color w:val="000000"/>
                <w:sz w:val="20"/>
                <w:szCs w:val="20"/>
              </w:rPr>
              <w:t>27.172***</w:t>
            </w:r>
          </w:p>
        </w:tc>
        <w:tc>
          <w:tcPr>
            <w:tcW w:w="1399" w:type="dxa"/>
            <w:tcBorders>
              <w:top w:val="nil"/>
              <w:left w:val="nil"/>
              <w:bottom w:val="nil"/>
              <w:right w:val="nil"/>
            </w:tcBorders>
            <w:vAlign w:val="bottom"/>
          </w:tcPr>
          <w:p w14:paraId="7D3000A3" w14:textId="77777777" w:rsidR="000C35AF" w:rsidRPr="00113056" w:rsidRDefault="000C35AF" w:rsidP="009238AE">
            <w:pPr>
              <w:pStyle w:val="Regresjonstabell"/>
              <w:jc w:val="right"/>
              <w:rPr>
                <w:sz w:val="20"/>
                <w:szCs w:val="20"/>
              </w:rPr>
            </w:pPr>
            <w:r w:rsidRPr="00113056">
              <w:rPr>
                <w:color w:val="000000"/>
                <w:sz w:val="20"/>
                <w:szCs w:val="20"/>
              </w:rPr>
              <w:t>6.317</w:t>
            </w:r>
          </w:p>
        </w:tc>
        <w:tc>
          <w:tcPr>
            <w:tcW w:w="1399" w:type="dxa"/>
            <w:tcBorders>
              <w:top w:val="nil"/>
              <w:left w:val="nil"/>
              <w:bottom w:val="nil"/>
              <w:right w:val="nil"/>
            </w:tcBorders>
            <w:vAlign w:val="bottom"/>
          </w:tcPr>
          <w:p w14:paraId="35955D9C" w14:textId="77777777" w:rsidR="000C35AF" w:rsidRPr="00113056" w:rsidRDefault="000C35AF" w:rsidP="009238AE">
            <w:pPr>
              <w:pStyle w:val="Regresjonstabell"/>
              <w:jc w:val="right"/>
              <w:rPr>
                <w:sz w:val="20"/>
                <w:szCs w:val="20"/>
              </w:rPr>
            </w:pPr>
            <w:r w:rsidRPr="00113056">
              <w:rPr>
                <w:color w:val="000000"/>
                <w:sz w:val="20"/>
                <w:szCs w:val="20"/>
              </w:rPr>
              <w:t>20.855***</w:t>
            </w:r>
          </w:p>
        </w:tc>
        <w:tc>
          <w:tcPr>
            <w:tcW w:w="1399" w:type="dxa"/>
            <w:tcBorders>
              <w:top w:val="nil"/>
              <w:left w:val="nil"/>
              <w:bottom w:val="nil"/>
              <w:right w:val="nil"/>
            </w:tcBorders>
            <w:vAlign w:val="bottom"/>
          </w:tcPr>
          <w:p w14:paraId="3E34EED5" w14:textId="77777777" w:rsidR="000C35AF" w:rsidRPr="00113056" w:rsidRDefault="000C35AF" w:rsidP="009238AE">
            <w:pPr>
              <w:pStyle w:val="Regresjonstabell"/>
              <w:jc w:val="right"/>
              <w:rPr>
                <w:sz w:val="20"/>
                <w:szCs w:val="20"/>
              </w:rPr>
            </w:pPr>
            <w:r w:rsidRPr="00113056">
              <w:rPr>
                <w:color w:val="000000"/>
                <w:sz w:val="20"/>
                <w:szCs w:val="20"/>
              </w:rPr>
              <w:t>-0.067</w:t>
            </w:r>
          </w:p>
        </w:tc>
        <w:tc>
          <w:tcPr>
            <w:tcW w:w="1399" w:type="dxa"/>
            <w:tcBorders>
              <w:top w:val="nil"/>
              <w:left w:val="nil"/>
              <w:bottom w:val="nil"/>
              <w:right w:val="nil"/>
            </w:tcBorders>
            <w:vAlign w:val="bottom"/>
          </w:tcPr>
          <w:p w14:paraId="0FBB2DF5" w14:textId="77777777" w:rsidR="000C35AF" w:rsidRPr="00113056" w:rsidRDefault="000C35AF" w:rsidP="009238AE">
            <w:pPr>
              <w:pStyle w:val="Regresjonstabell"/>
              <w:jc w:val="right"/>
              <w:rPr>
                <w:sz w:val="20"/>
                <w:szCs w:val="20"/>
              </w:rPr>
            </w:pPr>
            <w:r w:rsidRPr="00113056">
              <w:rPr>
                <w:color w:val="000000"/>
                <w:sz w:val="20"/>
                <w:szCs w:val="20"/>
              </w:rPr>
              <w:t>0.139</w:t>
            </w:r>
          </w:p>
        </w:tc>
        <w:tc>
          <w:tcPr>
            <w:tcW w:w="1399" w:type="dxa"/>
            <w:tcBorders>
              <w:top w:val="nil"/>
              <w:left w:val="nil"/>
              <w:bottom w:val="nil"/>
              <w:right w:val="nil"/>
            </w:tcBorders>
            <w:vAlign w:val="bottom"/>
          </w:tcPr>
          <w:p w14:paraId="1ADEDBE9" w14:textId="77777777" w:rsidR="000C35AF" w:rsidRPr="00113056" w:rsidRDefault="000C35AF" w:rsidP="009238AE">
            <w:pPr>
              <w:pStyle w:val="Regresjonstabell"/>
              <w:jc w:val="right"/>
              <w:rPr>
                <w:sz w:val="20"/>
                <w:szCs w:val="20"/>
              </w:rPr>
            </w:pPr>
            <w:r w:rsidRPr="00113056">
              <w:rPr>
                <w:color w:val="000000"/>
                <w:sz w:val="20"/>
                <w:szCs w:val="20"/>
              </w:rPr>
              <w:t>0.323</w:t>
            </w:r>
          </w:p>
        </w:tc>
        <w:tc>
          <w:tcPr>
            <w:tcW w:w="1400" w:type="dxa"/>
            <w:tcBorders>
              <w:top w:val="nil"/>
              <w:left w:val="nil"/>
              <w:bottom w:val="nil"/>
              <w:right w:val="nil"/>
            </w:tcBorders>
            <w:vAlign w:val="bottom"/>
          </w:tcPr>
          <w:p w14:paraId="72A72D31" w14:textId="77777777" w:rsidR="000C35AF" w:rsidRPr="00113056" w:rsidRDefault="000C35AF" w:rsidP="009238AE">
            <w:pPr>
              <w:pStyle w:val="Regresjonstabell"/>
              <w:jc w:val="right"/>
              <w:rPr>
                <w:sz w:val="20"/>
                <w:szCs w:val="20"/>
              </w:rPr>
            </w:pPr>
            <w:r w:rsidRPr="00113056">
              <w:rPr>
                <w:color w:val="000000"/>
                <w:sz w:val="20"/>
                <w:szCs w:val="20"/>
              </w:rPr>
              <w:t>0.462</w:t>
            </w:r>
          </w:p>
        </w:tc>
        <w:tc>
          <w:tcPr>
            <w:tcW w:w="1400" w:type="dxa"/>
            <w:tcBorders>
              <w:top w:val="nil"/>
              <w:left w:val="nil"/>
              <w:bottom w:val="nil"/>
              <w:right w:val="single" w:sz="4" w:space="0" w:color="auto"/>
            </w:tcBorders>
            <w:vAlign w:val="bottom"/>
          </w:tcPr>
          <w:p w14:paraId="127DAFCF" w14:textId="77777777" w:rsidR="000C35AF" w:rsidRPr="00113056" w:rsidRDefault="000C35AF" w:rsidP="009238AE">
            <w:pPr>
              <w:pStyle w:val="Regresjonstabell"/>
              <w:jc w:val="right"/>
              <w:rPr>
                <w:sz w:val="20"/>
                <w:szCs w:val="20"/>
              </w:rPr>
            </w:pPr>
            <w:r w:rsidRPr="00113056">
              <w:rPr>
                <w:color w:val="000000"/>
                <w:sz w:val="20"/>
                <w:szCs w:val="20"/>
              </w:rPr>
              <w:t>27.634***</w:t>
            </w:r>
          </w:p>
        </w:tc>
      </w:tr>
      <w:tr w:rsidR="000C35AF" w:rsidRPr="0055149C" w14:paraId="2ACACB3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68D8547" w14:textId="77777777" w:rsidR="000C35AF" w:rsidRPr="0055149C" w:rsidRDefault="000C35AF" w:rsidP="009238AE">
            <w:pPr>
              <w:pStyle w:val="Regresjonstabell"/>
              <w:rPr>
                <w:sz w:val="20"/>
                <w:szCs w:val="20"/>
              </w:rPr>
            </w:pPr>
            <w:r w:rsidRPr="0055149C">
              <w:rPr>
                <w:sz w:val="20"/>
                <w:szCs w:val="20"/>
              </w:rPr>
              <w:t>(Kriterium 21)</w:t>
            </w:r>
          </w:p>
        </w:tc>
        <w:tc>
          <w:tcPr>
            <w:tcW w:w="1399" w:type="dxa"/>
            <w:tcBorders>
              <w:top w:val="nil"/>
              <w:left w:val="single" w:sz="4" w:space="0" w:color="auto"/>
              <w:bottom w:val="nil"/>
              <w:right w:val="nil"/>
            </w:tcBorders>
            <w:vAlign w:val="center"/>
          </w:tcPr>
          <w:p w14:paraId="0E3EDF6B" w14:textId="77777777" w:rsidR="000C35AF" w:rsidRPr="00113056" w:rsidRDefault="000C35AF" w:rsidP="009238AE">
            <w:pPr>
              <w:pStyle w:val="Regresjonstabell"/>
              <w:jc w:val="right"/>
              <w:rPr>
                <w:sz w:val="20"/>
                <w:szCs w:val="20"/>
              </w:rPr>
            </w:pPr>
            <w:r w:rsidRPr="00113056">
              <w:rPr>
                <w:color w:val="000000"/>
                <w:sz w:val="20"/>
                <w:szCs w:val="20"/>
              </w:rPr>
              <w:t>(10.463)</w:t>
            </w:r>
          </w:p>
        </w:tc>
        <w:tc>
          <w:tcPr>
            <w:tcW w:w="1399" w:type="dxa"/>
            <w:tcBorders>
              <w:top w:val="nil"/>
              <w:left w:val="nil"/>
              <w:bottom w:val="nil"/>
              <w:right w:val="nil"/>
            </w:tcBorders>
            <w:vAlign w:val="center"/>
          </w:tcPr>
          <w:p w14:paraId="1D0DD18F" w14:textId="77777777" w:rsidR="000C35AF" w:rsidRPr="00113056" w:rsidRDefault="000C35AF" w:rsidP="009238AE">
            <w:pPr>
              <w:pStyle w:val="Regresjonstabell"/>
              <w:jc w:val="right"/>
              <w:rPr>
                <w:sz w:val="20"/>
                <w:szCs w:val="20"/>
              </w:rPr>
            </w:pPr>
            <w:r w:rsidRPr="00113056">
              <w:rPr>
                <w:color w:val="000000"/>
                <w:sz w:val="20"/>
                <w:szCs w:val="20"/>
              </w:rPr>
              <w:t>(6.474)</w:t>
            </w:r>
          </w:p>
        </w:tc>
        <w:tc>
          <w:tcPr>
            <w:tcW w:w="1399" w:type="dxa"/>
            <w:tcBorders>
              <w:top w:val="nil"/>
              <w:left w:val="nil"/>
              <w:bottom w:val="nil"/>
              <w:right w:val="nil"/>
            </w:tcBorders>
            <w:vAlign w:val="center"/>
          </w:tcPr>
          <w:p w14:paraId="362D0B94" w14:textId="77777777" w:rsidR="000C35AF" w:rsidRPr="00113056" w:rsidRDefault="000C35AF" w:rsidP="009238AE">
            <w:pPr>
              <w:pStyle w:val="Regresjonstabell"/>
              <w:jc w:val="right"/>
              <w:rPr>
                <w:sz w:val="20"/>
                <w:szCs w:val="20"/>
              </w:rPr>
            </w:pPr>
            <w:r w:rsidRPr="00113056">
              <w:rPr>
                <w:color w:val="000000"/>
                <w:sz w:val="20"/>
                <w:szCs w:val="20"/>
              </w:rPr>
              <w:t>(6.753)</w:t>
            </w:r>
          </w:p>
        </w:tc>
        <w:tc>
          <w:tcPr>
            <w:tcW w:w="1399" w:type="dxa"/>
            <w:tcBorders>
              <w:top w:val="nil"/>
              <w:left w:val="nil"/>
              <w:bottom w:val="nil"/>
              <w:right w:val="nil"/>
            </w:tcBorders>
            <w:vAlign w:val="center"/>
          </w:tcPr>
          <w:p w14:paraId="7922022E" w14:textId="77777777" w:rsidR="000C35AF" w:rsidRPr="00113056" w:rsidRDefault="000C35AF" w:rsidP="009238AE">
            <w:pPr>
              <w:pStyle w:val="Regresjonstabell"/>
              <w:jc w:val="right"/>
              <w:rPr>
                <w:sz w:val="20"/>
                <w:szCs w:val="20"/>
              </w:rPr>
            </w:pPr>
            <w:r w:rsidRPr="00113056">
              <w:rPr>
                <w:color w:val="000000"/>
                <w:sz w:val="20"/>
                <w:szCs w:val="20"/>
              </w:rPr>
              <w:t>(0.209)</w:t>
            </w:r>
          </w:p>
        </w:tc>
        <w:tc>
          <w:tcPr>
            <w:tcW w:w="1399" w:type="dxa"/>
            <w:tcBorders>
              <w:top w:val="nil"/>
              <w:left w:val="nil"/>
              <w:bottom w:val="nil"/>
              <w:right w:val="nil"/>
            </w:tcBorders>
            <w:vAlign w:val="center"/>
          </w:tcPr>
          <w:p w14:paraId="28BAA19D" w14:textId="77777777" w:rsidR="000C35AF" w:rsidRPr="00113056" w:rsidRDefault="000C35AF" w:rsidP="009238AE">
            <w:pPr>
              <w:pStyle w:val="Regresjonstabell"/>
              <w:jc w:val="right"/>
              <w:rPr>
                <w:sz w:val="20"/>
                <w:szCs w:val="20"/>
              </w:rPr>
            </w:pPr>
            <w:r w:rsidRPr="00113056">
              <w:rPr>
                <w:color w:val="000000"/>
                <w:sz w:val="20"/>
                <w:szCs w:val="20"/>
              </w:rPr>
              <w:t>(0.245)</w:t>
            </w:r>
          </w:p>
        </w:tc>
        <w:tc>
          <w:tcPr>
            <w:tcW w:w="1399" w:type="dxa"/>
            <w:tcBorders>
              <w:top w:val="nil"/>
              <w:left w:val="nil"/>
              <w:bottom w:val="nil"/>
              <w:right w:val="nil"/>
            </w:tcBorders>
            <w:vAlign w:val="center"/>
          </w:tcPr>
          <w:p w14:paraId="1AD6C41A" w14:textId="77777777" w:rsidR="000C35AF" w:rsidRPr="00113056" w:rsidRDefault="000C35AF" w:rsidP="009238AE">
            <w:pPr>
              <w:pStyle w:val="Regresjonstabell"/>
              <w:jc w:val="right"/>
              <w:rPr>
                <w:sz w:val="20"/>
                <w:szCs w:val="20"/>
              </w:rPr>
            </w:pPr>
            <w:r w:rsidRPr="00113056">
              <w:rPr>
                <w:color w:val="000000"/>
                <w:sz w:val="20"/>
                <w:szCs w:val="20"/>
              </w:rPr>
              <w:t>(0.574)</w:t>
            </w:r>
          </w:p>
        </w:tc>
        <w:tc>
          <w:tcPr>
            <w:tcW w:w="1400" w:type="dxa"/>
            <w:tcBorders>
              <w:top w:val="nil"/>
              <w:left w:val="nil"/>
              <w:bottom w:val="nil"/>
              <w:right w:val="nil"/>
            </w:tcBorders>
            <w:vAlign w:val="center"/>
          </w:tcPr>
          <w:p w14:paraId="3C2DD889" w14:textId="77777777" w:rsidR="000C35AF" w:rsidRPr="00113056" w:rsidRDefault="000C35AF" w:rsidP="009238AE">
            <w:pPr>
              <w:pStyle w:val="Regresjonstabell"/>
              <w:jc w:val="right"/>
              <w:rPr>
                <w:sz w:val="20"/>
                <w:szCs w:val="20"/>
              </w:rPr>
            </w:pPr>
            <w:r w:rsidRPr="00113056">
              <w:rPr>
                <w:color w:val="000000"/>
                <w:sz w:val="20"/>
                <w:szCs w:val="20"/>
              </w:rPr>
              <w:t>(0.819)</w:t>
            </w:r>
          </w:p>
        </w:tc>
        <w:tc>
          <w:tcPr>
            <w:tcW w:w="1400" w:type="dxa"/>
            <w:tcBorders>
              <w:top w:val="nil"/>
              <w:left w:val="nil"/>
              <w:bottom w:val="nil"/>
              <w:right w:val="single" w:sz="4" w:space="0" w:color="auto"/>
            </w:tcBorders>
            <w:vAlign w:val="center"/>
          </w:tcPr>
          <w:p w14:paraId="45D8D75C" w14:textId="77777777" w:rsidR="000C35AF" w:rsidRPr="00113056" w:rsidRDefault="000C35AF" w:rsidP="009238AE">
            <w:pPr>
              <w:pStyle w:val="Regresjonstabell"/>
              <w:jc w:val="right"/>
              <w:rPr>
                <w:sz w:val="20"/>
                <w:szCs w:val="20"/>
              </w:rPr>
            </w:pPr>
            <w:r w:rsidRPr="00113056">
              <w:rPr>
                <w:color w:val="000000"/>
                <w:sz w:val="20"/>
                <w:szCs w:val="20"/>
              </w:rPr>
              <w:t>(10.579)</w:t>
            </w:r>
          </w:p>
        </w:tc>
      </w:tr>
      <w:tr w:rsidR="000C35AF" w:rsidRPr="0055149C" w14:paraId="25267D46"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40E32BA3" w14:textId="77777777" w:rsidR="000C35AF" w:rsidRPr="0055149C" w:rsidRDefault="000C35AF" w:rsidP="009238AE">
            <w:pPr>
              <w:pStyle w:val="Regresjonstabell"/>
              <w:rPr>
                <w:sz w:val="20"/>
                <w:szCs w:val="20"/>
              </w:rPr>
            </w:pPr>
            <w:r w:rsidRPr="0055149C">
              <w:rPr>
                <w:color w:val="000000"/>
                <w:sz w:val="20"/>
                <w:szCs w:val="20"/>
              </w:rPr>
              <w:t>Flykninger</w:t>
            </w:r>
          </w:p>
        </w:tc>
        <w:tc>
          <w:tcPr>
            <w:tcW w:w="1399" w:type="dxa"/>
            <w:tcBorders>
              <w:top w:val="nil"/>
              <w:left w:val="single" w:sz="4" w:space="0" w:color="auto"/>
              <w:bottom w:val="nil"/>
              <w:right w:val="nil"/>
            </w:tcBorders>
            <w:vAlign w:val="bottom"/>
          </w:tcPr>
          <w:p w14:paraId="660DF590" w14:textId="77777777" w:rsidR="000C35AF" w:rsidRPr="00113056" w:rsidRDefault="000C35AF" w:rsidP="009238AE">
            <w:pPr>
              <w:pStyle w:val="Regresjonstabell"/>
              <w:jc w:val="right"/>
              <w:rPr>
                <w:sz w:val="20"/>
                <w:szCs w:val="20"/>
              </w:rPr>
            </w:pPr>
            <w:r w:rsidRPr="00113056">
              <w:rPr>
                <w:color w:val="000000"/>
                <w:sz w:val="20"/>
                <w:szCs w:val="20"/>
              </w:rPr>
              <w:t>42.845***</w:t>
            </w:r>
          </w:p>
        </w:tc>
        <w:tc>
          <w:tcPr>
            <w:tcW w:w="1399" w:type="dxa"/>
            <w:tcBorders>
              <w:top w:val="nil"/>
              <w:left w:val="nil"/>
              <w:bottom w:val="nil"/>
              <w:right w:val="nil"/>
            </w:tcBorders>
            <w:vAlign w:val="bottom"/>
          </w:tcPr>
          <w:p w14:paraId="40927DFD" w14:textId="77777777" w:rsidR="000C35AF" w:rsidRPr="00113056" w:rsidRDefault="000C35AF" w:rsidP="009238AE">
            <w:pPr>
              <w:pStyle w:val="Regresjonstabell"/>
              <w:jc w:val="right"/>
              <w:rPr>
                <w:sz w:val="20"/>
                <w:szCs w:val="20"/>
              </w:rPr>
            </w:pPr>
            <w:r w:rsidRPr="00113056">
              <w:rPr>
                <w:color w:val="000000"/>
                <w:sz w:val="20"/>
                <w:szCs w:val="20"/>
              </w:rPr>
              <w:t>22.789***</w:t>
            </w:r>
          </w:p>
        </w:tc>
        <w:tc>
          <w:tcPr>
            <w:tcW w:w="1399" w:type="dxa"/>
            <w:tcBorders>
              <w:top w:val="nil"/>
              <w:left w:val="nil"/>
              <w:bottom w:val="nil"/>
              <w:right w:val="nil"/>
            </w:tcBorders>
            <w:vAlign w:val="bottom"/>
          </w:tcPr>
          <w:p w14:paraId="4EF8233C" w14:textId="77777777" w:rsidR="000C35AF" w:rsidRPr="00113056" w:rsidRDefault="000C35AF" w:rsidP="009238AE">
            <w:pPr>
              <w:pStyle w:val="Regresjonstabell"/>
              <w:jc w:val="right"/>
              <w:rPr>
                <w:sz w:val="20"/>
                <w:szCs w:val="20"/>
              </w:rPr>
            </w:pPr>
            <w:r w:rsidRPr="00113056">
              <w:rPr>
                <w:color w:val="000000"/>
                <w:sz w:val="20"/>
                <w:szCs w:val="20"/>
              </w:rPr>
              <w:t>20.057***</w:t>
            </w:r>
          </w:p>
        </w:tc>
        <w:tc>
          <w:tcPr>
            <w:tcW w:w="1399" w:type="dxa"/>
            <w:tcBorders>
              <w:top w:val="nil"/>
              <w:left w:val="nil"/>
              <w:bottom w:val="nil"/>
              <w:right w:val="nil"/>
            </w:tcBorders>
            <w:vAlign w:val="bottom"/>
          </w:tcPr>
          <w:p w14:paraId="206C83D9" w14:textId="77777777" w:rsidR="000C35AF" w:rsidRPr="00113056" w:rsidRDefault="000C35AF" w:rsidP="009238AE">
            <w:pPr>
              <w:pStyle w:val="Regresjonstabell"/>
              <w:jc w:val="right"/>
              <w:rPr>
                <w:sz w:val="20"/>
                <w:szCs w:val="20"/>
              </w:rPr>
            </w:pPr>
            <w:r w:rsidRPr="00113056">
              <w:rPr>
                <w:color w:val="000000"/>
                <w:sz w:val="20"/>
                <w:szCs w:val="20"/>
              </w:rPr>
              <w:t>0.180</w:t>
            </w:r>
          </w:p>
        </w:tc>
        <w:tc>
          <w:tcPr>
            <w:tcW w:w="1399" w:type="dxa"/>
            <w:tcBorders>
              <w:top w:val="nil"/>
              <w:left w:val="nil"/>
              <w:bottom w:val="nil"/>
              <w:right w:val="nil"/>
            </w:tcBorders>
            <w:vAlign w:val="bottom"/>
          </w:tcPr>
          <w:p w14:paraId="7E0AE782" w14:textId="77777777" w:rsidR="000C35AF" w:rsidRPr="00113056" w:rsidRDefault="000C35AF" w:rsidP="009238AE">
            <w:pPr>
              <w:pStyle w:val="Regresjonstabell"/>
              <w:jc w:val="right"/>
              <w:rPr>
                <w:sz w:val="20"/>
                <w:szCs w:val="20"/>
              </w:rPr>
            </w:pPr>
            <w:r w:rsidRPr="00113056">
              <w:rPr>
                <w:color w:val="000000"/>
                <w:sz w:val="20"/>
                <w:szCs w:val="20"/>
              </w:rPr>
              <w:t>0.049</w:t>
            </w:r>
          </w:p>
        </w:tc>
        <w:tc>
          <w:tcPr>
            <w:tcW w:w="1399" w:type="dxa"/>
            <w:tcBorders>
              <w:top w:val="nil"/>
              <w:left w:val="nil"/>
              <w:bottom w:val="nil"/>
              <w:right w:val="nil"/>
            </w:tcBorders>
            <w:vAlign w:val="bottom"/>
          </w:tcPr>
          <w:p w14:paraId="0360519A" w14:textId="77777777" w:rsidR="000C35AF" w:rsidRPr="00113056" w:rsidRDefault="000C35AF" w:rsidP="009238AE">
            <w:pPr>
              <w:pStyle w:val="Regresjonstabell"/>
              <w:jc w:val="right"/>
              <w:rPr>
                <w:sz w:val="20"/>
                <w:szCs w:val="20"/>
              </w:rPr>
            </w:pPr>
            <w:r w:rsidRPr="00113056">
              <w:rPr>
                <w:color w:val="000000"/>
                <w:sz w:val="20"/>
                <w:szCs w:val="20"/>
              </w:rPr>
              <w:t>0.119</w:t>
            </w:r>
          </w:p>
        </w:tc>
        <w:tc>
          <w:tcPr>
            <w:tcW w:w="1400" w:type="dxa"/>
            <w:tcBorders>
              <w:top w:val="nil"/>
              <w:left w:val="nil"/>
              <w:bottom w:val="nil"/>
              <w:right w:val="nil"/>
            </w:tcBorders>
            <w:vAlign w:val="bottom"/>
          </w:tcPr>
          <w:p w14:paraId="21273FAA" w14:textId="77777777" w:rsidR="000C35AF" w:rsidRPr="00113056" w:rsidRDefault="000C35AF" w:rsidP="009238AE">
            <w:pPr>
              <w:pStyle w:val="Regresjonstabell"/>
              <w:jc w:val="right"/>
              <w:rPr>
                <w:sz w:val="20"/>
                <w:szCs w:val="20"/>
              </w:rPr>
            </w:pPr>
            <w:r w:rsidRPr="00113056">
              <w:rPr>
                <w:color w:val="000000"/>
                <w:sz w:val="20"/>
                <w:szCs w:val="20"/>
              </w:rPr>
              <w:t>0.168</w:t>
            </w:r>
          </w:p>
        </w:tc>
        <w:tc>
          <w:tcPr>
            <w:tcW w:w="1400" w:type="dxa"/>
            <w:tcBorders>
              <w:top w:val="nil"/>
              <w:left w:val="nil"/>
              <w:bottom w:val="nil"/>
              <w:right w:val="single" w:sz="4" w:space="0" w:color="auto"/>
            </w:tcBorders>
            <w:vAlign w:val="bottom"/>
          </w:tcPr>
          <w:p w14:paraId="79C21181" w14:textId="77777777" w:rsidR="000C35AF" w:rsidRPr="00113056" w:rsidRDefault="000C35AF" w:rsidP="009238AE">
            <w:pPr>
              <w:pStyle w:val="Regresjonstabell"/>
              <w:jc w:val="right"/>
              <w:rPr>
                <w:sz w:val="20"/>
                <w:szCs w:val="20"/>
              </w:rPr>
            </w:pPr>
            <w:r w:rsidRPr="00113056">
              <w:rPr>
                <w:color w:val="000000"/>
                <w:sz w:val="20"/>
                <w:szCs w:val="20"/>
              </w:rPr>
              <w:t>43.013***</w:t>
            </w:r>
          </w:p>
        </w:tc>
      </w:tr>
      <w:tr w:rsidR="000C35AF" w:rsidRPr="0055149C" w14:paraId="5F0252E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0A0A033" w14:textId="77777777" w:rsidR="000C35AF" w:rsidRPr="0055149C" w:rsidRDefault="000C35AF" w:rsidP="009238AE">
            <w:pPr>
              <w:pStyle w:val="Regresjonstabell"/>
              <w:rPr>
                <w:sz w:val="20"/>
                <w:szCs w:val="20"/>
              </w:rPr>
            </w:pPr>
            <w:r w:rsidRPr="0055149C">
              <w:rPr>
                <w:sz w:val="20"/>
                <w:szCs w:val="20"/>
              </w:rPr>
              <w:t>(Kriterium 22)</w:t>
            </w:r>
          </w:p>
        </w:tc>
        <w:tc>
          <w:tcPr>
            <w:tcW w:w="1399" w:type="dxa"/>
            <w:tcBorders>
              <w:top w:val="nil"/>
              <w:left w:val="single" w:sz="4" w:space="0" w:color="auto"/>
              <w:bottom w:val="nil"/>
              <w:right w:val="nil"/>
            </w:tcBorders>
            <w:vAlign w:val="center"/>
          </w:tcPr>
          <w:p w14:paraId="3D2EA017" w14:textId="77777777" w:rsidR="000C35AF" w:rsidRPr="00113056" w:rsidRDefault="000C35AF" w:rsidP="009238AE">
            <w:pPr>
              <w:pStyle w:val="Regresjonstabell"/>
              <w:jc w:val="right"/>
              <w:rPr>
                <w:sz w:val="20"/>
                <w:szCs w:val="20"/>
              </w:rPr>
            </w:pPr>
            <w:r w:rsidRPr="00113056">
              <w:rPr>
                <w:color w:val="000000"/>
                <w:sz w:val="20"/>
                <w:szCs w:val="20"/>
              </w:rPr>
              <w:t>(6.822)</w:t>
            </w:r>
          </w:p>
        </w:tc>
        <w:tc>
          <w:tcPr>
            <w:tcW w:w="1399" w:type="dxa"/>
            <w:tcBorders>
              <w:top w:val="nil"/>
              <w:left w:val="nil"/>
              <w:bottom w:val="nil"/>
              <w:right w:val="nil"/>
            </w:tcBorders>
            <w:vAlign w:val="center"/>
          </w:tcPr>
          <w:p w14:paraId="40C06AD9" w14:textId="77777777" w:rsidR="000C35AF" w:rsidRPr="00113056" w:rsidRDefault="000C35AF" w:rsidP="009238AE">
            <w:pPr>
              <w:pStyle w:val="Regresjonstabell"/>
              <w:jc w:val="right"/>
              <w:rPr>
                <w:sz w:val="20"/>
                <w:szCs w:val="20"/>
              </w:rPr>
            </w:pPr>
            <w:r w:rsidRPr="00113056">
              <w:rPr>
                <w:color w:val="000000"/>
                <w:sz w:val="20"/>
                <w:szCs w:val="20"/>
              </w:rPr>
              <w:t>(4.123)</w:t>
            </w:r>
          </w:p>
        </w:tc>
        <w:tc>
          <w:tcPr>
            <w:tcW w:w="1399" w:type="dxa"/>
            <w:tcBorders>
              <w:top w:val="nil"/>
              <w:left w:val="nil"/>
              <w:bottom w:val="nil"/>
              <w:right w:val="nil"/>
            </w:tcBorders>
            <w:vAlign w:val="center"/>
          </w:tcPr>
          <w:p w14:paraId="30CFCE2A" w14:textId="77777777" w:rsidR="000C35AF" w:rsidRPr="00113056" w:rsidRDefault="000C35AF" w:rsidP="009238AE">
            <w:pPr>
              <w:pStyle w:val="Regresjonstabell"/>
              <w:jc w:val="right"/>
              <w:rPr>
                <w:sz w:val="20"/>
                <w:szCs w:val="20"/>
              </w:rPr>
            </w:pPr>
            <w:r w:rsidRPr="00113056">
              <w:rPr>
                <w:color w:val="000000"/>
                <w:sz w:val="20"/>
                <w:szCs w:val="20"/>
              </w:rPr>
              <w:t>(4.521)</w:t>
            </w:r>
          </w:p>
        </w:tc>
        <w:tc>
          <w:tcPr>
            <w:tcW w:w="1399" w:type="dxa"/>
            <w:tcBorders>
              <w:top w:val="nil"/>
              <w:left w:val="nil"/>
              <w:bottom w:val="nil"/>
              <w:right w:val="nil"/>
            </w:tcBorders>
            <w:vAlign w:val="center"/>
          </w:tcPr>
          <w:p w14:paraId="2F24F81A" w14:textId="77777777" w:rsidR="000C35AF" w:rsidRPr="00113056" w:rsidRDefault="000C35AF" w:rsidP="009238AE">
            <w:pPr>
              <w:pStyle w:val="Regresjonstabell"/>
              <w:jc w:val="right"/>
              <w:rPr>
                <w:sz w:val="20"/>
                <w:szCs w:val="20"/>
              </w:rPr>
            </w:pPr>
            <w:r w:rsidRPr="00113056">
              <w:rPr>
                <w:color w:val="000000"/>
                <w:sz w:val="20"/>
                <w:szCs w:val="20"/>
              </w:rPr>
              <w:t>(0.159)</w:t>
            </w:r>
          </w:p>
        </w:tc>
        <w:tc>
          <w:tcPr>
            <w:tcW w:w="1399" w:type="dxa"/>
            <w:tcBorders>
              <w:top w:val="nil"/>
              <w:left w:val="nil"/>
              <w:bottom w:val="nil"/>
              <w:right w:val="nil"/>
            </w:tcBorders>
            <w:vAlign w:val="center"/>
          </w:tcPr>
          <w:p w14:paraId="384EC4ED" w14:textId="77777777" w:rsidR="000C35AF" w:rsidRPr="00113056" w:rsidRDefault="000C35AF" w:rsidP="009238AE">
            <w:pPr>
              <w:pStyle w:val="Regresjonstabell"/>
              <w:jc w:val="right"/>
              <w:rPr>
                <w:sz w:val="20"/>
                <w:szCs w:val="20"/>
              </w:rPr>
            </w:pPr>
            <w:r w:rsidRPr="00113056">
              <w:rPr>
                <w:color w:val="000000"/>
                <w:sz w:val="20"/>
                <w:szCs w:val="20"/>
              </w:rPr>
              <w:t>(0.153)</w:t>
            </w:r>
          </w:p>
        </w:tc>
        <w:tc>
          <w:tcPr>
            <w:tcW w:w="1399" w:type="dxa"/>
            <w:tcBorders>
              <w:top w:val="nil"/>
              <w:left w:val="nil"/>
              <w:bottom w:val="nil"/>
              <w:right w:val="nil"/>
            </w:tcBorders>
            <w:vAlign w:val="center"/>
          </w:tcPr>
          <w:p w14:paraId="40E59CE0" w14:textId="77777777" w:rsidR="000C35AF" w:rsidRPr="00113056" w:rsidRDefault="000C35AF" w:rsidP="009238AE">
            <w:pPr>
              <w:pStyle w:val="Regresjonstabell"/>
              <w:jc w:val="right"/>
              <w:rPr>
                <w:sz w:val="20"/>
                <w:szCs w:val="20"/>
              </w:rPr>
            </w:pPr>
            <w:r w:rsidRPr="00113056">
              <w:rPr>
                <w:color w:val="000000"/>
                <w:sz w:val="20"/>
                <w:szCs w:val="20"/>
              </w:rPr>
              <w:t>(0.357)</w:t>
            </w:r>
          </w:p>
        </w:tc>
        <w:tc>
          <w:tcPr>
            <w:tcW w:w="1400" w:type="dxa"/>
            <w:tcBorders>
              <w:top w:val="nil"/>
              <w:left w:val="nil"/>
              <w:bottom w:val="nil"/>
              <w:right w:val="nil"/>
            </w:tcBorders>
            <w:vAlign w:val="center"/>
          </w:tcPr>
          <w:p w14:paraId="43C022FA" w14:textId="77777777" w:rsidR="000C35AF" w:rsidRPr="00113056" w:rsidRDefault="000C35AF" w:rsidP="009238AE">
            <w:pPr>
              <w:pStyle w:val="Regresjonstabell"/>
              <w:jc w:val="right"/>
              <w:rPr>
                <w:sz w:val="20"/>
                <w:szCs w:val="20"/>
              </w:rPr>
            </w:pPr>
            <w:r w:rsidRPr="00113056">
              <w:rPr>
                <w:color w:val="000000"/>
                <w:sz w:val="20"/>
                <w:szCs w:val="20"/>
              </w:rPr>
              <w:t>(0.510)</w:t>
            </w:r>
          </w:p>
        </w:tc>
        <w:tc>
          <w:tcPr>
            <w:tcW w:w="1400" w:type="dxa"/>
            <w:tcBorders>
              <w:top w:val="nil"/>
              <w:left w:val="nil"/>
              <w:bottom w:val="nil"/>
              <w:right w:val="single" w:sz="4" w:space="0" w:color="auto"/>
            </w:tcBorders>
            <w:vAlign w:val="center"/>
          </w:tcPr>
          <w:p w14:paraId="3D0AB659" w14:textId="77777777" w:rsidR="000C35AF" w:rsidRPr="00113056" w:rsidRDefault="000C35AF" w:rsidP="009238AE">
            <w:pPr>
              <w:pStyle w:val="Regresjonstabell"/>
              <w:jc w:val="right"/>
              <w:rPr>
                <w:sz w:val="20"/>
                <w:szCs w:val="20"/>
              </w:rPr>
            </w:pPr>
            <w:r w:rsidRPr="00113056">
              <w:rPr>
                <w:color w:val="000000"/>
                <w:sz w:val="20"/>
                <w:szCs w:val="20"/>
              </w:rPr>
              <w:t>(6.897)</w:t>
            </w:r>
          </w:p>
        </w:tc>
      </w:tr>
      <w:tr w:rsidR="000C35AF" w:rsidRPr="0055149C" w14:paraId="03A3A64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732D781" w14:textId="77777777" w:rsidR="000C35AF" w:rsidRPr="0055149C" w:rsidRDefault="000C35AF" w:rsidP="009238AE">
            <w:pPr>
              <w:pStyle w:val="Regresjonstabell"/>
              <w:rPr>
                <w:color w:val="000000"/>
                <w:sz w:val="20"/>
                <w:szCs w:val="20"/>
              </w:rPr>
            </w:pPr>
            <w:r w:rsidRPr="0055149C">
              <w:rPr>
                <w:color w:val="000000"/>
                <w:sz w:val="20"/>
                <w:szCs w:val="20"/>
              </w:rPr>
              <w:t>Opphopningsindeks</w:t>
            </w:r>
          </w:p>
        </w:tc>
        <w:tc>
          <w:tcPr>
            <w:tcW w:w="1399" w:type="dxa"/>
            <w:tcBorders>
              <w:top w:val="nil"/>
              <w:left w:val="single" w:sz="4" w:space="0" w:color="auto"/>
              <w:bottom w:val="nil"/>
              <w:right w:val="nil"/>
            </w:tcBorders>
            <w:vAlign w:val="bottom"/>
          </w:tcPr>
          <w:p w14:paraId="74827888" w14:textId="77777777" w:rsidR="000C35AF" w:rsidRPr="00113056" w:rsidRDefault="000C35AF" w:rsidP="009238AE">
            <w:pPr>
              <w:pStyle w:val="Regresjonstabell"/>
              <w:jc w:val="right"/>
              <w:rPr>
                <w:sz w:val="20"/>
                <w:szCs w:val="20"/>
              </w:rPr>
            </w:pPr>
            <w:r w:rsidRPr="00113056">
              <w:rPr>
                <w:color w:val="000000"/>
                <w:sz w:val="20"/>
                <w:szCs w:val="20"/>
              </w:rPr>
              <w:t>-6,141.653</w:t>
            </w:r>
          </w:p>
        </w:tc>
        <w:tc>
          <w:tcPr>
            <w:tcW w:w="1399" w:type="dxa"/>
            <w:tcBorders>
              <w:top w:val="nil"/>
              <w:left w:val="nil"/>
              <w:bottom w:val="nil"/>
              <w:right w:val="nil"/>
            </w:tcBorders>
            <w:vAlign w:val="bottom"/>
          </w:tcPr>
          <w:p w14:paraId="4C56DF3C" w14:textId="77777777" w:rsidR="000C35AF" w:rsidRPr="00113056" w:rsidRDefault="000C35AF" w:rsidP="009238AE">
            <w:pPr>
              <w:pStyle w:val="Regresjonstabell"/>
              <w:jc w:val="right"/>
              <w:rPr>
                <w:sz w:val="20"/>
                <w:szCs w:val="20"/>
              </w:rPr>
            </w:pPr>
            <w:r w:rsidRPr="00113056">
              <w:rPr>
                <w:color w:val="000000"/>
                <w:sz w:val="20"/>
                <w:szCs w:val="20"/>
              </w:rPr>
              <w:t>-6,859.678</w:t>
            </w:r>
          </w:p>
        </w:tc>
        <w:tc>
          <w:tcPr>
            <w:tcW w:w="1399" w:type="dxa"/>
            <w:tcBorders>
              <w:top w:val="nil"/>
              <w:left w:val="nil"/>
              <w:bottom w:val="nil"/>
              <w:right w:val="nil"/>
            </w:tcBorders>
            <w:vAlign w:val="bottom"/>
          </w:tcPr>
          <w:p w14:paraId="3BBED4F1" w14:textId="77777777" w:rsidR="000C35AF" w:rsidRPr="00113056" w:rsidRDefault="000C35AF" w:rsidP="009238AE">
            <w:pPr>
              <w:pStyle w:val="Regresjonstabell"/>
              <w:jc w:val="right"/>
              <w:rPr>
                <w:sz w:val="20"/>
                <w:szCs w:val="20"/>
              </w:rPr>
            </w:pPr>
            <w:r w:rsidRPr="00113056">
              <w:rPr>
                <w:color w:val="000000"/>
                <w:sz w:val="20"/>
                <w:szCs w:val="20"/>
              </w:rPr>
              <w:t>718.025</w:t>
            </w:r>
          </w:p>
        </w:tc>
        <w:tc>
          <w:tcPr>
            <w:tcW w:w="1399" w:type="dxa"/>
            <w:tcBorders>
              <w:top w:val="nil"/>
              <w:left w:val="nil"/>
              <w:bottom w:val="nil"/>
              <w:right w:val="nil"/>
            </w:tcBorders>
            <w:vAlign w:val="bottom"/>
          </w:tcPr>
          <w:p w14:paraId="22FBFAB8" w14:textId="77777777" w:rsidR="000C35AF" w:rsidRPr="00113056" w:rsidRDefault="000C35AF" w:rsidP="009238AE">
            <w:pPr>
              <w:pStyle w:val="Regresjonstabell"/>
              <w:jc w:val="right"/>
              <w:rPr>
                <w:sz w:val="20"/>
                <w:szCs w:val="20"/>
              </w:rPr>
            </w:pPr>
            <w:r w:rsidRPr="00113056">
              <w:rPr>
                <w:color w:val="000000"/>
                <w:sz w:val="20"/>
                <w:szCs w:val="20"/>
              </w:rPr>
              <w:t>-90.140</w:t>
            </w:r>
          </w:p>
        </w:tc>
        <w:tc>
          <w:tcPr>
            <w:tcW w:w="1399" w:type="dxa"/>
            <w:tcBorders>
              <w:top w:val="nil"/>
              <w:left w:val="nil"/>
              <w:bottom w:val="nil"/>
              <w:right w:val="nil"/>
            </w:tcBorders>
            <w:vAlign w:val="bottom"/>
          </w:tcPr>
          <w:p w14:paraId="37CE1E2A" w14:textId="77777777" w:rsidR="000C35AF" w:rsidRPr="00113056" w:rsidRDefault="000C35AF" w:rsidP="009238AE">
            <w:pPr>
              <w:pStyle w:val="Regresjonstabell"/>
              <w:jc w:val="right"/>
              <w:rPr>
                <w:sz w:val="20"/>
                <w:szCs w:val="20"/>
              </w:rPr>
            </w:pPr>
            <w:r w:rsidRPr="00113056">
              <w:rPr>
                <w:color w:val="000000"/>
                <w:sz w:val="20"/>
                <w:szCs w:val="20"/>
              </w:rPr>
              <w:t>47.373</w:t>
            </w:r>
          </w:p>
        </w:tc>
        <w:tc>
          <w:tcPr>
            <w:tcW w:w="1399" w:type="dxa"/>
            <w:tcBorders>
              <w:top w:val="nil"/>
              <w:left w:val="nil"/>
              <w:bottom w:val="nil"/>
              <w:right w:val="nil"/>
            </w:tcBorders>
            <w:vAlign w:val="bottom"/>
          </w:tcPr>
          <w:p w14:paraId="7968095F" w14:textId="77777777" w:rsidR="000C35AF" w:rsidRPr="00113056" w:rsidRDefault="000C35AF" w:rsidP="009238AE">
            <w:pPr>
              <w:pStyle w:val="Regresjonstabell"/>
              <w:jc w:val="right"/>
              <w:rPr>
                <w:sz w:val="20"/>
                <w:szCs w:val="20"/>
              </w:rPr>
            </w:pPr>
            <w:r w:rsidRPr="00113056">
              <w:rPr>
                <w:color w:val="000000"/>
                <w:sz w:val="20"/>
                <w:szCs w:val="20"/>
              </w:rPr>
              <w:t>108.800</w:t>
            </w:r>
          </w:p>
        </w:tc>
        <w:tc>
          <w:tcPr>
            <w:tcW w:w="1400" w:type="dxa"/>
            <w:tcBorders>
              <w:top w:val="nil"/>
              <w:left w:val="nil"/>
              <w:bottom w:val="nil"/>
              <w:right w:val="nil"/>
            </w:tcBorders>
            <w:vAlign w:val="bottom"/>
          </w:tcPr>
          <w:p w14:paraId="273C72BB" w14:textId="77777777" w:rsidR="000C35AF" w:rsidRPr="00113056" w:rsidRDefault="000C35AF" w:rsidP="009238AE">
            <w:pPr>
              <w:pStyle w:val="Regresjonstabell"/>
              <w:jc w:val="right"/>
              <w:rPr>
                <w:sz w:val="20"/>
                <w:szCs w:val="20"/>
              </w:rPr>
            </w:pPr>
            <w:r w:rsidRPr="00113056">
              <w:rPr>
                <w:color w:val="000000"/>
                <w:sz w:val="20"/>
                <w:szCs w:val="20"/>
              </w:rPr>
              <w:t>156.172</w:t>
            </w:r>
          </w:p>
        </w:tc>
        <w:tc>
          <w:tcPr>
            <w:tcW w:w="1400" w:type="dxa"/>
            <w:tcBorders>
              <w:top w:val="nil"/>
              <w:left w:val="nil"/>
              <w:bottom w:val="nil"/>
              <w:right w:val="single" w:sz="4" w:space="0" w:color="auto"/>
            </w:tcBorders>
            <w:vAlign w:val="bottom"/>
          </w:tcPr>
          <w:p w14:paraId="550A3517" w14:textId="77777777" w:rsidR="000C35AF" w:rsidRPr="00113056" w:rsidRDefault="000C35AF" w:rsidP="009238AE">
            <w:pPr>
              <w:pStyle w:val="Regresjonstabell"/>
              <w:jc w:val="right"/>
              <w:rPr>
                <w:sz w:val="20"/>
                <w:szCs w:val="20"/>
              </w:rPr>
            </w:pPr>
            <w:r w:rsidRPr="00113056">
              <w:rPr>
                <w:color w:val="000000"/>
                <w:sz w:val="20"/>
                <w:szCs w:val="20"/>
              </w:rPr>
              <w:t>-5,985.482</w:t>
            </w:r>
          </w:p>
        </w:tc>
      </w:tr>
      <w:tr w:rsidR="000C35AF" w:rsidRPr="0055149C" w14:paraId="6E27318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82F7D83" w14:textId="77777777" w:rsidR="000C35AF" w:rsidRPr="0055149C" w:rsidRDefault="000C35AF" w:rsidP="009238AE">
            <w:pPr>
              <w:pStyle w:val="Regresjonstabell"/>
              <w:rPr>
                <w:color w:val="000000"/>
                <w:sz w:val="20"/>
                <w:szCs w:val="20"/>
              </w:rPr>
            </w:pPr>
            <w:r w:rsidRPr="0055149C">
              <w:rPr>
                <w:color w:val="000000"/>
                <w:sz w:val="20"/>
                <w:szCs w:val="20"/>
              </w:rPr>
              <w:t>(Kriterium 25)</w:t>
            </w:r>
          </w:p>
        </w:tc>
        <w:tc>
          <w:tcPr>
            <w:tcW w:w="1399" w:type="dxa"/>
            <w:tcBorders>
              <w:top w:val="nil"/>
              <w:left w:val="single" w:sz="4" w:space="0" w:color="auto"/>
              <w:bottom w:val="nil"/>
              <w:right w:val="nil"/>
            </w:tcBorders>
            <w:vAlign w:val="center"/>
          </w:tcPr>
          <w:p w14:paraId="10EEE482" w14:textId="77777777" w:rsidR="000C35AF" w:rsidRPr="00113056" w:rsidRDefault="000C35AF" w:rsidP="009238AE">
            <w:pPr>
              <w:pStyle w:val="Regresjonstabell"/>
              <w:jc w:val="right"/>
              <w:rPr>
                <w:sz w:val="20"/>
                <w:szCs w:val="20"/>
              </w:rPr>
            </w:pPr>
            <w:r w:rsidRPr="00113056">
              <w:rPr>
                <w:color w:val="000000"/>
                <w:sz w:val="20"/>
                <w:szCs w:val="20"/>
              </w:rPr>
              <w:t>(7,454.036)</w:t>
            </w:r>
          </w:p>
        </w:tc>
        <w:tc>
          <w:tcPr>
            <w:tcW w:w="1399" w:type="dxa"/>
            <w:tcBorders>
              <w:top w:val="nil"/>
              <w:left w:val="nil"/>
              <w:bottom w:val="nil"/>
              <w:right w:val="nil"/>
            </w:tcBorders>
            <w:vAlign w:val="center"/>
          </w:tcPr>
          <w:p w14:paraId="37C10181" w14:textId="77777777" w:rsidR="000C35AF" w:rsidRPr="00113056" w:rsidRDefault="000C35AF" w:rsidP="009238AE">
            <w:pPr>
              <w:pStyle w:val="Regresjonstabell"/>
              <w:jc w:val="right"/>
              <w:rPr>
                <w:sz w:val="20"/>
                <w:szCs w:val="20"/>
              </w:rPr>
            </w:pPr>
            <w:r w:rsidRPr="00113056">
              <w:rPr>
                <w:color w:val="000000"/>
                <w:sz w:val="20"/>
                <w:szCs w:val="20"/>
              </w:rPr>
              <w:t>(4,421.057)</w:t>
            </w:r>
          </w:p>
        </w:tc>
        <w:tc>
          <w:tcPr>
            <w:tcW w:w="1399" w:type="dxa"/>
            <w:tcBorders>
              <w:top w:val="nil"/>
              <w:left w:val="nil"/>
              <w:bottom w:val="nil"/>
              <w:right w:val="nil"/>
            </w:tcBorders>
            <w:vAlign w:val="center"/>
          </w:tcPr>
          <w:p w14:paraId="02638723" w14:textId="77777777" w:rsidR="000C35AF" w:rsidRPr="00113056" w:rsidRDefault="000C35AF" w:rsidP="009238AE">
            <w:pPr>
              <w:pStyle w:val="Regresjonstabell"/>
              <w:jc w:val="right"/>
              <w:rPr>
                <w:sz w:val="20"/>
                <w:szCs w:val="20"/>
              </w:rPr>
            </w:pPr>
            <w:r w:rsidRPr="00113056">
              <w:rPr>
                <w:color w:val="000000"/>
                <w:sz w:val="20"/>
                <w:szCs w:val="20"/>
              </w:rPr>
              <w:t>(4,488.515)</w:t>
            </w:r>
          </w:p>
        </w:tc>
        <w:tc>
          <w:tcPr>
            <w:tcW w:w="1399" w:type="dxa"/>
            <w:tcBorders>
              <w:top w:val="nil"/>
              <w:left w:val="nil"/>
              <w:bottom w:val="nil"/>
              <w:right w:val="nil"/>
            </w:tcBorders>
            <w:vAlign w:val="center"/>
          </w:tcPr>
          <w:p w14:paraId="3F43F1F4" w14:textId="77777777" w:rsidR="000C35AF" w:rsidRPr="00113056" w:rsidRDefault="000C35AF" w:rsidP="009238AE">
            <w:pPr>
              <w:pStyle w:val="Regresjonstabell"/>
              <w:jc w:val="right"/>
              <w:rPr>
                <w:sz w:val="20"/>
                <w:szCs w:val="20"/>
              </w:rPr>
            </w:pPr>
            <w:r w:rsidRPr="00113056">
              <w:rPr>
                <w:color w:val="000000"/>
                <w:sz w:val="20"/>
                <w:szCs w:val="20"/>
              </w:rPr>
              <w:t>(90.860)</w:t>
            </w:r>
          </w:p>
        </w:tc>
        <w:tc>
          <w:tcPr>
            <w:tcW w:w="1399" w:type="dxa"/>
            <w:tcBorders>
              <w:top w:val="nil"/>
              <w:left w:val="nil"/>
              <w:bottom w:val="nil"/>
              <w:right w:val="nil"/>
            </w:tcBorders>
            <w:vAlign w:val="center"/>
          </w:tcPr>
          <w:p w14:paraId="2CA5E5E0" w14:textId="77777777" w:rsidR="000C35AF" w:rsidRPr="00113056" w:rsidRDefault="000C35AF" w:rsidP="009238AE">
            <w:pPr>
              <w:pStyle w:val="Regresjonstabell"/>
              <w:jc w:val="right"/>
              <w:rPr>
                <w:sz w:val="20"/>
                <w:szCs w:val="20"/>
              </w:rPr>
            </w:pPr>
            <w:r w:rsidRPr="00113056">
              <w:rPr>
                <w:color w:val="000000"/>
                <w:sz w:val="20"/>
                <w:szCs w:val="20"/>
              </w:rPr>
              <w:t>(100.238)</w:t>
            </w:r>
          </w:p>
        </w:tc>
        <w:tc>
          <w:tcPr>
            <w:tcW w:w="1399" w:type="dxa"/>
            <w:tcBorders>
              <w:top w:val="nil"/>
              <w:left w:val="nil"/>
              <w:bottom w:val="nil"/>
              <w:right w:val="nil"/>
            </w:tcBorders>
            <w:vAlign w:val="center"/>
          </w:tcPr>
          <w:p w14:paraId="737090BF" w14:textId="77777777" w:rsidR="000C35AF" w:rsidRPr="00113056" w:rsidRDefault="000C35AF" w:rsidP="009238AE">
            <w:pPr>
              <w:pStyle w:val="Regresjonstabell"/>
              <w:jc w:val="right"/>
              <w:rPr>
                <w:sz w:val="20"/>
                <w:szCs w:val="20"/>
              </w:rPr>
            </w:pPr>
            <w:r w:rsidRPr="00113056">
              <w:rPr>
                <w:color w:val="000000"/>
                <w:sz w:val="20"/>
                <w:szCs w:val="20"/>
              </w:rPr>
              <w:t>(234.087)</w:t>
            </w:r>
          </w:p>
        </w:tc>
        <w:tc>
          <w:tcPr>
            <w:tcW w:w="1400" w:type="dxa"/>
            <w:tcBorders>
              <w:top w:val="nil"/>
              <w:left w:val="nil"/>
              <w:bottom w:val="nil"/>
              <w:right w:val="nil"/>
            </w:tcBorders>
            <w:vAlign w:val="center"/>
          </w:tcPr>
          <w:p w14:paraId="406DEF71" w14:textId="77777777" w:rsidR="000C35AF" w:rsidRPr="00113056" w:rsidRDefault="000C35AF" w:rsidP="009238AE">
            <w:pPr>
              <w:pStyle w:val="Regresjonstabell"/>
              <w:jc w:val="right"/>
              <w:rPr>
                <w:sz w:val="20"/>
                <w:szCs w:val="20"/>
              </w:rPr>
            </w:pPr>
            <w:r w:rsidRPr="00113056">
              <w:rPr>
                <w:color w:val="000000"/>
                <w:sz w:val="20"/>
                <w:szCs w:val="20"/>
              </w:rPr>
              <w:t>(334.324)</w:t>
            </w:r>
          </w:p>
        </w:tc>
        <w:tc>
          <w:tcPr>
            <w:tcW w:w="1400" w:type="dxa"/>
            <w:tcBorders>
              <w:top w:val="nil"/>
              <w:left w:val="nil"/>
              <w:bottom w:val="nil"/>
              <w:right w:val="single" w:sz="4" w:space="0" w:color="auto"/>
            </w:tcBorders>
            <w:vAlign w:val="center"/>
          </w:tcPr>
          <w:p w14:paraId="548785DC" w14:textId="77777777" w:rsidR="000C35AF" w:rsidRPr="00113056" w:rsidRDefault="000C35AF" w:rsidP="009238AE">
            <w:pPr>
              <w:pStyle w:val="Regresjonstabell"/>
              <w:jc w:val="right"/>
              <w:rPr>
                <w:sz w:val="20"/>
                <w:szCs w:val="20"/>
              </w:rPr>
            </w:pPr>
            <w:r w:rsidRPr="00113056">
              <w:rPr>
                <w:color w:val="000000"/>
                <w:sz w:val="20"/>
                <w:szCs w:val="20"/>
              </w:rPr>
              <w:t>(7,495.405)</w:t>
            </w:r>
          </w:p>
        </w:tc>
      </w:tr>
      <w:tr w:rsidR="000C35AF" w:rsidRPr="0055149C" w14:paraId="35AE20C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A3AB08" w14:textId="77777777" w:rsidR="000C35AF" w:rsidRPr="0055149C" w:rsidRDefault="000C35AF" w:rsidP="009238AE">
            <w:pPr>
              <w:pStyle w:val="Regresjonstabell"/>
              <w:rPr>
                <w:color w:val="000000"/>
                <w:sz w:val="20"/>
                <w:szCs w:val="20"/>
              </w:rPr>
            </w:pPr>
            <w:r w:rsidRPr="0055149C">
              <w:rPr>
                <w:color w:val="000000"/>
                <w:sz w:val="20"/>
                <w:szCs w:val="20"/>
              </w:rPr>
              <w:t>Aleneboende 30 til 66 år</w:t>
            </w:r>
          </w:p>
        </w:tc>
        <w:tc>
          <w:tcPr>
            <w:tcW w:w="1399" w:type="dxa"/>
            <w:tcBorders>
              <w:top w:val="nil"/>
              <w:left w:val="single" w:sz="4" w:space="0" w:color="auto"/>
              <w:bottom w:val="nil"/>
              <w:right w:val="nil"/>
            </w:tcBorders>
            <w:vAlign w:val="bottom"/>
          </w:tcPr>
          <w:p w14:paraId="51E54B84" w14:textId="77777777" w:rsidR="000C35AF" w:rsidRPr="00113056" w:rsidRDefault="000C35AF" w:rsidP="009238AE">
            <w:pPr>
              <w:pStyle w:val="Regresjonstabell"/>
              <w:jc w:val="right"/>
              <w:rPr>
                <w:sz w:val="20"/>
                <w:szCs w:val="20"/>
              </w:rPr>
            </w:pPr>
            <w:r w:rsidRPr="00113056">
              <w:rPr>
                <w:color w:val="000000"/>
                <w:sz w:val="20"/>
                <w:szCs w:val="20"/>
              </w:rPr>
              <w:t>11.542*</w:t>
            </w:r>
          </w:p>
        </w:tc>
        <w:tc>
          <w:tcPr>
            <w:tcW w:w="1399" w:type="dxa"/>
            <w:tcBorders>
              <w:top w:val="nil"/>
              <w:left w:val="nil"/>
              <w:bottom w:val="nil"/>
              <w:right w:val="nil"/>
            </w:tcBorders>
            <w:vAlign w:val="bottom"/>
          </w:tcPr>
          <w:p w14:paraId="648ED94C" w14:textId="77777777" w:rsidR="000C35AF" w:rsidRPr="00113056" w:rsidRDefault="000C35AF" w:rsidP="009238AE">
            <w:pPr>
              <w:pStyle w:val="Regresjonstabell"/>
              <w:jc w:val="right"/>
              <w:rPr>
                <w:sz w:val="20"/>
                <w:szCs w:val="20"/>
              </w:rPr>
            </w:pPr>
            <w:r w:rsidRPr="00113056">
              <w:rPr>
                <w:color w:val="000000"/>
                <w:sz w:val="20"/>
                <w:szCs w:val="20"/>
              </w:rPr>
              <w:t>1.606</w:t>
            </w:r>
          </w:p>
        </w:tc>
        <w:tc>
          <w:tcPr>
            <w:tcW w:w="1399" w:type="dxa"/>
            <w:tcBorders>
              <w:top w:val="nil"/>
              <w:left w:val="nil"/>
              <w:bottom w:val="nil"/>
              <w:right w:val="nil"/>
            </w:tcBorders>
            <w:vAlign w:val="bottom"/>
          </w:tcPr>
          <w:p w14:paraId="57332A59" w14:textId="77777777" w:rsidR="000C35AF" w:rsidRPr="00113056" w:rsidRDefault="000C35AF" w:rsidP="009238AE">
            <w:pPr>
              <w:pStyle w:val="Regresjonstabell"/>
              <w:jc w:val="right"/>
              <w:rPr>
                <w:sz w:val="20"/>
                <w:szCs w:val="20"/>
              </w:rPr>
            </w:pPr>
            <w:r w:rsidRPr="00113056">
              <w:rPr>
                <w:color w:val="000000"/>
                <w:sz w:val="20"/>
                <w:szCs w:val="20"/>
              </w:rPr>
              <w:t>9.936**</w:t>
            </w:r>
          </w:p>
        </w:tc>
        <w:tc>
          <w:tcPr>
            <w:tcW w:w="1399" w:type="dxa"/>
            <w:tcBorders>
              <w:top w:val="nil"/>
              <w:left w:val="nil"/>
              <w:bottom w:val="nil"/>
              <w:right w:val="nil"/>
            </w:tcBorders>
            <w:vAlign w:val="bottom"/>
          </w:tcPr>
          <w:p w14:paraId="60EC8E31" w14:textId="77777777" w:rsidR="000C35AF" w:rsidRPr="00113056" w:rsidRDefault="000C35AF" w:rsidP="009238AE">
            <w:pPr>
              <w:pStyle w:val="Regresjonstabell"/>
              <w:jc w:val="right"/>
              <w:rPr>
                <w:sz w:val="20"/>
                <w:szCs w:val="20"/>
              </w:rPr>
            </w:pPr>
            <w:r w:rsidRPr="00113056">
              <w:rPr>
                <w:color w:val="000000"/>
                <w:sz w:val="20"/>
                <w:szCs w:val="20"/>
              </w:rPr>
              <w:t>0.168</w:t>
            </w:r>
          </w:p>
        </w:tc>
        <w:tc>
          <w:tcPr>
            <w:tcW w:w="1399" w:type="dxa"/>
            <w:tcBorders>
              <w:top w:val="nil"/>
              <w:left w:val="nil"/>
              <w:bottom w:val="nil"/>
              <w:right w:val="nil"/>
            </w:tcBorders>
            <w:vAlign w:val="bottom"/>
          </w:tcPr>
          <w:p w14:paraId="6E17E349" w14:textId="77777777" w:rsidR="000C35AF" w:rsidRPr="00113056" w:rsidRDefault="000C35AF" w:rsidP="009238AE">
            <w:pPr>
              <w:pStyle w:val="Regresjonstabell"/>
              <w:jc w:val="right"/>
              <w:rPr>
                <w:sz w:val="20"/>
                <w:szCs w:val="20"/>
              </w:rPr>
            </w:pPr>
            <w:r w:rsidRPr="00113056">
              <w:rPr>
                <w:color w:val="000000"/>
                <w:sz w:val="20"/>
                <w:szCs w:val="20"/>
              </w:rPr>
              <w:t>0.293*</w:t>
            </w:r>
          </w:p>
        </w:tc>
        <w:tc>
          <w:tcPr>
            <w:tcW w:w="1399" w:type="dxa"/>
            <w:tcBorders>
              <w:top w:val="nil"/>
              <w:left w:val="nil"/>
              <w:bottom w:val="nil"/>
              <w:right w:val="nil"/>
            </w:tcBorders>
            <w:vAlign w:val="bottom"/>
          </w:tcPr>
          <w:p w14:paraId="25776088" w14:textId="77777777" w:rsidR="000C35AF" w:rsidRPr="00113056" w:rsidRDefault="000C35AF" w:rsidP="009238AE">
            <w:pPr>
              <w:pStyle w:val="Regresjonstabell"/>
              <w:jc w:val="right"/>
              <w:rPr>
                <w:sz w:val="20"/>
                <w:szCs w:val="20"/>
              </w:rPr>
            </w:pPr>
            <w:r w:rsidRPr="00113056">
              <w:rPr>
                <w:color w:val="000000"/>
                <w:sz w:val="20"/>
                <w:szCs w:val="20"/>
              </w:rPr>
              <w:t>0.685*</w:t>
            </w:r>
          </w:p>
        </w:tc>
        <w:tc>
          <w:tcPr>
            <w:tcW w:w="1400" w:type="dxa"/>
            <w:tcBorders>
              <w:top w:val="nil"/>
              <w:left w:val="nil"/>
              <w:bottom w:val="nil"/>
              <w:right w:val="nil"/>
            </w:tcBorders>
            <w:vAlign w:val="bottom"/>
          </w:tcPr>
          <w:p w14:paraId="6FBF025E" w14:textId="77777777" w:rsidR="000C35AF" w:rsidRPr="00113056" w:rsidRDefault="000C35AF" w:rsidP="009238AE">
            <w:pPr>
              <w:pStyle w:val="Regresjonstabell"/>
              <w:jc w:val="right"/>
              <w:rPr>
                <w:sz w:val="20"/>
                <w:szCs w:val="20"/>
              </w:rPr>
            </w:pPr>
            <w:r w:rsidRPr="00113056">
              <w:rPr>
                <w:color w:val="000000"/>
                <w:sz w:val="20"/>
                <w:szCs w:val="20"/>
              </w:rPr>
              <w:t>0.978*</w:t>
            </w:r>
          </w:p>
        </w:tc>
        <w:tc>
          <w:tcPr>
            <w:tcW w:w="1400" w:type="dxa"/>
            <w:tcBorders>
              <w:top w:val="nil"/>
              <w:left w:val="nil"/>
              <w:bottom w:val="nil"/>
              <w:right w:val="single" w:sz="4" w:space="0" w:color="auto"/>
            </w:tcBorders>
            <w:vAlign w:val="bottom"/>
          </w:tcPr>
          <w:p w14:paraId="0DCABC80" w14:textId="77777777" w:rsidR="000C35AF" w:rsidRPr="00113056" w:rsidRDefault="000C35AF" w:rsidP="009238AE">
            <w:pPr>
              <w:pStyle w:val="Regresjonstabell"/>
              <w:jc w:val="right"/>
              <w:rPr>
                <w:sz w:val="20"/>
                <w:szCs w:val="20"/>
              </w:rPr>
            </w:pPr>
            <w:r w:rsidRPr="00113056">
              <w:rPr>
                <w:color w:val="000000"/>
                <w:sz w:val="20"/>
                <w:szCs w:val="20"/>
              </w:rPr>
              <w:t>12.520*</w:t>
            </w:r>
          </w:p>
        </w:tc>
      </w:tr>
      <w:tr w:rsidR="000C35AF" w:rsidRPr="0055149C" w14:paraId="0C02905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42CB840" w14:textId="77777777" w:rsidR="000C35AF" w:rsidRPr="0055149C" w:rsidRDefault="000C35AF" w:rsidP="009238AE">
            <w:pPr>
              <w:pStyle w:val="Regresjonstabell"/>
              <w:rPr>
                <w:color w:val="000000"/>
                <w:sz w:val="20"/>
                <w:szCs w:val="20"/>
              </w:rPr>
            </w:pPr>
            <w:r w:rsidRPr="0055149C">
              <w:rPr>
                <w:color w:val="000000"/>
                <w:sz w:val="20"/>
                <w:szCs w:val="20"/>
              </w:rPr>
              <w:t>(Kriterium 26)</w:t>
            </w:r>
          </w:p>
        </w:tc>
        <w:tc>
          <w:tcPr>
            <w:tcW w:w="1399" w:type="dxa"/>
            <w:tcBorders>
              <w:top w:val="nil"/>
              <w:left w:val="single" w:sz="4" w:space="0" w:color="auto"/>
              <w:bottom w:val="nil"/>
              <w:right w:val="nil"/>
            </w:tcBorders>
            <w:vAlign w:val="center"/>
          </w:tcPr>
          <w:p w14:paraId="72A56B67" w14:textId="77777777" w:rsidR="000C35AF" w:rsidRPr="00113056" w:rsidRDefault="000C35AF" w:rsidP="009238AE">
            <w:pPr>
              <w:pStyle w:val="Regresjonstabell"/>
              <w:jc w:val="right"/>
              <w:rPr>
                <w:sz w:val="20"/>
                <w:szCs w:val="20"/>
              </w:rPr>
            </w:pPr>
            <w:r w:rsidRPr="00113056">
              <w:rPr>
                <w:color w:val="000000"/>
                <w:sz w:val="20"/>
                <w:szCs w:val="20"/>
              </w:rPr>
              <w:t>(6.909)</w:t>
            </w:r>
          </w:p>
        </w:tc>
        <w:tc>
          <w:tcPr>
            <w:tcW w:w="1399" w:type="dxa"/>
            <w:tcBorders>
              <w:top w:val="nil"/>
              <w:left w:val="nil"/>
              <w:bottom w:val="nil"/>
              <w:right w:val="nil"/>
            </w:tcBorders>
            <w:vAlign w:val="center"/>
          </w:tcPr>
          <w:p w14:paraId="4F164DDF" w14:textId="77777777" w:rsidR="000C35AF" w:rsidRPr="00113056" w:rsidRDefault="000C35AF" w:rsidP="009238AE">
            <w:pPr>
              <w:pStyle w:val="Regresjonstabell"/>
              <w:jc w:val="right"/>
              <w:rPr>
                <w:sz w:val="20"/>
                <w:szCs w:val="20"/>
              </w:rPr>
            </w:pPr>
            <w:r w:rsidRPr="00113056">
              <w:rPr>
                <w:color w:val="000000"/>
                <w:sz w:val="20"/>
                <w:szCs w:val="20"/>
              </w:rPr>
              <w:t>(3.810)</w:t>
            </w:r>
          </w:p>
        </w:tc>
        <w:tc>
          <w:tcPr>
            <w:tcW w:w="1399" w:type="dxa"/>
            <w:tcBorders>
              <w:top w:val="nil"/>
              <w:left w:val="nil"/>
              <w:bottom w:val="nil"/>
              <w:right w:val="nil"/>
            </w:tcBorders>
            <w:vAlign w:val="center"/>
          </w:tcPr>
          <w:p w14:paraId="25B63CCE" w14:textId="77777777" w:rsidR="000C35AF" w:rsidRPr="00113056" w:rsidRDefault="000C35AF" w:rsidP="009238AE">
            <w:pPr>
              <w:pStyle w:val="Regresjonstabell"/>
              <w:jc w:val="right"/>
              <w:rPr>
                <w:sz w:val="20"/>
                <w:szCs w:val="20"/>
              </w:rPr>
            </w:pPr>
            <w:r w:rsidRPr="00113056">
              <w:rPr>
                <w:color w:val="000000"/>
                <w:sz w:val="20"/>
                <w:szCs w:val="20"/>
              </w:rPr>
              <w:t>(4.551)</w:t>
            </w:r>
          </w:p>
        </w:tc>
        <w:tc>
          <w:tcPr>
            <w:tcW w:w="1399" w:type="dxa"/>
            <w:tcBorders>
              <w:top w:val="nil"/>
              <w:left w:val="nil"/>
              <w:bottom w:val="nil"/>
              <w:right w:val="nil"/>
            </w:tcBorders>
            <w:vAlign w:val="center"/>
          </w:tcPr>
          <w:p w14:paraId="5B4767AD" w14:textId="77777777" w:rsidR="000C35AF" w:rsidRPr="00113056" w:rsidRDefault="000C35AF" w:rsidP="009238AE">
            <w:pPr>
              <w:pStyle w:val="Regresjonstabell"/>
              <w:jc w:val="right"/>
              <w:rPr>
                <w:sz w:val="20"/>
                <w:szCs w:val="20"/>
              </w:rPr>
            </w:pPr>
            <w:r w:rsidRPr="00113056">
              <w:rPr>
                <w:color w:val="000000"/>
                <w:sz w:val="20"/>
                <w:szCs w:val="20"/>
              </w:rPr>
              <w:t>(0.175)</w:t>
            </w:r>
          </w:p>
        </w:tc>
        <w:tc>
          <w:tcPr>
            <w:tcW w:w="1399" w:type="dxa"/>
            <w:tcBorders>
              <w:top w:val="nil"/>
              <w:left w:val="nil"/>
              <w:bottom w:val="nil"/>
              <w:right w:val="nil"/>
            </w:tcBorders>
            <w:vAlign w:val="center"/>
          </w:tcPr>
          <w:p w14:paraId="5D614491" w14:textId="77777777" w:rsidR="000C35AF" w:rsidRPr="00113056" w:rsidRDefault="000C35AF" w:rsidP="009238AE">
            <w:pPr>
              <w:pStyle w:val="Regresjonstabell"/>
              <w:jc w:val="right"/>
              <w:rPr>
                <w:sz w:val="20"/>
                <w:szCs w:val="20"/>
              </w:rPr>
            </w:pPr>
            <w:r w:rsidRPr="00113056">
              <w:rPr>
                <w:color w:val="000000"/>
                <w:sz w:val="20"/>
                <w:szCs w:val="20"/>
              </w:rPr>
              <w:t>(0.165)</w:t>
            </w:r>
          </w:p>
        </w:tc>
        <w:tc>
          <w:tcPr>
            <w:tcW w:w="1399" w:type="dxa"/>
            <w:tcBorders>
              <w:top w:val="nil"/>
              <w:left w:val="nil"/>
              <w:bottom w:val="nil"/>
              <w:right w:val="nil"/>
            </w:tcBorders>
            <w:vAlign w:val="center"/>
          </w:tcPr>
          <w:p w14:paraId="77905E04" w14:textId="77777777" w:rsidR="000C35AF" w:rsidRPr="00113056" w:rsidRDefault="000C35AF" w:rsidP="009238AE">
            <w:pPr>
              <w:pStyle w:val="Regresjonstabell"/>
              <w:jc w:val="right"/>
              <w:rPr>
                <w:sz w:val="20"/>
                <w:szCs w:val="20"/>
              </w:rPr>
            </w:pPr>
            <w:r w:rsidRPr="00113056">
              <w:rPr>
                <w:color w:val="000000"/>
                <w:sz w:val="20"/>
                <w:szCs w:val="20"/>
              </w:rPr>
              <w:t>(0.385)</w:t>
            </w:r>
          </w:p>
        </w:tc>
        <w:tc>
          <w:tcPr>
            <w:tcW w:w="1400" w:type="dxa"/>
            <w:tcBorders>
              <w:top w:val="nil"/>
              <w:left w:val="nil"/>
              <w:bottom w:val="nil"/>
              <w:right w:val="nil"/>
            </w:tcBorders>
            <w:vAlign w:val="center"/>
          </w:tcPr>
          <w:p w14:paraId="7873BC81" w14:textId="77777777" w:rsidR="000C35AF" w:rsidRPr="00113056" w:rsidRDefault="000C35AF" w:rsidP="009238AE">
            <w:pPr>
              <w:pStyle w:val="Regresjonstabell"/>
              <w:jc w:val="right"/>
              <w:rPr>
                <w:sz w:val="20"/>
                <w:szCs w:val="20"/>
              </w:rPr>
            </w:pPr>
            <w:r w:rsidRPr="00113056">
              <w:rPr>
                <w:color w:val="000000"/>
                <w:sz w:val="20"/>
                <w:szCs w:val="20"/>
              </w:rPr>
              <w:t>(0.550)</w:t>
            </w:r>
          </w:p>
        </w:tc>
        <w:tc>
          <w:tcPr>
            <w:tcW w:w="1400" w:type="dxa"/>
            <w:tcBorders>
              <w:top w:val="nil"/>
              <w:left w:val="nil"/>
              <w:bottom w:val="nil"/>
              <w:right w:val="single" w:sz="4" w:space="0" w:color="auto"/>
            </w:tcBorders>
            <w:vAlign w:val="center"/>
          </w:tcPr>
          <w:p w14:paraId="0B13A737" w14:textId="77777777" w:rsidR="000C35AF" w:rsidRPr="00113056" w:rsidRDefault="000C35AF" w:rsidP="009238AE">
            <w:pPr>
              <w:pStyle w:val="Regresjonstabell"/>
              <w:jc w:val="right"/>
              <w:rPr>
                <w:sz w:val="20"/>
                <w:szCs w:val="20"/>
              </w:rPr>
            </w:pPr>
            <w:r w:rsidRPr="00113056">
              <w:rPr>
                <w:color w:val="000000"/>
                <w:sz w:val="20"/>
                <w:szCs w:val="20"/>
              </w:rPr>
              <w:t>(7.008)</w:t>
            </w:r>
          </w:p>
        </w:tc>
      </w:tr>
      <w:tr w:rsidR="000C35AF" w:rsidRPr="0055149C" w14:paraId="2B085FF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9675B20"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6D1FC372" w14:textId="77777777" w:rsidR="000C35AF" w:rsidRPr="00113056" w:rsidRDefault="000C35AF" w:rsidP="009238AE">
            <w:pPr>
              <w:pStyle w:val="Regresjonstabell"/>
              <w:jc w:val="right"/>
              <w:rPr>
                <w:sz w:val="20"/>
                <w:szCs w:val="20"/>
              </w:rPr>
            </w:pPr>
            <w:r w:rsidRPr="00113056">
              <w:rPr>
                <w:color w:val="000000"/>
                <w:sz w:val="20"/>
                <w:szCs w:val="20"/>
              </w:rPr>
              <w:t>0.016***</w:t>
            </w:r>
          </w:p>
        </w:tc>
        <w:tc>
          <w:tcPr>
            <w:tcW w:w="1399" w:type="dxa"/>
            <w:tcBorders>
              <w:top w:val="nil"/>
              <w:left w:val="nil"/>
              <w:bottom w:val="nil"/>
              <w:right w:val="nil"/>
            </w:tcBorders>
            <w:vAlign w:val="bottom"/>
          </w:tcPr>
          <w:p w14:paraId="7699F109" w14:textId="77777777" w:rsidR="000C35AF" w:rsidRPr="00113056" w:rsidRDefault="000C35AF" w:rsidP="009238AE">
            <w:pPr>
              <w:pStyle w:val="Regresjonstabell"/>
              <w:jc w:val="right"/>
              <w:rPr>
                <w:sz w:val="20"/>
                <w:szCs w:val="20"/>
              </w:rPr>
            </w:pPr>
            <w:r w:rsidRPr="00113056">
              <w:rPr>
                <w:color w:val="000000"/>
                <w:sz w:val="20"/>
                <w:szCs w:val="20"/>
              </w:rPr>
              <w:t>0.002</w:t>
            </w:r>
          </w:p>
        </w:tc>
        <w:tc>
          <w:tcPr>
            <w:tcW w:w="1399" w:type="dxa"/>
            <w:tcBorders>
              <w:top w:val="nil"/>
              <w:left w:val="nil"/>
              <w:bottom w:val="nil"/>
              <w:right w:val="nil"/>
            </w:tcBorders>
            <w:vAlign w:val="bottom"/>
          </w:tcPr>
          <w:p w14:paraId="0AC0D398" w14:textId="77777777" w:rsidR="000C35AF" w:rsidRPr="00113056" w:rsidRDefault="000C35AF" w:rsidP="009238AE">
            <w:pPr>
              <w:pStyle w:val="Regresjonstabell"/>
              <w:jc w:val="right"/>
              <w:rPr>
                <w:sz w:val="20"/>
                <w:szCs w:val="20"/>
              </w:rPr>
            </w:pPr>
            <w:r w:rsidRPr="00113056">
              <w:rPr>
                <w:color w:val="000000"/>
                <w:sz w:val="20"/>
                <w:szCs w:val="20"/>
              </w:rPr>
              <w:t>0.015***</w:t>
            </w:r>
          </w:p>
        </w:tc>
        <w:tc>
          <w:tcPr>
            <w:tcW w:w="1399" w:type="dxa"/>
            <w:tcBorders>
              <w:top w:val="nil"/>
              <w:left w:val="nil"/>
              <w:bottom w:val="nil"/>
              <w:right w:val="nil"/>
            </w:tcBorders>
            <w:vAlign w:val="bottom"/>
          </w:tcPr>
          <w:p w14:paraId="2282224C"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756A7A4C"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10E2BAC3"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nil"/>
            </w:tcBorders>
            <w:vAlign w:val="bottom"/>
          </w:tcPr>
          <w:p w14:paraId="652375C6"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single" w:sz="4" w:space="0" w:color="auto"/>
            </w:tcBorders>
            <w:vAlign w:val="bottom"/>
          </w:tcPr>
          <w:p w14:paraId="1C6A09D8" w14:textId="77777777" w:rsidR="000C35AF" w:rsidRPr="00113056" w:rsidRDefault="000C35AF" w:rsidP="009238AE">
            <w:pPr>
              <w:pStyle w:val="Regresjonstabell"/>
              <w:jc w:val="right"/>
              <w:rPr>
                <w:sz w:val="20"/>
                <w:szCs w:val="20"/>
              </w:rPr>
            </w:pPr>
            <w:r w:rsidRPr="00113056">
              <w:rPr>
                <w:color w:val="000000"/>
                <w:sz w:val="20"/>
                <w:szCs w:val="20"/>
              </w:rPr>
              <w:t>0.016***</w:t>
            </w:r>
          </w:p>
        </w:tc>
      </w:tr>
      <w:tr w:rsidR="000C35AF" w:rsidRPr="0055149C" w14:paraId="36680FC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B554410"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11211DC4"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center"/>
          </w:tcPr>
          <w:p w14:paraId="3E7F96BC"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center"/>
          </w:tcPr>
          <w:p w14:paraId="3FC67C6B"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center"/>
          </w:tcPr>
          <w:p w14:paraId="3C9FF1B5"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5F08889D"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656DE366"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nil"/>
            </w:tcBorders>
            <w:vAlign w:val="center"/>
          </w:tcPr>
          <w:p w14:paraId="43B99D44"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single" w:sz="4" w:space="0" w:color="auto"/>
            </w:tcBorders>
            <w:vAlign w:val="center"/>
          </w:tcPr>
          <w:p w14:paraId="42D3120B" w14:textId="77777777" w:rsidR="000C35AF" w:rsidRPr="00113056" w:rsidRDefault="000C35AF" w:rsidP="009238AE">
            <w:pPr>
              <w:pStyle w:val="Regresjonstabell"/>
              <w:jc w:val="right"/>
              <w:rPr>
                <w:sz w:val="20"/>
                <w:szCs w:val="20"/>
              </w:rPr>
            </w:pPr>
            <w:r w:rsidRPr="00113056">
              <w:rPr>
                <w:color w:val="000000"/>
                <w:sz w:val="20"/>
                <w:szCs w:val="20"/>
              </w:rPr>
              <w:t>(0.006)</w:t>
            </w:r>
          </w:p>
        </w:tc>
      </w:tr>
      <w:tr w:rsidR="000C35AF" w:rsidRPr="0055149C" w14:paraId="588DED1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1313E32"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692BF142" w14:textId="77777777" w:rsidR="000C35AF" w:rsidRPr="00113056" w:rsidRDefault="000C35AF" w:rsidP="009238AE">
            <w:pPr>
              <w:pStyle w:val="Regresjonstabell"/>
              <w:jc w:val="right"/>
              <w:rPr>
                <w:sz w:val="20"/>
                <w:szCs w:val="20"/>
              </w:rPr>
            </w:pPr>
            <w:r w:rsidRPr="00113056">
              <w:rPr>
                <w:color w:val="000000"/>
                <w:sz w:val="20"/>
                <w:szCs w:val="20"/>
              </w:rPr>
              <w:t>4.904*</w:t>
            </w:r>
          </w:p>
        </w:tc>
        <w:tc>
          <w:tcPr>
            <w:tcW w:w="1399" w:type="dxa"/>
            <w:tcBorders>
              <w:top w:val="nil"/>
              <w:left w:val="nil"/>
              <w:bottom w:val="nil"/>
              <w:right w:val="nil"/>
            </w:tcBorders>
            <w:vAlign w:val="bottom"/>
          </w:tcPr>
          <w:p w14:paraId="55D35CCC" w14:textId="77777777" w:rsidR="000C35AF" w:rsidRPr="00113056" w:rsidRDefault="000C35AF" w:rsidP="009238AE">
            <w:pPr>
              <w:pStyle w:val="Regresjonstabell"/>
              <w:jc w:val="right"/>
              <w:rPr>
                <w:sz w:val="20"/>
                <w:szCs w:val="20"/>
              </w:rPr>
            </w:pPr>
            <w:r w:rsidRPr="00113056">
              <w:rPr>
                <w:color w:val="000000"/>
                <w:sz w:val="20"/>
                <w:szCs w:val="20"/>
              </w:rPr>
              <w:t>1.561</w:t>
            </w:r>
          </w:p>
        </w:tc>
        <w:tc>
          <w:tcPr>
            <w:tcW w:w="1399" w:type="dxa"/>
            <w:tcBorders>
              <w:top w:val="nil"/>
              <w:left w:val="nil"/>
              <w:bottom w:val="nil"/>
              <w:right w:val="nil"/>
            </w:tcBorders>
            <w:vAlign w:val="bottom"/>
          </w:tcPr>
          <w:p w14:paraId="289BE690" w14:textId="77777777" w:rsidR="000C35AF" w:rsidRPr="00113056" w:rsidRDefault="000C35AF" w:rsidP="009238AE">
            <w:pPr>
              <w:pStyle w:val="Regresjonstabell"/>
              <w:jc w:val="right"/>
              <w:rPr>
                <w:sz w:val="20"/>
                <w:szCs w:val="20"/>
              </w:rPr>
            </w:pPr>
            <w:r w:rsidRPr="00113056">
              <w:rPr>
                <w:color w:val="000000"/>
                <w:sz w:val="20"/>
                <w:szCs w:val="20"/>
              </w:rPr>
              <w:t>3.343*</w:t>
            </w:r>
          </w:p>
        </w:tc>
        <w:tc>
          <w:tcPr>
            <w:tcW w:w="1399" w:type="dxa"/>
            <w:tcBorders>
              <w:top w:val="nil"/>
              <w:left w:val="nil"/>
              <w:bottom w:val="nil"/>
              <w:right w:val="nil"/>
            </w:tcBorders>
            <w:vAlign w:val="bottom"/>
          </w:tcPr>
          <w:p w14:paraId="7FE8DDBA"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bottom"/>
          </w:tcPr>
          <w:p w14:paraId="238F2A59" w14:textId="77777777" w:rsidR="000C35AF" w:rsidRPr="00113056" w:rsidRDefault="000C35AF" w:rsidP="009238AE">
            <w:pPr>
              <w:pStyle w:val="Regresjonstabell"/>
              <w:jc w:val="right"/>
              <w:rPr>
                <w:sz w:val="20"/>
                <w:szCs w:val="20"/>
              </w:rPr>
            </w:pPr>
            <w:r w:rsidRPr="00113056">
              <w:rPr>
                <w:color w:val="000000"/>
                <w:sz w:val="20"/>
                <w:szCs w:val="20"/>
              </w:rPr>
              <w:t>0.045</w:t>
            </w:r>
          </w:p>
        </w:tc>
        <w:tc>
          <w:tcPr>
            <w:tcW w:w="1399" w:type="dxa"/>
            <w:tcBorders>
              <w:top w:val="nil"/>
              <w:left w:val="nil"/>
              <w:bottom w:val="nil"/>
              <w:right w:val="nil"/>
            </w:tcBorders>
            <w:vAlign w:val="bottom"/>
          </w:tcPr>
          <w:p w14:paraId="465862E3" w14:textId="77777777" w:rsidR="000C35AF" w:rsidRPr="00113056" w:rsidRDefault="000C35AF" w:rsidP="009238AE">
            <w:pPr>
              <w:pStyle w:val="Regresjonstabell"/>
              <w:jc w:val="right"/>
              <w:rPr>
                <w:sz w:val="20"/>
                <w:szCs w:val="20"/>
              </w:rPr>
            </w:pPr>
            <w:r w:rsidRPr="00113056">
              <w:rPr>
                <w:color w:val="000000"/>
                <w:sz w:val="20"/>
                <w:szCs w:val="20"/>
              </w:rPr>
              <w:t>0.104</w:t>
            </w:r>
          </w:p>
        </w:tc>
        <w:tc>
          <w:tcPr>
            <w:tcW w:w="1400" w:type="dxa"/>
            <w:tcBorders>
              <w:top w:val="nil"/>
              <w:left w:val="nil"/>
              <w:bottom w:val="nil"/>
              <w:right w:val="nil"/>
            </w:tcBorders>
            <w:vAlign w:val="bottom"/>
          </w:tcPr>
          <w:p w14:paraId="47D66E0A" w14:textId="77777777" w:rsidR="000C35AF" w:rsidRPr="00113056" w:rsidRDefault="000C35AF" w:rsidP="009238AE">
            <w:pPr>
              <w:pStyle w:val="Regresjonstabell"/>
              <w:jc w:val="right"/>
              <w:rPr>
                <w:sz w:val="20"/>
                <w:szCs w:val="20"/>
              </w:rPr>
            </w:pPr>
            <w:r w:rsidRPr="00113056">
              <w:rPr>
                <w:color w:val="000000"/>
                <w:sz w:val="20"/>
                <w:szCs w:val="20"/>
              </w:rPr>
              <w:t>0.149</w:t>
            </w:r>
          </w:p>
        </w:tc>
        <w:tc>
          <w:tcPr>
            <w:tcW w:w="1400" w:type="dxa"/>
            <w:tcBorders>
              <w:top w:val="nil"/>
              <w:left w:val="nil"/>
              <w:bottom w:val="nil"/>
              <w:right w:val="single" w:sz="4" w:space="0" w:color="auto"/>
            </w:tcBorders>
            <w:vAlign w:val="bottom"/>
          </w:tcPr>
          <w:p w14:paraId="08484BBB" w14:textId="77777777" w:rsidR="000C35AF" w:rsidRPr="00113056" w:rsidRDefault="000C35AF" w:rsidP="009238AE">
            <w:pPr>
              <w:pStyle w:val="Regresjonstabell"/>
              <w:jc w:val="right"/>
              <w:rPr>
                <w:sz w:val="20"/>
                <w:szCs w:val="20"/>
              </w:rPr>
            </w:pPr>
            <w:r w:rsidRPr="00113056">
              <w:rPr>
                <w:color w:val="000000"/>
                <w:sz w:val="20"/>
                <w:szCs w:val="20"/>
              </w:rPr>
              <w:t>5.053*</w:t>
            </w:r>
          </w:p>
        </w:tc>
      </w:tr>
      <w:tr w:rsidR="000C35AF" w:rsidRPr="0055149C" w14:paraId="5FB858F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7CD9958"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0580A6D4" w14:textId="77777777" w:rsidR="000C35AF" w:rsidRPr="00113056" w:rsidRDefault="000C35AF" w:rsidP="009238AE">
            <w:pPr>
              <w:pStyle w:val="Regresjonstabell"/>
              <w:jc w:val="right"/>
              <w:rPr>
                <w:sz w:val="20"/>
                <w:szCs w:val="20"/>
              </w:rPr>
            </w:pPr>
            <w:r w:rsidRPr="00113056">
              <w:rPr>
                <w:color w:val="000000"/>
                <w:sz w:val="20"/>
                <w:szCs w:val="20"/>
              </w:rPr>
              <w:t>(2.908)</w:t>
            </w:r>
          </w:p>
        </w:tc>
        <w:tc>
          <w:tcPr>
            <w:tcW w:w="1399" w:type="dxa"/>
            <w:tcBorders>
              <w:top w:val="nil"/>
              <w:left w:val="nil"/>
              <w:bottom w:val="nil"/>
              <w:right w:val="nil"/>
            </w:tcBorders>
            <w:vAlign w:val="center"/>
          </w:tcPr>
          <w:p w14:paraId="338CCF09" w14:textId="77777777" w:rsidR="000C35AF" w:rsidRPr="00113056" w:rsidRDefault="000C35AF" w:rsidP="009238AE">
            <w:pPr>
              <w:pStyle w:val="Regresjonstabell"/>
              <w:jc w:val="right"/>
              <w:rPr>
                <w:sz w:val="20"/>
                <w:szCs w:val="20"/>
              </w:rPr>
            </w:pPr>
            <w:r w:rsidRPr="00113056">
              <w:rPr>
                <w:color w:val="000000"/>
                <w:sz w:val="20"/>
                <w:szCs w:val="20"/>
              </w:rPr>
              <w:t>(1.549)</w:t>
            </w:r>
          </w:p>
        </w:tc>
        <w:tc>
          <w:tcPr>
            <w:tcW w:w="1399" w:type="dxa"/>
            <w:tcBorders>
              <w:top w:val="nil"/>
              <w:left w:val="nil"/>
              <w:bottom w:val="nil"/>
              <w:right w:val="nil"/>
            </w:tcBorders>
            <w:vAlign w:val="center"/>
          </w:tcPr>
          <w:p w14:paraId="3BEF52B4" w14:textId="77777777" w:rsidR="000C35AF" w:rsidRPr="00113056" w:rsidRDefault="000C35AF" w:rsidP="009238AE">
            <w:pPr>
              <w:pStyle w:val="Regresjonstabell"/>
              <w:jc w:val="right"/>
              <w:rPr>
                <w:sz w:val="20"/>
                <w:szCs w:val="20"/>
              </w:rPr>
            </w:pPr>
            <w:r w:rsidRPr="00113056">
              <w:rPr>
                <w:color w:val="000000"/>
                <w:sz w:val="20"/>
                <w:szCs w:val="20"/>
              </w:rPr>
              <w:t>(1.906)</w:t>
            </w:r>
          </w:p>
        </w:tc>
        <w:tc>
          <w:tcPr>
            <w:tcW w:w="1399" w:type="dxa"/>
            <w:tcBorders>
              <w:top w:val="nil"/>
              <w:left w:val="nil"/>
              <w:bottom w:val="nil"/>
              <w:right w:val="nil"/>
            </w:tcBorders>
            <w:vAlign w:val="center"/>
          </w:tcPr>
          <w:p w14:paraId="67449356" w14:textId="77777777" w:rsidR="000C35AF" w:rsidRPr="00113056" w:rsidRDefault="000C35AF" w:rsidP="009238AE">
            <w:pPr>
              <w:pStyle w:val="Regresjonstabell"/>
              <w:jc w:val="right"/>
              <w:rPr>
                <w:sz w:val="20"/>
                <w:szCs w:val="20"/>
              </w:rPr>
            </w:pPr>
            <w:r w:rsidRPr="00113056">
              <w:rPr>
                <w:color w:val="000000"/>
                <w:sz w:val="20"/>
                <w:szCs w:val="20"/>
              </w:rPr>
              <w:t>(0.048)</w:t>
            </w:r>
          </w:p>
        </w:tc>
        <w:tc>
          <w:tcPr>
            <w:tcW w:w="1399" w:type="dxa"/>
            <w:tcBorders>
              <w:top w:val="nil"/>
              <w:left w:val="nil"/>
              <w:bottom w:val="nil"/>
              <w:right w:val="nil"/>
            </w:tcBorders>
            <w:vAlign w:val="center"/>
          </w:tcPr>
          <w:p w14:paraId="4CD5432D" w14:textId="77777777" w:rsidR="000C35AF" w:rsidRPr="00113056" w:rsidRDefault="000C35AF" w:rsidP="009238AE">
            <w:pPr>
              <w:pStyle w:val="Regresjonstabell"/>
              <w:jc w:val="right"/>
              <w:rPr>
                <w:sz w:val="20"/>
                <w:szCs w:val="20"/>
              </w:rPr>
            </w:pPr>
            <w:r w:rsidRPr="00113056">
              <w:rPr>
                <w:color w:val="000000"/>
                <w:sz w:val="20"/>
                <w:szCs w:val="20"/>
              </w:rPr>
              <w:t>(0.048)</w:t>
            </w:r>
          </w:p>
        </w:tc>
        <w:tc>
          <w:tcPr>
            <w:tcW w:w="1399" w:type="dxa"/>
            <w:tcBorders>
              <w:top w:val="nil"/>
              <w:left w:val="nil"/>
              <w:bottom w:val="nil"/>
              <w:right w:val="nil"/>
            </w:tcBorders>
            <w:vAlign w:val="center"/>
          </w:tcPr>
          <w:p w14:paraId="2C7EF5A2" w14:textId="77777777" w:rsidR="000C35AF" w:rsidRPr="00113056" w:rsidRDefault="000C35AF" w:rsidP="009238AE">
            <w:pPr>
              <w:pStyle w:val="Regresjonstabell"/>
              <w:jc w:val="right"/>
              <w:rPr>
                <w:sz w:val="20"/>
                <w:szCs w:val="20"/>
              </w:rPr>
            </w:pPr>
            <w:r w:rsidRPr="00113056">
              <w:rPr>
                <w:color w:val="000000"/>
                <w:sz w:val="20"/>
                <w:szCs w:val="20"/>
              </w:rPr>
              <w:t>(0.112)</w:t>
            </w:r>
          </w:p>
        </w:tc>
        <w:tc>
          <w:tcPr>
            <w:tcW w:w="1400" w:type="dxa"/>
            <w:tcBorders>
              <w:top w:val="nil"/>
              <w:left w:val="nil"/>
              <w:bottom w:val="nil"/>
              <w:right w:val="nil"/>
            </w:tcBorders>
            <w:vAlign w:val="center"/>
          </w:tcPr>
          <w:p w14:paraId="1DA20AFD" w14:textId="77777777" w:rsidR="000C35AF" w:rsidRPr="00113056" w:rsidRDefault="000C35AF" w:rsidP="009238AE">
            <w:pPr>
              <w:pStyle w:val="Regresjonstabell"/>
              <w:jc w:val="right"/>
              <w:rPr>
                <w:sz w:val="20"/>
                <w:szCs w:val="20"/>
              </w:rPr>
            </w:pPr>
            <w:r w:rsidRPr="00113056">
              <w:rPr>
                <w:color w:val="000000"/>
                <w:sz w:val="20"/>
                <w:szCs w:val="20"/>
              </w:rPr>
              <w:t>(0.160)</w:t>
            </w:r>
          </w:p>
        </w:tc>
        <w:tc>
          <w:tcPr>
            <w:tcW w:w="1400" w:type="dxa"/>
            <w:tcBorders>
              <w:top w:val="nil"/>
              <w:left w:val="nil"/>
              <w:bottom w:val="nil"/>
              <w:right w:val="single" w:sz="4" w:space="0" w:color="auto"/>
            </w:tcBorders>
            <w:vAlign w:val="center"/>
          </w:tcPr>
          <w:p w14:paraId="6C8C5C28" w14:textId="77777777" w:rsidR="000C35AF" w:rsidRPr="00113056" w:rsidRDefault="000C35AF" w:rsidP="009238AE">
            <w:pPr>
              <w:pStyle w:val="Regresjonstabell"/>
              <w:jc w:val="right"/>
              <w:rPr>
                <w:sz w:val="20"/>
                <w:szCs w:val="20"/>
              </w:rPr>
            </w:pPr>
            <w:r w:rsidRPr="00113056">
              <w:rPr>
                <w:color w:val="000000"/>
                <w:sz w:val="20"/>
                <w:szCs w:val="20"/>
              </w:rPr>
              <w:t>(2.922)</w:t>
            </w:r>
          </w:p>
        </w:tc>
      </w:tr>
      <w:tr w:rsidR="000C35AF" w:rsidRPr="0055149C" w14:paraId="6D65B87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E3A3EC5"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5B86DE23"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6004C4FF"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32065423"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37D692F7"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3DD0D5D0"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0FA75C5D"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400" w:type="dxa"/>
            <w:tcBorders>
              <w:top w:val="nil"/>
              <w:left w:val="nil"/>
              <w:bottom w:val="nil"/>
              <w:right w:val="nil"/>
            </w:tcBorders>
            <w:vAlign w:val="bottom"/>
          </w:tcPr>
          <w:p w14:paraId="228F206C"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400" w:type="dxa"/>
            <w:tcBorders>
              <w:top w:val="nil"/>
              <w:left w:val="nil"/>
              <w:bottom w:val="nil"/>
              <w:right w:val="single" w:sz="4" w:space="0" w:color="auto"/>
            </w:tcBorders>
            <w:vAlign w:val="bottom"/>
          </w:tcPr>
          <w:p w14:paraId="67DB9165" w14:textId="77777777" w:rsidR="000C35AF" w:rsidRPr="00113056" w:rsidRDefault="000C35AF" w:rsidP="009238AE">
            <w:pPr>
              <w:pStyle w:val="Regresjonstabell"/>
              <w:jc w:val="right"/>
              <w:rPr>
                <w:sz w:val="20"/>
                <w:szCs w:val="20"/>
              </w:rPr>
            </w:pPr>
            <w:r w:rsidRPr="00113056">
              <w:rPr>
                <w:color w:val="000000"/>
                <w:sz w:val="20"/>
                <w:szCs w:val="20"/>
              </w:rPr>
              <w:t>338</w:t>
            </w:r>
          </w:p>
        </w:tc>
      </w:tr>
      <w:tr w:rsidR="000C35AF" w:rsidRPr="0055149C" w14:paraId="7858AE8F"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72619E57"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260460F9" w14:textId="77777777" w:rsidR="000C35AF" w:rsidRPr="00113056" w:rsidRDefault="000C35AF" w:rsidP="009238AE">
            <w:pPr>
              <w:pStyle w:val="Regresjonstabell"/>
              <w:jc w:val="right"/>
              <w:rPr>
                <w:sz w:val="20"/>
                <w:szCs w:val="20"/>
              </w:rPr>
            </w:pPr>
            <w:r w:rsidRPr="00113056">
              <w:rPr>
                <w:color w:val="000000"/>
                <w:sz w:val="20"/>
                <w:szCs w:val="20"/>
              </w:rPr>
              <w:t>0.157</w:t>
            </w:r>
          </w:p>
        </w:tc>
        <w:tc>
          <w:tcPr>
            <w:tcW w:w="1399" w:type="dxa"/>
            <w:tcBorders>
              <w:top w:val="nil"/>
              <w:left w:val="nil"/>
              <w:bottom w:val="single" w:sz="4" w:space="0" w:color="auto"/>
              <w:right w:val="nil"/>
            </w:tcBorders>
            <w:vAlign w:val="bottom"/>
          </w:tcPr>
          <w:p w14:paraId="1109038E" w14:textId="77777777" w:rsidR="000C35AF" w:rsidRPr="00113056" w:rsidRDefault="000C35AF" w:rsidP="009238AE">
            <w:pPr>
              <w:pStyle w:val="Regresjonstabell"/>
              <w:jc w:val="right"/>
              <w:rPr>
                <w:sz w:val="20"/>
                <w:szCs w:val="20"/>
              </w:rPr>
            </w:pPr>
            <w:r w:rsidRPr="00113056">
              <w:rPr>
                <w:color w:val="000000"/>
                <w:sz w:val="20"/>
                <w:szCs w:val="20"/>
              </w:rPr>
              <w:t>0.080</w:t>
            </w:r>
          </w:p>
        </w:tc>
        <w:tc>
          <w:tcPr>
            <w:tcW w:w="1399" w:type="dxa"/>
            <w:tcBorders>
              <w:top w:val="nil"/>
              <w:left w:val="nil"/>
              <w:bottom w:val="single" w:sz="4" w:space="0" w:color="auto"/>
              <w:right w:val="nil"/>
            </w:tcBorders>
            <w:vAlign w:val="bottom"/>
          </w:tcPr>
          <w:p w14:paraId="21DA22EC" w14:textId="77777777" w:rsidR="000C35AF" w:rsidRPr="00113056" w:rsidRDefault="000C35AF" w:rsidP="009238AE">
            <w:pPr>
              <w:pStyle w:val="Regresjonstabell"/>
              <w:jc w:val="right"/>
              <w:rPr>
                <w:sz w:val="20"/>
                <w:szCs w:val="20"/>
              </w:rPr>
            </w:pPr>
            <w:r w:rsidRPr="00113056">
              <w:rPr>
                <w:color w:val="000000"/>
                <w:sz w:val="20"/>
                <w:szCs w:val="20"/>
              </w:rPr>
              <w:t>0.204</w:t>
            </w:r>
          </w:p>
        </w:tc>
        <w:tc>
          <w:tcPr>
            <w:tcW w:w="1399" w:type="dxa"/>
            <w:tcBorders>
              <w:top w:val="nil"/>
              <w:left w:val="nil"/>
              <w:bottom w:val="single" w:sz="4" w:space="0" w:color="auto"/>
              <w:right w:val="nil"/>
            </w:tcBorders>
            <w:vAlign w:val="bottom"/>
          </w:tcPr>
          <w:p w14:paraId="487A8463" w14:textId="77777777" w:rsidR="000C35AF" w:rsidRPr="00113056" w:rsidRDefault="000C35AF" w:rsidP="009238AE">
            <w:pPr>
              <w:pStyle w:val="Regresjonstabell"/>
              <w:jc w:val="right"/>
              <w:rPr>
                <w:sz w:val="20"/>
                <w:szCs w:val="20"/>
              </w:rPr>
            </w:pPr>
            <w:r w:rsidRPr="00113056">
              <w:rPr>
                <w:color w:val="000000"/>
                <w:sz w:val="20"/>
                <w:szCs w:val="20"/>
              </w:rPr>
              <w:t>0.011</w:t>
            </w:r>
          </w:p>
        </w:tc>
        <w:tc>
          <w:tcPr>
            <w:tcW w:w="1399" w:type="dxa"/>
            <w:tcBorders>
              <w:top w:val="nil"/>
              <w:left w:val="nil"/>
              <w:bottom w:val="single" w:sz="4" w:space="0" w:color="auto"/>
              <w:right w:val="nil"/>
            </w:tcBorders>
            <w:vAlign w:val="bottom"/>
          </w:tcPr>
          <w:p w14:paraId="1F359CD6" w14:textId="77777777" w:rsidR="000C35AF" w:rsidRPr="00113056" w:rsidRDefault="000C35AF" w:rsidP="009238AE">
            <w:pPr>
              <w:pStyle w:val="Regresjonstabell"/>
              <w:jc w:val="right"/>
              <w:rPr>
                <w:sz w:val="20"/>
                <w:szCs w:val="20"/>
              </w:rPr>
            </w:pPr>
            <w:r w:rsidRPr="00113056">
              <w:rPr>
                <w:color w:val="000000"/>
                <w:sz w:val="20"/>
                <w:szCs w:val="20"/>
              </w:rPr>
              <w:t>0.020</w:t>
            </w:r>
          </w:p>
        </w:tc>
        <w:tc>
          <w:tcPr>
            <w:tcW w:w="1399" w:type="dxa"/>
            <w:tcBorders>
              <w:top w:val="nil"/>
              <w:left w:val="nil"/>
              <w:bottom w:val="single" w:sz="4" w:space="0" w:color="auto"/>
              <w:right w:val="nil"/>
            </w:tcBorders>
            <w:vAlign w:val="bottom"/>
          </w:tcPr>
          <w:p w14:paraId="66CE9388" w14:textId="77777777" w:rsidR="000C35AF" w:rsidRPr="00113056" w:rsidRDefault="000C35AF" w:rsidP="009238AE">
            <w:pPr>
              <w:pStyle w:val="Regresjonstabell"/>
              <w:jc w:val="right"/>
              <w:rPr>
                <w:sz w:val="20"/>
                <w:szCs w:val="20"/>
              </w:rPr>
            </w:pPr>
            <w:r w:rsidRPr="00113056">
              <w:rPr>
                <w:color w:val="000000"/>
                <w:sz w:val="20"/>
                <w:szCs w:val="20"/>
              </w:rPr>
              <w:t>0.019</w:t>
            </w:r>
          </w:p>
        </w:tc>
        <w:tc>
          <w:tcPr>
            <w:tcW w:w="1400" w:type="dxa"/>
            <w:tcBorders>
              <w:top w:val="nil"/>
              <w:left w:val="nil"/>
              <w:bottom w:val="single" w:sz="4" w:space="0" w:color="auto"/>
              <w:right w:val="nil"/>
            </w:tcBorders>
            <w:vAlign w:val="bottom"/>
          </w:tcPr>
          <w:p w14:paraId="1DFEC7C9" w14:textId="77777777" w:rsidR="000C35AF" w:rsidRPr="00113056" w:rsidRDefault="000C35AF" w:rsidP="009238AE">
            <w:pPr>
              <w:pStyle w:val="Regresjonstabell"/>
              <w:jc w:val="right"/>
              <w:rPr>
                <w:sz w:val="20"/>
                <w:szCs w:val="20"/>
              </w:rPr>
            </w:pPr>
            <w:r w:rsidRPr="00113056">
              <w:rPr>
                <w:color w:val="000000"/>
                <w:sz w:val="20"/>
                <w:szCs w:val="20"/>
              </w:rPr>
              <w:t>0.020</w:t>
            </w:r>
          </w:p>
        </w:tc>
        <w:tc>
          <w:tcPr>
            <w:tcW w:w="1400" w:type="dxa"/>
            <w:tcBorders>
              <w:top w:val="nil"/>
              <w:left w:val="nil"/>
              <w:bottom w:val="single" w:sz="4" w:space="0" w:color="auto"/>
              <w:right w:val="single" w:sz="4" w:space="0" w:color="auto"/>
            </w:tcBorders>
            <w:vAlign w:val="bottom"/>
          </w:tcPr>
          <w:p w14:paraId="52433BC4" w14:textId="77777777" w:rsidR="000C35AF" w:rsidRPr="00113056" w:rsidRDefault="000C35AF" w:rsidP="009238AE">
            <w:pPr>
              <w:pStyle w:val="Regresjonstabell"/>
              <w:jc w:val="right"/>
              <w:rPr>
                <w:sz w:val="20"/>
                <w:szCs w:val="20"/>
              </w:rPr>
            </w:pPr>
            <w:r w:rsidRPr="00113056">
              <w:rPr>
                <w:color w:val="000000"/>
                <w:sz w:val="20"/>
                <w:szCs w:val="20"/>
              </w:rPr>
              <w:t>0.157</w:t>
            </w:r>
          </w:p>
        </w:tc>
      </w:tr>
    </w:tbl>
    <w:p w14:paraId="7D2D946A"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w:t>
      </w:r>
    </w:p>
    <w:p w14:paraId="58A39912" w14:textId="77777777"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17343D67" w14:textId="0BBEDB00" w:rsidR="000C35AF" w:rsidRPr="0055149C" w:rsidRDefault="000C35AF" w:rsidP="000C35AF">
      <w:pPr>
        <w:pStyle w:val="Bildetekst"/>
      </w:pPr>
      <w:bookmarkStart w:id="144" w:name="_Ref178358806"/>
      <w:r w:rsidRPr="0055149C">
        <w:lastRenderedPageBreak/>
        <w:t xml:space="preserve">Tabell </w:t>
      </w:r>
      <w:fldSimple w:instr=" STYLEREF 1 \s ">
        <w:r w:rsidR="009B1DA8">
          <w:rPr>
            <w:noProof/>
          </w:rPr>
          <w:t>4</w:t>
        </w:r>
      </w:fldSimple>
      <w:r w:rsidRPr="0055149C">
        <w:t>.</w:t>
      </w:r>
      <w:fldSimple w:instr=" SEQ Tabell \* ARABIC \s 1 ">
        <w:r w:rsidR="009B1DA8">
          <w:rPr>
            <w:noProof/>
          </w:rPr>
          <w:t>23</w:t>
        </w:r>
      </w:fldSimple>
      <w:bookmarkEnd w:id="144"/>
      <w:r w:rsidRPr="0055149C">
        <w:t xml:space="preserve"> </w:t>
      </w:r>
      <w:r w:rsidRPr="0055149C">
        <w:tab/>
        <w:t xml:space="preserve">Regresjoner ved minste kvadraters metode, der kostnadene innen administrasjon, styring og fellesutgifter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4079973B" w14:textId="77777777" w:rsidTr="009238AE">
        <w:tc>
          <w:tcPr>
            <w:tcW w:w="2798" w:type="dxa"/>
            <w:tcBorders>
              <w:top w:val="single" w:sz="4" w:space="0" w:color="auto"/>
              <w:left w:val="single" w:sz="4" w:space="0" w:color="auto"/>
              <w:bottom w:val="nil"/>
              <w:right w:val="nil"/>
            </w:tcBorders>
            <w:shd w:val="clear" w:color="auto" w:fill="3672B0" w:themeFill="accent2"/>
          </w:tcPr>
          <w:p w14:paraId="4A24678B"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71A512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4B5D65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2EEC3A0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377B968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1B4BA84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40831B0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00B0018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7B3878A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155A785E" w14:textId="77777777" w:rsidTr="009238AE">
        <w:tc>
          <w:tcPr>
            <w:tcW w:w="2798" w:type="dxa"/>
            <w:tcBorders>
              <w:top w:val="nil"/>
              <w:left w:val="single" w:sz="4" w:space="0" w:color="auto"/>
              <w:bottom w:val="single" w:sz="4" w:space="0" w:color="auto"/>
              <w:right w:val="nil"/>
            </w:tcBorders>
            <w:shd w:val="clear" w:color="auto" w:fill="3672B0" w:themeFill="accent2"/>
          </w:tcPr>
          <w:p w14:paraId="13AB7B7E"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34AD481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76B2B65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41097B8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3D58B3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249AEC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6FC2787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1294FA6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7855F9B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40B5C0EA"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tcPr>
          <w:p w14:paraId="4AC86452" w14:textId="77777777" w:rsidR="000C35AF" w:rsidRPr="0055149C" w:rsidRDefault="000C35AF" w:rsidP="009238AE">
            <w:pPr>
              <w:pStyle w:val="Regresjonstabell"/>
              <w:rPr>
                <w:sz w:val="20"/>
                <w:szCs w:val="20"/>
              </w:rPr>
            </w:pPr>
            <w:r w:rsidRPr="0055149C">
              <w:rPr>
                <w:sz w:val="20"/>
                <w:szCs w:val="20"/>
              </w:rPr>
              <w:t>Innbyggere 0 til 1 år</w:t>
            </w:r>
          </w:p>
        </w:tc>
        <w:tc>
          <w:tcPr>
            <w:tcW w:w="1399" w:type="dxa"/>
            <w:tcBorders>
              <w:top w:val="single" w:sz="4" w:space="0" w:color="auto"/>
              <w:left w:val="single" w:sz="4" w:space="0" w:color="auto"/>
              <w:bottom w:val="nil"/>
              <w:right w:val="nil"/>
            </w:tcBorders>
            <w:vAlign w:val="bottom"/>
          </w:tcPr>
          <w:p w14:paraId="04BD8425" w14:textId="77777777" w:rsidR="000C35AF" w:rsidRPr="00E63B6F" w:rsidRDefault="000C35AF" w:rsidP="009238AE">
            <w:pPr>
              <w:pStyle w:val="Regresjonstabell"/>
              <w:jc w:val="right"/>
              <w:rPr>
                <w:sz w:val="20"/>
                <w:szCs w:val="20"/>
              </w:rPr>
            </w:pPr>
            <w:r w:rsidRPr="00E63B6F">
              <w:rPr>
                <w:color w:val="000000"/>
                <w:sz w:val="20"/>
                <w:szCs w:val="20"/>
              </w:rPr>
              <w:t>-190.129</w:t>
            </w:r>
          </w:p>
        </w:tc>
        <w:tc>
          <w:tcPr>
            <w:tcW w:w="1399" w:type="dxa"/>
            <w:tcBorders>
              <w:top w:val="single" w:sz="4" w:space="0" w:color="auto"/>
              <w:left w:val="nil"/>
              <w:bottom w:val="nil"/>
              <w:right w:val="nil"/>
            </w:tcBorders>
            <w:vAlign w:val="bottom"/>
          </w:tcPr>
          <w:p w14:paraId="7583378F" w14:textId="77777777" w:rsidR="000C35AF" w:rsidRPr="00E63B6F" w:rsidRDefault="000C35AF" w:rsidP="009238AE">
            <w:pPr>
              <w:pStyle w:val="Regresjonstabell"/>
              <w:jc w:val="right"/>
              <w:rPr>
                <w:sz w:val="20"/>
                <w:szCs w:val="20"/>
              </w:rPr>
            </w:pPr>
            <w:r w:rsidRPr="00E63B6F">
              <w:rPr>
                <w:color w:val="000000"/>
                <w:sz w:val="20"/>
                <w:szCs w:val="20"/>
              </w:rPr>
              <w:t>-205.275</w:t>
            </w:r>
          </w:p>
        </w:tc>
        <w:tc>
          <w:tcPr>
            <w:tcW w:w="1399" w:type="dxa"/>
            <w:tcBorders>
              <w:top w:val="single" w:sz="4" w:space="0" w:color="auto"/>
              <w:left w:val="nil"/>
              <w:bottom w:val="nil"/>
              <w:right w:val="nil"/>
            </w:tcBorders>
            <w:vAlign w:val="bottom"/>
          </w:tcPr>
          <w:p w14:paraId="45F76B06" w14:textId="77777777" w:rsidR="000C35AF" w:rsidRPr="00E63B6F" w:rsidRDefault="000C35AF" w:rsidP="009238AE">
            <w:pPr>
              <w:pStyle w:val="Regresjonstabell"/>
              <w:jc w:val="right"/>
              <w:rPr>
                <w:sz w:val="20"/>
                <w:szCs w:val="20"/>
              </w:rPr>
            </w:pPr>
            <w:r w:rsidRPr="00E63B6F">
              <w:rPr>
                <w:color w:val="000000"/>
                <w:sz w:val="20"/>
                <w:szCs w:val="20"/>
              </w:rPr>
              <w:t>-191.788</w:t>
            </w:r>
          </w:p>
        </w:tc>
        <w:tc>
          <w:tcPr>
            <w:tcW w:w="1399" w:type="dxa"/>
            <w:tcBorders>
              <w:top w:val="single" w:sz="4" w:space="0" w:color="auto"/>
              <w:left w:val="nil"/>
              <w:bottom w:val="nil"/>
              <w:right w:val="nil"/>
            </w:tcBorders>
            <w:vAlign w:val="bottom"/>
          </w:tcPr>
          <w:p w14:paraId="3FD1AB9B" w14:textId="77777777" w:rsidR="000C35AF" w:rsidRPr="00E63B6F" w:rsidRDefault="000C35AF" w:rsidP="009238AE">
            <w:pPr>
              <w:pStyle w:val="Regresjonstabell"/>
              <w:jc w:val="right"/>
              <w:rPr>
                <w:sz w:val="20"/>
                <w:szCs w:val="20"/>
              </w:rPr>
            </w:pPr>
            <w:r w:rsidRPr="00E63B6F">
              <w:rPr>
                <w:color w:val="000000"/>
                <w:sz w:val="20"/>
                <w:szCs w:val="20"/>
              </w:rPr>
              <w:t>-193.616</w:t>
            </w:r>
          </w:p>
        </w:tc>
        <w:tc>
          <w:tcPr>
            <w:tcW w:w="1399" w:type="dxa"/>
            <w:tcBorders>
              <w:top w:val="single" w:sz="4" w:space="0" w:color="auto"/>
              <w:left w:val="nil"/>
              <w:bottom w:val="nil"/>
              <w:right w:val="nil"/>
            </w:tcBorders>
            <w:vAlign w:val="bottom"/>
          </w:tcPr>
          <w:p w14:paraId="69B13EC2" w14:textId="77777777" w:rsidR="000C35AF" w:rsidRPr="00E63B6F" w:rsidRDefault="000C35AF" w:rsidP="009238AE">
            <w:pPr>
              <w:pStyle w:val="Regresjonstabell"/>
              <w:jc w:val="right"/>
              <w:rPr>
                <w:sz w:val="20"/>
                <w:szCs w:val="20"/>
              </w:rPr>
            </w:pPr>
            <w:r w:rsidRPr="00E63B6F">
              <w:rPr>
                <w:color w:val="000000"/>
                <w:sz w:val="20"/>
                <w:szCs w:val="20"/>
              </w:rPr>
              <w:t>4.736</w:t>
            </w:r>
          </w:p>
        </w:tc>
        <w:tc>
          <w:tcPr>
            <w:tcW w:w="1399" w:type="dxa"/>
            <w:tcBorders>
              <w:top w:val="single" w:sz="4" w:space="0" w:color="auto"/>
              <w:left w:val="nil"/>
              <w:bottom w:val="nil"/>
              <w:right w:val="nil"/>
            </w:tcBorders>
            <w:vAlign w:val="bottom"/>
          </w:tcPr>
          <w:p w14:paraId="4FC1966E" w14:textId="77777777" w:rsidR="000C35AF" w:rsidRPr="00E63B6F" w:rsidRDefault="000C35AF" w:rsidP="009238AE">
            <w:pPr>
              <w:pStyle w:val="Regresjonstabell"/>
              <w:jc w:val="right"/>
              <w:rPr>
                <w:sz w:val="20"/>
                <w:szCs w:val="20"/>
              </w:rPr>
            </w:pPr>
            <w:r w:rsidRPr="00E63B6F">
              <w:rPr>
                <w:color w:val="000000"/>
                <w:sz w:val="20"/>
                <w:szCs w:val="20"/>
              </w:rPr>
              <w:t>32.693</w:t>
            </w:r>
          </w:p>
        </w:tc>
        <w:tc>
          <w:tcPr>
            <w:tcW w:w="1400" w:type="dxa"/>
            <w:tcBorders>
              <w:top w:val="single" w:sz="4" w:space="0" w:color="auto"/>
              <w:left w:val="nil"/>
              <w:bottom w:val="nil"/>
              <w:right w:val="nil"/>
            </w:tcBorders>
            <w:vAlign w:val="bottom"/>
          </w:tcPr>
          <w:p w14:paraId="50B4E0C3" w14:textId="77777777" w:rsidR="000C35AF" w:rsidRPr="00E63B6F" w:rsidRDefault="000C35AF" w:rsidP="009238AE">
            <w:pPr>
              <w:pStyle w:val="Regresjonstabell"/>
              <w:jc w:val="right"/>
              <w:rPr>
                <w:sz w:val="20"/>
                <w:szCs w:val="20"/>
              </w:rPr>
            </w:pPr>
            <w:r w:rsidRPr="00E63B6F">
              <w:rPr>
                <w:color w:val="000000"/>
                <w:sz w:val="20"/>
                <w:szCs w:val="20"/>
              </w:rPr>
              <w:t>19.225</w:t>
            </w:r>
          </w:p>
        </w:tc>
        <w:tc>
          <w:tcPr>
            <w:tcW w:w="1400" w:type="dxa"/>
            <w:tcBorders>
              <w:top w:val="single" w:sz="4" w:space="0" w:color="auto"/>
              <w:left w:val="nil"/>
              <w:bottom w:val="nil"/>
              <w:right w:val="single" w:sz="4" w:space="0" w:color="auto"/>
            </w:tcBorders>
            <w:vAlign w:val="bottom"/>
          </w:tcPr>
          <w:p w14:paraId="461F7AC5" w14:textId="77777777" w:rsidR="000C35AF" w:rsidRPr="00E63B6F" w:rsidRDefault="000C35AF" w:rsidP="009238AE">
            <w:pPr>
              <w:pStyle w:val="Regresjonstabell"/>
              <w:jc w:val="right"/>
              <w:rPr>
                <w:sz w:val="20"/>
                <w:szCs w:val="20"/>
              </w:rPr>
            </w:pPr>
            <w:r w:rsidRPr="00E63B6F">
              <w:rPr>
                <w:color w:val="000000"/>
                <w:sz w:val="20"/>
                <w:szCs w:val="20"/>
              </w:rPr>
              <w:t>43.903</w:t>
            </w:r>
          </w:p>
        </w:tc>
      </w:tr>
      <w:tr w:rsidR="000C35AF" w:rsidRPr="0055149C" w14:paraId="3ED3BEC4"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17B6B9AF" w14:textId="77777777" w:rsidR="000C35AF" w:rsidRPr="0055149C" w:rsidRDefault="000C35AF" w:rsidP="009238AE">
            <w:pPr>
              <w:pStyle w:val="Regresjonstabell"/>
              <w:rPr>
                <w:sz w:val="20"/>
                <w:szCs w:val="20"/>
              </w:rPr>
            </w:pPr>
            <w:r w:rsidRPr="0055149C">
              <w:rPr>
                <w:sz w:val="20"/>
                <w:szCs w:val="20"/>
              </w:rPr>
              <w:t>(Kriterium 3)</w:t>
            </w:r>
          </w:p>
        </w:tc>
        <w:tc>
          <w:tcPr>
            <w:tcW w:w="1399" w:type="dxa"/>
            <w:tcBorders>
              <w:top w:val="nil"/>
              <w:left w:val="single" w:sz="4" w:space="0" w:color="auto"/>
              <w:bottom w:val="nil"/>
              <w:right w:val="nil"/>
            </w:tcBorders>
            <w:vAlign w:val="center"/>
          </w:tcPr>
          <w:p w14:paraId="57FE3EE5" w14:textId="77777777" w:rsidR="000C35AF" w:rsidRPr="00E63B6F" w:rsidRDefault="000C35AF" w:rsidP="009238AE">
            <w:pPr>
              <w:pStyle w:val="Regresjonstabell"/>
              <w:jc w:val="right"/>
              <w:rPr>
                <w:sz w:val="20"/>
                <w:szCs w:val="20"/>
              </w:rPr>
            </w:pPr>
            <w:r w:rsidRPr="00E63B6F">
              <w:rPr>
                <w:color w:val="000000"/>
                <w:sz w:val="20"/>
                <w:szCs w:val="20"/>
              </w:rPr>
              <w:t>(144.602)</w:t>
            </w:r>
          </w:p>
        </w:tc>
        <w:tc>
          <w:tcPr>
            <w:tcW w:w="1399" w:type="dxa"/>
            <w:tcBorders>
              <w:top w:val="nil"/>
              <w:left w:val="nil"/>
              <w:bottom w:val="nil"/>
              <w:right w:val="nil"/>
            </w:tcBorders>
            <w:vAlign w:val="center"/>
          </w:tcPr>
          <w:p w14:paraId="4FBFCC9A" w14:textId="77777777" w:rsidR="000C35AF" w:rsidRPr="00E63B6F" w:rsidRDefault="000C35AF" w:rsidP="009238AE">
            <w:pPr>
              <w:pStyle w:val="Regresjonstabell"/>
              <w:jc w:val="right"/>
              <w:rPr>
                <w:sz w:val="20"/>
                <w:szCs w:val="20"/>
              </w:rPr>
            </w:pPr>
            <w:r w:rsidRPr="00E63B6F">
              <w:rPr>
                <w:color w:val="000000"/>
                <w:sz w:val="20"/>
                <w:szCs w:val="20"/>
              </w:rPr>
              <w:t>(147.250)</w:t>
            </w:r>
          </w:p>
        </w:tc>
        <w:tc>
          <w:tcPr>
            <w:tcW w:w="1399" w:type="dxa"/>
            <w:tcBorders>
              <w:top w:val="nil"/>
              <w:left w:val="nil"/>
              <w:bottom w:val="nil"/>
              <w:right w:val="nil"/>
            </w:tcBorders>
            <w:vAlign w:val="center"/>
          </w:tcPr>
          <w:p w14:paraId="0C1921FD" w14:textId="77777777" w:rsidR="000C35AF" w:rsidRPr="00E63B6F" w:rsidRDefault="000C35AF" w:rsidP="009238AE">
            <w:pPr>
              <w:pStyle w:val="Regresjonstabell"/>
              <w:jc w:val="right"/>
              <w:rPr>
                <w:sz w:val="20"/>
                <w:szCs w:val="20"/>
              </w:rPr>
            </w:pPr>
            <w:r w:rsidRPr="00E63B6F">
              <w:rPr>
                <w:color w:val="000000"/>
                <w:sz w:val="20"/>
                <w:szCs w:val="20"/>
              </w:rPr>
              <w:t>(147.468)</w:t>
            </w:r>
          </w:p>
        </w:tc>
        <w:tc>
          <w:tcPr>
            <w:tcW w:w="1399" w:type="dxa"/>
            <w:tcBorders>
              <w:top w:val="nil"/>
              <w:left w:val="nil"/>
              <w:bottom w:val="nil"/>
              <w:right w:val="nil"/>
            </w:tcBorders>
            <w:vAlign w:val="center"/>
          </w:tcPr>
          <w:p w14:paraId="3B39ABEB" w14:textId="77777777" w:rsidR="000C35AF" w:rsidRPr="00E63B6F" w:rsidRDefault="000C35AF" w:rsidP="009238AE">
            <w:pPr>
              <w:pStyle w:val="Regresjonstabell"/>
              <w:jc w:val="right"/>
              <w:rPr>
                <w:sz w:val="20"/>
                <w:szCs w:val="20"/>
              </w:rPr>
            </w:pPr>
            <w:r w:rsidRPr="00E63B6F">
              <w:rPr>
                <w:color w:val="000000"/>
                <w:sz w:val="20"/>
                <w:szCs w:val="20"/>
              </w:rPr>
              <w:t>(150.939)</w:t>
            </w:r>
          </w:p>
        </w:tc>
        <w:tc>
          <w:tcPr>
            <w:tcW w:w="1399" w:type="dxa"/>
            <w:tcBorders>
              <w:top w:val="nil"/>
              <w:left w:val="nil"/>
              <w:bottom w:val="nil"/>
              <w:right w:val="nil"/>
            </w:tcBorders>
            <w:vAlign w:val="center"/>
          </w:tcPr>
          <w:p w14:paraId="2E853B60" w14:textId="77777777" w:rsidR="000C35AF" w:rsidRPr="00E63B6F" w:rsidRDefault="000C35AF" w:rsidP="009238AE">
            <w:pPr>
              <w:pStyle w:val="Regresjonstabell"/>
              <w:jc w:val="right"/>
              <w:rPr>
                <w:sz w:val="20"/>
                <w:szCs w:val="20"/>
              </w:rPr>
            </w:pPr>
            <w:r w:rsidRPr="00E63B6F">
              <w:rPr>
                <w:color w:val="000000"/>
                <w:sz w:val="20"/>
                <w:szCs w:val="20"/>
              </w:rPr>
              <w:t>(157.570)</w:t>
            </w:r>
          </w:p>
        </w:tc>
        <w:tc>
          <w:tcPr>
            <w:tcW w:w="1399" w:type="dxa"/>
            <w:tcBorders>
              <w:top w:val="nil"/>
              <w:left w:val="nil"/>
              <w:bottom w:val="nil"/>
              <w:right w:val="nil"/>
            </w:tcBorders>
            <w:vAlign w:val="center"/>
          </w:tcPr>
          <w:p w14:paraId="4843A605" w14:textId="77777777" w:rsidR="000C35AF" w:rsidRPr="00E63B6F" w:rsidRDefault="000C35AF" w:rsidP="009238AE">
            <w:pPr>
              <w:pStyle w:val="Regresjonstabell"/>
              <w:jc w:val="right"/>
              <w:rPr>
                <w:sz w:val="20"/>
                <w:szCs w:val="20"/>
              </w:rPr>
            </w:pPr>
            <w:r w:rsidRPr="00E63B6F">
              <w:rPr>
                <w:color w:val="000000"/>
                <w:sz w:val="20"/>
                <w:szCs w:val="20"/>
              </w:rPr>
              <w:t>(176.981)</w:t>
            </w:r>
          </w:p>
        </w:tc>
        <w:tc>
          <w:tcPr>
            <w:tcW w:w="1400" w:type="dxa"/>
            <w:tcBorders>
              <w:top w:val="nil"/>
              <w:left w:val="nil"/>
              <w:bottom w:val="nil"/>
              <w:right w:val="nil"/>
            </w:tcBorders>
            <w:vAlign w:val="center"/>
          </w:tcPr>
          <w:p w14:paraId="6644E6FB" w14:textId="77777777" w:rsidR="000C35AF" w:rsidRPr="00E63B6F" w:rsidRDefault="000C35AF" w:rsidP="009238AE">
            <w:pPr>
              <w:pStyle w:val="Regresjonstabell"/>
              <w:jc w:val="right"/>
              <w:rPr>
                <w:sz w:val="20"/>
                <w:szCs w:val="20"/>
              </w:rPr>
            </w:pPr>
            <w:r w:rsidRPr="00E63B6F">
              <w:rPr>
                <w:color w:val="000000"/>
                <w:sz w:val="20"/>
                <w:szCs w:val="20"/>
              </w:rPr>
              <w:t>(159.607)</w:t>
            </w:r>
          </w:p>
        </w:tc>
        <w:tc>
          <w:tcPr>
            <w:tcW w:w="1400" w:type="dxa"/>
            <w:tcBorders>
              <w:top w:val="nil"/>
              <w:left w:val="nil"/>
              <w:bottom w:val="nil"/>
              <w:right w:val="single" w:sz="4" w:space="0" w:color="auto"/>
            </w:tcBorders>
            <w:vAlign w:val="center"/>
          </w:tcPr>
          <w:p w14:paraId="7C5E0ADD" w14:textId="77777777" w:rsidR="000C35AF" w:rsidRPr="00E63B6F" w:rsidRDefault="000C35AF" w:rsidP="009238AE">
            <w:pPr>
              <w:pStyle w:val="Regresjonstabell"/>
              <w:jc w:val="right"/>
              <w:rPr>
                <w:sz w:val="20"/>
                <w:szCs w:val="20"/>
              </w:rPr>
            </w:pPr>
            <w:r w:rsidRPr="00E63B6F">
              <w:rPr>
                <w:color w:val="000000"/>
                <w:sz w:val="20"/>
                <w:szCs w:val="20"/>
              </w:rPr>
              <w:t>(170.040)</w:t>
            </w:r>
          </w:p>
        </w:tc>
      </w:tr>
      <w:tr w:rsidR="000C35AF" w:rsidRPr="0055149C" w14:paraId="40CEE60A"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5C4A300E" w14:textId="77777777" w:rsidR="000C35AF" w:rsidRPr="0055149C" w:rsidRDefault="000C35AF" w:rsidP="009238AE">
            <w:pPr>
              <w:pStyle w:val="Regresjonstabell"/>
              <w:rPr>
                <w:sz w:val="20"/>
                <w:szCs w:val="20"/>
              </w:rPr>
            </w:pPr>
            <w:r w:rsidRPr="0055149C">
              <w:rPr>
                <w:sz w:val="20"/>
                <w:szCs w:val="20"/>
              </w:rPr>
              <w:t>Innbyggere 2 til 5 år</w:t>
            </w:r>
          </w:p>
        </w:tc>
        <w:tc>
          <w:tcPr>
            <w:tcW w:w="1399" w:type="dxa"/>
            <w:tcBorders>
              <w:top w:val="nil"/>
              <w:left w:val="single" w:sz="4" w:space="0" w:color="auto"/>
              <w:bottom w:val="nil"/>
              <w:right w:val="nil"/>
            </w:tcBorders>
            <w:vAlign w:val="bottom"/>
          </w:tcPr>
          <w:p w14:paraId="25227489" w14:textId="77777777" w:rsidR="000C35AF" w:rsidRPr="00E63B6F" w:rsidRDefault="000C35AF" w:rsidP="009238AE">
            <w:pPr>
              <w:pStyle w:val="Regresjonstabell"/>
              <w:jc w:val="right"/>
              <w:rPr>
                <w:sz w:val="20"/>
                <w:szCs w:val="20"/>
              </w:rPr>
            </w:pPr>
            <w:r w:rsidRPr="00E63B6F">
              <w:rPr>
                <w:color w:val="000000"/>
                <w:sz w:val="20"/>
                <w:szCs w:val="20"/>
              </w:rPr>
              <w:t>28.426</w:t>
            </w:r>
          </w:p>
        </w:tc>
        <w:tc>
          <w:tcPr>
            <w:tcW w:w="1399" w:type="dxa"/>
            <w:tcBorders>
              <w:top w:val="nil"/>
              <w:left w:val="nil"/>
              <w:bottom w:val="nil"/>
              <w:right w:val="nil"/>
            </w:tcBorders>
            <w:vAlign w:val="bottom"/>
          </w:tcPr>
          <w:p w14:paraId="35DD7161" w14:textId="77777777" w:rsidR="000C35AF" w:rsidRPr="00E63B6F" w:rsidRDefault="000C35AF" w:rsidP="009238AE">
            <w:pPr>
              <w:pStyle w:val="Regresjonstabell"/>
              <w:jc w:val="right"/>
              <w:rPr>
                <w:sz w:val="20"/>
                <w:szCs w:val="20"/>
              </w:rPr>
            </w:pPr>
            <w:r w:rsidRPr="00E63B6F">
              <w:rPr>
                <w:color w:val="000000"/>
                <w:sz w:val="20"/>
                <w:szCs w:val="20"/>
              </w:rPr>
              <w:t>24.043</w:t>
            </w:r>
          </w:p>
        </w:tc>
        <w:tc>
          <w:tcPr>
            <w:tcW w:w="1399" w:type="dxa"/>
            <w:tcBorders>
              <w:top w:val="nil"/>
              <w:left w:val="nil"/>
              <w:bottom w:val="nil"/>
              <w:right w:val="nil"/>
            </w:tcBorders>
            <w:vAlign w:val="bottom"/>
          </w:tcPr>
          <w:p w14:paraId="0B536644" w14:textId="77777777" w:rsidR="000C35AF" w:rsidRPr="00E63B6F" w:rsidRDefault="000C35AF" w:rsidP="009238AE">
            <w:pPr>
              <w:pStyle w:val="Regresjonstabell"/>
              <w:jc w:val="right"/>
              <w:rPr>
                <w:sz w:val="20"/>
                <w:szCs w:val="20"/>
              </w:rPr>
            </w:pPr>
            <w:r w:rsidRPr="00E63B6F">
              <w:rPr>
                <w:color w:val="000000"/>
                <w:sz w:val="20"/>
                <w:szCs w:val="20"/>
              </w:rPr>
              <w:t>21.679</w:t>
            </w:r>
          </w:p>
        </w:tc>
        <w:tc>
          <w:tcPr>
            <w:tcW w:w="1399" w:type="dxa"/>
            <w:tcBorders>
              <w:top w:val="nil"/>
              <w:left w:val="nil"/>
              <w:bottom w:val="nil"/>
              <w:right w:val="nil"/>
            </w:tcBorders>
            <w:vAlign w:val="bottom"/>
          </w:tcPr>
          <w:p w14:paraId="1986F1E2" w14:textId="77777777" w:rsidR="000C35AF" w:rsidRPr="00E63B6F" w:rsidRDefault="000C35AF" w:rsidP="009238AE">
            <w:pPr>
              <w:pStyle w:val="Regresjonstabell"/>
              <w:jc w:val="right"/>
              <w:rPr>
                <w:sz w:val="20"/>
                <w:szCs w:val="20"/>
              </w:rPr>
            </w:pPr>
            <w:r w:rsidRPr="00E63B6F">
              <w:rPr>
                <w:color w:val="000000"/>
                <w:sz w:val="20"/>
                <w:szCs w:val="20"/>
              </w:rPr>
              <w:t>14.645</w:t>
            </w:r>
          </w:p>
        </w:tc>
        <w:tc>
          <w:tcPr>
            <w:tcW w:w="1399" w:type="dxa"/>
            <w:tcBorders>
              <w:top w:val="nil"/>
              <w:left w:val="nil"/>
              <w:bottom w:val="nil"/>
              <w:right w:val="nil"/>
            </w:tcBorders>
            <w:vAlign w:val="bottom"/>
          </w:tcPr>
          <w:p w14:paraId="68FA20E6" w14:textId="77777777" w:rsidR="000C35AF" w:rsidRPr="00E63B6F" w:rsidRDefault="000C35AF" w:rsidP="009238AE">
            <w:pPr>
              <w:pStyle w:val="Regresjonstabell"/>
              <w:jc w:val="right"/>
              <w:rPr>
                <w:sz w:val="20"/>
                <w:szCs w:val="20"/>
              </w:rPr>
            </w:pPr>
            <w:r w:rsidRPr="00E63B6F">
              <w:rPr>
                <w:color w:val="000000"/>
                <w:sz w:val="20"/>
                <w:szCs w:val="20"/>
              </w:rPr>
              <w:t>-132.494</w:t>
            </w:r>
          </w:p>
        </w:tc>
        <w:tc>
          <w:tcPr>
            <w:tcW w:w="1399" w:type="dxa"/>
            <w:tcBorders>
              <w:top w:val="nil"/>
              <w:left w:val="nil"/>
              <w:bottom w:val="nil"/>
              <w:right w:val="nil"/>
            </w:tcBorders>
            <w:vAlign w:val="bottom"/>
          </w:tcPr>
          <w:p w14:paraId="5ECD016D" w14:textId="77777777" w:rsidR="000C35AF" w:rsidRPr="00E63B6F" w:rsidRDefault="000C35AF" w:rsidP="009238AE">
            <w:pPr>
              <w:pStyle w:val="Regresjonstabell"/>
              <w:jc w:val="right"/>
              <w:rPr>
                <w:sz w:val="20"/>
                <w:szCs w:val="20"/>
              </w:rPr>
            </w:pPr>
            <w:r w:rsidRPr="00E63B6F">
              <w:rPr>
                <w:color w:val="000000"/>
                <w:sz w:val="20"/>
                <w:szCs w:val="20"/>
              </w:rPr>
              <w:t>-145.236</w:t>
            </w:r>
          </w:p>
        </w:tc>
        <w:tc>
          <w:tcPr>
            <w:tcW w:w="1400" w:type="dxa"/>
            <w:tcBorders>
              <w:top w:val="nil"/>
              <w:left w:val="nil"/>
              <w:bottom w:val="nil"/>
              <w:right w:val="nil"/>
            </w:tcBorders>
            <w:vAlign w:val="bottom"/>
          </w:tcPr>
          <w:p w14:paraId="79BCA5AF" w14:textId="77777777" w:rsidR="000C35AF" w:rsidRPr="00E63B6F" w:rsidRDefault="000C35AF" w:rsidP="009238AE">
            <w:pPr>
              <w:pStyle w:val="Regresjonstabell"/>
              <w:jc w:val="right"/>
              <w:rPr>
                <w:sz w:val="20"/>
                <w:szCs w:val="20"/>
              </w:rPr>
            </w:pPr>
            <w:r w:rsidRPr="00E63B6F">
              <w:rPr>
                <w:color w:val="000000"/>
                <w:sz w:val="20"/>
                <w:szCs w:val="20"/>
              </w:rPr>
              <w:t>-146.093</w:t>
            </w:r>
          </w:p>
        </w:tc>
        <w:tc>
          <w:tcPr>
            <w:tcW w:w="1400" w:type="dxa"/>
            <w:tcBorders>
              <w:top w:val="nil"/>
              <w:left w:val="nil"/>
              <w:bottom w:val="nil"/>
              <w:right w:val="single" w:sz="4" w:space="0" w:color="auto"/>
            </w:tcBorders>
            <w:vAlign w:val="bottom"/>
          </w:tcPr>
          <w:p w14:paraId="552D2AC7" w14:textId="77777777" w:rsidR="000C35AF" w:rsidRPr="00E63B6F" w:rsidRDefault="000C35AF" w:rsidP="009238AE">
            <w:pPr>
              <w:pStyle w:val="Regresjonstabell"/>
              <w:jc w:val="right"/>
              <w:rPr>
                <w:sz w:val="20"/>
                <w:szCs w:val="20"/>
              </w:rPr>
            </w:pPr>
            <w:r w:rsidRPr="00E63B6F">
              <w:rPr>
                <w:color w:val="000000"/>
                <w:sz w:val="20"/>
                <w:szCs w:val="20"/>
              </w:rPr>
              <w:t>-169.775</w:t>
            </w:r>
          </w:p>
        </w:tc>
      </w:tr>
      <w:tr w:rsidR="000C35AF" w:rsidRPr="0055149C" w14:paraId="0613B01F"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5C5BEDFD"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4DC5F361" w14:textId="77777777" w:rsidR="000C35AF" w:rsidRPr="00E63B6F" w:rsidRDefault="000C35AF" w:rsidP="009238AE">
            <w:pPr>
              <w:pStyle w:val="Regresjonstabell"/>
              <w:jc w:val="right"/>
              <w:rPr>
                <w:sz w:val="20"/>
                <w:szCs w:val="20"/>
              </w:rPr>
            </w:pPr>
            <w:r w:rsidRPr="00E63B6F">
              <w:rPr>
                <w:color w:val="000000"/>
                <w:sz w:val="20"/>
                <w:szCs w:val="20"/>
              </w:rPr>
              <w:t>(78.796)</w:t>
            </w:r>
          </w:p>
        </w:tc>
        <w:tc>
          <w:tcPr>
            <w:tcW w:w="1399" w:type="dxa"/>
            <w:tcBorders>
              <w:top w:val="nil"/>
              <w:left w:val="nil"/>
              <w:bottom w:val="nil"/>
              <w:right w:val="nil"/>
            </w:tcBorders>
            <w:vAlign w:val="center"/>
          </w:tcPr>
          <w:p w14:paraId="3E169C5E" w14:textId="77777777" w:rsidR="000C35AF" w:rsidRPr="00E63B6F" w:rsidRDefault="000C35AF" w:rsidP="009238AE">
            <w:pPr>
              <w:pStyle w:val="Regresjonstabell"/>
              <w:jc w:val="right"/>
              <w:rPr>
                <w:sz w:val="20"/>
                <w:szCs w:val="20"/>
              </w:rPr>
            </w:pPr>
            <w:r w:rsidRPr="00E63B6F">
              <w:rPr>
                <w:color w:val="000000"/>
                <w:sz w:val="20"/>
                <w:szCs w:val="20"/>
              </w:rPr>
              <w:t>(80.702)</w:t>
            </w:r>
          </w:p>
        </w:tc>
        <w:tc>
          <w:tcPr>
            <w:tcW w:w="1399" w:type="dxa"/>
            <w:tcBorders>
              <w:top w:val="nil"/>
              <w:left w:val="nil"/>
              <w:bottom w:val="nil"/>
              <w:right w:val="nil"/>
            </w:tcBorders>
            <w:vAlign w:val="center"/>
          </w:tcPr>
          <w:p w14:paraId="04798A9C" w14:textId="77777777" w:rsidR="000C35AF" w:rsidRPr="00E63B6F" w:rsidRDefault="000C35AF" w:rsidP="009238AE">
            <w:pPr>
              <w:pStyle w:val="Regresjonstabell"/>
              <w:jc w:val="right"/>
              <w:rPr>
                <w:sz w:val="20"/>
                <w:szCs w:val="20"/>
              </w:rPr>
            </w:pPr>
            <w:r w:rsidRPr="00E63B6F">
              <w:rPr>
                <w:color w:val="000000"/>
                <w:sz w:val="20"/>
                <w:szCs w:val="20"/>
              </w:rPr>
              <w:t>(79.591)</w:t>
            </w:r>
          </w:p>
        </w:tc>
        <w:tc>
          <w:tcPr>
            <w:tcW w:w="1399" w:type="dxa"/>
            <w:tcBorders>
              <w:top w:val="nil"/>
              <w:left w:val="nil"/>
              <w:bottom w:val="nil"/>
              <w:right w:val="nil"/>
            </w:tcBorders>
            <w:vAlign w:val="center"/>
          </w:tcPr>
          <w:p w14:paraId="45C72896" w14:textId="77777777" w:rsidR="000C35AF" w:rsidRPr="00E63B6F" w:rsidRDefault="000C35AF" w:rsidP="009238AE">
            <w:pPr>
              <w:pStyle w:val="Regresjonstabell"/>
              <w:jc w:val="right"/>
              <w:rPr>
                <w:sz w:val="20"/>
                <w:szCs w:val="20"/>
              </w:rPr>
            </w:pPr>
            <w:r w:rsidRPr="00E63B6F">
              <w:rPr>
                <w:color w:val="000000"/>
                <w:sz w:val="20"/>
                <w:szCs w:val="20"/>
              </w:rPr>
              <w:t>(80.811)</w:t>
            </w:r>
          </w:p>
        </w:tc>
        <w:tc>
          <w:tcPr>
            <w:tcW w:w="1399" w:type="dxa"/>
            <w:tcBorders>
              <w:top w:val="nil"/>
              <w:left w:val="nil"/>
              <w:bottom w:val="nil"/>
              <w:right w:val="nil"/>
            </w:tcBorders>
            <w:vAlign w:val="center"/>
          </w:tcPr>
          <w:p w14:paraId="046CD8E3" w14:textId="77777777" w:rsidR="000C35AF" w:rsidRPr="00E63B6F" w:rsidRDefault="000C35AF" w:rsidP="009238AE">
            <w:pPr>
              <w:pStyle w:val="Regresjonstabell"/>
              <w:jc w:val="right"/>
              <w:rPr>
                <w:sz w:val="20"/>
                <w:szCs w:val="20"/>
              </w:rPr>
            </w:pPr>
            <w:r w:rsidRPr="00E63B6F">
              <w:rPr>
                <w:color w:val="000000"/>
                <w:sz w:val="20"/>
                <w:szCs w:val="20"/>
              </w:rPr>
              <w:t>(102.141)</w:t>
            </w:r>
          </w:p>
        </w:tc>
        <w:tc>
          <w:tcPr>
            <w:tcW w:w="1399" w:type="dxa"/>
            <w:tcBorders>
              <w:top w:val="nil"/>
              <w:left w:val="nil"/>
              <w:bottom w:val="nil"/>
              <w:right w:val="nil"/>
            </w:tcBorders>
            <w:vAlign w:val="center"/>
          </w:tcPr>
          <w:p w14:paraId="5EC94080" w14:textId="77777777" w:rsidR="000C35AF" w:rsidRPr="00E63B6F" w:rsidRDefault="000C35AF" w:rsidP="009238AE">
            <w:pPr>
              <w:pStyle w:val="Regresjonstabell"/>
              <w:jc w:val="right"/>
              <w:rPr>
                <w:sz w:val="20"/>
                <w:szCs w:val="20"/>
              </w:rPr>
            </w:pPr>
            <w:r w:rsidRPr="00E63B6F">
              <w:rPr>
                <w:color w:val="000000"/>
                <w:sz w:val="20"/>
                <w:szCs w:val="20"/>
              </w:rPr>
              <w:t>(106.514)</w:t>
            </w:r>
          </w:p>
        </w:tc>
        <w:tc>
          <w:tcPr>
            <w:tcW w:w="1400" w:type="dxa"/>
            <w:tcBorders>
              <w:top w:val="nil"/>
              <w:left w:val="nil"/>
              <w:bottom w:val="nil"/>
              <w:right w:val="nil"/>
            </w:tcBorders>
            <w:vAlign w:val="center"/>
          </w:tcPr>
          <w:p w14:paraId="69BC45A4" w14:textId="77777777" w:rsidR="000C35AF" w:rsidRPr="00E63B6F" w:rsidRDefault="000C35AF" w:rsidP="009238AE">
            <w:pPr>
              <w:pStyle w:val="Regresjonstabell"/>
              <w:jc w:val="right"/>
              <w:rPr>
                <w:sz w:val="20"/>
                <w:szCs w:val="20"/>
              </w:rPr>
            </w:pPr>
            <w:r w:rsidRPr="00E63B6F">
              <w:rPr>
                <w:color w:val="000000"/>
                <w:sz w:val="20"/>
                <w:szCs w:val="20"/>
              </w:rPr>
              <w:t>(103.079)</w:t>
            </w:r>
          </w:p>
        </w:tc>
        <w:tc>
          <w:tcPr>
            <w:tcW w:w="1400" w:type="dxa"/>
            <w:tcBorders>
              <w:top w:val="nil"/>
              <w:left w:val="nil"/>
              <w:bottom w:val="nil"/>
              <w:right w:val="single" w:sz="4" w:space="0" w:color="auto"/>
            </w:tcBorders>
            <w:vAlign w:val="center"/>
          </w:tcPr>
          <w:p w14:paraId="76C887EE" w14:textId="77777777" w:rsidR="000C35AF" w:rsidRPr="00E63B6F" w:rsidRDefault="000C35AF" w:rsidP="009238AE">
            <w:pPr>
              <w:pStyle w:val="Regresjonstabell"/>
              <w:jc w:val="right"/>
              <w:rPr>
                <w:sz w:val="20"/>
                <w:szCs w:val="20"/>
              </w:rPr>
            </w:pPr>
            <w:r w:rsidRPr="00E63B6F">
              <w:rPr>
                <w:color w:val="000000"/>
                <w:sz w:val="20"/>
                <w:szCs w:val="20"/>
              </w:rPr>
              <w:t>(106.804)</w:t>
            </w:r>
          </w:p>
        </w:tc>
      </w:tr>
      <w:tr w:rsidR="000C35AF" w:rsidRPr="0055149C" w14:paraId="421D3D96"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3C585613" w14:textId="77777777" w:rsidR="000C35AF" w:rsidRPr="0055149C" w:rsidRDefault="000C35AF" w:rsidP="009238AE">
            <w:pPr>
              <w:pStyle w:val="Regresjonstabell"/>
              <w:rPr>
                <w:sz w:val="20"/>
                <w:szCs w:val="20"/>
              </w:rPr>
            </w:pPr>
            <w:r w:rsidRPr="0055149C">
              <w:rPr>
                <w:sz w:val="20"/>
                <w:szCs w:val="20"/>
              </w:rPr>
              <w:t>Innbyggere 6 til 15 år</w:t>
            </w:r>
          </w:p>
        </w:tc>
        <w:tc>
          <w:tcPr>
            <w:tcW w:w="1399" w:type="dxa"/>
            <w:tcBorders>
              <w:top w:val="nil"/>
              <w:left w:val="single" w:sz="4" w:space="0" w:color="auto"/>
              <w:bottom w:val="nil"/>
              <w:right w:val="nil"/>
            </w:tcBorders>
            <w:vAlign w:val="bottom"/>
          </w:tcPr>
          <w:p w14:paraId="23EAF550" w14:textId="77777777" w:rsidR="000C35AF" w:rsidRPr="00E63B6F" w:rsidRDefault="000C35AF" w:rsidP="009238AE">
            <w:pPr>
              <w:pStyle w:val="Regresjonstabell"/>
              <w:jc w:val="right"/>
              <w:rPr>
                <w:sz w:val="20"/>
                <w:szCs w:val="20"/>
              </w:rPr>
            </w:pPr>
            <w:r w:rsidRPr="00E63B6F">
              <w:rPr>
                <w:color w:val="000000"/>
                <w:sz w:val="20"/>
                <w:szCs w:val="20"/>
              </w:rPr>
              <w:t>-60.999</w:t>
            </w:r>
          </w:p>
        </w:tc>
        <w:tc>
          <w:tcPr>
            <w:tcW w:w="1399" w:type="dxa"/>
            <w:tcBorders>
              <w:top w:val="nil"/>
              <w:left w:val="nil"/>
              <w:bottom w:val="nil"/>
              <w:right w:val="nil"/>
            </w:tcBorders>
            <w:vAlign w:val="bottom"/>
          </w:tcPr>
          <w:p w14:paraId="07D1D2CF" w14:textId="77777777" w:rsidR="000C35AF" w:rsidRPr="00E63B6F" w:rsidRDefault="000C35AF" w:rsidP="009238AE">
            <w:pPr>
              <w:pStyle w:val="Regresjonstabell"/>
              <w:jc w:val="right"/>
              <w:rPr>
                <w:sz w:val="20"/>
                <w:szCs w:val="20"/>
              </w:rPr>
            </w:pPr>
            <w:r w:rsidRPr="00E63B6F">
              <w:rPr>
                <w:color w:val="000000"/>
                <w:sz w:val="20"/>
                <w:szCs w:val="20"/>
              </w:rPr>
              <w:t>-67.556</w:t>
            </w:r>
          </w:p>
        </w:tc>
        <w:tc>
          <w:tcPr>
            <w:tcW w:w="1399" w:type="dxa"/>
            <w:tcBorders>
              <w:top w:val="nil"/>
              <w:left w:val="nil"/>
              <w:bottom w:val="nil"/>
              <w:right w:val="nil"/>
            </w:tcBorders>
            <w:vAlign w:val="bottom"/>
          </w:tcPr>
          <w:p w14:paraId="17911363" w14:textId="77777777" w:rsidR="000C35AF" w:rsidRPr="00E63B6F" w:rsidRDefault="000C35AF" w:rsidP="009238AE">
            <w:pPr>
              <w:pStyle w:val="Regresjonstabell"/>
              <w:jc w:val="right"/>
              <w:rPr>
                <w:sz w:val="20"/>
                <w:szCs w:val="20"/>
              </w:rPr>
            </w:pPr>
            <w:r w:rsidRPr="00E63B6F">
              <w:rPr>
                <w:color w:val="000000"/>
                <w:sz w:val="20"/>
                <w:szCs w:val="20"/>
              </w:rPr>
              <w:t>-60.623</w:t>
            </w:r>
          </w:p>
        </w:tc>
        <w:tc>
          <w:tcPr>
            <w:tcW w:w="1399" w:type="dxa"/>
            <w:tcBorders>
              <w:top w:val="nil"/>
              <w:left w:val="nil"/>
              <w:bottom w:val="nil"/>
              <w:right w:val="nil"/>
            </w:tcBorders>
            <w:vAlign w:val="bottom"/>
          </w:tcPr>
          <w:p w14:paraId="33A17BAE" w14:textId="77777777" w:rsidR="000C35AF" w:rsidRPr="00E63B6F" w:rsidRDefault="000C35AF" w:rsidP="009238AE">
            <w:pPr>
              <w:pStyle w:val="Regresjonstabell"/>
              <w:jc w:val="right"/>
              <w:rPr>
                <w:sz w:val="20"/>
                <w:szCs w:val="20"/>
              </w:rPr>
            </w:pPr>
            <w:r w:rsidRPr="00E63B6F">
              <w:rPr>
                <w:color w:val="000000"/>
                <w:sz w:val="20"/>
                <w:szCs w:val="20"/>
              </w:rPr>
              <w:t>-60.146</w:t>
            </w:r>
          </w:p>
        </w:tc>
        <w:tc>
          <w:tcPr>
            <w:tcW w:w="1399" w:type="dxa"/>
            <w:tcBorders>
              <w:top w:val="nil"/>
              <w:left w:val="nil"/>
              <w:bottom w:val="nil"/>
              <w:right w:val="nil"/>
            </w:tcBorders>
            <w:vAlign w:val="bottom"/>
          </w:tcPr>
          <w:p w14:paraId="55129D53" w14:textId="77777777" w:rsidR="000C35AF" w:rsidRPr="00E63B6F" w:rsidRDefault="000C35AF" w:rsidP="009238AE">
            <w:pPr>
              <w:pStyle w:val="Regresjonstabell"/>
              <w:jc w:val="right"/>
              <w:rPr>
                <w:sz w:val="20"/>
                <w:szCs w:val="20"/>
              </w:rPr>
            </w:pPr>
            <w:r w:rsidRPr="00E63B6F">
              <w:rPr>
                <w:color w:val="000000"/>
                <w:sz w:val="20"/>
                <w:szCs w:val="20"/>
              </w:rPr>
              <w:t>-72.483</w:t>
            </w:r>
          </w:p>
        </w:tc>
        <w:tc>
          <w:tcPr>
            <w:tcW w:w="1399" w:type="dxa"/>
            <w:tcBorders>
              <w:top w:val="nil"/>
              <w:left w:val="nil"/>
              <w:bottom w:val="nil"/>
              <w:right w:val="nil"/>
            </w:tcBorders>
            <w:vAlign w:val="bottom"/>
          </w:tcPr>
          <w:p w14:paraId="462A4E32" w14:textId="77777777" w:rsidR="000C35AF" w:rsidRPr="00E63B6F" w:rsidRDefault="000C35AF" w:rsidP="009238AE">
            <w:pPr>
              <w:pStyle w:val="Regresjonstabell"/>
              <w:jc w:val="right"/>
              <w:rPr>
                <w:sz w:val="20"/>
                <w:szCs w:val="20"/>
              </w:rPr>
            </w:pPr>
            <w:r w:rsidRPr="00E63B6F">
              <w:rPr>
                <w:color w:val="000000"/>
                <w:sz w:val="20"/>
                <w:szCs w:val="20"/>
              </w:rPr>
              <w:t>-68.730</w:t>
            </w:r>
          </w:p>
        </w:tc>
        <w:tc>
          <w:tcPr>
            <w:tcW w:w="1400" w:type="dxa"/>
            <w:tcBorders>
              <w:top w:val="nil"/>
              <w:left w:val="nil"/>
              <w:bottom w:val="nil"/>
              <w:right w:val="nil"/>
            </w:tcBorders>
            <w:vAlign w:val="bottom"/>
          </w:tcPr>
          <w:p w14:paraId="6006B438" w14:textId="77777777" w:rsidR="000C35AF" w:rsidRPr="00E63B6F" w:rsidRDefault="000C35AF" w:rsidP="009238AE">
            <w:pPr>
              <w:pStyle w:val="Regresjonstabell"/>
              <w:jc w:val="right"/>
              <w:rPr>
                <w:sz w:val="20"/>
                <w:szCs w:val="20"/>
              </w:rPr>
            </w:pPr>
            <w:r w:rsidRPr="00E63B6F">
              <w:rPr>
                <w:color w:val="000000"/>
                <w:sz w:val="20"/>
                <w:szCs w:val="20"/>
              </w:rPr>
              <w:t>-66.285</w:t>
            </w:r>
          </w:p>
        </w:tc>
        <w:tc>
          <w:tcPr>
            <w:tcW w:w="1400" w:type="dxa"/>
            <w:tcBorders>
              <w:top w:val="nil"/>
              <w:left w:val="nil"/>
              <w:bottom w:val="nil"/>
              <w:right w:val="single" w:sz="4" w:space="0" w:color="auto"/>
            </w:tcBorders>
            <w:vAlign w:val="bottom"/>
          </w:tcPr>
          <w:p w14:paraId="7C3CC34C" w14:textId="77777777" w:rsidR="000C35AF" w:rsidRPr="00E63B6F" w:rsidRDefault="000C35AF" w:rsidP="009238AE">
            <w:pPr>
              <w:pStyle w:val="Regresjonstabell"/>
              <w:jc w:val="right"/>
              <w:rPr>
                <w:sz w:val="20"/>
                <w:szCs w:val="20"/>
              </w:rPr>
            </w:pPr>
            <w:r w:rsidRPr="00E63B6F">
              <w:rPr>
                <w:color w:val="000000"/>
                <w:sz w:val="20"/>
                <w:szCs w:val="20"/>
              </w:rPr>
              <w:t>-55.643</w:t>
            </w:r>
          </w:p>
        </w:tc>
      </w:tr>
      <w:tr w:rsidR="000C35AF" w:rsidRPr="0055149C" w14:paraId="03C57B1E"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76D06A72"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34909824" w14:textId="77777777" w:rsidR="000C35AF" w:rsidRPr="00E63B6F" w:rsidRDefault="000C35AF" w:rsidP="009238AE">
            <w:pPr>
              <w:pStyle w:val="Regresjonstabell"/>
              <w:jc w:val="right"/>
              <w:rPr>
                <w:sz w:val="20"/>
                <w:szCs w:val="20"/>
              </w:rPr>
            </w:pPr>
            <w:r w:rsidRPr="00E63B6F">
              <w:rPr>
                <w:color w:val="000000"/>
                <w:sz w:val="20"/>
                <w:szCs w:val="20"/>
              </w:rPr>
              <w:t>(42.196)</w:t>
            </w:r>
          </w:p>
        </w:tc>
        <w:tc>
          <w:tcPr>
            <w:tcW w:w="1399" w:type="dxa"/>
            <w:tcBorders>
              <w:top w:val="nil"/>
              <w:left w:val="nil"/>
              <w:bottom w:val="nil"/>
              <w:right w:val="nil"/>
            </w:tcBorders>
            <w:vAlign w:val="center"/>
          </w:tcPr>
          <w:p w14:paraId="2A297951" w14:textId="77777777" w:rsidR="000C35AF" w:rsidRPr="00E63B6F" w:rsidRDefault="000C35AF" w:rsidP="009238AE">
            <w:pPr>
              <w:pStyle w:val="Regresjonstabell"/>
              <w:jc w:val="right"/>
              <w:rPr>
                <w:sz w:val="20"/>
                <w:szCs w:val="20"/>
              </w:rPr>
            </w:pPr>
            <w:r w:rsidRPr="00E63B6F">
              <w:rPr>
                <w:color w:val="000000"/>
                <w:sz w:val="20"/>
                <w:szCs w:val="20"/>
              </w:rPr>
              <w:t>(43.711)</w:t>
            </w:r>
          </w:p>
        </w:tc>
        <w:tc>
          <w:tcPr>
            <w:tcW w:w="1399" w:type="dxa"/>
            <w:tcBorders>
              <w:top w:val="nil"/>
              <w:left w:val="nil"/>
              <w:bottom w:val="nil"/>
              <w:right w:val="nil"/>
            </w:tcBorders>
            <w:vAlign w:val="center"/>
          </w:tcPr>
          <w:p w14:paraId="141FE2E8" w14:textId="77777777" w:rsidR="000C35AF" w:rsidRPr="00E63B6F" w:rsidRDefault="000C35AF" w:rsidP="009238AE">
            <w:pPr>
              <w:pStyle w:val="Regresjonstabell"/>
              <w:jc w:val="right"/>
              <w:rPr>
                <w:sz w:val="20"/>
                <w:szCs w:val="20"/>
              </w:rPr>
            </w:pPr>
            <w:r w:rsidRPr="00E63B6F">
              <w:rPr>
                <w:color w:val="000000"/>
                <w:sz w:val="20"/>
                <w:szCs w:val="20"/>
              </w:rPr>
              <w:t>(42.642)</w:t>
            </w:r>
          </w:p>
        </w:tc>
        <w:tc>
          <w:tcPr>
            <w:tcW w:w="1399" w:type="dxa"/>
            <w:tcBorders>
              <w:top w:val="nil"/>
              <w:left w:val="nil"/>
              <w:bottom w:val="nil"/>
              <w:right w:val="nil"/>
            </w:tcBorders>
            <w:vAlign w:val="center"/>
          </w:tcPr>
          <w:p w14:paraId="2650A6E3" w14:textId="77777777" w:rsidR="000C35AF" w:rsidRPr="00E63B6F" w:rsidRDefault="000C35AF" w:rsidP="009238AE">
            <w:pPr>
              <w:pStyle w:val="Regresjonstabell"/>
              <w:jc w:val="right"/>
              <w:rPr>
                <w:sz w:val="20"/>
                <w:szCs w:val="20"/>
              </w:rPr>
            </w:pPr>
            <w:r w:rsidRPr="00E63B6F">
              <w:rPr>
                <w:color w:val="000000"/>
                <w:sz w:val="20"/>
                <w:szCs w:val="20"/>
              </w:rPr>
              <w:t>(43.292)</w:t>
            </w:r>
          </w:p>
        </w:tc>
        <w:tc>
          <w:tcPr>
            <w:tcW w:w="1399" w:type="dxa"/>
            <w:tcBorders>
              <w:top w:val="nil"/>
              <w:left w:val="nil"/>
              <w:bottom w:val="nil"/>
              <w:right w:val="nil"/>
            </w:tcBorders>
            <w:vAlign w:val="center"/>
          </w:tcPr>
          <w:p w14:paraId="7F1F2CAD" w14:textId="77777777" w:rsidR="000C35AF" w:rsidRPr="00E63B6F" w:rsidRDefault="000C35AF" w:rsidP="009238AE">
            <w:pPr>
              <w:pStyle w:val="Regresjonstabell"/>
              <w:jc w:val="right"/>
              <w:rPr>
                <w:sz w:val="20"/>
                <w:szCs w:val="20"/>
              </w:rPr>
            </w:pPr>
            <w:r w:rsidRPr="00E63B6F">
              <w:rPr>
                <w:color w:val="000000"/>
                <w:sz w:val="20"/>
                <w:szCs w:val="20"/>
              </w:rPr>
              <w:t>(55.771)</w:t>
            </w:r>
          </w:p>
        </w:tc>
        <w:tc>
          <w:tcPr>
            <w:tcW w:w="1399" w:type="dxa"/>
            <w:tcBorders>
              <w:top w:val="nil"/>
              <w:left w:val="nil"/>
              <w:bottom w:val="nil"/>
              <w:right w:val="nil"/>
            </w:tcBorders>
            <w:vAlign w:val="center"/>
          </w:tcPr>
          <w:p w14:paraId="6A01DD5C" w14:textId="77777777" w:rsidR="000C35AF" w:rsidRPr="00E63B6F" w:rsidRDefault="000C35AF" w:rsidP="009238AE">
            <w:pPr>
              <w:pStyle w:val="Regresjonstabell"/>
              <w:jc w:val="right"/>
              <w:rPr>
                <w:sz w:val="20"/>
                <w:szCs w:val="20"/>
              </w:rPr>
            </w:pPr>
            <w:r w:rsidRPr="00E63B6F">
              <w:rPr>
                <w:color w:val="000000"/>
                <w:sz w:val="20"/>
                <w:szCs w:val="20"/>
              </w:rPr>
              <w:t>(57.074)</w:t>
            </w:r>
          </w:p>
        </w:tc>
        <w:tc>
          <w:tcPr>
            <w:tcW w:w="1400" w:type="dxa"/>
            <w:tcBorders>
              <w:top w:val="nil"/>
              <w:left w:val="nil"/>
              <w:bottom w:val="nil"/>
              <w:right w:val="nil"/>
            </w:tcBorders>
            <w:vAlign w:val="center"/>
          </w:tcPr>
          <w:p w14:paraId="6495FDA4" w14:textId="77777777" w:rsidR="000C35AF" w:rsidRPr="00E63B6F" w:rsidRDefault="000C35AF" w:rsidP="009238AE">
            <w:pPr>
              <w:pStyle w:val="Regresjonstabell"/>
              <w:jc w:val="right"/>
              <w:rPr>
                <w:sz w:val="20"/>
                <w:szCs w:val="20"/>
              </w:rPr>
            </w:pPr>
            <w:r w:rsidRPr="00E63B6F">
              <w:rPr>
                <w:color w:val="000000"/>
                <w:sz w:val="20"/>
                <w:szCs w:val="20"/>
              </w:rPr>
              <w:t>(55.959)</w:t>
            </w:r>
          </w:p>
        </w:tc>
        <w:tc>
          <w:tcPr>
            <w:tcW w:w="1400" w:type="dxa"/>
            <w:tcBorders>
              <w:top w:val="nil"/>
              <w:left w:val="nil"/>
              <w:bottom w:val="nil"/>
              <w:right w:val="single" w:sz="4" w:space="0" w:color="auto"/>
            </w:tcBorders>
            <w:vAlign w:val="center"/>
          </w:tcPr>
          <w:p w14:paraId="69307A02" w14:textId="77777777" w:rsidR="000C35AF" w:rsidRPr="00E63B6F" w:rsidRDefault="000C35AF" w:rsidP="009238AE">
            <w:pPr>
              <w:pStyle w:val="Regresjonstabell"/>
              <w:jc w:val="right"/>
              <w:rPr>
                <w:sz w:val="20"/>
                <w:szCs w:val="20"/>
              </w:rPr>
            </w:pPr>
            <w:r w:rsidRPr="00E63B6F">
              <w:rPr>
                <w:color w:val="000000"/>
                <w:sz w:val="20"/>
                <w:szCs w:val="20"/>
              </w:rPr>
              <w:t>(57.516)</w:t>
            </w:r>
          </w:p>
        </w:tc>
      </w:tr>
      <w:tr w:rsidR="000C35AF" w:rsidRPr="0055149C" w14:paraId="4BFD3385"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4A10DFF3"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nil"/>
              <w:left w:val="single" w:sz="4" w:space="0" w:color="auto"/>
              <w:bottom w:val="nil"/>
              <w:right w:val="nil"/>
            </w:tcBorders>
            <w:vAlign w:val="bottom"/>
          </w:tcPr>
          <w:p w14:paraId="046C5402" w14:textId="77777777" w:rsidR="000C35AF" w:rsidRPr="00E63B6F" w:rsidRDefault="000C35AF" w:rsidP="009238AE">
            <w:pPr>
              <w:pStyle w:val="Regresjonstabell"/>
              <w:jc w:val="right"/>
              <w:rPr>
                <w:sz w:val="20"/>
                <w:szCs w:val="20"/>
              </w:rPr>
            </w:pPr>
            <w:r w:rsidRPr="00E63B6F">
              <w:rPr>
                <w:color w:val="000000"/>
                <w:sz w:val="20"/>
                <w:szCs w:val="20"/>
              </w:rPr>
              <w:t>122.421**</w:t>
            </w:r>
          </w:p>
        </w:tc>
        <w:tc>
          <w:tcPr>
            <w:tcW w:w="1399" w:type="dxa"/>
            <w:tcBorders>
              <w:top w:val="nil"/>
              <w:left w:val="nil"/>
              <w:bottom w:val="nil"/>
              <w:right w:val="nil"/>
            </w:tcBorders>
            <w:vAlign w:val="bottom"/>
          </w:tcPr>
          <w:p w14:paraId="4ADF8553" w14:textId="77777777" w:rsidR="000C35AF" w:rsidRPr="00E63B6F" w:rsidRDefault="000C35AF" w:rsidP="009238AE">
            <w:pPr>
              <w:pStyle w:val="Regresjonstabell"/>
              <w:jc w:val="right"/>
              <w:rPr>
                <w:sz w:val="20"/>
                <w:szCs w:val="20"/>
              </w:rPr>
            </w:pPr>
            <w:r w:rsidRPr="00E63B6F">
              <w:rPr>
                <w:color w:val="000000"/>
                <w:sz w:val="20"/>
                <w:szCs w:val="20"/>
              </w:rPr>
              <w:t>119.585**</w:t>
            </w:r>
          </w:p>
        </w:tc>
        <w:tc>
          <w:tcPr>
            <w:tcW w:w="1399" w:type="dxa"/>
            <w:tcBorders>
              <w:top w:val="nil"/>
              <w:left w:val="nil"/>
              <w:bottom w:val="nil"/>
              <w:right w:val="nil"/>
            </w:tcBorders>
            <w:vAlign w:val="bottom"/>
          </w:tcPr>
          <w:p w14:paraId="7C0AAE9F" w14:textId="77777777" w:rsidR="000C35AF" w:rsidRPr="00E63B6F" w:rsidRDefault="000C35AF" w:rsidP="009238AE">
            <w:pPr>
              <w:pStyle w:val="Regresjonstabell"/>
              <w:jc w:val="right"/>
              <w:rPr>
                <w:sz w:val="20"/>
                <w:szCs w:val="20"/>
              </w:rPr>
            </w:pPr>
            <w:r w:rsidRPr="00E63B6F">
              <w:rPr>
                <w:color w:val="000000"/>
                <w:sz w:val="20"/>
                <w:szCs w:val="20"/>
              </w:rPr>
              <w:t>121.837**</w:t>
            </w:r>
          </w:p>
        </w:tc>
        <w:tc>
          <w:tcPr>
            <w:tcW w:w="1399" w:type="dxa"/>
            <w:tcBorders>
              <w:top w:val="nil"/>
              <w:left w:val="nil"/>
              <w:bottom w:val="nil"/>
              <w:right w:val="nil"/>
            </w:tcBorders>
            <w:vAlign w:val="bottom"/>
          </w:tcPr>
          <w:p w14:paraId="40D9F210" w14:textId="77777777" w:rsidR="000C35AF" w:rsidRPr="00E63B6F" w:rsidRDefault="000C35AF" w:rsidP="009238AE">
            <w:pPr>
              <w:pStyle w:val="Regresjonstabell"/>
              <w:jc w:val="right"/>
              <w:rPr>
                <w:sz w:val="20"/>
                <w:szCs w:val="20"/>
              </w:rPr>
            </w:pPr>
            <w:r w:rsidRPr="00E63B6F">
              <w:rPr>
                <w:color w:val="000000"/>
                <w:sz w:val="20"/>
                <w:szCs w:val="20"/>
              </w:rPr>
              <w:t>121.160**</w:t>
            </w:r>
          </w:p>
        </w:tc>
        <w:tc>
          <w:tcPr>
            <w:tcW w:w="1399" w:type="dxa"/>
            <w:tcBorders>
              <w:top w:val="nil"/>
              <w:left w:val="nil"/>
              <w:bottom w:val="nil"/>
              <w:right w:val="nil"/>
            </w:tcBorders>
            <w:vAlign w:val="bottom"/>
          </w:tcPr>
          <w:p w14:paraId="042823A9" w14:textId="77777777" w:rsidR="000C35AF" w:rsidRPr="00E63B6F" w:rsidRDefault="000C35AF" w:rsidP="009238AE">
            <w:pPr>
              <w:pStyle w:val="Regresjonstabell"/>
              <w:jc w:val="right"/>
              <w:rPr>
                <w:sz w:val="20"/>
                <w:szCs w:val="20"/>
              </w:rPr>
            </w:pPr>
            <w:r w:rsidRPr="00E63B6F">
              <w:rPr>
                <w:color w:val="000000"/>
                <w:sz w:val="20"/>
                <w:szCs w:val="20"/>
              </w:rPr>
              <w:t>49.778</w:t>
            </w:r>
          </w:p>
        </w:tc>
        <w:tc>
          <w:tcPr>
            <w:tcW w:w="1399" w:type="dxa"/>
            <w:tcBorders>
              <w:top w:val="nil"/>
              <w:left w:val="nil"/>
              <w:bottom w:val="nil"/>
              <w:right w:val="nil"/>
            </w:tcBorders>
            <w:vAlign w:val="bottom"/>
          </w:tcPr>
          <w:p w14:paraId="12ECC7B0" w14:textId="77777777" w:rsidR="000C35AF" w:rsidRPr="00E63B6F" w:rsidRDefault="000C35AF" w:rsidP="009238AE">
            <w:pPr>
              <w:pStyle w:val="Regresjonstabell"/>
              <w:jc w:val="right"/>
              <w:rPr>
                <w:sz w:val="20"/>
                <w:szCs w:val="20"/>
              </w:rPr>
            </w:pPr>
            <w:r w:rsidRPr="00E63B6F">
              <w:rPr>
                <w:color w:val="000000"/>
                <w:sz w:val="20"/>
                <w:szCs w:val="20"/>
              </w:rPr>
              <w:t>48.966</w:t>
            </w:r>
          </w:p>
        </w:tc>
        <w:tc>
          <w:tcPr>
            <w:tcW w:w="1400" w:type="dxa"/>
            <w:tcBorders>
              <w:top w:val="nil"/>
              <w:left w:val="nil"/>
              <w:bottom w:val="nil"/>
              <w:right w:val="nil"/>
            </w:tcBorders>
            <w:vAlign w:val="bottom"/>
          </w:tcPr>
          <w:p w14:paraId="20B574BE" w14:textId="77777777" w:rsidR="000C35AF" w:rsidRPr="00E63B6F" w:rsidRDefault="000C35AF" w:rsidP="009238AE">
            <w:pPr>
              <w:pStyle w:val="Regresjonstabell"/>
              <w:jc w:val="right"/>
              <w:rPr>
                <w:sz w:val="20"/>
                <w:szCs w:val="20"/>
              </w:rPr>
            </w:pPr>
            <w:r w:rsidRPr="00E63B6F">
              <w:rPr>
                <w:color w:val="000000"/>
                <w:sz w:val="20"/>
                <w:szCs w:val="20"/>
              </w:rPr>
              <w:t>51.073</w:t>
            </w:r>
          </w:p>
        </w:tc>
        <w:tc>
          <w:tcPr>
            <w:tcW w:w="1400" w:type="dxa"/>
            <w:tcBorders>
              <w:top w:val="nil"/>
              <w:left w:val="nil"/>
              <w:bottom w:val="nil"/>
              <w:right w:val="single" w:sz="4" w:space="0" w:color="auto"/>
            </w:tcBorders>
            <w:vAlign w:val="bottom"/>
          </w:tcPr>
          <w:p w14:paraId="6C4C73A3" w14:textId="77777777" w:rsidR="000C35AF" w:rsidRPr="00E63B6F" w:rsidRDefault="000C35AF" w:rsidP="009238AE">
            <w:pPr>
              <w:pStyle w:val="Regresjonstabell"/>
              <w:jc w:val="right"/>
              <w:rPr>
                <w:sz w:val="20"/>
                <w:szCs w:val="20"/>
              </w:rPr>
            </w:pPr>
            <w:r w:rsidRPr="00E63B6F">
              <w:rPr>
                <w:color w:val="000000"/>
                <w:sz w:val="20"/>
                <w:szCs w:val="20"/>
              </w:rPr>
              <w:t>53.156</w:t>
            </w:r>
          </w:p>
        </w:tc>
      </w:tr>
      <w:tr w:rsidR="000C35AF" w:rsidRPr="0055149C" w14:paraId="454FBC4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BAE402B"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76E09D11" w14:textId="77777777" w:rsidR="000C35AF" w:rsidRPr="00E63B6F" w:rsidRDefault="000C35AF" w:rsidP="009238AE">
            <w:pPr>
              <w:pStyle w:val="Regresjonstabell"/>
              <w:jc w:val="right"/>
              <w:rPr>
                <w:sz w:val="20"/>
                <w:szCs w:val="20"/>
              </w:rPr>
            </w:pPr>
            <w:r w:rsidRPr="00E63B6F">
              <w:rPr>
                <w:color w:val="000000"/>
                <w:sz w:val="20"/>
                <w:szCs w:val="20"/>
              </w:rPr>
              <w:t>(54.801)</w:t>
            </w:r>
          </w:p>
        </w:tc>
        <w:tc>
          <w:tcPr>
            <w:tcW w:w="1399" w:type="dxa"/>
            <w:tcBorders>
              <w:top w:val="nil"/>
              <w:left w:val="nil"/>
              <w:bottom w:val="nil"/>
              <w:right w:val="nil"/>
            </w:tcBorders>
            <w:vAlign w:val="center"/>
          </w:tcPr>
          <w:p w14:paraId="21F68126" w14:textId="77777777" w:rsidR="000C35AF" w:rsidRPr="00E63B6F" w:rsidRDefault="000C35AF" w:rsidP="009238AE">
            <w:pPr>
              <w:pStyle w:val="Regresjonstabell"/>
              <w:jc w:val="right"/>
              <w:rPr>
                <w:sz w:val="20"/>
                <w:szCs w:val="20"/>
              </w:rPr>
            </w:pPr>
            <w:r w:rsidRPr="00E63B6F">
              <w:rPr>
                <w:color w:val="000000"/>
                <w:sz w:val="20"/>
                <w:szCs w:val="20"/>
              </w:rPr>
              <w:t>(56.299)</w:t>
            </w:r>
          </w:p>
        </w:tc>
        <w:tc>
          <w:tcPr>
            <w:tcW w:w="1399" w:type="dxa"/>
            <w:tcBorders>
              <w:top w:val="nil"/>
              <w:left w:val="nil"/>
              <w:bottom w:val="nil"/>
              <w:right w:val="nil"/>
            </w:tcBorders>
            <w:vAlign w:val="center"/>
          </w:tcPr>
          <w:p w14:paraId="08C55EE8" w14:textId="77777777" w:rsidR="000C35AF" w:rsidRPr="00E63B6F" w:rsidRDefault="000C35AF" w:rsidP="009238AE">
            <w:pPr>
              <w:pStyle w:val="Regresjonstabell"/>
              <w:jc w:val="right"/>
              <w:rPr>
                <w:sz w:val="20"/>
                <w:szCs w:val="20"/>
              </w:rPr>
            </w:pPr>
            <w:r w:rsidRPr="00E63B6F">
              <w:rPr>
                <w:color w:val="000000"/>
                <w:sz w:val="20"/>
                <w:szCs w:val="20"/>
              </w:rPr>
              <w:t>(54.812)</w:t>
            </w:r>
          </w:p>
        </w:tc>
        <w:tc>
          <w:tcPr>
            <w:tcW w:w="1399" w:type="dxa"/>
            <w:tcBorders>
              <w:top w:val="nil"/>
              <w:left w:val="nil"/>
              <w:bottom w:val="nil"/>
              <w:right w:val="nil"/>
            </w:tcBorders>
            <w:vAlign w:val="center"/>
          </w:tcPr>
          <w:p w14:paraId="16D6A46E" w14:textId="77777777" w:rsidR="000C35AF" w:rsidRPr="00E63B6F" w:rsidRDefault="000C35AF" w:rsidP="009238AE">
            <w:pPr>
              <w:pStyle w:val="Regresjonstabell"/>
              <w:jc w:val="right"/>
              <w:rPr>
                <w:sz w:val="20"/>
                <w:szCs w:val="20"/>
              </w:rPr>
            </w:pPr>
            <w:r w:rsidRPr="00E63B6F">
              <w:rPr>
                <w:color w:val="000000"/>
                <w:sz w:val="20"/>
                <w:szCs w:val="20"/>
              </w:rPr>
              <w:t>(54.973)</w:t>
            </w:r>
          </w:p>
        </w:tc>
        <w:tc>
          <w:tcPr>
            <w:tcW w:w="1399" w:type="dxa"/>
            <w:tcBorders>
              <w:top w:val="nil"/>
              <w:left w:val="nil"/>
              <w:bottom w:val="nil"/>
              <w:right w:val="nil"/>
            </w:tcBorders>
            <w:vAlign w:val="center"/>
          </w:tcPr>
          <w:p w14:paraId="436EC1A3" w14:textId="77777777" w:rsidR="000C35AF" w:rsidRPr="00E63B6F" w:rsidRDefault="000C35AF" w:rsidP="009238AE">
            <w:pPr>
              <w:pStyle w:val="Regresjonstabell"/>
              <w:jc w:val="right"/>
              <w:rPr>
                <w:sz w:val="20"/>
                <w:szCs w:val="20"/>
              </w:rPr>
            </w:pPr>
            <w:r w:rsidRPr="00E63B6F">
              <w:rPr>
                <w:color w:val="000000"/>
                <w:sz w:val="20"/>
                <w:szCs w:val="20"/>
              </w:rPr>
              <w:t>(53.683)</w:t>
            </w:r>
          </w:p>
        </w:tc>
        <w:tc>
          <w:tcPr>
            <w:tcW w:w="1399" w:type="dxa"/>
            <w:tcBorders>
              <w:top w:val="nil"/>
              <w:left w:val="nil"/>
              <w:bottom w:val="nil"/>
              <w:right w:val="nil"/>
            </w:tcBorders>
            <w:vAlign w:val="center"/>
          </w:tcPr>
          <w:p w14:paraId="0B077477" w14:textId="77777777" w:rsidR="000C35AF" w:rsidRPr="00E63B6F" w:rsidRDefault="000C35AF" w:rsidP="009238AE">
            <w:pPr>
              <w:pStyle w:val="Regresjonstabell"/>
              <w:jc w:val="right"/>
              <w:rPr>
                <w:sz w:val="20"/>
                <w:szCs w:val="20"/>
              </w:rPr>
            </w:pPr>
            <w:r w:rsidRPr="00E63B6F">
              <w:rPr>
                <w:color w:val="000000"/>
                <w:sz w:val="20"/>
                <w:szCs w:val="20"/>
              </w:rPr>
              <w:t>(57.317)</w:t>
            </w:r>
          </w:p>
        </w:tc>
        <w:tc>
          <w:tcPr>
            <w:tcW w:w="1400" w:type="dxa"/>
            <w:tcBorders>
              <w:top w:val="nil"/>
              <w:left w:val="nil"/>
              <w:bottom w:val="nil"/>
              <w:right w:val="nil"/>
            </w:tcBorders>
            <w:vAlign w:val="center"/>
          </w:tcPr>
          <w:p w14:paraId="380BC270" w14:textId="77777777" w:rsidR="000C35AF" w:rsidRPr="00E63B6F" w:rsidRDefault="000C35AF" w:rsidP="009238AE">
            <w:pPr>
              <w:pStyle w:val="Regresjonstabell"/>
              <w:jc w:val="right"/>
              <w:rPr>
                <w:sz w:val="20"/>
                <w:szCs w:val="20"/>
              </w:rPr>
            </w:pPr>
            <w:r w:rsidRPr="00E63B6F">
              <w:rPr>
                <w:color w:val="000000"/>
                <w:sz w:val="20"/>
                <w:szCs w:val="20"/>
              </w:rPr>
              <w:t>(54.219)</w:t>
            </w:r>
          </w:p>
        </w:tc>
        <w:tc>
          <w:tcPr>
            <w:tcW w:w="1400" w:type="dxa"/>
            <w:tcBorders>
              <w:top w:val="nil"/>
              <w:left w:val="nil"/>
              <w:bottom w:val="nil"/>
              <w:right w:val="single" w:sz="4" w:space="0" w:color="auto"/>
            </w:tcBorders>
            <w:vAlign w:val="center"/>
          </w:tcPr>
          <w:p w14:paraId="362F07EC" w14:textId="77777777" w:rsidR="000C35AF" w:rsidRPr="00E63B6F" w:rsidRDefault="000C35AF" w:rsidP="009238AE">
            <w:pPr>
              <w:pStyle w:val="Regresjonstabell"/>
              <w:jc w:val="right"/>
              <w:rPr>
                <w:sz w:val="20"/>
                <w:szCs w:val="20"/>
              </w:rPr>
            </w:pPr>
            <w:r w:rsidRPr="00E63B6F">
              <w:rPr>
                <w:color w:val="000000"/>
                <w:sz w:val="20"/>
                <w:szCs w:val="20"/>
              </w:rPr>
              <w:t>(55.696)</w:t>
            </w:r>
          </w:p>
        </w:tc>
      </w:tr>
      <w:tr w:rsidR="000C35AF" w:rsidRPr="0055149C" w14:paraId="42C6BDD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EF6DDF1" w14:textId="77777777" w:rsidR="000C35AF" w:rsidRPr="0055149C" w:rsidRDefault="000C35AF" w:rsidP="009238AE">
            <w:pPr>
              <w:pStyle w:val="Regresjonstabell"/>
              <w:rPr>
                <w:color w:val="000000"/>
                <w:sz w:val="20"/>
                <w:szCs w:val="20"/>
              </w:rPr>
            </w:pPr>
            <w:r w:rsidRPr="0055149C">
              <w:rPr>
                <w:sz w:val="20"/>
                <w:szCs w:val="20"/>
              </w:rPr>
              <w:t>Innbyggere 23 til 66 år</w:t>
            </w:r>
          </w:p>
        </w:tc>
        <w:tc>
          <w:tcPr>
            <w:tcW w:w="1399" w:type="dxa"/>
            <w:tcBorders>
              <w:top w:val="nil"/>
              <w:left w:val="single" w:sz="4" w:space="0" w:color="auto"/>
              <w:bottom w:val="nil"/>
              <w:right w:val="nil"/>
            </w:tcBorders>
            <w:vAlign w:val="bottom"/>
          </w:tcPr>
          <w:p w14:paraId="7FAD1A79" w14:textId="77777777" w:rsidR="000C35AF" w:rsidRPr="00E63B6F" w:rsidRDefault="000C35AF" w:rsidP="009238AE">
            <w:pPr>
              <w:pStyle w:val="Regresjonstabell"/>
              <w:jc w:val="right"/>
              <w:rPr>
                <w:sz w:val="20"/>
                <w:szCs w:val="20"/>
              </w:rPr>
            </w:pPr>
            <w:r w:rsidRPr="00E63B6F">
              <w:rPr>
                <w:color w:val="000000"/>
                <w:sz w:val="20"/>
                <w:szCs w:val="20"/>
              </w:rPr>
              <w:t>-3.190</w:t>
            </w:r>
          </w:p>
        </w:tc>
        <w:tc>
          <w:tcPr>
            <w:tcW w:w="1399" w:type="dxa"/>
            <w:tcBorders>
              <w:top w:val="nil"/>
              <w:left w:val="nil"/>
              <w:bottom w:val="nil"/>
              <w:right w:val="nil"/>
            </w:tcBorders>
            <w:vAlign w:val="bottom"/>
          </w:tcPr>
          <w:p w14:paraId="2EDD8F71" w14:textId="77777777" w:rsidR="000C35AF" w:rsidRPr="00E63B6F" w:rsidRDefault="000C35AF" w:rsidP="009238AE">
            <w:pPr>
              <w:pStyle w:val="Regresjonstabell"/>
              <w:jc w:val="right"/>
              <w:rPr>
                <w:sz w:val="20"/>
                <w:szCs w:val="20"/>
              </w:rPr>
            </w:pPr>
            <w:r w:rsidRPr="00E63B6F">
              <w:rPr>
                <w:color w:val="000000"/>
                <w:sz w:val="20"/>
                <w:szCs w:val="20"/>
              </w:rPr>
              <w:t>-7.840</w:t>
            </w:r>
          </w:p>
        </w:tc>
        <w:tc>
          <w:tcPr>
            <w:tcW w:w="1399" w:type="dxa"/>
            <w:tcBorders>
              <w:top w:val="nil"/>
              <w:left w:val="nil"/>
              <w:bottom w:val="nil"/>
              <w:right w:val="nil"/>
            </w:tcBorders>
            <w:vAlign w:val="bottom"/>
          </w:tcPr>
          <w:p w14:paraId="04D4A2B8" w14:textId="77777777" w:rsidR="000C35AF" w:rsidRPr="00E63B6F" w:rsidRDefault="000C35AF" w:rsidP="009238AE">
            <w:pPr>
              <w:pStyle w:val="Regresjonstabell"/>
              <w:jc w:val="right"/>
              <w:rPr>
                <w:sz w:val="20"/>
                <w:szCs w:val="20"/>
              </w:rPr>
            </w:pPr>
            <w:r w:rsidRPr="00E63B6F">
              <w:rPr>
                <w:color w:val="000000"/>
                <w:sz w:val="20"/>
                <w:szCs w:val="20"/>
              </w:rPr>
              <w:t>-4.256</w:t>
            </w:r>
          </w:p>
        </w:tc>
        <w:tc>
          <w:tcPr>
            <w:tcW w:w="1399" w:type="dxa"/>
            <w:tcBorders>
              <w:top w:val="nil"/>
              <w:left w:val="nil"/>
              <w:bottom w:val="nil"/>
              <w:right w:val="nil"/>
            </w:tcBorders>
            <w:vAlign w:val="bottom"/>
          </w:tcPr>
          <w:p w14:paraId="6C7316F3" w14:textId="77777777" w:rsidR="000C35AF" w:rsidRPr="00E63B6F" w:rsidRDefault="000C35AF" w:rsidP="009238AE">
            <w:pPr>
              <w:pStyle w:val="Regresjonstabell"/>
              <w:jc w:val="right"/>
              <w:rPr>
                <w:sz w:val="20"/>
                <w:szCs w:val="20"/>
              </w:rPr>
            </w:pPr>
            <w:r w:rsidRPr="00E63B6F">
              <w:rPr>
                <w:color w:val="000000"/>
                <w:sz w:val="20"/>
                <w:szCs w:val="20"/>
              </w:rPr>
              <w:t>-5.408</w:t>
            </w:r>
          </w:p>
        </w:tc>
        <w:tc>
          <w:tcPr>
            <w:tcW w:w="1399" w:type="dxa"/>
            <w:tcBorders>
              <w:top w:val="nil"/>
              <w:left w:val="nil"/>
              <w:bottom w:val="nil"/>
              <w:right w:val="nil"/>
            </w:tcBorders>
            <w:vAlign w:val="bottom"/>
          </w:tcPr>
          <w:p w14:paraId="16446BA1" w14:textId="77777777" w:rsidR="000C35AF" w:rsidRPr="00E63B6F" w:rsidRDefault="000C35AF" w:rsidP="009238AE">
            <w:pPr>
              <w:pStyle w:val="Regresjonstabell"/>
              <w:jc w:val="right"/>
              <w:rPr>
                <w:sz w:val="20"/>
                <w:szCs w:val="20"/>
              </w:rPr>
            </w:pPr>
            <w:r w:rsidRPr="00E63B6F">
              <w:rPr>
                <w:color w:val="000000"/>
                <w:sz w:val="20"/>
                <w:szCs w:val="20"/>
              </w:rPr>
              <w:t>-47.643</w:t>
            </w:r>
          </w:p>
        </w:tc>
        <w:tc>
          <w:tcPr>
            <w:tcW w:w="1399" w:type="dxa"/>
            <w:tcBorders>
              <w:top w:val="nil"/>
              <w:left w:val="nil"/>
              <w:bottom w:val="nil"/>
              <w:right w:val="nil"/>
            </w:tcBorders>
            <w:vAlign w:val="bottom"/>
          </w:tcPr>
          <w:p w14:paraId="59E1C2FF" w14:textId="77777777" w:rsidR="000C35AF" w:rsidRPr="00E63B6F" w:rsidRDefault="000C35AF" w:rsidP="009238AE">
            <w:pPr>
              <w:pStyle w:val="Regresjonstabell"/>
              <w:jc w:val="right"/>
              <w:rPr>
                <w:sz w:val="20"/>
                <w:szCs w:val="20"/>
              </w:rPr>
            </w:pPr>
            <w:r w:rsidRPr="00E63B6F">
              <w:rPr>
                <w:color w:val="000000"/>
                <w:sz w:val="20"/>
                <w:szCs w:val="20"/>
              </w:rPr>
              <w:t>-50.607</w:t>
            </w:r>
          </w:p>
        </w:tc>
        <w:tc>
          <w:tcPr>
            <w:tcW w:w="1400" w:type="dxa"/>
            <w:tcBorders>
              <w:top w:val="nil"/>
              <w:left w:val="nil"/>
              <w:bottom w:val="nil"/>
              <w:right w:val="nil"/>
            </w:tcBorders>
            <w:vAlign w:val="bottom"/>
          </w:tcPr>
          <w:p w14:paraId="4502A3BA" w14:textId="77777777" w:rsidR="000C35AF" w:rsidRPr="00E63B6F" w:rsidRDefault="000C35AF" w:rsidP="009238AE">
            <w:pPr>
              <w:pStyle w:val="Regresjonstabell"/>
              <w:jc w:val="right"/>
              <w:rPr>
                <w:sz w:val="20"/>
                <w:szCs w:val="20"/>
              </w:rPr>
            </w:pPr>
            <w:r w:rsidRPr="00E63B6F">
              <w:rPr>
                <w:color w:val="000000"/>
                <w:sz w:val="20"/>
                <w:szCs w:val="20"/>
              </w:rPr>
              <w:t>-46.876</w:t>
            </w:r>
          </w:p>
        </w:tc>
        <w:tc>
          <w:tcPr>
            <w:tcW w:w="1400" w:type="dxa"/>
            <w:tcBorders>
              <w:top w:val="nil"/>
              <w:left w:val="nil"/>
              <w:bottom w:val="nil"/>
              <w:right w:val="single" w:sz="4" w:space="0" w:color="auto"/>
            </w:tcBorders>
            <w:vAlign w:val="bottom"/>
          </w:tcPr>
          <w:p w14:paraId="114FF06A" w14:textId="77777777" w:rsidR="000C35AF" w:rsidRPr="00E63B6F" w:rsidRDefault="000C35AF" w:rsidP="009238AE">
            <w:pPr>
              <w:pStyle w:val="Regresjonstabell"/>
              <w:jc w:val="right"/>
              <w:rPr>
                <w:sz w:val="20"/>
                <w:szCs w:val="20"/>
              </w:rPr>
            </w:pPr>
            <w:r w:rsidRPr="00E63B6F">
              <w:rPr>
                <w:color w:val="000000"/>
                <w:sz w:val="20"/>
                <w:szCs w:val="20"/>
              </w:rPr>
              <w:t>-45.577</w:t>
            </w:r>
          </w:p>
        </w:tc>
      </w:tr>
      <w:tr w:rsidR="000C35AF" w:rsidRPr="0055149C" w14:paraId="5D22376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D6CD450" w14:textId="77777777" w:rsidR="000C35AF" w:rsidRPr="0055149C" w:rsidRDefault="000C35AF" w:rsidP="009238AE">
            <w:pPr>
              <w:pStyle w:val="Regresjonstabell"/>
              <w:rPr>
                <w:color w:val="000000"/>
                <w:sz w:val="20"/>
                <w:szCs w:val="20"/>
              </w:rPr>
            </w:pPr>
            <w:r w:rsidRPr="0055149C">
              <w:rPr>
                <w:sz w:val="20"/>
                <w:szCs w:val="20"/>
              </w:rPr>
              <w:t>(Kriterium 7)</w:t>
            </w:r>
          </w:p>
        </w:tc>
        <w:tc>
          <w:tcPr>
            <w:tcW w:w="1399" w:type="dxa"/>
            <w:tcBorders>
              <w:top w:val="nil"/>
              <w:left w:val="single" w:sz="4" w:space="0" w:color="auto"/>
              <w:bottom w:val="nil"/>
              <w:right w:val="nil"/>
            </w:tcBorders>
            <w:vAlign w:val="center"/>
          </w:tcPr>
          <w:p w14:paraId="3319F5A7" w14:textId="77777777" w:rsidR="000C35AF" w:rsidRPr="00E63B6F" w:rsidRDefault="000C35AF" w:rsidP="009238AE">
            <w:pPr>
              <w:pStyle w:val="Regresjonstabell"/>
              <w:jc w:val="right"/>
              <w:rPr>
                <w:sz w:val="20"/>
                <w:szCs w:val="20"/>
              </w:rPr>
            </w:pPr>
            <w:r w:rsidRPr="00E63B6F">
              <w:rPr>
                <w:color w:val="000000"/>
                <w:sz w:val="20"/>
                <w:szCs w:val="20"/>
              </w:rPr>
              <w:t>(29.589)</w:t>
            </w:r>
          </w:p>
        </w:tc>
        <w:tc>
          <w:tcPr>
            <w:tcW w:w="1399" w:type="dxa"/>
            <w:tcBorders>
              <w:top w:val="nil"/>
              <w:left w:val="nil"/>
              <w:bottom w:val="nil"/>
              <w:right w:val="nil"/>
            </w:tcBorders>
            <w:vAlign w:val="center"/>
          </w:tcPr>
          <w:p w14:paraId="05F1D36D" w14:textId="77777777" w:rsidR="000C35AF" w:rsidRPr="00E63B6F" w:rsidRDefault="000C35AF" w:rsidP="009238AE">
            <w:pPr>
              <w:pStyle w:val="Regresjonstabell"/>
              <w:jc w:val="right"/>
              <w:rPr>
                <w:sz w:val="20"/>
                <w:szCs w:val="20"/>
              </w:rPr>
            </w:pPr>
            <w:r w:rsidRPr="00E63B6F">
              <w:rPr>
                <w:color w:val="000000"/>
                <w:sz w:val="20"/>
                <w:szCs w:val="20"/>
              </w:rPr>
              <w:t>(30.275)</w:t>
            </w:r>
          </w:p>
        </w:tc>
        <w:tc>
          <w:tcPr>
            <w:tcW w:w="1399" w:type="dxa"/>
            <w:tcBorders>
              <w:top w:val="nil"/>
              <w:left w:val="nil"/>
              <w:bottom w:val="nil"/>
              <w:right w:val="nil"/>
            </w:tcBorders>
            <w:vAlign w:val="center"/>
          </w:tcPr>
          <w:p w14:paraId="2948A237" w14:textId="77777777" w:rsidR="000C35AF" w:rsidRPr="00E63B6F" w:rsidRDefault="000C35AF" w:rsidP="009238AE">
            <w:pPr>
              <w:pStyle w:val="Regresjonstabell"/>
              <w:jc w:val="right"/>
              <w:rPr>
                <w:sz w:val="20"/>
                <w:szCs w:val="20"/>
              </w:rPr>
            </w:pPr>
            <w:r w:rsidRPr="00E63B6F">
              <w:rPr>
                <w:color w:val="000000"/>
                <w:sz w:val="20"/>
                <w:szCs w:val="20"/>
              </w:rPr>
              <w:t>(29.621)</w:t>
            </w:r>
          </w:p>
        </w:tc>
        <w:tc>
          <w:tcPr>
            <w:tcW w:w="1399" w:type="dxa"/>
            <w:tcBorders>
              <w:top w:val="nil"/>
              <w:left w:val="nil"/>
              <w:bottom w:val="nil"/>
              <w:right w:val="nil"/>
            </w:tcBorders>
            <w:vAlign w:val="center"/>
          </w:tcPr>
          <w:p w14:paraId="6283D27F" w14:textId="77777777" w:rsidR="000C35AF" w:rsidRPr="00E63B6F" w:rsidRDefault="000C35AF" w:rsidP="009238AE">
            <w:pPr>
              <w:pStyle w:val="Regresjonstabell"/>
              <w:jc w:val="right"/>
              <w:rPr>
                <w:sz w:val="20"/>
                <w:szCs w:val="20"/>
              </w:rPr>
            </w:pPr>
            <w:r w:rsidRPr="00E63B6F">
              <w:rPr>
                <w:color w:val="000000"/>
                <w:sz w:val="20"/>
                <w:szCs w:val="20"/>
              </w:rPr>
              <w:t>(29.861)</w:t>
            </w:r>
          </w:p>
        </w:tc>
        <w:tc>
          <w:tcPr>
            <w:tcW w:w="1399" w:type="dxa"/>
            <w:tcBorders>
              <w:top w:val="nil"/>
              <w:left w:val="nil"/>
              <w:bottom w:val="nil"/>
              <w:right w:val="nil"/>
            </w:tcBorders>
            <w:vAlign w:val="center"/>
          </w:tcPr>
          <w:p w14:paraId="762F4D04" w14:textId="77777777" w:rsidR="000C35AF" w:rsidRPr="00E63B6F" w:rsidRDefault="000C35AF" w:rsidP="009238AE">
            <w:pPr>
              <w:pStyle w:val="Regresjonstabell"/>
              <w:jc w:val="right"/>
              <w:rPr>
                <w:sz w:val="20"/>
                <w:szCs w:val="20"/>
              </w:rPr>
            </w:pPr>
            <w:r w:rsidRPr="00E63B6F">
              <w:rPr>
                <w:color w:val="000000"/>
                <w:sz w:val="20"/>
                <w:szCs w:val="20"/>
              </w:rPr>
              <w:t>(42.490)</w:t>
            </w:r>
          </w:p>
        </w:tc>
        <w:tc>
          <w:tcPr>
            <w:tcW w:w="1399" w:type="dxa"/>
            <w:tcBorders>
              <w:top w:val="nil"/>
              <w:left w:val="nil"/>
              <w:bottom w:val="nil"/>
              <w:right w:val="nil"/>
            </w:tcBorders>
            <w:vAlign w:val="center"/>
          </w:tcPr>
          <w:p w14:paraId="0FAA8E76" w14:textId="77777777" w:rsidR="000C35AF" w:rsidRPr="00E63B6F" w:rsidRDefault="000C35AF" w:rsidP="009238AE">
            <w:pPr>
              <w:pStyle w:val="Regresjonstabell"/>
              <w:jc w:val="right"/>
              <w:rPr>
                <w:sz w:val="20"/>
                <w:szCs w:val="20"/>
              </w:rPr>
            </w:pPr>
            <w:r w:rsidRPr="00E63B6F">
              <w:rPr>
                <w:color w:val="000000"/>
                <w:sz w:val="20"/>
                <w:szCs w:val="20"/>
              </w:rPr>
              <w:t>(46.358)</w:t>
            </w:r>
          </w:p>
        </w:tc>
        <w:tc>
          <w:tcPr>
            <w:tcW w:w="1400" w:type="dxa"/>
            <w:tcBorders>
              <w:top w:val="nil"/>
              <w:left w:val="nil"/>
              <w:bottom w:val="nil"/>
              <w:right w:val="nil"/>
            </w:tcBorders>
            <w:vAlign w:val="center"/>
          </w:tcPr>
          <w:p w14:paraId="1D281006" w14:textId="77777777" w:rsidR="000C35AF" w:rsidRPr="00E63B6F" w:rsidRDefault="000C35AF" w:rsidP="009238AE">
            <w:pPr>
              <w:pStyle w:val="Regresjonstabell"/>
              <w:jc w:val="right"/>
              <w:rPr>
                <w:sz w:val="20"/>
                <w:szCs w:val="20"/>
              </w:rPr>
            </w:pPr>
            <w:r w:rsidRPr="00E63B6F">
              <w:rPr>
                <w:color w:val="000000"/>
                <w:sz w:val="20"/>
                <w:szCs w:val="20"/>
              </w:rPr>
              <w:t>(42.619)</w:t>
            </w:r>
          </w:p>
        </w:tc>
        <w:tc>
          <w:tcPr>
            <w:tcW w:w="1400" w:type="dxa"/>
            <w:tcBorders>
              <w:top w:val="nil"/>
              <w:left w:val="nil"/>
              <w:bottom w:val="nil"/>
              <w:right w:val="single" w:sz="4" w:space="0" w:color="auto"/>
            </w:tcBorders>
            <w:vAlign w:val="center"/>
          </w:tcPr>
          <w:p w14:paraId="24FB70C7" w14:textId="77777777" w:rsidR="000C35AF" w:rsidRPr="00E63B6F" w:rsidRDefault="000C35AF" w:rsidP="009238AE">
            <w:pPr>
              <w:pStyle w:val="Regresjonstabell"/>
              <w:jc w:val="right"/>
              <w:rPr>
                <w:sz w:val="20"/>
                <w:szCs w:val="20"/>
              </w:rPr>
            </w:pPr>
            <w:r w:rsidRPr="00E63B6F">
              <w:rPr>
                <w:color w:val="000000"/>
                <w:sz w:val="20"/>
                <w:szCs w:val="20"/>
              </w:rPr>
              <w:t>(43.268)</w:t>
            </w:r>
          </w:p>
        </w:tc>
      </w:tr>
      <w:tr w:rsidR="000C35AF" w:rsidRPr="0055149C" w14:paraId="2A690DB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4B4D566" w14:textId="77777777" w:rsidR="000C35AF" w:rsidRPr="0055149C" w:rsidRDefault="000C35AF" w:rsidP="009238AE">
            <w:pPr>
              <w:pStyle w:val="Regresjonstabell"/>
              <w:rPr>
                <w:color w:val="000000"/>
                <w:sz w:val="20"/>
                <w:szCs w:val="20"/>
              </w:rPr>
            </w:pPr>
            <w:r w:rsidRPr="0055149C">
              <w:rPr>
                <w:color w:val="000000"/>
                <w:sz w:val="20"/>
                <w:szCs w:val="20"/>
              </w:rPr>
              <w:t>Innbyggere 67 til 79 år</w:t>
            </w:r>
          </w:p>
        </w:tc>
        <w:tc>
          <w:tcPr>
            <w:tcW w:w="1399" w:type="dxa"/>
            <w:tcBorders>
              <w:top w:val="nil"/>
              <w:left w:val="single" w:sz="4" w:space="0" w:color="auto"/>
              <w:bottom w:val="nil"/>
              <w:right w:val="nil"/>
            </w:tcBorders>
            <w:vAlign w:val="bottom"/>
          </w:tcPr>
          <w:p w14:paraId="286B4F25" w14:textId="77777777" w:rsidR="000C35AF" w:rsidRPr="00E63B6F" w:rsidRDefault="000C35AF" w:rsidP="009238AE">
            <w:pPr>
              <w:pStyle w:val="Regresjonstabell"/>
              <w:jc w:val="right"/>
              <w:rPr>
                <w:sz w:val="20"/>
                <w:szCs w:val="20"/>
              </w:rPr>
            </w:pPr>
            <w:r w:rsidRPr="00E63B6F">
              <w:rPr>
                <w:color w:val="000000"/>
                <w:sz w:val="20"/>
                <w:szCs w:val="20"/>
              </w:rPr>
              <w:t>-3.396</w:t>
            </w:r>
          </w:p>
        </w:tc>
        <w:tc>
          <w:tcPr>
            <w:tcW w:w="1399" w:type="dxa"/>
            <w:tcBorders>
              <w:top w:val="nil"/>
              <w:left w:val="nil"/>
              <w:bottom w:val="nil"/>
              <w:right w:val="nil"/>
            </w:tcBorders>
            <w:vAlign w:val="bottom"/>
          </w:tcPr>
          <w:p w14:paraId="37C814E9" w14:textId="77777777" w:rsidR="000C35AF" w:rsidRPr="00E63B6F" w:rsidRDefault="000C35AF" w:rsidP="009238AE">
            <w:pPr>
              <w:pStyle w:val="Regresjonstabell"/>
              <w:jc w:val="right"/>
              <w:rPr>
                <w:sz w:val="20"/>
                <w:szCs w:val="20"/>
              </w:rPr>
            </w:pPr>
            <w:r w:rsidRPr="00E63B6F">
              <w:rPr>
                <w:color w:val="000000"/>
                <w:sz w:val="20"/>
                <w:szCs w:val="20"/>
              </w:rPr>
              <w:t>-9.036</w:t>
            </w:r>
          </w:p>
        </w:tc>
        <w:tc>
          <w:tcPr>
            <w:tcW w:w="1399" w:type="dxa"/>
            <w:tcBorders>
              <w:top w:val="nil"/>
              <w:left w:val="nil"/>
              <w:bottom w:val="nil"/>
              <w:right w:val="nil"/>
            </w:tcBorders>
            <w:vAlign w:val="bottom"/>
          </w:tcPr>
          <w:p w14:paraId="11D6F9A7" w14:textId="77777777" w:rsidR="000C35AF" w:rsidRPr="00E63B6F" w:rsidRDefault="000C35AF" w:rsidP="009238AE">
            <w:pPr>
              <w:pStyle w:val="Regresjonstabell"/>
              <w:jc w:val="right"/>
              <w:rPr>
                <w:sz w:val="20"/>
                <w:szCs w:val="20"/>
              </w:rPr>
            </w:pPr>
            <w:r w:rsidRPr="00E63B6F">
              <w:rPr>
                <w:color w:val="000000"/>
                <w:sz w:val="20"/>
                <w:szCs w:val="20"/>
              </w:rPr>
              <w:t>-5.628</w:t>
            </w:r>
          </w:p>
        </w:tc>
        <w:tc>
          <w:tcPr>
            <w:tcW w:w="1399" w:type="dxa"/>
            <w:tcBorders>
              <w:top w:val="nil"/>
              <w:left w:val="nil"/>
              <w:bottom w:val="nil"/>
              <w:right w:val="nil"/>
            </w:tcBorders>
            <w:vAlign w:val="bottom"/>
          </w:tcPr>
          <w:p w14:paraId="7F342852" w14:textId="77777777" w:rsidR="000C35AF" w:rsidRPr="00E63B6F" w:rsidRDefault="000C35AF" w:rsidP="009238AE">
            <w:pPr>
              <w:pStyle w:val="Regresjonstabell"/>
              <w:jc w:val="right"/>
              <w:rPr>
                <w:sz w:val="20"/>
                <w:szCs w:val="20"/>
              </w:rPr>
            </w:pPr>
            <w:r w:rsidRPr="00E63B6F">
              <w:rPr>
                <w:color w:val="000000"/>
                <w:sz w:val="20"/>
                <w:szCs w:val="20"/>
              </w:rPr>
              <w:t>-7.998</w:t>
            </w:r>
          </w:p>
        </w:tc>
        <w:tc>
          <w:tcPr>
            <w:tcW w:w="1399" w:type="dxa"/>
            <w:tcBorders>
              <w:top w:val="nil"/>
              <w:left w:val="nil"/>
              <w:bottom w:val="nil"/>
              <w:right w:val="nil"/>
            </w:tcBorders>
            <w:vAlign w:val="bottom"/>
          </w:tcPr>
          <w:p w14:paraId="0EFBDBE3" w14:textId="77777777" w:rsidR="000C35AF" w:rsidRPr="00E63B6F" w:rsidRDefault="000C35AF" w:rsidP="009238AE">
            <w:pPr>
              <w:pStyle w:val="Regresjonstabell"/>
              <w:jc w:val="right"/>
              <w:rPr>
                <w:sz w:val="20"/>
                <w:szCs w:val="20"/>
              </w:rPr>
            </w:pPr>
            <w:r w:rsidRPr="00E63B6F">
              <w:rPr>
                <w:color w:val="000000"/>
                <w:sz w:val="20"/>
                <w:szCs w:val="20"/>
              </w:rPr>
              <w:t>-21.000</w:t>
            </w:r>
          </w:p>
        </w:tc>
        <w:tc>
          <w:tcPr>
            <w:tcW w:w="1399" w:type="dxa"/>
            <w:tcBorders>
              <w:top w:val="nil"/>
              <w:left w:val="nil"/>
              <w:bottom w:val="nil"/>
              <w:right w:val="nil"/>
            </w:tcBorders>
            <w:vAlign w:val="bottom"/>
          </w:tcPr>
          <w:p w14:paraId="6F2F3DF2" w14:textId="77777777" w:rsidR="000C35AF" w:rsidRPr="00E63B6F" w:rsidRDefault="000C35AF" w:rsidP="009238AE">
            <w:pPr>
              <w:pStyle w:val="Regresjonstabell"/>
              <w:jc w:val="right"/>
              <w:rPr>
                <w:sz w:val="20"/>
                <w:szCs w:val="20"/>
              </w:rPr>
            </w:pPr>
            <w:r w:rsidRPr="00E63B6F">
              <w:rPr>
                <w:color w:val="000000"/>
                <w:sz w:val="20"/>
                <w:szCs w:val="20"/>
              </w:rPr>
              <w:t>-21.584</w:t>
            </w:r>
          </w:p>
        </w:tc>
        <w:tc>
          <w:tcPr>
            <w:tcW w:w="1400" w:type="dxa"/>
            <w:tcBorders>
              <w:top w:val="nil"/>
              <w:left w:val="nil"/>
              <w:bottom w:val="nil"/>
              <w:right w:val="nil"/>
            </w:tcBorders>
            <w:vAlign w:val="bottom"/>
          </w:tcPr>
          <w:p w14:paraId="02686CBF" w14:textId="77777777" w:rsidR="000C35AF" w:rsidRPr="00E63B6F" w:rsidRDefault="000C35AF" w:rsidP="009238AE">
            <w:pPr>
              <w:pStyle w:val="Regresjonstabell"/>
              <w:jc w:val="right"/>
              <w:rPr>
                <w:sz w:val="20"/>
                <w:szCs w:val="20"/>
              </w:rPr>
            </w:pPr>
            <w:r w:rsidRPr="00E63B6F">
              <w:rPr>
                <w:color w:val="000000"/>
                <w:sz w:val="20"/>
                <w:szCs w:val="20"/>
              </w:rPr>
              <w:t>-21.153</w:t>
            </w:r>
          </w:p>
        </w:tc>
        <w:tc>
          <w:tcPr>
            <w:tcW w:w="1400" w:type="dxa"/>
            <w:tcBorders>
              <w:top w:val="nil"/>
              <w:left w:val="nil"/>
              <w:bottom w:val="nil"/>
              <w:right w:val="single" w:sz="4" w:space="0" w:color="auto"/>
            </w:tcBorders>
            <w:vAlign w:val="bottom"/>
          </w:tcPr>
          <w:p w14:paraId="7B208A5D" w14:textId="77777777" w:rsidR="000C35AF" w:rsidRPr="00E63B6F" w:rsidRDefault="000C35AF" w:rsidP="009238AE">
            <w:pPr>
              <w:pStyle w:val="Regresjonstabell"/>
              <w:jc w:val="right"/>
              <w:rPr>
                <w:sz w:val="20"/>
                <w:szCs w:val="20"/>
              </w:rPr>
            </w:pPr>
            <w:r w:rsidRPr="00E63B6F">
              <w:rPr>
                <w:color w:val="000000"/>
                <w:sz w:val="20"/>
                <w:szCs w:val="20"/>
              </w:rPr>
              <w:t>-21.434</w:t>
            </w:r>
          </w:p>
        </w:tc>
      </w:tr>
      <w:tr w:rsidR="000C35AF" w:rsidRPr="0055149C" w14:paraId="77AADB3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B402709" w14:textId="77777777" w:rsidR="000C35AF" w:rsidRPr="0055149C" w:rsidRDefault="000C35AF" w:rsidP="009238AE">
            <w:pPr>
              <w:pStyle w:val="Regresjonstabell"/>
              <w:rPr>
                <w:color w:val="000000"/>
                <w:sz w:val="20"/>
                <w:szCs w:val="20"/>
              </w:rPr>
            </w:pPr>
            <w:r w:rsidRPr="0055149C">
              <w:rPr>
                <w:sz w:val="20"/>
                <w:szCs w:val="20"/>
              </w:rPr>
              <w:t>(Kriterium 8)</w:t>
            </w:r>
          </w:p>
        </w:tc>
        <w:tc>
          <w:tcPr>
            <w:tcW w:w="1399" w:type="dxa"/>
            <w:tcBorders>
              <w:top w:val="nil"/>
              <w:left w:val="single" w:sz="4" w:space="0" w:color="auto"/>
              <w:bottom w:val="nil"/>
              <w:right w:val="nil"/>
            </w:tcBorders>
            <w:vAlign w:val="center"/>
          </w:tcPr>
          <w:p w14:paraId="072639EC" w14:textId="77777777" w:rsidR="000C35AF" w:rsidRPr="00E63B6F" w:rsidRDefault="000C35AF" w:rsidP="009238AE">
            <w:pPr>
              <w:pStyle w:val="Regresjonstabell"/>
              <w:jc w:val="right"/>
              <w:rPr>
                <w:sz w:val="20"/>
                <w:szCs w:val="20"/>
              </w:rPr>
            </w:pPr>
            <w:r w:rsidRPr="00E63B6F">
              <w:rPr>
                <w:color w:val="000000"/>
                <w:sz w:val="20"/>
                <w:szCs w:val="20"/>
              </w:rPr>
              <w:t>(35.222)</w:t>
            </w:r>
          </w:p>
        </w:tc>
        <w:tc>
          <w:tcPr>
            <w:tcW w:w="1399" w:type="dxa"/>
            <w:tcBorders>
              <w:top w:val="nil"/>
              <w:left w:val="nil"/>
              <w:bottom w:val="nil"/>
              <w:right w:val="nil"/>
            </w:tcBorders>
            <w:vAlign w:val="center"/>
          </w:tcPr>
          <w:p w14:paraId="6088C84E" w14:textId="77777777" w:rsidR="000C35AF" w:rsidRPr="00E63B6F" w:rsidRDefault="000C35AF" w:rsidP="009238AE">
            <w:pPr>
              <w:pStyle w:val="Regresjonstabell"/>
              <w:jc w:val="right"/>
              <w:rPr>
                <w:sz w:val="20"/>
                <w:szCs w:val="20"/>
              </w:rPr>
            </w:pPr>
            <w:r w:rsidRPr="00E63B6F">
              <w:rPr>
                <w:color w:val="000000"/>
                <w:sz w:val="20"/>
                <w:szCs w:val="20"/>
              </w:rPr>
              <w:t>(35.766)</w:t>
            </w:r>
          </w:p>
        </w:tc>
        <w:tc>
          <w:tcPr>
            <w:tcW w:w="1399" w:type="dxa"/>
            <w:tcBorders>
              <w:top w:val="nil"/>
              <w:left w:val="nil"/>
              <w:bottom w:val="nil"/>
              <w:right w:val="nil"/>
            </w:tcBorders>
            <w:vAlign w:val="center"/>
          </w:tcPr>
          <w:p w14:paraId="7A7953AA" w14:textId="77777777" w:rsidR="000C35AF" w:rsidRPr="00E63B6F" w:rsidRDefault="000C35AF" w:rsidP="009238AE">
            <w:pPr>
              <w:pStyle w:val="Regresjonstabell"/>
              <w:jc w:val="right"/>
              <w:rPr>
                <w:sz w:val="20"/>
                <w:szCs w:val="20"/>
              </w:rPr>
            </w:pPr>
            <w:r w:rsidRPr="00E63B6F">
              <w:rPr>
                <w:color w:val="000000"/>
                <w:sz w:val="20"/>
                <w:szCs w:val="20"/>
              </w:rPr>
              <w:t>(35.179)</w:t>
            </w:r>
          </w:p>
        </w:tc>
        <w:tc>
          <w:tcPr>
            <w:tcW w:w="1399" w:type="dxa"/>
            <w:tcBorders>
              <w:top w:val="nil"/>
              <w:left w:val="nil"/>
              <w:bottom w:val="nil"/>
              <w:right w:val="nil"/>
            </w:tcBorders>
            <w:vAlign w:val="center"/>
          </w:tcPr>
          <w:p w14:paraId="1B8BA037" w14:textId="77777777" w:rsidR="000C35AF" w:rsidRPr="00E63B6F" w:rsidRDefault="000C35AF" w:rsidP="009238AE">
            <w:pPr>
              <w:pStyle w:val="Regresjonstabell"/>
              <w:jc w:val="right"/>
              <w:rPr>
                <w:sz w:val="20"/>
                <w:szCs w:val="20"/>
              </w:rPr>
            </w:pPr>
            <w:r w:rsidRPr="00E63B6F">
              <w:rPr>
                <w:color w:val="000000"/>
                <w:sz w:val="20"/>
                <w:szCs w:val="20"/>
              </w:rPr>
              <w:t>(35.366)</w:t>
            </w:r>
          </w:p>
        </w:tc>
        <w:tc>
          <w:tcPr>
            <w:tcW w:w="1399" w:type="dxa"/>
            <w:tcBorders>
              <w:top w:val="nil"/>
              <w:left w:val="nil"/>
              <w:bottom w:val="nil"/>
              <w:right w:val="nil"/>
            </w:tcBorders>
            <w:vAlign w:val="center"/>
          </w:tcPr>
          <w:p w14:paraId="568E1068" w14:textId="77777777" w:rsidR="000C35AF" w:rsidRPr="00E63B6F" w:rsidRDefault="000C35AF" w:rsidP="009238AE">
            <w:pPr>
              <w:pStyle w:val="Regresjonstabell"/>
              <w:jc w:val="right"/>
              <w:rPr>
                <w:sz w:val="20"/>
                <w:szCs w:val="20"/>
              </w:rPr>
            </w:pPr>
            <w:r w:rsidRPr="00E63B6F">
              <w:rPr>
                <w:color w:val="000000"/>
                <w:sz w:val="20"/>
                <w:szCs w:val="20"/>
              </w:rPr>
              <w:t>(47.670)</w:t>
            </w:r>
          </w:p>
        </w:tc>
        <w:tc>
          <w:tcPr>
            <w:tcW w:w="1399" w:type="dxa"/>
            <w:tcBorders>
              <w:top w:val="nil"/>
              <w:left w:val="nil"/>
              <w:bottom w:val="nil"/>
              <w:right w:val="nil"/>
            </w:tcBorders>
            <w:vAlign w:val="center"/>
          </w:tcPr>
          <w:p w14:paraId="231848FD" w14:textId="77777777" w:rsidR="000C35AF" w:rsidRPr="00E63B6F" w:rsidRDefault="000C35AF" w:rsidP="009238AE">
            <w:pPr>
              <w:pStyle w:val="Regresjonstabell"/>
              <w:jc w:val="right"/>
              <w:rPr>
                <w:sz w:val="20"/>
                <w:szCs w:val="20"/>
              </w:rPr>
            </w:pPr>
            <w:r w:rsidRPr="00E63B6F">
              <w:rPr>
                <w:color w:val="000000"/>
                <w:sz w:val="20"/>
                <w:szCs w:val="20"/>
              </w:rPr>
              <w:t>(51.879)</w:t>
            </w:r>
          </w:p>
        </w:tc>
        <w:tc>
          <w:tcPr>
            <w:tcW w:w="1400" w:type="dxa"/>
            <w:tcBorders>
              <w:top w:val="nil"/>
              <w:left w:val="nil"/>
              <w:bottom w:val="nil"/>
              <w:right w:val="nil"/>
            </w:tcBorders>
            <w:vAlign w:val="center"/>
          </w:tcPr>
          <w:p w14:paraId="75B4D844" w14:textId="77777777" w:rsidR="000C35AF" w:rsidRPr="00E63B6F" w:rsidRDefault="000C35AF" w:rsidP="009238AE">
            <w:pPr>
              <w:pStyle w:val="Regresjonstabell"/>
              <w:jc w:val="right"/>
              <w:rPr>
                <w:sz w:val="20"/>
                <w:szCs w:val="20"/>
              </w:rPr>
            </w:pPr>
            <w:r w:rsidRPr="00E63B6F">
              <w:rPr>
                <w:color w:val="000000"/>
                <w:sz w:val="20"/>
                <w:szCs w:val="20"/>
              </w:rPr>
              <w:t>(47.433)</w:t>
            </w:r>
          </w:p>
        </w:tc>
        <w:tc>
          <w:tcPr>
            <w:tcW w:w="1400" w:type="dxa"/>
            <w:tcBorders>
              <w:top w:val="nil"/>
              <w:left w:val="nil"/>
              <w:bottom w:val="nil"/>
              <w:right w:val="single" w:sz="4" w:space="0" w:color="auto"/>
            </w:tcBorders>
            <w:vAlign w:val="center"/>
          </w:tcPr>
          <w:p w14:paraId="35D9980C" w14:textId="77777777" w:rsidR="000C35AF" w:rsidRPr="00E63B6F" w:rsidRDefault="000C35AF" w:rsidP="009238AE">
            <w:pPr>
              <w:pStyle w:val="Regresjonstabell"/>
              <w:jc w:val="right"/>
              <w:rPr>
                <w:sz w:val="20"/>
                <w:szCs w:val="20"/>
              </w:rPr>
            </w:pPr>
            <w:r w:rsidRPr="00E63B6F">
              <w:rPr>
                <w:color w:val="000000"/>
                <w:sz w:val="20"/>
                <w:szCs w:val="20"/>
              </w:rPr>
              <w:t>(47.386)</w:t>
            </w:r>
          </w:p>
        </w:tc>
      </w:tr>
      <w:tr w:rsidR="000C35AF" w:rsidRPr="0055149C" w14:paraId="5CC3272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A8215F" w14:textId="77777777" w:rsidR="000C35AF" w:rsidRPr="0055149C" w:rsidRDefault="000C35AF" w:rsidP="009238AE">
            <w:pPr>
              <w:pStyle w:val="Regresjonstabell"/>
              <w:rPr>
                <w:color w:val="000000"/>
                <w:sz w:val="20"/>
                <w:szCs w:val="20"/>
              </w:rPr>
            </w:pPr>
            <w:r w:rsidRPr="0055149C">
              <w:rPr>
                <w:sz w:val="20"/>
                <w:szCs w:val="20"/>
              </w:rPr>
              <w:t>Innbyggere 80 til 89 år</w:t>
            </w:r>
          </w:p>
        </w:tc>
        <w:tc>
          <w:tcPr>
            <w:tcW w:w="1399" w:type="dxa"/>
            <w:tcBorders>
              <w:top w:val="nil"/>
              <w:left w:val="single" w:sz="4" w:space="0" w:color="auto"/>
              <w:bottom w:val="nil"/>
              <w:right w:val="nil"/>
            </w:tcBorders>
            <w:vAlign w:val="bottom"/>
          </w:tcPr>
          <w:p w14:paraId="7D151E70" w14:textId="77777777" w:rsidR="000C35AF" w:rsidRPr="00E63B6F" w:rsidRDefault="000C35AF" w:rsidP="009238AE">
            <w:pPr>
              <w:pStyle w:val="Regresjonstabell"/>
              <w:jc w:val="right"/>
              <w:rPr>
                <w:sz w:val="20"/>
                <w:szCs w:val="20"/>
              </w:rPr>
            </w:pPr>
            <w:r w:rsidRPr="00E63B6F">
              <w:rPr>
                <w:color w:val="000000"/>
                <w:sz w:val="20"/>
                <w:szCs w:val="20"/>
              </w:rPr>
              <w:t>-34.445</w:t>
            </w:r>
          </w:p>
        </w:tc>
        <w:tc>
          <w:tcPr>
            <w:tcW w:w="1399" w:type="dxa"/>
            <w:tcBorders>
              <w:top w:val="nil"/>
              <w:left w:val="nil"/>
              <w:bottom w:val="nil"/>
              <w:right w:val="nil"/>
            </w:tcBorders>
            <w:vAlign w:val="bottom"/>
          </w:tcPr>
          <w:p w14:paraId="2E3DA24E" w14:textId="77777777" w:rsidR="000C35AF" w:rsidRPr="00E63B6F" w:rsidRDefault="000C35AF" w:rsidP="009238AE">
            <w:pPr>
              <w:pStyle w:val="Regresjonstabell"/>
              <w:jc w:val="right"/>
              <w:rPr>
                <w:sz w:val="20"/>
                <w:szCs w:val="20"/>
              </w:rPr>
            </w:pPr>
            <w:r w:rsidRPr="00E63B6F">
              <w:rPr>
                <w:color w:val="000000"/>
                <w:sz w:val="20"/>
                <w:szCs w:val="20"/>
              </w:rPr>
              <w:t>-35.306</w:t>
            </w:r>
          </w:p>
        </w:tc>
        <w:tc>
          <w:tcPr>
            <w:tcW w:w="1399" w:type="dxa"/>
            <w:tcBorders>
              <w:top w:val="nil"/>
              <w:left w:val="nil"/>
              <w:bottom w:val="nil"/>
              <w:right w:val="nil"/>
            </w:tcBorders>
            <w:vAlign w:val="bottom"/>
          </w:tcPr>
          <w:p w14:paraId="0D88484E" w14:textId="77777777" w:rsidR="000C35AF" w:rsidRPr="00E63B6F" w:rsidRDefault="000C35AF" w:rsidP="009238AE">
            <w:pPr>
              <w:pStyle w:val="Regresjonstabell"/>
              <w:jc w:val="right"/>
              <w:rPr>
                <w:sz w:val="20"/>
                <w:szCs w:val="20"/>
              </w:rPr>
            </w:pPr>
            <w:r w:rsidRPr="00E63B6F">
              <w:rPr>
                <w:color w:val="000000"/>
                <w:sz w:val="20"/>
                <w:szCs w:val="20"/>
              </w:rPr>
              <w:t>-32.783</w:t>
            </w:r>
          </w:p>
        </w:tc>
        <w:tc>
          <w:tcPr>
            <w:tcW w:w="1399" w:type="dxa"/>
            <w:tcBorders>
              <w:top w:val="nil"/>
              <w:left w:val="nil"/>
              <w:bottom w:val="nil"/>
              <w:right w:val="nil"/>
            </w:tcBorders>
            <w:vAlign w:val="bottom"/>
          </w:tcPr>
          <w:p w14:paraId="404A9421" w14:textId="77777777" w:rsidR="000C35AF" w:rsidRPr="00E63B6F" w:rsidRDefault="000C35AF" w:rsidP="009238AE">
            <w:pPr>
              <w:pStyle w:val="Regresjonstabell"/>
              <w:jc w:val="right"/>
              <w:rPr>
                <w:sz w:val="20"/>
                <w:szCs w:val="20"/>
              </w:rPr>
            </w:pPr>
            <w:r w:rsidRPr="00E63B6F">
              <w:rPr>
                <w:color w:val="000000"/>
                <w:sz w:val="20"/>
                <w:szCs w:val="20"/>
              </w:rPr>
              <w:t>-31.070</w:t>
            </w:r>
          </w:p>
        </w:tc>
        <w:tc>
          <w:tcPr>
            <w:tcW w:w="1399" w:type="dxa"/>
            <w:tcBorders>
              <w:top w:val="nil"/>
              <w:left w:val="nil"/>
              <w:bottom w:val="nil"/>
              <w:right w:val="nil"/>
            </w:tcBorders>
            <w:vAlign w:val="bottom"/>
          </w:tcPr>
          <w:p w14:paraId="08218DE2" w14:textId="77777777" w:rsidR="000C35AF" w:rsidRPr="00E63B6F" w:rsidRDefault="000C35AF" w:rsidP="009238AE">
            <w:pPr>
              <w:pStyle w:val="Regresjonstabell"/>
              <w:jc w:val="right"/>
              <w:rPr>
                <w:sz w:val="20"/>
                <w:szCs w:val="20"/>
              </w:rPr>
            </w:pPr>
            <w:r w:rsidRPr="00E63B6F">
              <w:rPr>
                <w:color w:val="000000"/>
                <w:sz w:val="20"/>
                <w:szCs w:val="20"/>
              </w:rPr>
              <w:t>-104.281</w:t>
            </w:r>
          </w:p>
        </w:tc>
        <w:tc>
          <w:tcPr>
            <w:tcW w:w="1399" w:type="dxa"/>
            <w:tcBorders>
              <w:top w:val="nil"/>
              <w:left w:val="nil"/>
              <w:bottom w:val="nil"/>
              <w:right w:val="nil"/>
            </w:tcBorders>
            <w:vAlign w:val="bottom"/>
          </w:tcPr>
          <w:p w14:paraId="0A4CCD0E" w14:textId="77777777" w:rsidR="000C35AF" w:rsidRPr="00E63B6F" w:rsidRDefault="000C35AF" w:rsidP="009238AE">
            <w:pPr>
              <w:pStyle w:val="Regresjonstabell"/>
              <w:jc w:val="right"/>
              <w:rPr>
                <w:sz w:val="20"/>
                <w:szCs w:val="20"/>
              </w:rPr>
            </w:pPr>
            <w:r w:rsidRPr="00E63B6F">
              <w:rPr>
                <w:color w:val="000000"/>
                <w:sz w:val="20"/>
                <w:szCs w:val="20"/>
              </w:rPr>
              <w:t>-102.914</w:t>
            </w:r>
          </w:p>
        </w:tc>
        <w:tc>
          <w:tcPr>
            <w:tcW w:w="1400" w:type="dxa"/>
            <w:tcBorders>
              <w:top w:val="nil"/>
              <w:left w:val="nil"/>
              <w:bottom w:val="nil"/>
              <w:right w:val="nil"/>
            </w:tcBorders>
            <w:vAlign w:val="bottom"/>
          </w:tcPr>
          <w:p w14:paraId="3F633D2C" w14:textId="77777777" w:rsidR="000C35AF" w:rsidRPr="00E63B6F" w:rsidRDefault="000C35AF" w:rsidP="009238AE">
            <w:pPr>
              <w:pStyle w:val="Regresjonstabell"/>
              <w:jc w:val="right"/>
              <w:rPr>
                <w:sz w:val="20"/>
                <w:szCs w:val="20"/>
              </w:rPr>
            </w:pPr>
            <w:r w:rsidRPr="00E63B6F">
              <w:rPr>
                <w:color w:val="000000"/>
                <w:sz w:val="20"/>
                <w:szCs w:val="20"/>
              </w:rPr>
              <w:t>-101.067</w:t>
            </w:r>
          </w:p>
        </w:tc>
        <w:tc>
          <w:tcPr>
            <w:tcW w:w="1400" w:type="dxa"/>
            <w:tcBorders>
              <w:top w:val="nil"/>
              <w:left w:val="nil"/>
              <w:bottom w:val="nil"/>
              <w:right w:val="single" w:sz="4" w:space="0" w:color="auto"/>
            </w:tcBorders>
            <w:vAlign w:val="bottom"/>
          </w:tcPr>
          <w:p w14:paraId="5D2E8578" w14:textId="77777777" w:rsidR="000C35AF" w:rsidRPr="00E63B6F" w:rsidRDefault="000C35AF" w:rsidP="009238AE">
            <w:pPr>
              <w:pStyle w:val="Regresjonstabell"/>
              <w:jc w:val="right"/>
              <w:rPr>
                <w:sz w:val="20"/>
                <w:szCs w:val="20"/>
              </w:rPr>
            </w:pPr>
            <w:r w:rsidRPr="00E63B6F">
              <w:rPr>
                <w:color w:val="000000"/>
                <w:sz w:val="20"/>
                <w:szCs w:val="20"/>
              </w:rPr>
              <w:t>-95.625</w:t>
            </w:r>
          </w:p>
        </w:tc>
      </w:tr>
      <w:tr w:rsidR="000C35AF" w:rsidRPr="0055149C" w14:paraId="5912E56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5C300B4" w14:textId="77777777" w:rsidR="000C35AF" w:rsidRPr="0055149C" w:rsidRDefault="000C35AF" w:rsidP="009238AE">
            <w:pPr>
              <w:pStyle w:val="Regresjonstabell"/>
              <w:rPr>
                <w:color w:val="000000"/>
                <w:sz w:val="20"/>
                <w:szCs w:val="20"/>
              </w:rPr>
            </w:pPr>
            <w:r w:rsidRPr="0055149C">
              <w:rPr>
                <w:sz w:val="20"/>
                <w:szCs w:val="20"/>
              </w:rPr>
              <w:t>(Kriterium 9)</w:t>
            </w:r>
          </w:p>
        </w:tc>
        <w:tc>
          <w:tcPr>
            <w:tcW w:w="1399" w:type="dxa"/>
            <w:tcBorders>
              <w:top w:val="nil"/>
              <w:left w:val="single" w:sz="4" w:space="0" w:color="auto"/>
              <w:bottom w:val="nil"/>
              <w:right w:val="nil"/>
            </w:tcBorders>
            <w:vAlign w:val="center"/>
          </w:tcPr>
          <w:p w14:paraId="64FECFEE" w14:textId="77777777" w:rsidR="000C35AF" w:rsidRPr="00E63B6F" w:rsidRDefault="000C35AF" w:rsidP="009238AE">
            <w:pPr>
              <w:pStyle w:val="Regresjonstabell"/>
              <w:jc w:val="right"/>
              <w:rPr>
                <w:sz w:val="20"/>
                <w:szCs w:val="20"/>
              </w:rPr>
            </w:pPr>
            <w:r w:rsidRPr="00E63B6F">
              <w:rPr>
                <w:color w:val="000000"/>
                <w:sz w:val="20"/>
                <w:szCs w:val="20"/>
              </w:rPr>
              <w:t>(48.046)</w:t>
            </w:r>
          </w:p>
        </w:tc>
        <w:tc>
          <w:tcPr>
            <w:tcW w:w="1399" w:type="dxa"/>
            <w:tcBorders>
              <w:top w:val="nil"/>
              <w:left w:val="nil"/>
              <w:bottom w:val="nil"/>
              <w:right w:val="nil"/>
            </w:tcBorders>
            <w:vAlign w:val="center"/>
          </w:tcPr>
          <w:p w14:paraId="1E7BD5CC" w14:textId="77777777" w:rsidR="000C35AF" w:rsidRPr="00E63B6F" w:rsidRDefault="000C35AF" w:rsidP="009238AE">
            <w:pPr>
              <w:pStyle w:val="Regresjonstabell"/>
              <w:jc w:val="right"/>
              <w:rPr>
                <w:sz w:val="20"/>
                <w:szCs w:val="20"/>
              </w:rPr>
            </w:pPr>
            <w:r w:rsidRPr="00E63B6F">
              <w:rPr>
                <w:color w:val="000000"/>
                <w:sz w:val="20"/>
                <w:szCs w:val="20"/>
              </w:rPr>
              <w:t>(48.882)</w:t>
            </w:r>
          </w:p>
        </w:tc>
        <w:tc>
          <w:tcPr>
            <w:tcW w:w="1399" w:type="dxa"/>
            <w:tcBorders>
              <w:top w:val="nil"/>
              <w:left w:val="nil"/>
              <w:bottom w:val="nil"/>
              <w:right w:val="nil"/>
            </w:tcBorders>
            <w:vAlign w:val="center"/>
          </w:tcPr>
          <w:p w14:paraId="0FC5C203" w14:textId="77777777" w:rsidR="000C35AF" w:rsidRPr="00E63B6F" w:rsidRDefault="000C35AF" w:rsidP="009238AE">
            <w:pPr>
              <w:pStyle w:val="Regresjonstabell"/>
              <w:jc w:val="right"/>
              <w:rPr>
                <w:sz w:val="20"/>
                <w:szCs w:val="20"/>
              </w:rPr>
            </w:pPr>
            <w:r w:rsidRPr="00E63B6F">
              <w:rPr>
                <w:color w:val="000000"/>
                <w:sz w:val="20"/>
                <w:szCs w:val="20"/>
              </w:rPr>
              <w:t>(48.068)</w:t>
            </w:r>
          </w:p>
        </w:tc>
        <w:tc>
          <w:tcPr>
            <w:tcW w:w="1399" w:type="dxa"/>
            <w:tcBorders>
              <w:top w:val="nil"/>
              <w:left w:val="nil"/>
              <w:bottom w:val="nil"/>
              <w:right w:val="nil"/>
            </w:tcBorders>
            <w:vAlign w:val="center"/>
          </w:tcPr>
          <w:p w14:paraId="30B0AAD5" w14:textId="77777777" w:rsidR="000C35AF" w:rsidRPr="00E63B6F" w:rsidRDefault="000C35AF" w:rsidP="009238AE">
            <w:pPr>
              <w:pStyle w:val="Regresjonstabell"/>
              <w:jc w:val="right"/>
              <w:rPr>
                <w:sz w:val="20"/>
                <w:szCs w:val="20"/>
              </w:rPr>
            </w:pPr>
            <w:r w:rsidRPr="00E63B6F">
              <w:rPr>
                <w:color w:val="000000"/>
                <w:sz w:val="20"/>
                <w:szCs w:val="20"/>
              </w:rPr>
              <w:t>(48.430)</w:t>
            </w:r>
          </w:p>
        </w:tc>
        <w:tc>
          <w:tcPr>
            <w:tcW w:w="1399" w:type="dxa"/>
            <w:tcBorders>
              <w:top w:val="nil"/>
              <w:left w:val="nil"/>
              <w:bottom w:val="nil"/>
              <w:right w:val="nil"/>
            </w:tcBorders>
            <w:vAlign w:val="center"/>
          </w:tcPr>
          <w:p w14:paraId="04967AA2" w14:textId="77777777" w:rsidR="000C35AF" w:rsidRPr="00E63B6F" w:rsidRDefault="000C35AF" w:rsidP="009238AE">
            <w:pPr>
              <w:pStyle w:val="Regresjonstabell"/>
              <w:jc w:val="right"/>
              <w:rPr>
                <w:sz w:val="20"/>
                <w:szCs w:val="20"/>
              </w:rPr>
            </w:pPr>
            <w:r w:rsidRPr="00E63B6F">
              <w:rPr>
                <w:color w:val="000000"/>
                <w:sz w:val="20"/>
                <w:szCs w:val="20"/>
              </w:rPr>
              <w:t>(83.480)</w:t>
            </w:r>
          </w:p>
        </w:tc>
        <w:tc>
          <w:tcPr>
            <w:tcW w:w="1399" w:type="dxa"/>
            <w:tcBorders>
              <w:top w:val="nil"/>
              <w:left w:val="nil"/>
              <w:bottom w:val="nil"/>
              <w:right w:val="nil"/>
            </w:tcBorders>
            <w:vAlign w:val="center"/>
          </w:tcPr>
          <w:p w14:paraId="1BEB56BF" w14:textId="77777777" w:rsidR="000C35AF" w:rsidRPr="00E63B6F" w:rsidRDefault="000C35AF" w:rsidP="009238AE">
            <w:pPr>
              <w:pStyle w:val="Regresjonstabell"/>
              <w:jc w:val="right"/>
              <w:rPr>
                <w:sz w:val="20"/>
                <w:szCs w:val="20"/>
              </w:rPr>
            </w:pPr>
            <w:r w:rsidRPr="00E63B6F">
              <w:rPr>
                <w:color w:val="000000"/>
                <w:sz w:val="20"/>
                <w:szCs w:val="20"/>
              </w:rPr>
              <w:t>(88.200)</w:t>
            </w:r>
          </w:p>
        </w:tc>
        <w:tc>
          <w:tcPr>
            <w:tcW w:w="1400" w:type="dxa"/>
            <w:tcBorders>
              <w:top w:val="nil"/>
              <w:left w:val="nil"/>
              <w:bottom w:val="nil"/>
              <w:right w:val="nil"/>
            </w:tcBorders>
            <w:vAlign w:val="center"/>
          </w:tcPr>
          <w:p w14:paraId="2E6B9236" w14:textId="77777777" w:rsidR="000C35AF" w:rsidRPr="00E63B6F" w:rsidRDefault="000C35AF" w:rsidP="009238AE">
            <w:pPr>
              <w:pStyle w:val="Regresjonstabell"/>
              <w:jc w:val="right"/>
              <w:rPr>
                <w:sz w:val="20"/>
                <w:szCs w:val="20"/>
              </w:rPr>
            </w:pPr>
            <w:r w:rsidRPr="00E63B6F">
              <w:rPr>
                <w:color w:val="000000"/>
                <w:sz w:val="20"/>
                <w:szCs w:val="20"/>
              </w:rPr>
              <w:t>(83.037)</w:t>
            </w:r>
          </w:p>
        </w:tc>
        <w:tc>
          <w:tcPr>
            <w:tcW w:w="1400" w:type="dxa"/>
            <w:tcBorders>
              <w:top w:val="nil"/>
              <w:left w:val="nil"/>
              <w:bottom w:val="nil"/>
              <w:right w:val="single" w:sz="4" w:space="0" w:color="auto"/>
            </w:tcBorders>
            <w:vAlign w:val="center"/>
          </w:tcPr>
          <w:p w14:paraId="6FD4FDA0" w14:textId="77777777" w:rsidR="000C35AF" w:rsidRPr="00E63B6F" w:rsidRDefault="000C35AF" w:rsidP="009238AE">
            <w:pPr>
              <w:pStyle w:val="Regresjonstabell"/>
              <w:jc w:val="right"/>
              <w:rPr>
                <w:sz w:val="20"/>
                <w:szCs w:val="20"/>
              </w:rPr>
            </w:pPr>
            <w:r w:rsidRPr="00E63B6F">
              <w:rPr>
                <w:color w:val="000000"/>
                <w:sz w:val="20"/>
                <w:szCs w:val="20"/>
              </w:rPr>
              <w:t>(83.775)</w:t>
            </w:r>
          </w:p>
        </w:tc>
      </w:tr>
      <w:tr w:rsidR="000C35AF" w:rsidRPr="0055149C" w14:paraId="4ED5398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4F85BA4" w14:textId="77777777" w:rsidR="000C35AF" w:rsidRPr="0055149C" w:rsidRDefault="000C35AF" w:rsidP="009238AE">
            <w:pPr>
              <w:pStyle w:val="Regresjonstabell"/>
              <w:rPr>
                <w:color w:val="000000"/>
                <w:sz w:val="20"/>
                <w:szCs w:val="20"/>
              </w:rPr>
            </w:pPr>
            <w:r w:rsidRPr="0055149C">
              <w:rPr>
                <w:color w:val="000000"/>
                <w:sz w:val="20"/>
                <w:szCs w:val="20"/>
              </w:rPr>
              <w:t>Gradert basiskriterium</w:t>
            </w:r>
          </w:p>
        </w:tc>
        <w:tc>
          <w:tcPr>
            <w:tcW w:w="1399" w:type="dxa"/>
            <w:tcBorders>
              <w:top w:val="nil"/>
              <w:left w:val="single" w:sz="4" w:space="0" w:color="auto"/>
              <w:bottom w:val="nil"/>
              <w:right w:val="nil"/>
            </w:tcBorders>
            <w:vAlign w:val="bottom"/>
          </w:tcPr>
          <w:p w14:paraId="06E082A4" w14:textId="77777777" w:rsidR="000C35AF" w:rsidRPr="00E63B6F" w:rsidRDefault="000C35AF" w:rsidP="009238AE">
            <w:pPr>
              <w:pStyle w:val="Regresjonstabell"/>
              <w:jc w:val="right"/>
              <w:rPr>
                <w:sz w:val="20"/>
                <w:szCs w:val="20"/>
              </w:rPr>
            </w:pPr>
            <w:r w:rsidRPr="00E63B6F">
              <w:rPr>
                <w:color w:val="000000"/>
                <w:sz w:val="20"/>
                <w:szCs w:val="20"/>
              </w:rPr>
              <w:t>3,284.923**</w:t>
            </w:r>
          </w:p>
        </w:tc>
        <w:tc>
          <w:tcPr>
            <w:tcW w:w="1399" w:type="dxa"/>
            <w:tcBorders>
              <w:top w:val="nil"/>
              <w:left w:val="nil"/>
              <w:bottom w:val="nil"/>
              <w:right w:val="nil"/>
            </w:tcBorders>
            <w:vAlign w:val="bottom"/>
          </w:tcPr>
          <w:p w14:paraId="6E007BCE" w14:textId="77777777" w:rsidR="000C35AF" w:rsidRPr="00E63B6F" w:rsidRDefault="000C35AF" w:rsidP="009238AE">
            <w:pPr>
              <w:pStyle w:val="Regresjonstabell"/>
              <w:jc w:val="right"/>
              <w:rPr>
                <w:sz w:val="20"/>
                <w:szCs w:val="20"/>
              </w:rPr>
            </w:pPr>
            <w:r w:rsidRPr="00E63B6F">
              <w:rPr>
                <w:color w:val="000000"/>
                <w:sz w:val="20"/>
                <w:szCs w:val="20"/>
              </w:rPr>
              <w:t>3,212.203**</w:t>
            </w:r>
          </w:p>
        </w:tc>
        <w:tc>
          <w:tcPr>
            <w:tcW w:w="1399" w:type="dxa"/>
            <w:tcBorders>
              <w:top w:val="nil"/>
              <w:left w:val="nil"/>
              <w:bottom w:val="nil"/>
              <w:right w:val="nil"/>
            </w:tcBorders>
            <w:vAlign w:val="bottom"/>
          </w:tcPr>
          <w:p w14:paraId="239A90D0" w14:textId="77777777" w:rsidR="000C35AF" w:rsidRPr="00E63B6F" w:rsidRDefault="000C35AF" w:rsidP="009238AE">
            <w:pPr>
              <w:pStyle w:val="Regresjonstabell"/>
              <w:jc w:val="right"/>
              <w:rPr>
                <w:sz w:val="20"/>
                <w:szCs w:val="20"/>
              </w:rPr>
            </w:pPr>
            <w:r w:rsidRPr="00E63B6F">
              <w:rPr>
                <w:color w:val="000000"/>
                <w:sz w:val="20"/>
                <w:szCs w:val="20"/>
              </w:rPr>
              <w:t>3,386.882**</w:t>
            </w:r>
          </w:p>
        </w:tc>
        <w:tc>
          <w:tcPr>
            <w:tcW w:w="1399" w:type="dxa"/>
            <w:tcBorders>
              <w:top w:val="nil"/>
              <w:left w:val="nil"/>
              <w:bottom w:val="nil"/>
              <w:right w:val="nil"/>
            </w:tcBorders>
            <w:vAlign w:val="bottom"/>
          </w:tcPr>
          <w:p w14:paraId="7BB24284" w14:textId="77777777" w:rsidR="000C35AF" w:rsidRPr="00E63B6F" w:rsidRDefault="000C35AF" w:rsidP="009238AE">
            <w:pPr>
              <w:pStyle w:val="Regresjonstabell"/>
              <w:jc w:val="right"/>
              <w:rPr>
                <w:sz w:val="20"/>
                <w:szCs w:val="20"/>
              </w:rPr>
            </w:pPr>
            <w:r w:rsidRPr="00E63B6F">
              <w:rPr>
                <w:color w:val="000000"/>
                <w:sz w:val="20"/>
                <w:szCs w:val="20"/>
              </w:rPr>
              <w:t>3,491.142**</w:t>
            </w:r>
          </w:p>
        </w:tc>
        <w:tc>
          <w:tcPr>
            <w:tcW w:w="1399" w:type="dxa"/>
            <w:tcBorders>
              <w:top w:val="nil"/>
              <w:left w:val="nil"/>
              <w:bottom w:val="nil"/>
              <w:right w:val="nil"/>
            </w:tcBorders>
            <w:vAlign w:val="bottom"/>
          </w:tcPr>
          <w:p w14:paraId="00AEC2AF" w14:textId="77777777" w:rsidR="000C35AF" w:rsidRPr="00E63B6F" w:rsidRDefault="000C35AF" w:rsidP="009238AE">
            <w:pPr>
              <w:pStyle w:val="Regresjonstabell"/>
              <w:jc w:val="right"/>
              <w:rPr>
                <w:sz w:val="20"/>
                <w:szCs w:val="20"/>
              </w:rPr>
            </w:pPr>
            <w:r w:rsidRPr="00E63B6F">
              <w:rPr>
                <w:color w:val="000000"/>
                <w:sz w:val="20"/>
                <w:szCs w:val="20"/>
              </w:rPr>
              <w:t>5,930.910**</w:t>
            </w:r>
          </w:p>
        </w:tc>
        <w:tc>
          <w:tcPr>
            <w:tcW w:w="1399" w:type="dxa"/>
            <w:tcBorders>
              <w:top w:val="nil"/>
              <w:left w:val="nil"/>
              <w:bottom w:val="nil"/>
              <w:right w:val="nil"/>
            </w:tcBorders>
            <w:vAlign w:val="bottom"/>
          </w:tcPr>
          <w:p w14:paraId="4B6F6973" w14:textId="77777777" w:rsidR="000C35AF" w:rsidRPr="00E63B6F" w:rsidRDefault="000C35AF" w:rsidP="009238AE">
            <w:pPr>
              <w:pStyle w:val="Regresjonstabell"/>
              <w:jc w:val="right"/>
              <w:rPr>
                <w:sz w:val="20"/>
                <w:szCs w:val="20"/>
              </w:rPr>
            </w:pPr>
            <w:r w:rsidRPr="00E63B6F">
              <w:rPr>
                <w:color w:val="000000"/>
                <w:sz w:val="20"/>
                <w:szCs w:val="20"/>
              </w:rPr>
              <w:t>5,754.903**</w:t>
            </w:r>
          </w:p>
        </w:tc>
        <w:tc>
          <w:tcPr>
            <w:tcW w:w="1400" w:type="dxa"/>
            <w:tcBorders>
              <w:top w:val="nil"/>
              <w:left w:val="nil"/>
              <w:bottom w:val="nil"/>
              <w:right w:val="nil"/>
            </w:tcBorders>
            <w:vAlign w:val="bottom"/>
          </w:tcPr>
          <w:p w14:paraId="0C2D2B43" w14:textId="77777777" w:rsidR="000C35AF" w:rsidRPr="00E63B6F" w:rsidRDefault="000C35AF" w:rsidP="009238AE">
            <w:pPr>
              <w:pStyle w:val="Regresjonstabell"/>
              <w:jc w:val="right"/>
              <w:rPr>
                <w:sz w:val="20"/>
                <w:szCs w:val="20"/>
              </w:rPr>
            </w:pPr>
            <w:r w:rsidRPr="00E63B6F">
              <w:rPr>
                <w:color w:val="000000"/>
                <w:sz w:val="20"/>
                <w:szCs w:val="20"/>
              </w:rPr>
              <w:t>6,031.663**</w:t>
            </w:r>
          </w:p>
        </w:tc>
        <w:tc>
          <w:tcPr>
            <w:tcW w:w="1400" w:type="dxa"/>
            <w:tcBorders>
              <w:top w:val="nil"/>
              <w:left w:val="nil"/>
              <w:bottom w:val="nil"/>
              <w:right w:val="single" w:sz="4" w:space="0" w:color="auto"/>
            </w:tcBorders>
            <w:vAlign w:val="bottom"/>
          </w:tcPr>
          <w:p w14:paraId="3BE1570C" w14:textId="77777777" w:rsidR="000C35AF" w:rsidRPr="00E63B6F" w:rsidRDefault="000C35AF" w:rsidP="009238AE">
            <w:pPr>
              <w:pStyle w:val="Regresjonstabell"/>
              <w:jc w:val="right"/>
              <w:rPr>
                <w:sz w:val="20"/>
                <w:szCs w:val="20"/>
              </w:rPr>
            </w:pPr>
            <w:r w:rsidRPr="00E63B6F">
              <w:rPr>
                <w:color w:val="000000"/>
                <w:sz w:val="20"/>
                <w:szCs w:val="20"/>
              </w:rPr>
              <w:t>6,207.136**</w:t>
            </w:r>
          </w:p>
        </w:tc>
      </w:tr>
      <w:tr w:rsidR="000C35AF" w:rsidRPr="0055149C" w14:paraId="2BD3DB0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50DE063" w14:textId="77777777" w:rsidR="000C35AF" w:rsidRPr="0055149C" w:rsidRDefault="000C35AF" w:rsidP="009238AE">
            <w:pPr>
              <w:pStyle w:val="Regresjonstabell"/>
              <w:rPr>
                <w:color w:val="000000"/>
                <w:sz w:val="20"/>
                <w:szCs w:val="20"/>
              </w:rPr>
            </w:pPr>
            <w:r w:rsidRPr="0055149C">
              <w:rPr>
                <w:sz w:val="20"/>
                <w:szCs w:val="20"/>
              </w:rPr>
              <w:t>(Kriterium 12)</w:t>
            </w:r>
          </w:p>
        </w:tc>
        <w:tc>
          <w:tcPr>
            <w:tcW w:w="1399" w:type="dxa"/>
            <w:tcBorders>
              <w:top w:val="nil"/>
              <w:left w:val="single" w:sz="4" w:space="0" w:color="auto"/>
              <w:bottom w:val="nil"/>
              <w:right w:val="nil"/>
            </w:tcBorders>
            <w:vAlign w:val="center"/>
          </w:tcPr>
          <w:p w14:paraId="60663411" w14:textId="77777777" w:rsidR="000C35AF" w:rsidRPr="00E63B6F" w:rsidRDefault="000C35AF" w:rsidP="009238AE">
            <w:pPr>
              <w:pStyle w:val="Regresjonstabell"/>
              <w:jc w:val="right"/>
              <w:rPr>
                <w:sz w:val="20"/>
                <w:szCs w:val="20"/>
              </w:rPr>
            </w:pPr>
            <w:r w:rsidRPr="00E63B6F">
              <w:rPr>
                <w:color w:val="000000"/>
                <w:sz w:val="20"/>
                <w:szCs w:val="20"/>
              </w:rPr>
              <w:t>(1,430.684)</w:t>
            </w:r>
          </w:p>
        </w:tc>
        <w:tc>
          <w:tcPr>
            <w:tcW w:w="1399" w:type="dxa"/>
            <w:tcBorders>
              <w:top w:val="nil"/>
              <w:left w:val="nil"/>
              <w:bottom w:val="nil"/>
              <w:right w:val="nil"/>
            </w:tcBorders>
            <w:vAlign w:val="center"/>
          </w:tcPr>
          <w:p w14:paraId="4BE864EA" w14:textId="77777777" w:rsidR="000C35AF" w:rsidRPr="00E63B6F" w:rsidRDefault="000C35AF" w:rsidP="009238AE">
            <w:pPr>
              <w:pStyle w:val="Regresjonstabell"/>
              <w:jc w:val="right"/>
              <w:rPr>
                <w:sz w:val="20"/>
                <w:szCs w:val="20"/>
              </w:rPr>
            </w:pPr>
            <w:r w:rsidRPr="00E63B6F">
              <w:rPr>
                <w:color w:val="000000"/>
                <w:sz w:val="20"/>
                <w:szCs w:val="20"/>
              </w:rPr>
              <w:t>(1,501.743)</w:t>
            </w:r>
          </w:p>
        </w:tc>
        <w:tc>
          <w:tcPr>
            <w:tcW w:w="1399" w:type="dxa"/>
            <w:tcBorders>
              <w:top w:val="nil"/>
              <w:left w:val="nil"/>
              <w:bottom w:val="nil"/>
              <w:right w:val="nil"/>
            </w:tcBorders>
            <w:vAlign w:val="center"/>
          </w:tcPr>
          <w:p w14:paraId="2D743EB3" w14:textId="77777777" w:rsidR="000C35AF" w:rsidRPr="00E63B6F" w:rsidRDefault="000C35AF" w:rsidP="009238AE">
            <w:pPr>
              <w:pStyle w:val="Regresjonstabell"/>
              <w:jc w:val="right"/>
              <w:rPr>
                <w:sz w:val="20"/>
                <w:szCs w:val="20"/>
              </w:rPr>
            </w:pPr>
            <w:r w:rsidRPr="00E63B6F">
              <w:rPr>
                <w:color w:val="000000"/>
                <w:sz w:val="20"/>
                <w:szCs w:val="20"/>
              </w:rPr>
              <w:t>(1,408.545)</w:t>
            </w:r>
          </w:p>
        </w:tc>
        <w:tc>
          <w:tcPr>
            <w:tcW w:w="1399" w:type="dxa"/>
            <w:tcBorders>
              <w:top w:val="nil"/>
              <w:left w:val="nil"/>
              <w:bottom w:val="nil"/>
              <w:right w:val="nil"/>
            </w:tcBorders>
            <w:vAlign w:val="center"/>
          </w:tcPr>
          <w:p w14:paraId="5F961CC3" w14:textId="77777777" w:rsidR="000C35AF" w:rsidRPr="00E63B6F" w:rsidRDefault="000C35AF" w:rsidP="009238AE">
            <w:pPr>
              <w:pStyle w:val="Regresjonstabell"/>
              <w:jc w:val="right"/>
              <w:rPr>
                <w:sz w:val="20"/>
                <w:szCs w:val="20"/>
              </w:rPr>
            </w:pPr>
            <w:r w:rsidRPr="00E63B6F">
              <w:rPr>
                <w:color w:val="000000"/>
                <w:sz w:val="20"/>
                <w:szCs w:val="20"/>
              </w:rPr>
              <w:t>(1,390.503)</w:t>
            </w:r>
          </w:p>
        </w:tc>
        <w:tc>
          <w:tcPr>
            <w:tcW w:w="1399" w:type="dxa"/>
            <w:tcBorders>
              <w:top w:val="nil"/>
              <w:left w:val="nil"/>
              <w:bottom w:val="nil"/>
              <w:right w:val="nil"/>
            </w:tcBorders>
            <w:vAlign w:val="center"/>
          </w:tcPr>
          <w:p w14:paraId="1CDA4679" w14:textId="77777777" w:rsidR="000C35AF" w:rsidRPr="00E63B6F" w:rsidRDefault="000C35AF" w:rsidP="009238AE">
            <w:pPr>
              <w:pStyle w:val="Regresjonstabell"/>
              <w:jc w:val="right"/>
              <w:rPr>
                <w:sz w:val="20"/>
                <w:szCs w:val="20"/>
              </w:rPr>
            </w:pPr>
            <w:r w:rsidRPr="00E63B6F">
              <w:rPr>
                <w:color w:val="000000"/>
                <w:sz w:val="20"/>
                <w:szCs w:val="20"/>
              </w:rPr>
              <w:t>(2,516.984)</w:t>
            </w:r>
          </w:p>
        </w:tc>
        <w:tc>
          <w:tcPr>
            <w:tcW w:w="1399" w:type="dxa"/>
            <w:tcBorders>
              <w:top w:val="nil"/>
              <w:left w:val="nil"/>
              <w:bottom w:val="nil"/>
              <w:right w:val="nil"/>
            </w:tcBorders>
            <w:vAlign w:val="center"/>
          </w:tcPr>
          <w:p w14:paraId="7CCE5D6E" w14:textId="77777777" w:rsidR="000C35AF" w:rsidRPr="00E63B6F" w:rsidRDefault="000C35AF" w:rsidP="009238AE">
            <w:pPr>
              <w:pStyle w:val="Regresjonstabell"/>
              <w:jc w:val="right"/>
              <w:rPr>
                <w:sz w:val="20"/>
                <w:szCs w:val="20"/>
              </w:rPr>
            </w:pPr>
            <w:r w:rsidRPr="00E63B6F">
              <w:rPr>
                <w:color w:val="000000"/>
                <w:sz w:val="20"/>
                <w:szCs w:val="20"/>
              </w:rPr>
              <w:t>(2,788.665)</w:t>
            </w:r>
          </w:p>
        </w:tc>
        <w:tc>
          <w:tcPr>
            <w:tcW w:w="1400" w:type="dxa"/>
            <w:tcBorders>
              <w:top w:val="nil"/>
              <w:left w:val="nil"/>
              <w:bottom w:val="nil"/>
              <w:right w:val="nil"/>
            </w:tcBorders>
            <w:vAlign w:val="center"/>
          </w:tcPr>
          <w:p w14:paraId="13E33E1F" w14:textId="77777777" w:rsidR="000C35AF" w:rsidRPr="00E63B6F" w:rsidRDefault="000C35AF" w:rsidP="009238AE">
            <w:pPr>
              <w:pStyle w:val="Regresjonstabell"/>
              <w:jc w:val="right"/>
              <w:rPr>
                <w:sz w:val="20"/>
                <w:szCs w:val="20"/>
              </w:rPr>
            </w:pPr>
            <w:r w:rsidRPr="00E63B6F">
              <w:rPr>
                <w:color w:val="000000"/>
                <w:sz w:val="20"/>
                <w:szCs w:val="20"/>
              </w:rPr>
              <w:t>(2,508.120)</w:t>
            </w:r>
          </w:p>
        </w:tc>
        <w:tc>
          <w:tcPr>
            <w:tcW w:w="1400" w:type="dxa"/>
            <w:tcBorders>
              <w:top w:val="nil"/>
              <w:left w:val="nil"/>
              <w:bottom w:val="nil"/>
              <w:right w:val="single" w:sz="4" w:space="0" w:color="auto"/>
            </w:tcBorders>
            <w:vAlign w:val="center"/>
          </w:tcPr>
          <w:p w14:paraId="0FD2FA2A" w14:textId="77777777" w:rsidR="000C35AF" w:rsidRPr="00E63B6F" w:rsidRDefault="000C35AF" w:rsidP="009238AE">
            <w:pPr>
              <w:pStyle w:val="Regresjonstabell"/>
              <w:jc w:val="right"/>
              <w:rPr>
                <w:sz w:val="20"/>
                <w:szCs w:val="20"/>
              </w:rPr>
            </w:pPr>
            <w:r w:rsidRPr="00E63B6F">
              <w:rPr>
                <w:color w:val="000000"/>
                <w:sz w:val="20"/>
                <w:szCs w:val="20"/>
              </w:rPr>
              <w:t>(2,501.185)</w:t>
            </w:r>
          </w:p>
        </w:tc>
      </w:tr>
      <w:tr w:rsidR="000C35AF" w:rsidRPr="0055149C" w14:paraId="49E06EA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9855C3F"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0C30E782" w14:textId="77777777" w:rsidR="000C35AF" w:rsidRPr="00E63B6F" w:rsidRDefault="000C35AF" w:rsidP="009238AE">
            <w:pPr>
              <w:pStyle w:val="Regresjonstabell"/>
              <w:jc w:val="right"/>
              <w:rPr>
                <w:sz w:val="20"/>
                <w:szCs w:val="20"/>
              </w:rPr>
            </w:pPr>
            <w:r w:rsidRPr="00E63B6F">
              <w:rPr>
                <w:color w:val="000000"/>
                <w:sz w:val="20"/>
                <w:szCs w:val="20"/>
              </w:rPr>
              <w:t>0.317***</w:t>
            </w:r>
          </w:p>
        </w:tc>
        <w:tc>
          <w:tcPr>
            <w:tcW w:w="1399" w:type="dxa"/>
            <w:tcBorders>
              <w:top w:val="nil"/>
              <w:left w:val="nil"/>
              <w:bottom w:val="nil"/>
              <w:right w:val="nil"/>
            </w:tcBorders>
            <w:vAlign w:val="bottom"/>
          </w:tcPr>
          <w:p w14:paraId="4B2E1B33" w14:textId="77777777" w:rsidR="000C35AF" w:rsidRPr="00E63B6F" w:rsidRDefault="000C35AF" w:rsidP="009238AE">
            <w:pPr>
              <w:pStyle w:val="Regresjonstabell"/>
              <w:jc w:val="right"/>
              <w:rPr>
                <w:sz w:val="20"/>
                <w:szCs w:val="20"/>
              </w:rPr>
            </w:pPr>
            <w:r w:rsidRPr="00E63B6F">
              <w:rPr>
                <w:color w:val="000000"/>
                <w:sz w:val="20"/>
                <w:szCs w:val="20"/>
              </w:rPr>
              <w:t>0.329***</w:t>
            </w:r>
          </w:p>
        </w:tc>
        <w:tc>
          <w:tcPr>
            <w:tcW w:w="1399" w:type="dxa"/>
            <w:tcBorders>
              <w:top w:val="nil"/>
              <w:left w:val="nil"/>
              <w:bottom w:val="nil"/>
              <w:right w:val="nil"/>
            </w:tcBorders>
            <w:vAlign w:val="bottom"/>
          </w:tcPr>
          <w:p w14:paraId="42D65D7A" w14:textId="77777777" w:rsidR="000C35AF" w:rsidRPr="00E63B6F" w:rsidRDefault="000C35AF" w:rsidP="009238AE">
            <w:pPr>
              <w:pStyle w:val="Regresjonstabell"/>
              <w:jc w:val="right"/>
              <w:rPr>
                <w:sz w:val="20"/>
                <w:szCs w:val="20"/>
              </w:rPr>
            </w:pPr>
            <w:r w:rsidRPr="00E63B6F">
              <w:rPr>
                <w:color w:val="000000"/>
                <w:sz w:val="20"/>
                <w:szCs w:val="20"/>
              </w:rPr>
              <w:t>0.325***</w:t>
            </w:r>
          </w:p>
        </w:tc>
        <w:tc>
          <w:tcPr>
            <w:tcW w:w="1399" w:type="dxa"/>
            <w:tcBorders>
              <w:top w:val="nil"/>
              <w:left w:val="nil"/>
              <w:bottom w:val="nil"/>
              <w:right w:val="nil"/>
            </w:tcBorders>
            <w:vAlign w:val="bottom"/>
          </w:tcPr>
          <w:p w14:paraId="34CCE504" w14:textId="77777777" w:rsidR="000C35AF" w:rsidRPr="00E63B6F" w:rsidRDefault="000C35AF" w:rsidP="009238AE">
            <w:pPr>
              <w:pStyle w:val="Regresjonstabell"/>
              <w:jc w:val="right"/>
              <w:rPr>
                <w:sz w:val="20"/>
                <w:szCs w:val="20"/>
              </w:rPr>
            </w:pPr>
            <w:r w:rsidRPr="00E63B6F">
              <w:rPr>
                <w:color w:val="000000"/>
                <w:sz w:val="20"/>
                <w:szCs w:val="20"/>
              </w:rPr>
              <w:t>0.332***</w:t>
            </w:r>
          </w:p>
        </w:tc>
        <w:tc>
          <w:tcPr>
            <w:tcW w:w="1399" w:type="dxa"/>
            <w:tcBorders>
              <w:top w:val="nil"/>
              <w:left w:val="nil"/>
              <w:bottom w:val="nil"/>
              <w:right w:val="nil"/>
            </w:tcBorders>
            <w:vAlign w:val="bottom"/>
          </w:tcPr>
          <w:p w14:paraId="337AA02C" w14:textId="77777777" w:rsidR="000C35AF" w:rsidRPr="00E63B6F" w:rsidRDefault="000C35AF" w:rsidP="009238AE">
            <w:pPr>
              <w:pStyle w:val="Regresjonstabell"/>
              <w:jc w:val="right"/>
              <w:rPr>
                <w:sz w:val="20"/>
                <w:szCs w:val="20"/>
              </w:rPr>
            </w:pPr>
            <w:r w:rsidRPr="00E63B6F">
              <w:rPr>
                <w:color w:val="000000"/>
                <w:sz w:val="20"/>
                <w:szCs w:val="20"/>
              </w:rPr>
              <w:t>0.275***</w:t>
            </w:r>
          </w:p>
        </w:tc>
        <w:tc>
          <w:tcPr>
            <w:tcW w:w="1399" w:type="dxa"/>
            <w:tcBorders>
              <w:top w:val="nil"/>
              <w:left w:val="nil"/>
              <w:bottom w:val="nil"/>
              <w:right w:val="nil"/>
            </w:tcBorders>
            <w:vAlign w:val="bottom"/>
          </w:tcPr>
          <w:p w14:paraId="025F8A09" w14:textId="77777777" w:rsidR="000C35AF" w:rsidRPr="00E63B6F" w:rsidRDefault="000C35AF" w:rsidP="009238AE">
            <w:pPr>
              <w:pStyle w:val="Regresjonstabell"/>
              <w:jc w:val="right"/>
              <w:rPr>
                <w:sz w:val="20"/>
                <w:szCs w:val="20"/>
              </w:rPr>
            </w:pPr>
            <w:r w:rsidRPr="00E63B6F">
              <w:rPr>
                <w:color w:val="000000"/>
                <w:sz w:val="20"/>
                <w:szCs w:val="20"/>
              </w:rPr>
              <w:t>0.293***</w:t>
            </w:r>
          </w:p>
        </w:tc>
        <w:tc>
          <w:tcPr>
            <w:tcW w:w="1400" w:type="dxa"/>
            <w:tcBorders>
              <w:top w:val="nil"/>
              <w:left w:val="nil"/>
              <w:bottom w:val="nil"/>
              <w:right w:val="nil"/>
            </w:tcBorders>
            <w:vAlign w:val="bottom"/>
          </w:tcPr>
          <w:p w14:paraId="263F2AC7" w14:textId="77777777" w:rsidR="000C35AF" w:rsidRPr="00E63B6F" w:rsidRDefault="000C35AF" w:rsidP="009238AE">
            <w:pPr>
              <w:pStyle w:val="Regresjonstabell"/>
              <w:jc w:val="right"/>
              <w:rPr>
                <w:sz w:val="20"/>
                <w:szCs w:val="20"/>
              </w:rPr>
            </w:pPr>
            <w:r w:rsidRPr="00E63B6F">
              <w:rPr>
                <w:color w:val="000000"/>
                <w:sz w:val="20"/>
                <w:szCs w:val="20"/>
              </w:rPr>
              <w:t>0.285***</w:t>
            </w:r>
          </w:p>
        </w:tc>
        <w:tc>
          <w:tcPr>
            <w:tcW w:w="1400" w:type="dxa"/>
            <w:tcBorders>
              <w:top w:val="nil"/>
              <w:left w:val="nil"/>
              <w:bottom w:val="nil"/>
              <w:right w:val="single" w:sz="4" w:space="0" w:color="auto"/>
            </w:tcBorders>
            <w:vAlign w:val="bottom"/>
          </w:tcPr>
          <w:p w14:paraId="6058CDEA" w14:textId="77777777" w:rsidR="000C35AF" w:rsidRPr="00E63B6F" w:rsidRDefault="000C35AF" w:rsidP="009238AE">
            <w:pPr>
              <w:pStyle w:val="Regresjonstabell"/>
              <w:jc w:val="right"/>
              <w:rPr>
                <w:sz w:val="20"/>
                <w:szCs w:val="20"/>
              </w:rPr>
            </w:pPr>
            <w:r w:rsidRPr="00E63B6F">
              <w:rPr>
                <w:color w:val="000000"/>
                <w:sz w:val="20"/>
                <w:szCs w:val="20"/>
              </w:rPr>
              <w:t>0.302***</w:t>
            </w:r>
          </w:p>
        </w:tc>
      </w:tr>
      <w:tr w:rsidR="000C35AF" w:rsidRPr="0055149C" w14:paraId="1D2D4AB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2013AE2"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443CB782" w14:textId="77777777" w:rsidR="000C35AF" w:rsidRPr="00E63B6F" w:rsidRDefault="000C35AF" w:rsidP="009238AE">
            <w:pPr>
              <w:pStyle w:val="Regresjonstabell"/>
              <w:jc w:val="right"/>
              <w:rPr>
                <w:sz w:val="20"/>
                <w:szCs w:val="20"/>
              </w:rPr>
            </w:pPr>
            <w:r w:rsidRPr="00E63B6F">
              <w:rPr>
                <w:color w:val="000000"/>
                <w:sz w:val="20"/>
                <w:szCs w:val="20"/>
              </w:rPr>
              <w:t>(0.039)</w:t>
            </w:r>
          </w:p>
        </w:tc>
        <w:tc>
          <w:tcPr>
            <w:tcW w:w="1399" w:type="dxa"/>
            <w:tcBorders>
              <w:top w:val="nil"/>
              <w:left w:val="nil"/>
              <w:bottom w:val="nil"/>
              <w:right w:val="nil"/>
            </w:tcBorders>
            <w:vAlign w:val="center"/>
          </w:tcPr>
          <w:p w14:paraId="6858D409" w14:textId="77777777" w:rsidR="000C35AF" w:rsidRPr="00E63B6F" w:rsidRDefault="000C35AF" w:rsidP="009238AE">
            <w:pPr>
              <w:pStyle w:val="Regresjonstabell"/>
              <w:jc w:val="right"/>
              <w:rPr>
                <w:sz w:val="20"/>
                <w:szCs w:val="20"/>
              </w:rPr>
            </w:pPr>
            <w:r w:rsidRPr="00E63B6F">
              <w:rPr>
                <w:color w:val="000000"/>
                <w:sz w:val="20"/>
                <w:szCs w:val="20"/>
              </w:rPr>
              <w:t>(0.039)</w:t>
            </w:r>
          </w:p>
        </w:tc>
        <w:tc>
          <w:tcPr>
            <w:tcW w:w="1399" w:type="dxa"/>
            <w:tcBorders>
              <w:top w:val="nil"/>
              <w:left w:val="nil"/>
              <w:bottom w:val="nil"/>
              <w:right w:val="nil"/>
            </w:tcBorders>
            <w:vAlign w:val="center"/>
          </w:tcPr>
          <w:p w14:paraId="32CB46FF" w14:textId="77777777" w:rsidR="000C35AF" w:rsidRPr="00E63B6F" w:rsidRDefault="000C35AF" w:rsidP="009238AE">
            <w:pPr>
              <w:pStyle w:val="Regresjonstabell"/>
              <w:jc w:val="right"/>
              <w:rPr>
                <w:sz w:val="20"/>
                <w:szCs w:val="20"/>
              </w:rPr>
            </w:pPr>
            <w:r w:rsidRPr="00E63B6F">
              <w:rPr>
                <w:color w:val="000000"/>
                <w:sz w:val="20"/>
                <w:szCs w:val="20"/>
              </w:rPr>
              <w:t>(0.039)</w:t>
            </w:r>
          </w:p>
        </w:tc>
        <w:tc>
          <w:tcPr>
            <w:tcW w:w="1399" w:type="dxa"/>
            <w:tcBorders>
              <w:top w:val="nil"/>
              <w:left w:val="nil"/>
              <w:bottom w:val="nil"/>
              <w:right w:val="nil"/>
            </w:tcBorders>
            <w:vAlign w:val="center"/>
          </w:tcPr>
          <w:p w14:paraId="3B6F636D" w14:textId="77777777" w:rsidR="000C35AF" w:rsidRPr="00E63B6F" w:rsidRDefault="000C35AF" w:rsidP="009238AE">
            <w:pPr>
              <w:pStyle w:val="Regresjonstabell"/>
              <w:jc w:val="right"/>
              <w:rPr>
                <w:sz w:val="20"/>
                <w:szCs w:val="20"/>
              </w:rPr>
            </w:pPr>
            <w:r w:rsidRPr="00E63B6F">
              <w:rPr>
                <w:color w:val="000000"/>
                <w:sz w:val="20"/>
                <w:szCs w:val="20"/>
              </w:rPr>
              <w:t>(0.038)</w:t>
            </w:r>
          </w:p>
        </w:tc>
        <w:tc>
          <w:tcPr>
            <w:tcW w:w="1399" w:type="dxa"/>
            <w:tcBorders>
              <w:top w:val="nil"/>
              <w:left w:val="nil"/>
              <w:bottom w:val="nil"/>
              <w:right w:val="nil"/>
            </w:tcBorders>
            <w:vAlign w:val="center"/>
          </w:tcPr>
          <w:p w14:paraId="3B462EAE" w14:textId="77777777" w:rsidR="000C35AF" w:rsidRPr="00E63B6F" w:rsidRDefault="000C35AF" w:rsidP="009238AE">
            <w:pPr>
              <w:pStyle w:val="Regresjonstabell"/>
              <w:jc w:val="right"/>
              <w:rPr>
                <w:sz w:val="20"/>
                <w:szCs w:val="20"/>
              </w:rPr>
            </w:pPr>
            <w:r w:rsidRPr="00E63B6F">
              <w:rPr>
                <w:color w:val="000000"/>
                <w:sz w:val="20"/>
                <w:szCs w:val="20"/>
              </w:rPr>
              <w:t>(0.058)</w:t>
            </w:r>
          </w:p>
        </w:tc>
        <w:tc>
          <w:tcPr>
            <w:tcW w:w="1399" w:type="dxa"/>
            <w:tcBorders>
              <w:top w:val="nil"/>
              <w:left w:val="nil"/>
              <w:bottom w:val="nil"/>
              <w:right w:val="nil"/>
            </w:tcBorders>
            <w:vAlign w:val="center"/>
          </w:tcPr>
          <w:p w14:paraId="0E799A23" w14:textId="77777777" w:rsidR="000C35AF" w:rsidRPr="00E63B6F" w:rsidRDefault="000C35AF" w:rsidP="009238AE">
            <w:pPr>
              <w:pStyle w:val="Regresjonstabell"/>
              <w:jc w:val="right"/>
              <w:rPr>
                <w:sz w:val="20"/>
                <w:szCs w:val="20"/>
              </w:rPr>
            </w:pPr>
            <w:r w:rsidRPr="00E63B6F">
              <w:rPr>
                <w:color w:val="000000"/>
                <w:sz w:val="20"/>
                <w:szCs w:val="20"/>
              </w:rPr>
              <w:t>(0.064)</w:t>
            </w:r>
          </w:p>
        </w:tc>
        <w:tc>
          <w:tcPr>
            <w:tcW w:w="1400" w:type="dxa"/>
            <w:tcBorders>
              <w:top w:val="nil"/>
              <w:left w:val="nil"/>
              <w:bottom w:val="nil"/>
              <w:right w:val="nil"/>
            </w:tcBorders>
            <w:vAlign w:val="center"/>
          </w:tcPr>
          <w:p w14:paraId="6A1AEAC8" w14:textId="77777777" w:rsidR="000C35AF" w:rsidRPr="00E63B6F" w:rsidRDefault="000C35AF" w:rsidP="009238AE">
            <w:pPr>
              <w:pStyle w:val="Regresjonstabell"/>
              <w:jc w:val="right"/>
              <w:rPr>
                <w:sz w:val="20"/>
                <w:szCs w:val="20"/>
              </w:rPr>
            </w:pPr>
            <w:r w:rsidRPr="00E63B6F">
              <w:rPr>
                <w:color w:val="000000"/>
                <w:sz w:val="20"/>
                <w:szCs w:val="20"/>
              </w:rPr>
              <w:t>(0.057)</w:t>
            </w:r>
          </w:p>
        </w:tc>
        <w:tc>
          <w:tcPr>
            <w:tcW w:w="1400" w:type="dxa"/>
            <w:tcBorders>
              <w:top w:val="nil"/>
              <w:left w:val="nil"/>
              <w:bottom w:val="nil"/>
              <w:right w:val="single" w:sz="4" w:space="0" w:color="auto"/>
            </w:tcBorders>
            <w:vAlign w:val="center"/>
          </w:tcPr>
          <w:p w14:paraId="25ADF218" w14:textId="77777777" w:rsidR="000C35AF" w:rsidRPr="00E63B6F" w:rsidRDefault="000C35AF" w:rsidP="009238AE">
            <w:pPr>
              <w:pStyle w:val="Regresjonstabell"/>
              <w:jc w:val="right"/>
              <w:rPr>
                <w:sz w:val="20"/>
                <w:szCs w:val="20"/>
              </w:rPr>
            </w:pPr>
            <w:r w:rsidRPr="00E63B6F">
              <w:rPr>
                <w:color w:val="000000"/>
                <w:sz w:val="20"/>
                <w:szCs w:val="20"/>
              </w:rPr>
              <w:t>(0.057)</w:t>
            </w:r>
          </w:p>
        </w:tc>
      </w:tr>
      <w:tr w:rsidR="000C35AF" w:rsidRPr="0055149C" w14:paraId="6C0E281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D988A66"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10025A2D" w14:textId="77777777" w:rsidR="000C35AF" w:rsidRPr="00E63B6F" w:rsidRDefault="000C35AF" w:rsidP="009238AE">
            <w:pPr>
              <w:pStyle w:val="Regresjonstabell"/>
              <w:jc w:val="right"/>
              <w:rPr>
                <w:sz w:val="20"/>
                <w:szCs w:val="20"/>
              </w:rPr>
            </w:pPr>
            <w:r w:rsidRPr="00E63B6F">
              <w:rPr>
                <w:color w:val="000000"/>
                <w:sz w:val="20"/>
                <w:szCs w:val="20"/>
              </w:rPr>
              <w:t>-5.089</w:t>
            </w:r>
          </w:p>
        </w:tc>
        <w:tc>
          <w:tcPr>
            <w:tcW w:w="1399" w:type="dxa"/>
            <w:tcBorders>
              <w:top w:val="nil"/>
              <w:left w:val="nil"/>
              <w:bottom w:val="nil"/>
              <w:right w:val="nil"/>
            </w:tcBorders>
            <w:vAlign w:val="bottom"/>
          </w:tcPr>
          <w:p w14:paraId="454A3236" w14:textId="77777777" w:rsidR="000C35AF" w:rsidRPr="00E63B6F" w:rsidRDefault="000C35AF" w:rsidP="009238AE">
            <w:pPr>
              <w:pStyle w:val="Regresjonstabell"/>
              <w:jc w:val="right"/>
              <w:rPr>
                <w:sz w:val="20"/>
                <w:szCs w:val="20"/>
              </w:rPr>
            </w:pPr>
            <w:r w:rsidRPr="00E63B6F">
              <w:rPr>
                <w:color w:val="000000"/>
                <w:sz w:val="20"/>
                <w:szCs w:val="20"/>
              </w:rPr>
              <w:t>-0.520</w:t>
            </w:r>
          </w:p>
        </w:tc>
        <w:tc>
          <w:tcPr>
            <w:tcW w:w="1399" w:type="dxa"/>
            <w:tcBorders>
              <w:top w:val="nil"/>
              <w:left w:val="nil"/>
              <w:bottom w:val="nil"/>
              <w:right w:val="nil"/>
            </w:tcBorders>
            <w:vAlign w:val="bottom"/>
          </w:tcPr>
          <w:p w14:paraId="4A750E7E" w14:textId="77777777" w:rsidR="000C35AF" w:rsidRPr="00E63B6F" w:rsidRDefault="000C35AF" w:rsidP="009238AE">
            <w:pPr>
              <w:pStyle w:val="Regresjonstabell"/>
              <w:jc w:val="right"/>
              <w:rPr>
                <w:sz w:val="20"/>
                <w:szCs w:val="20"/>
              </w:rPr>
            </w:pPr>
            <w:r w:rsidRPr="00E63B6F">
              <w:rPr>
                <w:color w:val="000000"/>
                <w:sz w:val="20"/>
                <w:szCs w:val="20"/>
              </w:rPr>
              <w:t>-4.086</w:t>
            </w:r>
          </w:p>
        </w:tc>
        <w:tc>
          <w:tcPr>
            <w:tcW w:w="1399" w:type="dxa"/>
            <w:tcBorders>
              <w:top w:val="nil"/>
              <w:left w:val="nil"/>
              <w:bottom w:val="nil"/>
              <w:right w:val="nil"/>
            </w:tcBorders>
            <w:vAlign w:val="bottom"/>
          </w:tcPr>
          <w:p w14:paraId="07B9DF8E" w14:textId="77777777" w:rsidR="000C35AF" w:rsidRPr="00E63B6F" w:rsidRDefault="000C35AF" w:rsidP="009238AE">
            <w:pPr>
              <w:pStyle w:val="Regresjonstabell"/>
              <w:jc w:val="right"/>
              <w:rPr>
                <w:sz w:val="20"/>
                <w:szCs w:val="20"/>
              </w:rPr>
            </w:pPr>
            <w:r w:rsidRPr="00E63B6F">
              <w:rPr>
                <w:color w:val="000000"/>
                <w:sz w:val="20"/>
                <w:szCs w:val="20"/>
              </w:rPr>
              <w:t>-3.018</w:t>
            </w:r>
          </w:p>
        </w:tc>
        <w:tc>
          <w:tcPr>
            <w:tcW w:w="1399" w:type="dxa"/>
            <w:tcBorders>
              <w:top w:val="nil"/>
              <w:left w:val="nil"/>
              <w:bottom w:val="nil"/>
              <w:right w:val="nil"/>
            </w:tcBorders>
            <w:vAlign w:val="bottom"/>
          </w:tcPr>
          <w:p w14:paraId="00C1EDA8" w14:textId="77777777" w:rsidR="000C35AF" w:rsidRPr="00E63B6F" w:rsidRDefault="000C35AF" w:rsidP="009238AE">
            <w:pPr>
              <w:pStyle w:val="Regresjonstabell"/>
              <w:jc w:val="right"/>
              <w:rPr>
                <w:sz w:val="20"/>
                <w:szCs w:val="20"/>
              </w:rPr>
            </w:pPr>
            <w:r w:rsidRPr="00E63B6F">
              <w:rPr>
                <w:color w:val="000000"/>
                <w:sz w:val="20"/>
                <w:szCs w:val="20"/>
              </w:rPr>
              <w:t>34.493</w:t>
            </w:r>
          </w:p>
        </w:tc>
        <w:tc>
          <w:tcPr>
            <w:tcW w:w="1399" w:type="dxa"/>
            <w:tcBorders>
              <w:top w:val="nil"/>
              <w:left w:val="nil"/>
              <w:bottom w:val="nil"/>
              <w:right w:val="nil"/>
            </w:tcBorders>
            <w:vAlign w:val="bottom"/>
          </w:tcPr>
          <w:p w14:paraId="2AC6F9CF" w14:textId="77777777" w:rsidR="000C35AF" w:rsidRPr="00E63B6F" w:rsidRDefault="000C35AF" w:rsidP="009238AE">
            <w:pPr>
              <w:pStyle w:val="Regresjonstabell"/>
              <w:jc w:val="right"/>
              <w:rPr>
                <w:sz w:val="20"/>
                <w:szCs w:val="20"/>
              </w:rPr>
            </w:pPr>
            <w:r w:rsidRPr="00E63B6F">
              <w:rPr>
                <w:color w:val="000000"/>
                <w:sz w:val="20"/>
                <w:szCs w:val="20"/>
              </w:rPr>
              <w:t>34.922</w:t>
            </w:r>
          </w:p>
        </w:tc>
        <w:tc>
          <w:tcPr>
            <w:tcW w:w="1400" w:type="dxa"/>
            <w:tcBorders>
              <w:top w:val="nil"/>
              <w:left w:val="nil"/>
              <w:bottom w:val="nil"/>
              <w:right w:val="nil"/>
            </w:tcBorders>
            <w:vAlign w:val="bottom"/>
          </w:tcPr>
          <w:p w14:paraId="2E6A4162" w14:textId="77777777" w:rsidR="000C35AF" w:rsidRPr="00E63B6F" w:rsidRDefault="000C35AF" w:rsidP="009238AE">
            <w:pPr>
              <w:pStyle w:val="Regresjonstabell"/>
              <w:jc w:val="right"/>
              <w:rPr>
                <w:sz w:val="20"/>
                <w:szCs w:val="20"/>
              </w:rPr>
            </w:pPr>
            <w:r w:rsidRPr="00E63B6F">
              <w:rPr>
                <w:color w:val="000000"/>
                <w:sz w:val="20"/>
                <w:szCs w:val="20"/>
              </w:rPr>
              <w:t>33.057</w:t>
            </w:r>
          </w:p>
        </w:tc>
        <w:tc>
          <w:tcPr>
            <w:tcW w:w="1400" w:type="dxa"/>
            <w:tcBorders>
              <w:top w:val="nil"/>
              <w:left w:val="nil"/>
              <w:bottom w:val="nil"/>
              <w:right w:val="single" w:sz="4" w:space="0" w:color="auto"/>
            </w:tcBorders>
            <w:vAlign w:val="bottom"/>
          </w:tcPr>
          <w:p w14:paraId="3D5B2102" w14:textId="77777777" w:rsidR="000C35AF" w:rsidRPr="00E63B6F" w:rsidRDefault="000C35AF" w:rsidP="009238AE">
            <w:pPr>
              <w:pStyle w:val="Regresjonstabell"/>
              <w:jc w:val="right"/>
              <w:rPr>
                <w:sz w:val="20"/>
                <w:szCs w:val="20"/>
              </w:rPr>
            </w:pPr>
            <w:r w:rsidRPr="00E63B6F">
              <w:rPr>
                <w:color w:val="000000"/>
                <w:sz w:val="20"/>
                <w:szCs w:val="20"/>
              </w:rPr>
              <w:t>30.643</w:t>
            </w:r>
          </w:p>
        </w:tc>
      </w:tr>
      <w:tr w:rsidR="000C35AF" w:rsidRPr="0055149C" w14:paraId="2CDB59A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6252B7C"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0B021D2D" w14:textId="77777777" w:rsidR="000C35AF" w:rsidRPr="00E63B6F" w:rsidRDefault="000C35AF" w:rsidP="009238AE">
            <w:pPr>
              <w:pStyle w:val="Regresjonstabell"/>
              <w:jc w:val="right"/>
              <w:rPr>
                <w:sz w:val="20"/>
                <w:szCs w:val="20"/>
              </w:rPr>
            </w:pPr>
            <w:r w:rsidRPr="00E63B6F">
              <w:rPr>
                <w:color w:val="000000"/>
                <w:sz w:val="20"/>
                <w:szCs w:val="20"/>
              </w:rPr>
              <w:t>(29.373)</w:t>
            </w:r>
          </w:p>
        </w:tc>
        <w:tc>
          <w:tcPr>
            <w:tcW w:w="1399" w:type="dxa"/>
            <w:tcBorders>
              <w:top w:val="nil"/>
              <w:left w:val="nil"/>
              <w:bottom w:val="nil"/>
              <w:right w:val="nil"/>
            </w:tcBorders>
            <w:vAlign w:val="center"/>
          </w:tcPr>
          <w:p w14:paraId="6B25F4D4" w14:textId="77777777" w:rsidR="000C35AF" w:rsidRPr="00E63B6F" w:rsidRDefault="000C35AF" w:rsidP="009238AE">
            <w:pPr>
              <w:pStyle w:val="Regresjonstabell"/>
              <w:jc w:val="right"/>
              <w:rPr>
                <w:sz w:val="20"/>
                <w:szCs w:val="20"/>
              </w:rPr>
            </w:pPr>
            <w:r w:rsidRPr="00E63B6F">
              <w:rPr>
                <w:color w:val="000000"/>
                <w:sz w:val="20"/>
                <w:szCs w:val="20"/>
              </w:rPr>
              <w:t>(29.974)</w:t>
            </w:r>
          </w:p>
        </w:tc>
        <w:tc>
          <w:tcPr>
            <w:tcW w:w="1399" w:type="dxa"/>
            <w:tcBorders>
              <w:top w:val="nil"/>
              <w:left w:val="nil"/>
              <w:bottom w:val="nil"/>
              <w:right w:val="nil"/>
            </w:tcBorders>
            <w:vAlign w:val="center"/>
          </w:tcPr>
          <w:p w14:paraId="2A2E4CAC" w14:textId="77777777" w:rsidR="000C35AF" w:rsidRPr="00E63B6F" w:rsidRDefault="000C35AF" w:rsidP="009238AE">
            <w:pPr>
              <w:pStyle w:val="Regresjonstabell"/>
              <w:jc w:val="right"/>
              <w:rPr>
                <w:sz w:val="20"/>
                <w:szCs w:val="20"/>
              </w:rPr>
            </w:pPr>
            <w:r w:rsidRPr="00E63B6F">
              <w:rPr>
                <w:color w:val="000000"/>
                <w:sz w:val="20"/>
                <w:szCs w:val="20"/>
              </w:rPr>
              <w:t>(29.376)</w:t>
            </w:r>
          </w:p>
        </w:tc>
        <w:tc>
          <w:tcPr>
            <w:tcW w:w="1399" w:type="dxa"/>
            <w:tcBorders>
              <w:top w:val="nil"/>
              <w:left w:val="nil"/>
              <w:bottom w:val="nil"/>
              <w:right w:val="nil"/>
            </w:tcBorders>
            <w:vAlign w:val="center"/>
          </w:tcPr>
          <w:p w14:paraId="4D402C70" w14:textId="77777777" w:rsidR="000C35AF" w:rsidRPr="00E63B6F" w:rsidRDefault="000C35AF" w:rsidP="009238AE">
            <w:pPr>
              <w:pStyle w:val="Regresjonstabell"/>
              <w:jc w:val="right"/>
              <w:rPr>
                <w:sz w:val="20"/>
                <w:szCs w:val="20"/>
              </w:rPr>
            </w:pPr>
            <w:r w:rsidRPr="00E63B6F">
              <w:rPr>
                <w:color w:val="000000"/>
                <w:sz w:val="20"/>
                <w:szCs w:val="20"/>
              </w:rPr>
              <w:t>(29.552)</w:t>
            </w:r>
          </w:p>
        </w:tc>
        <w:tc>
          <w:tcPr>
            <w:tcW w:w="1399" w:type="dxa"/>
            <w:tcBorders>
              <w:top w:val="nil"/>
              <w:left w:val="nil"/>
              <w:bottom w:val="nil"/>
              <w:right w:val="nil"/>
            </w:tcBorders>
            <w:vAlign w:val="center"/>
          </w:tcPr>
          <w:p w14:paraId="31F5A93E" w14:textId="77777777" w:rsidR="000C35AF" w:rsidRPr="00E63B6F" w:rsidRDefault="000C35AF" w:rsidP="009238AE">
            <w:pPr>
              <w:pStyle w:val="Regresjonstabell"/>
              <w:jc w:val="right"/>
              <w:rPr>
                <w:sz w:val="20"/>
                <w:szCs w:val="20"/>
              </w:rPr>
            </w:pPr>
            <w:r w:rsidRPr="00E63B6F">
              <w:rPr>
                <w:color w:val="000000"/>
                <w:sz w:val="20"/>
                <w:szCs w:val="20"/>
              </w:rPr>
              <w:t>(41.520)</w:t>
            </w:r>
          </w:p>
        </w:tc>
        <w:tc>
          <w:tcPr>
            <w:tcW w:w="1399" w:type="dxa"/>
            <w:tcBorders>
              <w:top w:val="nil"/>
              <w:left w:val="nil"/>
              <w:bottom w:val="nil"/>
              <w:right w:val="nil"/>
            </w:tcBorders>
            <w:vAlign w:val="center"/>
          </w:tcPr>
          <w:p w14:paraId="386A8039" w14:textId="77777777" w:rsidR="000C35AF" w:rsidRPr="00E63B6F" w:rsidRDefault="000C35AF" w:rsidP="009238AE">
            <w:pPr>
              <w:pStyle w:val="Regresjonstabell"/>
              <w:jc w:val="right"/>
              <w:rPr>
                <w:sz w:val="20"/>
                <w:szCs w:val="20"/>
              </w:rPr>
            </w:pPr>
            <w:r w:rsidRPr="00E63B6F">
              <w:rPr>
                <w:color w:val="000000"/>
                <w:sz w:val="20"/>
                <w:szCs w:val="20"/>
              </w:rPr>
              <w:t>(44.606)</w:t>
            </w:r>
          </w:p>
        </w:tc>
        <w:tc>
          <w:tcPr>
            <w:tcW w:w="1400" w:type="dxa"/>
            <w:tcBorders>
              <w:top w:val="nil"/>
              <w:left w:val="nil"/>
              <w:bottom w:val="nil"/>
              <w:right w:val="nil"/>
            </w:tcBorders>
            <w:vAlign w:val="center"/>
          </w:tcPr>
          <w:p w14:paraId="68C5D63C" w14:textId="77777777" w:rsidR="000C35AF" w:rsidRPr="00E63B6F" w:rsidRDefault="000C35AF" w:rsidP="009238AE">
            <w:pPr>
              <w:pStyle w:val="Regresjonstabell"/>
              <w:jc w:val="right"/>
              <w:rPr>
                <w:sz w:val="20"/>
                <w:szCs w:val="20"/>
              </w:rPr>
            </w:pPr>
            <w:r w:rsidRPr="00E63B6F">
              <w:rPr>
                <w:color w:val="000000"/>
                <w:sz w:val="20"/>
                <w:szCs w:val="20"/>
              </w:rPr>
              <w:t>(41.601)</w:t>
            </w:r>
          </w:p>
        </w:tc>
        <w:tc>
          <w:tcPr>
            <w:tcW w:w="1400" w:type="dxa"/>
            <w:tcBorders>
              <w:top w:val="nil"/>
              <w:left w:val="nil"/>
              <w:bottom w:val="nil"/>
              <w:right w:val="single" w:sz="4" w:space="0" w:color="auto"/>
            </w:tcBorders>
            <w:vAlign w:val="center"/>
          </w:tcPr>
          <w:p w14:paraId="08B8993C" w14:textId="77777777" w:rsidR="000C35AF" w:rsidRPr="00E63B6F" w:rsidRDefault="000C35AF" w:rsidP="009238AE">
            <w:pPr>
              <w:pStyle w:val="Regresjonstabell"/>
              <w:jc w:val="right"/>
              <w:rPr>
                <w:sz w:val="20"/>
                <w:szCs w:val="20"/>
              </w:rPr>
            </w:pPr>
            <w:r w:rsidRPr="00E63B6F">
              <w:rPr>
                <w:color w:val="000000"/>
                <w:sz w:val="20"/>
                <w:szCs w:val="20"/>
              </w:rPr>
              <w:t>(42.229)</w:t>
            </w:r>
          </w:p>
        </w:tc>
      </w:tr>
      <w:tr w:rsidR="000C35AF" w:rsidRPr="0055149C" w14:paraId="52D05BE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60C3B9A"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4E578984"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0F436F7D"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2918BC6B"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35011C94"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06B22D17"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7C787E3A"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400" w:type="dxa"/>
            <w:tcBorders>
              <w:top w:val="nil"/>
              <w:left w:val="nil"/>
              <w:bottom w:val="nil"/>
              <w:right w:val="nil"/>
            </w:tcBorders>
            <w:vAlign w:val="bottom"/>
          </w:tcPr>
          <w:p w14:paraId="358F8416"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400" w:type="dxa"/>
            <w:tcBorders>
              <w:top w:val="nil"/>
              <w:left w:val="nil"/>
              <w:bottom w:val="nil"/>
              <w:right w:val="single" w:sz="4" w:space="0" w:color="auto"/>
            </w:tcBorders>
            <w:vAlign w:val="bottom"/>
          </w:tcPr>
          <w:p w14:paraId="5DCB1423" w14:textId="77777777" w:rsidR="000C35AF" w:rsidRPr="00E63B6F" w:rsidRDefault="000C35AF" w:rsidP="009238AE">
            <w:pPr>
              <w:pStyle w:val="Regresjonstabell"/>
              <w:jc w:val="right"/>
              <w:rPr>
                <w:sz w:val="20"/>
                <w:szCs w:val="20"/>
              </w:rPr>
            </w:pPr>
            <w:r w:rsidRPr="00E63B6F">
              <w:rPr>
                <w:color w:val="000000"/>
                <w:sz w:val="20"/>
                <w:szCs w:val="20"/>
              </w:rPr>
              <w:t>356</w:t>
            </w:r>
          </w:p>
        </w:tc>
      </w:tr>
      <w:tr w:rsidR="000C35AF" w:rsidRPr="0055149C" w14:paraId="29A97B7D"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1E61A66D"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233A555A" w14:textId="77777777" w:rsidR="000C35AF" w:rsidRPr="00E63B6F" w:rsidRDefault="000C35AF" w:rsidP="009238AE">
            <w:pPr>
              <w:pStyle w:val="Regresjonstabell"/>
              <w:jc w:val="right"/>
              <w:rPr>
                <w:sz w:val="20"/>
                <w:szCs w:val="20"/>
              </w:rPr>
            </w:pPr>
            <w:r w:rsidRPr="00E63B6F">
              <w:rPr>
                <w:color w:val="000000"/>
                <w:sz w:val="20"/>
                <w:szCs w:val="20"/>
              </w:rPr>
              <w:t>0.782</w:t>
            </w:r>
          </w:p>
        </w:tc>
        <w:tc>
          <w:tcPr>
            <w:tcW w:w="1399" w:type="dxa"/>
            <w:tcBorders>
              <w:top w:val="nil"/>
              <w:left w:val="nil"/>
              <w:bottom w:val="single" w:sz="4" w:space="0" w:color="auto"/>
              <w:right w:val="nil"/>
            </w:tcBorders>
            <w:vAlign w:val="bottom"/>
          </w:tcPr>
          <w:p w14:paraId="0FE9288D" w14:textId="77777777" w:rsidR="000C35AF" w:rsidRPr="00E63B6F" w:rsidRDefault="000C35AF" w:rsidP="009238AE">
            <w:pPr>
              <w:pStyle w:val="Regresjonstabell"/>
              <w:jc w:val="right"/>
              <w:rPr>
                <w:sz w:val="20"/>
                <w:szCs w:val="20"/>
              </w:rPr>
            </w:pPr>
            <w:r w:rsidRPr="00E63B6F">
              <w:rPr>
                <w:color w:val="000000"/>
                <w:sz w:val="20"/>
                <w:szCs w:val="20"/>
              </w:rPr>
              <w:t>0.783</w:t>
            </w:r>
          </w:p>
        </w:tc>
        <w:tc>
          <w:tcPr>
            <w:tcW w:w="1399" w:type="dxa"/>
            <w:tcBorders>
              <w:top w:val="nil"/>
              <w:left w:val="nil"/>
              <w:bottom w:val="single" w:sz="4" w:space="0" w:color="auto"/>
              <w:right w:val="nil"/>
            </w:tcBorders>
            <w:vAlign w:val="bottom"/>
          </w:tcPr>
          <w:p w14:paraId="7EC56E4E" w14:textId="77777777" w:rsidR="000C35AF" w:rsidRPr="00E63B6F" w:rsidRDefault="000C35AF" w:rsidP="009238AE">
            <w:pPr>
              <w:pStyle w:val="Regresjonstabell"/>
              <w:jc w:val="right"/>
              <w:rPr>
                <w:sz w:val="20"/>
                <w:szCs w:val="20"/>
              </w:rPr>
            </w:pPr>
            <w:r w:rsidRPr="00E63B6F">
              <w:rPr>
                <w:color w:val="000000"/>
                <w:sz w:val="20"/>
                <w:szCs w:val="20"/>
              </w:rPr>
              <w:t>0.786</w:t>
            </w:r>
          </w:p>
        </w:tc>
        <w:tc>
          <w:tcPr>
            <w:tcW w:w="1399" w:type="dxa"/>
            <w:tcBorders>
              <w:top w:val="nil"/>
              <w:left w:val="nil"/>
              <w:bottom w:val="single" w:sz="4" w:space="0" w:color="auto"/>
              <w:right w:val="nil"/>
            </w:tcBorders>
            <w:vAlign w:val="bottom"/>
          </w:tcPr>
          <w:p w14:paraId="7725924E" w14:textId="77777777" w:rsidR="000C35AF" w:rsidRPr="00E63B6F" w:rsidRDefault="000C35AF" w:rsidP="009238AE">
            <w:pPr>
              <w:pStyle w:val="Regresjonstabell"/>
              <w:jc w:val="right"/>
              <w:rPr>
                <w:sz w:val="20"/>
                <w:szCs w:val="20"/>
              </w:rPr>
            </w:pPr>
            <w:r w:rsidRPr="00E63B6F">
              <w:rPr>
                <w:color w:val="000000"/>
                <w:sz w:val="20"/>
                <w:szCs w:val="20"/>
              </w:rPr>
              <w:t>0.787</w:t>
            </w:r>
          </w:p>
        </w:tc>
        <w:tc>
          <w:tcPr>
            <w:tcW w:w="1399" w:type="dxa"/>
            <w:tcBorders>
              <w:top w:val="nil"/>
              <w:left w:val="nil"/>
              <w:bottom w:val="single" w:sz="4" w:space="0" w:color="auto"/>
              <w:right w:val="nil"/>
            </w:tcBorders>
            <w:vAlign w:val="bottom"/>
          </w:tcPr>
          <w:p w14:paraId="776AB0CB" w14:textId="77777777" w:rsidR="000C35AF" w:rsidRPr="00E63B6F" w:rsidRDefault="000C35AF" w:rsidP="009238AE">
            <w:pPr>
              <w:pStyle w:val="Regresjonstabell"/>
              <w:jc w:val="right"/>
              <w:rPr>
                <w:sz w:val="20"/>
                <w:szCs w:val="20"/>
              </w:rPr>
            </w:pPr>
            <w:r w:rsidRPr="00E63B6F">
              <w:rPr>
                <w:color w:val="000000"/>
                <w:sz w:val="20"/>
                <w:szCs w:val="20"/>
              </w:rPr>
              <w:t>0.724</w:t>
            </w:r>
          </w:p>
        </w:tc>
        <w:tc>
          <w:tcPr>
            <w:tcW w:w="1399" w:type="dxa"/>
            <w:tcBorders>
              <w:top w:val="nil"/>
              <w:left w:val="nil"/>
              <w:bottom w:val="single" w:sz="4" w:space="0" w:color="auto"/>
              <w:right w:val="nil"/>
            </w:tcBorders>
            <w:vAlign w:val="bottom"/>
          </w:tcPr>
          <w:p w14:paraId="530D62B1" w14:textId="77777777" w:rsidR="000C35AF" w:rsidRPr="00E63B6F" w:rsidRDefault="000C35AF" w:rsidP="009238AE">
            <w:pPr>
              <w:pStyle w:val="Regresjonstabell"/>
              <w:jc w:val="right"/>
              <w:rPr>
                <w:sz w:val="20"/>
                <w:szCs w:val="20"/>
              </w:rPr>
            </w:pPr>
            <w:r w:rsidRPr="00E63B6F">
              <w:rPr>
                <w:color w:val="000000"/>
                <w:sz w:val="20"/>
                <w:szCs w:val="20"/>
              </w:rPr>
              <w:t>0.710</w:t>
            </w:r>
          </w:p>
        </w:tc>
        <w:tc>
          <w:tcPr>
            <w:tcW w:w="1400" w:type="dxa"/>
            <w:tcBorders>
              <w:top w:val="nil"/>
              <w:left w:val="nil"/>
              <w:bottom w:val="single" w:sz="4" w:space="0" w:color="auto"/>
              <w:right w:val="nil"/>
            </w:tcBorders>
            <w:vAlign w:val="bottom"/>
          </w:tcPr>
          <w:p w14:paraId="438FFF63" w14:textId="77777777" w:rsidR="000C35AF" w:rsidRPr="00E63B6F" w:rsidRDefault="000C35AF" w:rsidP="009238AE">
            <w:pPr>
              <w:pStyle w:val="Regresjonstabell"/>
              <w:jc w:val="right"/>
              <w:rPr>
                <w:sz w:val="20"/>
                <w:szCs w:val="20"/>
              </w:rPr>
            </w:pPr>
            <w:r w:rsidRPr="00E63B6F">
              <w:rPr>
                <w:color w:val="000000"/>
                <w:sz w:val="20"/>
                <w:szCs w:val="20"/>
              </w:rPr>
              <w:t>0.732</w:t>
            </w:r>
          </w:p>
        </w:tc>
        <w:tc>
          <w:tcPr>
            <w:tcW w:w="1400" w:type="dxa"/>
            <w:tcBorders>
              <w:top w:val="nil"/>
              <w:left w:val="nil"/>
              <w:bottom w:val="single" w:sz="4" w:space="0" w:color="auto"/>
              <w:right w:val="single" w:sz="4" w:space="0" w:color="auto"/>
            </w:tcBorders>
            <w:vAlign w:val="bottom"/>
          </w:tcPr>
          <w:p w14:paraId="06453FB3" w14:textId="77777777" w:rsidR="000C35AF" w:rsidRPr="00E63B6F" w:rsidRDefault="000C35AF" w:rsidP="009238AE">
            <w:pPr>
              <w:pStyle w:val="Regresjonstabell"/>
              <w:jc w:val="right"/>
              <w:rPr>
                <w:sz w:val="20"/>
                <w:szCs w:val="20"/>
              </w:rPr>
            </w:pPr>
            <w:r w:rsidRPr="00E63B6F">
              <w:rPr>
                <w:color w:val="000000"/>
                <w:sz w:val="20"/>
                <w:szCs w:val="20"/>
              </w:rPr>
              <w:t>0.739</w:t>
            </w:r>
          </w:p>
        </w:tc>
      </w:tr>
    </w:tbl>
    <w:p w14:paraId="65F32C7F"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3CFEE5EB" w14:textId="77777777" w:rsidR="000C35AF" w:rsidRPr="0055149C" w:rsidRDefault="000C35AF" w:rsidP="000C35AF">
      <w:pPr>
        <w:pStyle w:val="Source"/>
        <w:rPr>
          <w:lang w:eastAsia="nb-NO"/>
        </w:rPr>
      </w:pPr>
      <w:r w:rsidRPr="0055149C">
        <w:rPr>
          <w:lang w:eastAsia="nb-NO"/>
        </w:rPr>
        <w:t>Kilde: Vista Analyse</w:t>
      </w:r>
    </w:p>
    <w:p w14:paraId="19C743C9" w14:textId="61D2B926" w:rsidR="000C35AF" w:rsidRPr="0055149C" w:rsidRDefault="000C35AF" w:rsidP="000C35AF">
      <w:pPr>
        <w:pStyle w:val="Bildetekst"/>
      </w:pPr>
      <w:bookmarkStart w:id="145" w:name="_Ref178358833"/>
      <w:r w:rsidRPr="0055149C">
        <w:lastRenderedPageBreak/>
        <w:t xml:space="preserve">Tabell </w:t>
      </w:r>
      <w:fldSimple w:instr=" STYLEREF 1 \s ">
        <w:r w:rsidR="009B1DA8">
          <w:rPr>
            <w:noProof/>
          </w:rPr>
          <w:t>4</w:t>
        </w:r>
      </w:fldSimple>
      <w:r w:rsidRPr="0055149C">
        <w:t>.</w:t>
      </w:r>
      <w:fldSimple w:instr=" SEQ Tabell \* ARABIC \s 1 ">
        <w:r w:rsidR="009B1DA8">
          <w:rPr>
            <w:noProof/>
          </w:rPr>
          <w:t>24</w:t>
        </w:r>
      </w:fldSimple>
      <w:bookmarkEnd w:id="145"/>
      <w:r w:rsidRPr="0055149C">
        <w:t xml:space="preserve"> </w:t>
      </w:r>
      <w:r w:rsidRPr="0055149C">
        <w:tab/>
        <w:t xml:space="preserve">Regresjoner ved minste kvadraters metode, der kostnadene innen administrasjon, styring og fellesutgifter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77"/>
        <w:gridCol w:w="1398"/>
        <w:gridCol w:w="1440"/>
        <w:gridCol w:w="1397"/>
        <w:gridCol w:w="1395"/>
        <w:gridCol w:w="1395"/>
        <w:gridCol w:w="1395"/>
        <w:gridCol w:w="1396"/>
        <w:gridCol w:w="1399"/>
      </w:tblGrid>
      <w:tr w:rsidR="000C35AF" w:rsidRPr="0055149C" w14:paraId="347D021D" w14:textId="77777777" w:rsidTr="009238AE">
        <w:tc>
          <w:tcPr>
            <w:tcW w:w="2777" w:type="dxa"/>
            <w:tcBorders>
              <w:top w:val="single" w:sz="4" w:space="0" w:color="auto"/>
              <w:left w:val="single" w:sz="4" w:space="0" w:color="auto"/>
              <w:bottom w:val="nil"/>
              <w:right w:val="nil"/>
            </w:tcBorders>
            <w:shd w:val="clear" w:color="auto" w:fill="3672B0" w:themeFill="accent2"/>
          </w:tcPr>
          <w:p w14:paraId="0C804094" w14:textId="77777777" w:rsidR="000C35AF" w:rsidRPr="0055149C" w:rsidRDefault="000C35AF" w:rsidP="009238AE">
            <w:pPr>
              <w:pStyle w:val="Regresjonstabell"/>
              <w:rPr>
                <w:b/>
                <w:bCs/>
                <w:color w:val="FFFFFF" w:themeColor="background1"/>
                <w:sz w:val="20"/>
                <w:szCs w:val="20"/>
              </w:rPr>
            </w:pPr>
          </w:p>
        </w:tc>
        <w:tc>
          <w:tcPr>
            <w:tcW w:w="1398" w:type="dxa"/>
            <w:tcBorders>
              <w:top w:val="single" w:sz="4" w:space="0" w:color="auto"/>
              <w:left w:val="nil"/>
              <w:bottom w:val="nil"/>
              <w:right w:val="nil"/>
            </w:tcBorders>
            <w:shd w:val="clear" w:color="auto" w:fill="3672B0" w:themeFill="accent2"/>
          </w:tcPr>
          <w:p w14:paraId="2F3A16F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440" w:type="dxa"/>
            <w:tcBorders>
              <w:top w:val="single" w:sz="4" w:space="0" w:color="auto"/>
              <w:left w:val="nil"/>
              <w:bottom w:val="nil"/>
              <w:right w:val="nil"/>
            </w:tcBorders>
            <w:shd w:val="clear" w:color="auto" w:fill="3672B0" w:themeFill="accent2"/>
          </w:tcPr>
          <w:p w14:paraId="62904AE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7" w:type="dxa"/>
            <w:tcBorders>
              <w:top w:val="single" w:sz="4" w:space="0" w:color="auto"/>
              <w:left w:val="nil"/>
              <w:bottom w:val="nil"/>
              <w:right w:val="nil"/>
            </w:tcBorders>
            <w:shd w:val="clear" w:color="auto" w:fill="3672B0" w:themeFill="accent2"/>
          </w:tcPr>
          <w:p w14:paraId="5496C18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5" w:type="dxa"/>
            <w:tcBorders>
              <w:top w:val="single" w:sz="4" w:space="0" w:color="auto"/>
              <w:left w:val="nil"/>
              <w:bottom w:val="nil"/>
              <w:right w:val="nil"/>
            </w:tcBorders>
            <w:shd w:val="clear" w:color="auto" w:fill="3672B0" w:themeFill="accent2"/>
          </w:tcPr>
          <w:p w14:paraId="368B660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5" w:type="dxa"/>
            <w:tcBorders>
              <w:top w:val="single" w:sz="4" w:space="0" w:color="auto"/>
              <w:left w:val="nil"/>
              <w:bottom w:val="nil"/>
              <w:right w:val="nil"/>
            </w:tcBorders>
            <w:shd w:val="clear" w:color="auto" w:fill="3672B0" w:themeFill="accent2"/>
          </w:tcPr>
          <w:p w14:paraId="1CD622C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5" w:type="dxa"/>
            <w:tcBorders>
              <w:top w:val="single" w:sz="4" w:space="0" w:color="auto"/>
              <w:left w:val="nil"/>
              <w:bottom w:val="nil"/>
              <w:right w:val="nil"/>
            </w:tcBorders>
            <w:shd w:val="clear" w:color="auto" w:fill="3672B0" w:themeFill="accent2"/>
          </w:tcPr>
          <w:p w14:paraId="5E00753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396" w:type="dxa"/>
            <w:tcBorders>
              <w:top w:val="single" w:sz="4" w:space="0" w:color="auto"/>
              <w:left w:val="nil"/>
              <w:bottom w:val="nil"/>
              <w:right w:val="nil"/>
            </w:tcBorders>
            <w:shd w:val="clear" w:color="auto" w:fill="3672B0" w:themeFill="accent2"/>
          </w:tcPr>
          <w:p w14:paraId="529DD2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399" w:type="dxa"/>
            <w:tcBorders>
              <w:top w:val="single" w:sz="4" w:space="0" w:color="auto"/>
              <w:left w:val="nil"/>
              <w:bottom w:val="nil"/>
              <w:right w:val="single" w:sz="4" w:space="0" w:color="auto"/>
            </w:tcBorders>
            <w:shd w:val="clear" w:color="auto" w:fill="3672B0" w:themeFill="accent2"/>
          </w:tcPr>
          <w:p w14:paraId="0B937F0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54A43097" w14:textId="77777777" w:rsidTr="009238AE">
        <w:tc>
          <w:tcPr>
            <w:tcW w:w="2777" w:type="dxa"/>
            <w:tcBorders>
              <w:top w:val="nil"/>
              <w:left w:val="single" w:sz="4" w:space="0" w:color="auto"/>
              <w:bottom w:val="single" w:sz="4" w:space="0" w:color="auto"/>
              <w:right w:val="nil"/>
            </w:tcBorders>
            <w:shd w:val="clear" w:color="auto" w:fill="3672B0" w:themeFill="accent2"/>
          </w:tcPr>
          <w:p w14:paraId="3AC6F2D2" w14:textId="77777777" w:rsidR="000C35AF" w:rsidRPr="0055149C" w:rsidRDefault="000C35AF" w:rsidP="009238AE">
            <w:pPr>
              <w:pStyle w:val="Regresjonstabell"/>
              <w:rPr>
                <w:b/>
                <w:bCs/>
                <w:color w:val="FFFFFF" w:themeColor="background1"/>
                <w:sz w:val="20"/>
                <w:szCs w:val="20"/>
              </w:rPr>
            </w:pPr>
          </w:p>
        </w:tc>
        <w:tc>
          <w:tcPr>
            <w:tcW w:w="1398" w:type="dxa"/>
            <w:tcBorders>
              <w:top w:val="nil"/>
              <w:left w:val="nil"/>
              <w:bottom w:val="single" w:sz="4" w:space="0" w:color="auto"/>
              <w:right w:val="nil"/>
            </w:tcBorders>
            <w:shd w:val="clear" w:color="auto" w:fill="3672B0" w:themeFill="accent2"/>
          </w:tcPr>
          <w:p w14:paraId="7D5E256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40" w:type="dxa"/>
            <w:tcBorders>
              <w:top w:val="nil"/>
              <w:left w:val="nil"/>
              <w:bottom w:val="single" w:sz="4" w:space="0" w:color="auto"/>
              <w:right w:val="nil"/>
            </w:tcBorders>
            <w:shd w:val="clear" w:color="auto" w:fill="3672B0" w:themeFill="accent2"/>
          </w:tcPr>
          <w:p w14:paraId="1FCE96D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7" w:type="dxa"/>
            <w:tcBorders>
              <w:top w:val="nil"/>
              <w:left w:val="nil"/>
              <w:bottom w:val="single" w:sz="4" w:space="0" w:color="auto"/>
              <w:right w:val="nil"/>
            </w:tcBorders>
            <w:shd w:val="clear" w:color="auto" w:fill="3672B0" w:themeFill="accent2"/>
          </w:tcPr>
          <w:p w14:paraId="537DCAF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5" w:type="dxa"/>
            <w:tcBorders>
              <w:top w:val="nil"/>
              <w:left w:val="nil"/>
              <w:bottom w:val="single" w:sz="4" w:space="0" w:color="auto"/>
              <w:right w:val="nil"/>
            </w:tcBorders>
            <w:shd w:val="clear" w:color="auto" w:fill="3672B0" w:themeFill="accent2"/>
          </w:tcPr>
          <w:p w14:paraId="1BE122A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5" w:type="dxa"/>
            <w:tcBorders>
              <w:top w:val="nil"/>
              <w:left w:val="nil"/>
              <w:bottom w:val="single" w:sz="4" w:space="0" w:color="auto"/>
              <w:right w:val="nil"/>
            </w:tcBorders>
            <w:shd w:val="clear" w:color="auto" w:fill="3672B0" w:themeFill="accent2"/>
          </w:tcPr>
          <w:p w14:paraId="26FC2DB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5" w:type="dxa"/>
            <w:tcBorders>
              <w:top w:val="nil"/>
              <w:left w:val="nil"/>
              <w:bottom w:val="single" w:sz="4" w:space="0" w:color="auto"/>
              <w:right w:val="nil"/>
            </w:tcBorders>
            <w:shd w:val="clear" w:color="auto" w:fill="3672B0" w:themeFill="accent2"/>
          </w:tcPr>
          <w:p w14:paraId="3372FB1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6" w:type="dxa"/>
            <w:tcBorders>
              <w:top w:val="nil"/>
              <w:left w:val="nil"/>
              <w:bottom w:val="single" w:sz="4" w:space="0" w:color="auto"/>
              <w:right w:val="nil"/>
            </w:tcBorders>
            <w:shd w:val="clear" w:color="auto" w:fill="3672B0" w:themeFill="accent2"/>
          </w:tcPr>
          <w:p w14:paraId="5D18200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single" w:sz="4" w:space="0" w:color="auto"/>
            </w:tcBorders>
            <w:shd w:val="clear" w:color="auto" w:fill="3672B0" w:themeFill="accent2"/>
          </w:tcPr>
          <w:p w14:paraId="0191E25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156F0916" w14:textId="77777777" w:rsidTr="009238AE">
        <w:tc>
          <w:tcPr>
            <w:tcW w:w="2777" w:type="dxa"/>
            <w:tcBorders>
              <w:top w:val="single" w:sz="4" w:space="0" w:color="auto"/>
              <w:left w:val="single" w:sz="4" w:space="0" w:color="auto"/>
              <w:bottom w:val="nil"/>
              <w:right w:val="single" w:sz="4" w:space="0" w:color="auto"/>
            </w:tcBorders>
            <w:shd w:val="clear" w:color="auto" w:fill="A9C6E4" w:themeFill="accent2" w:themeFillTint="66"/>
          </w:tcPr>
          <w:p w14:paraId="39E8F1AA" w14:textId="77777777" w:rsidR="000C35AF" w:rsidRPr="0055149C" w:rsidRDefault="000C35AF" w:rsidP="009238AE">
            <w:pPr>
              <w:pStyle w:val="Regresjonstabell"/>
              <w:rPr>
                <w:sz w:val="20"/>
                <w:szCs w:val="20"/>
              </w:rPr>
            </w:pPr>
            <w:r w:rsidRPr="0055149C">
              <w:rPr>
                <w:sz w:val="20"/>
                <w:szCs w:val="20"/>
              </w:rPr>
              <w:t>Innbyggere 0 til 1 år</w:t>
            </w:r>
          </w:p>
        </w:tc>
        <w:tc>
          <w:tcPr>
            <w:tcW w:w="1398" w:type="dxa"/>
            <w:tcBorders>
              <w:top w:val="single" w:sz="4" w:space="0" w:color="auto"/>
              <w:left w:val="single" w:sz="4" w:space="0" w:color="auto"/>
              <w:bottom w:val="nil"/>
              <w:right w:val="nil"/>
            </w:tcBorders>
          </w:tcPr>
          <w:p w14:paraId="388BDFC6" w14:textId="77777777" w:rsidR="000C35AF" w:rsidRPr="00113056" w:rsidRDefault="000C35AF" w:rsidP="009238AE">
            <w:pPr>
              <w:pStyle w:val="Regresjonstabell"/>
              <w:jc w:val="right"/>
              <w:rPr>
                <w:sz w:val="20"/>
                <w:szCs w:val="20"/>
              </w:rPr>
            </w:pPr>
            <w:r w:rsidRPr="00113056">
              <w:rPr>
                <w:sz w:val="20"/>
                <w:szCs w:val="20"/>
              </w:rPr>
              <w:t>4.736</w:t>
            </w:r>
          </w:p>
        </w:tc>
        <w:tc>
          <w:tcPr>
            <w:tcW w:w="1440" w:type="dxa"/>
            <w:tcBorders>
              <w:top w:val="single" w:sz="4" w:space="0" w:color="auto"/>
              <w:left w:val="nil"/>
              <w:bottom w:val="nil"/>
              <w:right w:val="nil"/>
            </w:tcBorders>
          </w:tcPr>
          <w:p w14:paraId="691480AD" w14:textId="77777777" w:rsidR="000C35AF" w:rsidRPr="00113056" w:rsidRDefault="000C35AF" w:rsidP="009238AE">
            <w:pPr>
              <w:pStyle w:val="Regresjonstabell"/>
              <w:jc w:val="right"/>
              <w:rPr>
                <w:sz w:val="20"/>
                <w:szCs w:val="20"/>
              </w:rPr>
            </w:pPr>
            <w:r w:rsidRPr="00113056">
              <w:rPr>
                <w:sz w:val="20"/>
                <w:szCs w:val="20"/>
              </w:rPr>
              <w:t>-84.822</w:t>
            </w:r>
          </w:p>
        </w:tc>
        <w:tc>
          <w:tcPr>
            <w:tcW w:w="1397" w:type="dxa"/>
            <w:tcBorders>
              <w:top w:val="single" w:sz="4" w:space="0" w:color="auto"/>
              <w:left w:val="nil"/>
              <w:bottom w:val="nil"/>
              <w:right w:val="nil"/>
            </w:tcBorders>
          </w:tcPr>
          <w:p w14:paraId="52994D34" w14:textId="77777777" w:rsidR="000C35AF" w:rsidRPr="00113056" w:rsidRDefault="000C35AF" w:rsidP="009238AE">
            <w:pPr>
              <w:pStyle w:val="Regresjonstabell"/>
              <w:jc w:val="right"/>
              <w:rPr>
                <w:sz w:val="20"/>
                <w:szCs w:val="20"/>
              </w:rPr>
            </w:pPr>
            <w:r w:rsidRPr="00113056">
              <w:rPr>
                <w:sz w:val="20"/>
                <w:szCs w:val="20"/>
              </w:rPr>
              <w:t>89.558</w:t>
            </w:r>
          </w:p>
        </w:tc>
        <w:tc>
          <w:tcPr>
            <w:tcW w:w="1395" w:type="dxa"/>
            <w:tcBorders>
              <w:top w:val="single" w:sz="4" w:space="0" w:color="auto"/>
              <w:left w:val="nil"/>
              <w:bottom w:val="nil"/>
              <w:right w:val="nil"/>
            </w:tcBorders>
          </w:tcPr>
          <w:p w14:paraId="5E33B45B" w14:textId="77777777" w:rsidR="000C35AF" w:rsidRPr="00113056" w:rsidRDefault="000C35AF" w:rsidP="009238AE">
            <w:pPr>
              <w:pStyle w:val="Regresjonstabell"/>
              <w:jc w:val="right"/>
              <w:rPr>
                <w:sz w:val="20"/>
                <w:szCs w:val="20"/>
              </w:rPr>
            </w:pPr>
            <w:r w:rsidRPr="00113056">
              <w:rPr>
                <w:sz w:val="20"/>
                <w:szCs w:val="20"/>
              </w:rPr>
              <w:t>27.958</w:t>
            </w:r>
          </w:p>
        </w:tc>
        <w:tc>
          <w:tcPr>
            <w:tcW w:w="1395" w:type="dxa"/>
            <w:tcBorders>
              <w:top w:val="single" w:sz="4" w:space="0" w:color="auto"/>
              <w:left w:val="nil"/>
              <w:bottom w:val="nil"/>
              <w:right w:val="nil"/>
            </w:tcBorders>
          </w:tcPr>
          <w:p w14:paraId="009AF98E" w14:textId="77777777" w:rsidR="000C35AF" w:rsidRPr="00113056" w:rsidRDefault="000C35AF" w:rsidP="009238AE">
            <w:pPr>
              <w:pStyle w:val="Regresjonstabell"/>
              <w:jc w:val="right"/>
              <w:rPr>
                <w:sz w:val="20"/>
                <w:szCs w:val="20"/>
              </w:rPr>
            </w:pPr>
            <w:r w:rsidRPr="00113056">
              <w:rPr>
                <w:sz w:val="20"/>
                <w:szCs w:val="20"/>
              </w:rPr>
              <w:t>14.489</w:t>
            </w:r>
          </w:p>
        </w:tc>
        <w:tc>
          <w:tcPr>
            <w:tcW w:w="1395" w:type="dxa"/>
            <w:tcBorders>
              <w:top w:val="single" w:sz="4" w:space="0" w:color="auto"/>
              <w:left w:val="nil"/>
              <w:bottom w:val="nil"/>
              <w:right w:val="nil"/>
            </w:tcBorders>
          </w:tcPr>
          <w:p w14:paraId="54645EAD" w14:textId="77777777" w:rsidR="000C35AF" w:rsidRPr="00113056" w:rsidRDefault="000C35AF" w:rsidP="009238AE">
            <w:pPr>
              <w:pStyle w:val="Regresjonstabell"/>
              <w:jc w:val="right"/>
              <w:rPr>
                <w:sz w:val="20"/>
                <w:szCs w:val="20"/>
              </w:rPr>
            </w:pPr>
            <w:r w:rsidRPr="00113056">
              <w:rPr>
                <w:sz w:val="20"/>
                <w:szCs w:val="20"/>
              </w:rPr>
              <w:t>24.678</w:t>
            </w:r>
          </w:p>
        </w:tc>
        <w:tc>
          <w:tcPr>
            <w:tcW w:w="1396" w:type="dxa"/>
            <w:tcBorders>
              <w:top w:val="single" w:sz="4" w:space="0" w:color="auto"/>
              <w:left w:val="nil"/>
              <w:bottom w:val="nil"/>
              <w:right w:val="nil"/>
            </w:tcBorders>
          </w:tcPr>
          <w:p w14:paraId="2991057E" w14:textId="77777777" w:rsidR="000C35AF" w:rsidRPr="00113056" w:rsidRDefault="000C35AF" w:rsidP="009238AE">
            <w:pPr>
              <w:pStyle w:val="Regresjonstabell"/>
              <w:jc w:val="right"/>
              <w:rPr>
                <w:sz w:val="20"/>
                <w:szCs w:val="20"/>
              </w:rPr>
            </w:pPr>
            <w:r w:rsidRPr="00113056">
              <w:rPr>
                <w:sz w:val="20"/>
                <w:szCs w:val="20"/>
              </w:rPr>
              <w:t>39.167</w:t>
            </w:r>
          </w:p>
        </w:tc>
        <w:tc>
          <w:tcPr>
            <w:tcW w:w="1399" w:type="dxa"/>
            <w:tcBorders>
              <w:top w:val="single" w:sz="4" w:space="0" w:color="auto"/>
              <w:left w:val="nil"/>
              <w:bottom w:val="nil"/>
              <w:right w:val="single" w:sz="4" w:space="0" w:color="auto"/>
            </w:tcBorders>
          </w:tcPr>
          <w:p w14:paraId="3B8C6E44" w14:textId="77777777" w:rsidR="000C35AF" w:rsidRPr="00113056" w:rsidRDefault="000C35AF" w:rsidP="009238AE">
            <w:pPr>
              <w:pStyle w:val="Regresjonstabell"/>
              <w:jc w:val="right"/>
              <w:rPr>
                <w:sz w:val="20"/>
                <w:szCs w:val="20"/>
              </w:rPr>
            </w:pPr>
            <w:r w:rsidRPr="00113056">
              <w:rPr>
                <w:sz w:val="20"/>
                <w:szCs w:val="20"/>
              </w:rPr>
              <w:t>43.903</w:t>
            </w:r>
          </w:p>
        </w:tc>
      </w:tr>
      <w:tr w:rsidR="000C35AF" w:rsidRPr="0055149C" w14:paraId="2914178D"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5FBC576C" w14:textId="77777777" w:rsidR="000C35AF" w:rsidRPr="0055149C" w:rsidRDefault="000C35AF" w:rsidP="009238AE">
            <w:pPr>
              <w:pStyle w:val="Regresjonstabell"/>
              <w:rPr>
                <w:sz w:val="20"/>
                <w:szCs w:val="20"/>
              </w:rPr>
            </w:pPr>
            <w:r w:rsidRPr="0055149C">
              <w:rPr>
                <w:sz w:val="20"/>
                <w:szCs w:val="20"/>
              </w:rPr>
              <w:t>(Kriterium 3)</w:t>
            </w:r>
          </w:p>
        </w:tc>
        <w:tc>
          <w:tcPr>
            <w:tcW w:w="1398" w:type="dxa"/>
            <w:tcBorders>
              <w:top w:val="nil"/>
              <w:left w:val="single" w:sz="4" w:space="0" w:color="auto"/>
              <w:bottom w:val="nil"/>
              <w:right w:val="nil"/>
            </w:tcBorders>
          </w:tcPr>
          <w:p w14:paraId="5772C08C" w14:textId="77777777" w:rsidR="000C35AF" w:rsidRPr="00113056" w:rsidRDefault="000C35AF" w:rsidP="009238AE">
            <w:pPr>
              <w:pStyle w:val="Regresjonstabell"/>
              <w:jc w:val="right"/>
              <w:rPr>
                <w:sz w:val="20"/>
                <w:szCs w:val="20"/>
              </w:rPr>
            </w:pPr>
            <w:r w:rsidRPr="00113056">
              <w:rPr>
                <w:sz w:val="20"/>
                <w:szCs w:val="20"/>
              </w:rPr>
              <w:t>(157.570)</w:t>
            </w:r>
          </w:p>
        </w:tc>
        <w:tc>
          <w:tcPr>
            <w:tcW w:w="1440" w:type="dxa"/>
            <w:tcBorders>
              <w:top w:val="nil"/>
              <w:left w:val="nil"/>
              <w:bottom w:val="nil"/>
              <w:right w:val="nil"/>
            </w:tcBorders>
          </w:tcPr>
          <w:p w14:paraId="68518D6E" w14:textId="77777777" w:rsidR="000C35AF" w:rsidRPr="00113056" w:rsidRDefault="000C35AF" w:rsidP="009238AE">
            <w:pPr>
              <w:pStyle w:val="Regresjonstabell"/>
              <w:jc w:val="right"/>
              <w:rPr>
                <w:sz w:val="20"/>
                <w:szCs w:val="20"/>
              </w:rPr>
            </w:pPr>
            <w:r w:rsidRPr="00113056">
              <w:rPr>
                <w:sz w:val="20"/>
                <w:szCs w:val="20"/>
              </w:rPr>
              <w:t>(68.472)</w:t>
            </w:r>
          </w:p>
        </w:tc>
        <w:tc>
          <w:tcPr>
            <w:tcW w:w="1397" w:type="dxa"/>
            <w:tcBorders>
              <w:top w:val="nil"/>
              <w:left w:val="nil"/>
              <w:bottom w:val="nil"/>
              <w:right w:val="nil"/>
            </w:tcBorders>
          </w:tcPr>
          <w:p w14:paraId="1BAB953F" w14:textId="77777777" w:rsidR="000C35AF" w:rsidRPr="00113056" w:rsidRDefault="000C35AF" w:rsidP="009238AE">
            <w:pPr>
              <w:pStyle w:val="Regresjonstabell"/>
              <w:jc w:val="right"/>
              <w:rPr>
                <w:sz w:val="20"/>
                <w:szCs w:val="20"/>
              </w:rPr>
            </w:pPr>
            <w:r w:rsidRPr="00113056">
              <w:rPr>
                <w:sz w:val="20"/>
                <w:szCs w:val="20"/>
              </w:rPr>
              <w:t>(124.791)</w:t>
            </w:r>
          </w:p>
        </w:tc>
        <w:tc>
          <w:tcPr>
            <w:tcW w:w="1395" w:type="dxa"/>
            <w:tcBorders>
              <w:top w:val="nil"/>
              <w:left w:val="nil"/>
              <w:bottom w:val="nil"/>
              <w:right w:val="nil"/>
            </w:tcBorders>
          </w:tcPr>
          <w:p w14:paraId="20895506" w14:textId="77777777" w:rsidR="000C35AF" w:rsidRPr="00113056" w:rsidRDefault="000C35AF" w:rsidP="009238AE">
            <w:pPr>
              <w:pStyle w:val="Regresjonstabell"/>
              <w:jc w:val="right"/>
              <w:rPr>
                <w:sz w:val="20"/>
                <w:szCs w:val="20"/>
              </w:rPr>
            </w:pPr>
            <w:r w:rsidRPr="00113056">
              <w:rPr>
                <w:sz w:val="20"/>
                <w:szCs w:val="20"/>
              </w:rPr>
              <w:t>(29.996)</w:t>
            </w:r>
          </w:p>
        </w:tc>
        <w:tc>
          <w:tcPr>
            <w:tcW w:w="1395" w:type="dxa"/>
            <w:tcBorders>
              <w:top w:val="nil"/>
              <w:left w:val="nil"/>
              <w:bottom w:val="nil"/>
              <w:right w:val="nil"/>
            </w:tcBorders>
          </w:tcPr>
          <w:p w14:paraId="4F8F976D" w14:textId="77777777" w:rsidR="000C35AF" w:rsidRPr="00113056" w:rsidRDefault="000C35AF" w:rsidP="009238AE">
            <w:pPr>
              <w:pStyle w:val="Regresjonstabell"/>
              <w:jc w:val="right"/>
              <w:rPr>
                <w:sz w:val="20"/>
                <w:szCs w:val="20"/>
              </w:rPr>
            </w:pPr>
            <w:r w:rsidRPr="00113056">
              <w:rPr>
                <w:sz w:val="20"/>
                <w:szCs w:val="20"/>
              </w:rPr>
              <w:t>(22.191)</w:t>
            </w:r>
          </w:p>
        </w:tc>
        <w:tc>
          <w:tcPr>
            <w:tcW w:w="1395" w:type="dxa"/>
            <w:tcBorders>
              <w:top w:val="nil"/>
              <w:left w:val="nil"/>
              <w:bottom w:val="nil"/>
              <w:right w:val="nil"/>
            </w:tcBorders>
          </w:tcPr>
          <w:p w14:paraId="52B11F0B" w14:textId="77777777" w:rsidR="000C35AF" w:rsidRPr="00113056" w:rsidRDefault="000C35AF" w:rsidP="009238AE">
            <w:pPr>
              <w:pStyle w:val="Regresjonstabell"/>
              <w:jc w:val="right"/>
              <w:rPr>
                <w:sz w:val="20"/>
                <w:szCs w:val="20"/>
              </w:rPr>
            </w:pPr>
            <w:r w:rsidRPr="00113056">
              <w:rPr>
                <w:sz w:val="20"/>
                <w:szCs w:val="20"/>
              </w:rPr>
              <w:t>(38.249)</w:t>
            </w:r>
          </w:p>
        </w:tc>
        <w:tc>
          <w:tcPr>
            <w:tcW w:w="1396" w:type="dxa"/>
            <w:tcBorders>
              <w:top w:val="nil"/>
              <w:left w:val="nil"/>
              <w:bottom w:val="nil"/>
              <w:right w:val="nil"/>
            </w:tcBorders>
          </w:tcPr>
          <w:p w14:paraId="7000B8CB" w14:textId="77777777" w:rsidR="000C35AF" w:rsidRPr="00113056" w:rsidRDefault="000C35AF" w:rsidP="009238AE">
            <w:pPr>
              <w:pStyle w:val="Regresjonstabell"/>
              <w:jc w:val="right"/>
              <w:rPr>
                <w:sz w:val="20"/>
                <w:szCs w:val="20"/>
              </w:rPr>
            </w:pPr>
            <w:r w:rsidRPr="00113056">
              <w:rPr>
                <w:sz w:val="20"/>
                <w:szCs w:val="20"/>
              </w:rPr>
              <w:t>(60.440)</w:t>
            </w:r>
          </w:p>
        </w:tc>
        <w:tc>
          <w:tcPr>
            <w:tcW w:w="1399" w:type="dxa"/>
            <w:tcBorders>
              <w:top w:val="nil"/>
              <w:left w:val="nil"/>
              <w:bottom w:val="nil"/>
              <w:right w:val="single" w:sz="4" w:space="0" w:color="auto"/>
            </w:tcBorders>
          </w:tcPr>
          <w:p w14:paraId="66BE2EBE" w14:textId="77777777" w:rsidR="000C35AF" w:rsidRPr="00113056" w:rsidRDefault="000C35AF" w:rsidP="009238AE">
            <w:pPr>
              <w:pStyle w:val="Regresjonstabell"/>
              <w:jc w:val="right"/>
              <w:rPr>
                <w:sz w:val="20"/>
                <w:szCs w:val="20"/>
              </w:rPr>
            </w:pPr>
            <w:r w:rsidRPr="00113056">
              <w:rPr>
                <w:sz w:val="20"/>
                <w:szCs w:val="20"/>
              </w:rPr>
              <w:t>(170.040)</w:t>
            </w:r>
          </w:p>
        </w:tc>
      </w:tr>
      <w:tr w:rsidR="000C35AF" w:rsidRPr="0055149C" w14:paraId="267BCEEB"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02D83E9D" w14:textId="77777777" w:rsidR="000C35AF" w:rsidRPr="0055149C" w:rsidRDefault="000C35AF" w:rsidP="009238AE">
            <w:pPr>
              <w:pStyle w:val="Regresjonstabell"/>
              <w:rPr>
                <w:sz w:val="20"/>
                <w:szCs w:val="20"/>
              </w:rPr>
            </w:pPr>
            <w:r w:rsidRPr="0055149C">
              <w:rPr>
                <w:sz w:val="20"/>
                <w:szCs w:val="20"/>
              </w:rPr>
              <w:t>Innbyggere 2 til 5 år</w:t>
            </w:r>
          </w:p>
        </w:tc>
        <w:tc>
          <w:tcPr>
            <w:tcW w:w="1398" w:type="dxa"/>
            <w:tcBorders>
              <w:top w:val="nil"/>
              <w:left w:val="single" w:sz="4" w:space="0" w:color="auto"/>
              <w:bottom w:val="nil"/>
              <w:right w:val="nil"/>
            </w:tcBorders>
          </w:tcPr>
          <w:p w14:paraId="3CE6BDF7" w14:textId="77777777" w:rsidR="000C35AF" w:rsidRPr="00113056" w:rsidRDefault="000C35AF" w:rsidP="009238AE">
            <w:pPr>
              <w:pStyle w:val="Regresjonstabell"/>
              <w:jc w:val="right"/>
              <w:rPr>
                <w:sz w:val="20"/>
                <w:szCs w:val="20"/>
              </w:rPr>
            </w:pPr>
            <w:r w:rsidRPr="00113056">
              <w:rPr>
                <w:sz w:val="20"/>
                <w:szCs w:val="20"/>
              </w:rPr>
              <w:t>-132.494</w:t>
            </w:r>
          </w:p>
        </w:tc>
        <w:tc>
          <w:tcPr>
            <w:tcW w:w="1440" w:type="dxa"/>
            <w:tcBorders>
              <w:top w:val="nil"/>
              <w:left w:val="nil"/>
              <w:bottom w:val="nil"/>
              <w:right w:val="nil"/>
            </w:tcBorders>
          </w:tcPr>
          <w:p w14:paraId="7B1277A8" w14:textId="77777777" w:rsidR="000C35AF" w:rsidRPr="00113056" w:rsidRDefault="000C35AF" w:rsidP="009238AE">
            <w:pPr>
              <w:pStyle w:val="Regresjonstabell"/>
              <w:jc w:val="right"/>
              <w:rPr>
                <w:sz w:val="20"/>
                <w:szCs w:val="20"/>
              </w:rPr>
            </w:pPr>
            <w:r w:rsidRPr="00113056">
              <w:rPr>
                <w:sz w:val="20"/>
                <w:szCs w:val="20"/>
              </w:rPr>
              <w:t>-16.115</w:t>
            </w:r>
          </w:p>
        </w:tc>
        <w:tc>
          <w:tcPr>
            <w:tcW w:w="1397" w:type="dxa"/>
            <w:tcBorders>
              <w:top w:val="nil"/>
              <w:left w:val="nil"/>
              <w:bottom w:val="nil"/>
              <w:right w:val="nil"/>
            </w:tcBorders>
          </w:tcPr>
          <w:p w14:paraId="0E857174" w14:textId="77777777" w:rsidR="000C35AF" w:rsidRPr="00113056" w:rsidRDefault="000C35AF" w:rsidP="009238AE">
            <w:pPr>
              <w:pStyle w:val="Regresjonstabell"/>
              <w:jc w:val="right"/>
              <w:rPr>
                <w:sz w:val="20"/>
                <w:szCs w:val="20"/>
              </w:rPr>
            </w:pPr>
            <w:r w:rsidRPr="00113056">
              <w:rPr>
                <w:sz w:val="20"/>
                <w:szCs w:val="20"/>
              </w:rPr>
              <w:t>-116.379**</w:t>
            </w:r>
          </w:p>
        </w:tc>
        <w:tc>
          <w:tcPr>
            <w:tcW w:w="1395" w:type="dxa"/>
            <w:tcBorders>
              <w:top w:val="nil"/>
              <w:left w:val="nil"/>
              <w:bottom w:val="nil"/>
              <w:right w:val="nil"/>
            </w:tcBorders>
          </w:tcPr>
          <w:p w14:paraId="305E27B6" w14:textId="77777777" w:rsidR="000C35AF" w:rsidRPr="00113056" w:rsidRDefault="000C35AF" w:rsidP="009238AE">
            <w:pPr>
              <w:pStyle w:val="Regresjonstabell"/>
              <w:jc w:val="right"/>
              <w:rPr>
                <w:sz w:val="20"/>
                <w:szCs w:val="20"/>
              </w:rPr>
            </w:pPr>
            <w:r w:rsidRPr="00113056">
              <w:rPr>
                <w:sz w:val="20"/>
                <w:szCs w:val="20"/>
              </w:rPr>
              <w:t>-12.742</w:t>
            </w:r>
          </w:p>
        </w:tc>
        <w:tc>
          <w:tcPr>
            <w:tcW w:w="1395" w:type="dxa"/>
            <w:tcBorders>
              <w:top w:val="nil"/>
              <w:left w:val="nil"/>
              <w:bottom w:val="nil"/>
              <w:right w:val="nil"/>
            </w:tcBorders>
          </w:tcPr>
          <w:p w14:paraId="27265047" w14:textId="77777777" w:rsidR="000C35AF" w:rsidRPr="00113056" w:rsidRDefault="000C35AF" w:rsidP="009238AE">
            <w:pPr>
              <w:pStyle w:val="Regresjonstabell"/>
              <w:jc w:val="right"/>
              <w:rPr>
                <w:sz w:val="20"/>
                <w:szCs w:val="20"/>
              </w:rPr>
            </w:pPr>
            <w:r w:rsidRPr="00113056">
              <w:rPr>
                <w:sz w:val="20"/>
                <w:szCs w:val="20"/>
              </w:rPr>
              <w:t>-13.599</w:t>
            </w:r>
          </w:p>
        </w:tc>
        <w:tc>
          <w:tcPr>
            <w:tcW w:w="1395" w:type="dxa"/>
            <w:tcBorders>
              <w:top w:val="nil"/>
              <w:left w:val="nil"/>
              <w:bottom w:val="nil"/>
              <w:right w:val="nil"/>
            </w:tcBorders>
          </w:tcPr>
          <w:p w14:paraId="03E2817F" w14:textId="77777777" w:rsidR="000C35AF" w:rsidRPr="00113056" w:rsidRDefault="000C35AF" w:rsidP="009238AE">
            <w:pPr>
              <w:pStyle w:val="Regresjonstabell"/>
              <w:jc w:val="right"/>
              <w:rPr>
                <w:sz w:val="20"/>
                <w:szCs w:val="20"/>
              </w:rPr>
            </w:pPr>
            <w:r w:rsidRPr="00113056">
              <w:rPr>
                <w:sz w:val="20"/>
                <w:szCs w:val="20"/>
              </w:rPr>
              <w:t>-23.682</w:t>
            </w:r>
          </w:p>
        </w:tc>
        <w:tc>
          <w:tcPr>
            <w:tcW w:w="1396" w:type="dxa"/>
            <w:tcBorders>
              <w:top w:val="nil"/>
              <w:left w:val="nil"/>
              <w:bottom w:val="nil"/>
              <w:right w:val="nil"/>
            </w:tcBorders>
          </w:tcPr>
          <w:p w14:paraId="238EA67A" w14:textId="77777777" w:rsidR="000C35AF" w:rsidRPr="00113056" w:rsidRDefault="000C35AF" w:rsidP="009238AE">
            <w:pPr>
              <w:pStyle w:val="Regresjonstabell"/>
              <w:jc w:val="right"/>
              <w:rPr>
                <w:sz w:val="20"/>
                <w:szCs w:val="20"/>
              </w:rPr>
            </w:pPr>
            <w:r w:rsidRPr="00113056">
              <w:rPr>
                <w:sz w:val="20"/>
                <w:szCs w:val="20"/>
              </w:rPr>
              <w:t>-37.281</w:t>
            </w:r>
          </w:p>
        </w:tc>
        <w:tc>
          <w:tcPr>
            <w:tcW w:w="1399" w:type="dxa"/>
            <w:tcBorders>
              <w:top w:val="nil"/>
              <w:left w:val="nil"/>
              <w:bottom w:val="nil"/>
              <w:right w:val="single" w:sz="4" w:space="0" w:color="auto"/>
            </w:tcBorders>
          </w:tcPr>
          <w:p w14:paraId="329558C8" w14:textId="77777777" w:rsidR="000C35AF" w:rsidRPr="00113056" w:rsidRDefault="000C35AF" w:rsidP="009238AE">
            <w:pPr>
              <w:pStyle w:val="Regresjonstabell"/>
              <w:jc w:val="right"/>
              <w:rPr>
                <w:sz w:val="20"/>
                <w:szCs w:val="20"/>
              </w:rPr>
            </w:pPr>
            <w:r w:rsidRPr="00113056">
              <w:rPr>
                <w:sz w:val="20"/>
                <w:szCs w:val="20"/>
              </w:rPr>
              <w:t>-169.775</w:t>
            </w:r>
          </w:p>
        </w:tc>
      </w:tr>
      <w:tr w:rsidR="000C35AF" w:rsidRPr="0055149C" w14:paraId="323E79B9"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76BDD42D" w14:textId="77777777" w:rsidR="000C35AF" w:rsidRPr="0055149C" w:rsidRDefault="000C35AF" w:rsidP="009238AE">
            <w:pPr>
              <w:pStyle w:val="Regresjonstabell"/>
              <w:rPr>
                <w:sz w:val="20"/>
                <w:szCs w:val="20"/>
              </w:rPr>
            </w:pPr>
            <w:r w:rsidRPr="0055149C">
              <w:rPr>
                <w:sz w:val="20"/>
                <w:szCs w:val="20"/>
              </w:rPr>
              <w:t>(Kriterium 4)</w:t>
            </w:r>
          </w:p>
        </w:tc>
        <w:tc>
          <w:tcPr>
            <w:tcW w:w="1398" w:type="dxa"/>
            <w:tcBorders>
              <w:top w:val="nil"/>
              <w:left w:val="single" w:sz="4" w:space="0" w:color="auto"/>
              <w:bottom w:val="nil"/>
              <w:right w:val="nil"/>
            </w:tcBorders>
          </w:tcPr>
          <w:p w14:paraId="6B81B523" w14:textId="77777777" w:rsidR="000C35AF" w:rsidRPr="00113056" w:rsidRDefault="000C35AF" w:rsidP="009238AE">
            <w:pPr>
              <w:pStyle w:val="Regresjonstabell"/>
              <w:jc w:val="right"/>
              <w:rPr>
                <w:sz w:val="20"/>
                <w:szCs w:val="20"/>
              </w:rPr>
            </w:pPr>
            <w:r w:rsidRPr="00113056">
              <w:rPr>
                <w:sz w:val="20"/>
                <w:szCs w:val="20"/>
              </w:rPr>
              <w:t>(102.141)</w:t>
            </w:r>
          </w:p>
        </w:tc>
        <w:tc>
          <w:tcPr>
            <w:tcW w:w="1440" w:type="dxa"/>
            <w:tcBorders>
              <w:top w:val="nil"/>
              <w:left w:val="nil"/>
              <w:bottom w:val="nil"/>
              <w:right w:val="nil"/>
            </w:tcBorders>
          </w:tcPr>
          <w:p w14:paraId="6A0EE40B" w14:textId="77777777" w:rsidR="000C35AF" w:rsidRPr="00113056" w:rsidRDefault="000C35AF" w:rsidP="009238AE">
            <w:pPr>
              <w:pStyle w:val="Regresjonstabell"/>
              <w:jc w:val="right"/>
              <w:rPr>
                <w:sz w:val="20"/>
                <w:szCs w:val="20"/>
              </w:rPr>
            </w:pPr>
            <w:r w:rsidRPr="00113056">
              <w:rPr>
                <w:sz w:val="20"/>
                <w:szCs w:val="20"/>
              </w:rPr>
              <w:t>(61.147)</w:t>
            </w:r>
          </w:p>
        </w:tc>
        <w:tc>
          <w:tcPr>
            <w:tcW w:w="1397" w:type="dxa"/>
            <w:tcBorders>
              <w:top w:val="nil"/>
              <w:left w:val="nil"/>
              <w:bottom w:val="nil"/>
              <w:right w:val="nil"/>
            </w:tcBorders>
          </w:tcPr>
          <w:p w14:paraId="584F5C3A" w14:textId="77777777" w:rsidR="000C35AF" w:rsidRPr="00113056" w:rsidRDefault="000C35AF" w:rsidP="009238AE">
            <w:pPr>
              <w:pStyle w:val="Regresjonstabell"/>
              <w:jc w:val="right"/>
              <w:rPr>
                <w:sz w:val="20"/>
                <w:szCs w:val="20"/>
              </w:rPr>
            </w:pPr>
            <w:r w:rsidRPr="00113056">
              <w:rPr>
                <w:sz w:val="20"/>
                <w:szCs w:val="20"/>
              </w:rPr>
              <w:t>(57.607)</w:t>
            </w:r>
          </w:p>
        </w:tc>
        <w:tc>
          <w:tcPr>
            <w:tcW w:w="1395" w:type="dxa"/>
            <w:tcBorders>
              <w:top w:val="nil"/>
              <w:left w:val="nil"/>
              <w:bottom w:val="nil"/>
              <w:right w:val="nil"/>
            </w:tcBorders>
          </w:tcPr>
          <w:p w14:paraId="7791FBED" w14:textId="77777777" w:rsidR="000C35AF" w:rsidRPr="00113056" w:rsidRDefault="000C35AF" w:rsidP="009238AE">
            <w:pPr>
              <w:pStyle w:val="Regresjonstabell"/>
              <w:jc w:val="right"/>
              <w:rPr>
                <w:sz w:val="20"/>
                <w:szCs w:val="20"/>
              </w:rPr>
            </w:pPr>
            <w:r w:rsidRPr="00113056">
              <w:rPr>
                <w:sz w:val="20"/>
                <w:szCs w:val="20"/>
              </w:rPr>
              <w:t>(12.563)</w:t>
            </w:r>
          </w:p>
        </w:tc>
        <w:tc>
          <w:tcPr>
            <w:tcW w:w="1395" w:type="dxa"/>
            <w:tcBorders>
              <w:top w:val="nil"/>
              <w:left w:val="nil"/>
              <w:bottom w:val="nil"/>
              <w:right w:val="nil"/>
            </w:tcBorders>
          </w:tcPr>
          <w:p w14:paraId="367AB1A7" w14:textId="77777777" w:rsidR="000C35AF" w:rsidRPr="00113056" w:rsidRDefault="000C35AF" w:rsidP="009238AE">
            <w:pPr>
              <w:pStyle w:val="Regresjonstabell"/>
              <w:jc w:val="right"/>
              <w:rPr>
                <w:sz w:val="20"/>
                <w:szCs w:val="20"/>
              </w:rPr>
            </w:pPr>
            <w:r w:rsidRPr="00113056">
              <w:rPr>
                <w:sz w:val="20"/>
                <w:szCs w:val="20"/>
              </w:rPr>
              <w:t>(9.745)</w:t>
            </w:r>
          </w:p>
        </w:tc>
        <w:tc>
          <w:tcPr>
            <w:tcW w:w="1395" w:type="dxa"/>
            <w:tcBorders>
              <w:top w:val="nil"/>
              <w:left w:val="nil"/>
              <w:bottom w:val="nil"/>
              <w:right w:val="nil"/>
            </w:tcBorders>
          </w:tcPr>
          <w:p w14:paraId="1BFE2591" w14:textId="77777777" w:rsidR="000C35AF" w:rsidRPr="00113056" w:rsidRDefault="000C35AF" w:rsidP="009238AE">
            <w:pPr>
              <w:pStyle w:val="Regresjonstabell"/>
              <w:jc w:val="right"/>
              <w:rPr>
                <w:sz w:val="20"/>
                <w:szCs w:val="20"/>
              </w:rPr>
            </w:pPr>
            <w:r w:rsidRPr="00113056">
              <w:rPr>
                <w:sz w:val="20"/>
                <w:szCs w:val="20"/>
              </w:rPr>
              <w:t>(16.831)</w:t>
            </w:r>
          </w:p>
        </w:tc>
        <w:tc>
          <w:tcPr>
            <w:tcW w:w="1396" w:type="dxa"/>
            <w:tcBorders>
              <w:top w:val="nil"/>
              <w:left w:val="nil"/>
              <w:bottom w:val="nil"/>
              <w:right w:val="nil"/>
            </w:tcBorders>
          </w:tcPr>
          <w:p w14:paraId="7FF3F39A" w14:textId="77777777" w:rsidR="000C35AF" w:rsidRPr="00113056" w:rsidRDefault="000C35AF" w:rsidP="009238AE">
            <w:pPr>
              <w:pStyle w:val="Regresjonstabell"/>
              <w:jc w:val="right"/>
              <w:rPr>
                <w:sz w:val="20"/>
                <w:szCs w:val="20"/>
              </w:rPr>
            </w:pPr>
            <w:r w:rsidRPr="00113056">
              <w:rPr>
                <w:sz w:val="20"/>
                <w:szCs w:val="20"/>
              </w:rPr>
              <w:t>(26.576)</w:t>
            </w:r>
          </w:p>
        </w:tc>
        <w:tc>
          <w:tcPr>
            <w:tcW w:w="1399" w:type="dxa"/>
            <w:tcBorders>
              <w:top w:val="nil"/>
              <w:left w:val="nil"/>
              <w:bottom w:val="nil"/>
              <w:right w:val="single" w:sz="4" w:space="0" w:color="auto"/>
            </w:tcBorders>
          </w:tcPr>
          <w:p w14:paraId="4CD56989" w14:textId="77777777" w:rsidR="000C35AF" w:rsidRPr="00113056" w:rsidRDefault="000C35AF" w:rsidP="009238AE">
            <w:pPr>
              <w:pStyle w:val="Regresjonstabell"/>
              <w:jc w:val="right"/>
              <w:rPr>
                <w:sz w:val="20"/>
                <w:szCs w:val="20"/>
              </w:rPr>
            </w:pPr>
            <w:r w:rsidRPr="00113056">
              <w:rPr>
                <w:sz w:val="20"/>
                <w:szCs w:val="20"/>
              </w:rPr>
              <w:t>(106.804)</w:t>
            </w:r>
          </w:p>
        </w:tc>
      </w:tr>
      <w:tr w:rsidR="000C35AF" w:rsidRPr="0055149C" w14:paraId="6C2EC7C3"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21D07697" w14:textId="77777777" w:rsidR="000C35AF" w:rsidRPr="0055149C" w:rsidRDefault="000C35AF" w:rsidP="009238AE">
            <w:pPr>
              <w:pStyle w:val="Regresjonstabell"/>
              <w:rPr>
                <w:sz w:val="20"/>
                <w:szCs w:val="20"/>
              </w:rPr>
            </w:pPr>
            <w:r w:rsidRPr="0055149C">
              <w:rPr>
                <w:sz w:val="20"/>
                <w:szCs w:val="20"/>
              </w:rPr>
              <w:t>Innbyggere 6 til 15 år</w:t>
            </w:r>
          </w:p>
        </w:tc>
        <w:tc>
          <w:tcPr>
            <w:tcW w:w="1398" w:type="dxa"/>
            <w:tcBorders>
              <w:top w:val="nil"/>
              <w:left w:val="single" w:sz="4" w:space="0" w:color="auto"/>
              <w:bottom w:val="nil"/>
              <w:right w:val="nil"/>
            </w:tcBorders>
          </w:tcPr>
          <w:p w14:paraId="5562442A" w14:textId="77777777" w:rsidR="000C35AF" w:rsidRPr="00113056" w:rsidRDefault="000C35AF" w:rsidP="009238AE">
            <w:pPr>
              <w:pStyle w:val="Regresjonstabell"/>
              <w:jc w:val="right"/>
              <w:rPr>
                <w:sz w:val="20"/>
                <w:szCs w:val="20"/>
              </w:rPr>
            </w:pPr>
            <w:r w:rsidRPr="00113056">
              <w:rPr>
                <w:sz w:val="20"/>
                <w:szCs w:val="20"/>
              </w:rPr>
              <w:t>-72.483</w:t>
            </w:r>
          </w:p>
        </w:tc>
        <w:tc>
          <w:tcPr>
            <w:tcW w:w="1440" w:type="dxa"/>
            <w:tcBorders>
              <w:top w:val="nil"/>
              <w:left w:val="nil"/>
              <w:bottom w:val="nil"/>
              <w:right w:val="nil"/>
            </w:tcBorders>
          </w:tcPr>
          <w:p w14:paraId="35DDD9C6" w14:textId="77777777" w:rsidR="000C35AF" w:rsidRPr="00113056" w:rsidRDefault="000C35AF" w:rsidP="009238AE">
            <w:pPr>
              <w:pStyle w:val="Regresjonstabell"/>
              <w:jc w:val="right"/>
              <w:rPr>
                <w:sz w:val="20"/>
                <w:szCs w:val="20"/>
              </w:rPr>
            </w:pPr>
            <w:r w:rsidRPr="00113056">
              <w:rPr>
                <w:sz w:val="20"/>
                <w:szCs w:val="20"/>
              </w:rPr>
              <w:t>-76.204**</w:t>
            </w:r>
          </w:p>
        </w:tc>
        <w:tc>
          <w:tcPr>
            <w:tcW w:w="1397" w:type="dxa"/>
            <w:tcBorders>
              <w:top w:val="nil"/>
              <w:left w:val="nil"/>
              <w:bottom w:val="nil"/>
              <w:right w:val="nil"/>
            </w:tcBorders>
          </w:tcPr>
          <w:p w14:paraId="1AF84498" w14:textId="77777777" w:rsidR="000C35AF" w:rsidRPr="00113056" w:rsidRDefault="000C35AF" w:rsidP="009238AE">
            <w:pPr>
              <w:pStyle w:val="Regresjonstabell"/>
              <w:jc w:val="right"/>
              <w:rPr>
                <w:sz w:val="20"/>
                <w:szCs w:val="20"/>
              </w:rPr>
            </w:pPr>
            <w:r w:rsidRPr="00113056">
              <w:rPr>
                <w:sz w:val="20"/>
                <w:szCs w:val="20"/>
              </w:rPr>
              <w:t>3.721</w:t>
            </w:r>
          </w:p>
        </w:tc>
        <w:tc>
          <w:tcPr>
            <w:tcW w:w="1395" w:type="dxa"/>
            <w:tcBorders>
              <w:top w:val="nil"/>
              <w:left w:val="nil"/>
              <w:bottom w:val="nil"/>
              <w:right w:val="nil"/>
            </w:tcBorders>
          </w:tcPr>
          <w:p w14:paraId="416C2F85" w14:textId="77777777" w:rsidR="000C35AF" w:rsidRPr="00113056" w:rsidRDefault="000C35AF" w:rsidP="009238AE">
            <w:pPr>
              <w:pStyle w:val="Regresjonstabell"/>
              <w:jc w:val="right"/>
              <w:rPr>
                <w:sz w:val="20"/>
                <w:szCs w:val="20"/>
              </w:rPr>
            </w:pPr>
            <w:r w:rsidRPr="00113056">
              <w:rPr>
                <w:sz w:val="20"/>
                <w:szCs w:val="20"/>
              </w:rPr>
              <w:t>3.754</w:t>
            </w:r>
          </w:p>
        </w:tc>
        <w:tc>
          <w:tcPr>
            <w:tcW w:w="1395" w:type="dxa"/>
            <w:tcBorders>
              <w:top w:val="nil"/>
              <w:left w:val="nil"/>
              <w:bottom w:val="nil"/>
              <w:right w:val="nil"/>
            </w:tcBorders>
          </w:tcPr>
          <w:p w14:paraId="6E67D2E9" w14:textId="77777777" w:rsidR="000C35AF" w:rsidRPr="00113056" w:rsidRDefault="000C35AF" w:rsidP="009238AE">
            <w:pPr>
              <w:pStyle w:val="Regresjonstabell"/>
              <w:jc w:val="right"/>
              <w:rPr>
                <w:sz w:val="20"/>
                <w:szCs w:val="20"/>
              </w:rPr>
            </w:pPr>
            <w:r w:rsidRPr="00113056">
              <w:rPr>
                <w:sz w:val="20"/>
                <w:szCs w:val="20"/>
              </w:rPr>
              <w:t>6.198</w:t>
            </w:r>
          </w:p>
        </w:tc>
        <w:tc>
          <w:tcPr>
            <w:tcW w:w="1395" w:type="dxa"/>
            <w:tcBorders>
              <w:top w:val="nil"/>
              <w:left w:val="nil"/>
              <w:bottom w:val="nil"/>
              <w:right w:val="nil"/>
            </w:tcBorders>
          </w:tcPr>
          <w:p w14:paraId="20132D6E" w14:textId="77777777" w:rsidR="000C35AF" w:rsidRPr="00113056" w:rsidRDefault="000C35AF" w:rsidP="009238AE">
            <w:pPr>
              <w:pStyle w:val="Regresjonstabell"/>
              <w:jc w:val="right"/>
              <w:rPr>
                <w:sz w:val="20"/>
                <w:szCs w:val="20"/>
              </w:rPr>
            </w:pPr>
            <w:r w:rsidRPr="00113056">
              <w:rPr>
                <w:sz w:val="20"/>
                <w:szCs w:val="20"/>
              </w:rPr>
              <w:t>10.641</w:t>
            </w:r>
          </w:p>
        </w:tc>
        <w:tc>
          <w:tcPr>
            <w:tcW w:w="1396" w:type="dxa"/>
            <w:tcBorders>
              <w:top w:val="nil"/>
              <w:left w:val="nil"/>
              <w:bottom w:val="nil"/>
              <w:right w:val="nil"/>
            </w:tcBorders>
          </w:tcPr>
          <w:p w14:paraId="1AC2A74F" w14:textId="77777777" w:rsidR="000C35AF" w:rsidRPr="00113056" w:rsidRDefault="000C35AF" w:rsidP="009238AE">
            <w:pPr>
              <w:pStyle w:val="Regresjonstabell"/>
              <w:jc w:val="right"/>
              <w:rPr>
                <w:sz w:val="20"/>
                <w:szCs w:val="20"/>
              </w:rPr>
            </w:pPr>
            <w:r w:rsidRPr="00113056">
              <w:rPr>
                <w:sz w:val="20"/>
                <w:szCs w:val="20"/>
              </w:rPr>
              <w:t>16.840</w:t>
            </w:r>
          </w:p>
        </w:tc>
        <w:tc>
          <w:tcPr>
            <w:tcW w:w="1399" w:type="dxa"/>
            <w:tcBorders>
              <w:top w:val="nil"/>
              <w:left w:val="nil"/>
              <w:bottom w:val="nil"/>
              <w:right w:val="single" w:sz="4" w:space="0" w:color="auto"/>
            </w:tcBorders>
          </w:tcPr>
          <w:p w14:paraId="38994D14" w14:textId="77777777" w:rsidR="000C35AF" w:rsidRPr="00113056" w:rsidRDefault="000C35AF" w:rsidP="009238AE">
            <w:pPr>
              <w:pStyle w:val="Regresjonstabell"/>
              <w:jc w:val="right"/>
              <w:rPr>
                <w:sz w:val="20"/>
                <w:szCs w:val="20"/>
              </w:rPr>
            </w:pPr>
            <w:r w:rsidRPr="00113056">
              <w:rPr>
                <w:sz w:val="20"/>
                <w:szCs w:val="20"/>
              </w:rPr>
              <w:t>-55.643</w:t>
            </w:r>
          </w:p>
        </w:tc>
      </w:tr>
      <w:tr w:rsidR="000C35AF" w:rsidRPr="0055149C" w14:paraId="18A11E11"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59B27953" w14:textId="77777777" w:rsidR="000C35AF" w:rsidRPr="0055149C" w:rsidRDefault="000C35AF" w:rsidP="009238AE">
            <w:pPr>
              <w:pStyle w:val="Regresjonstabell"/>
              <w:rPr>
                <w:sz w:val="20"/>
                <w:szCs w:val="20"/>
              </w:rPr>
            </w:pPr>
            <w:r w:rsidRPr="0055149C">
              <w:rPr>
                <w:sz w:val="20"/>
                <w:szCs w:val="20"/>
              </w:rPr>
              <w:t>(Kriterium 5)</w:t>
            </w:r>
          </w:p>
        </w:tc>
        <w:tc>
          <w:tcPr>
            <w:tcW w:w="1398" w:type="dxa"/>
            <w:tcBorders>
              <w:top w:val="nil"/>
              <w:left w:val="single" w:sz="4" w:space="0" w:color="auto"/>
              <w:bottom w:val="nil"/>
              <w:right w:val="nil"/>
            </w:tcBorders>
          </w:tcPr>
          <w:p w14:paraId="2EE55E2A" w14:textId="77777777" w:rsidR="000C35AF" w:rsidRPr="00113056" w:rsidRDefault="000C35AF" w:rsidP="009238AE">
            <w:pPr>
              <w:pStyle w:val="Regresjonstabell"/>
              <w:jc w:val="right"/>
              <w:rPr>
                <w:sz w:val="20"/>
                <w:szCs w:val="20"/>
              </w:rPr>
            </w:pPr>
            <w:r w:rsidRPr="00113056">
              <w:rPr>
                <w:sz w:val="20"/>
                <w:szCs w:val="20"/>
              </w:rPr>
              <w:t>(55.771)</w:t>
            </w:r>
          </w:p>
        </w:tc>
        <w:tc>
          <w:tcPr>
            <w:tcW w:w="1440" w:type="dxa"/>
            <w:tcBorders>
              <w:top w:val="nil"/>
              <w:left w:val="nil"/>
              <w:bottom w:val="nil"/>
              <w:right w:val="nil"/>
            </w:tcBorders>
          </w:tcPr>
          <w:p w14:paraId="305A3226" w14:textId="77777777" w:rsidR="000C35AF" w:rsidRPr="00113056" w:rsidRDefault="000C35AF" w:rsidP="009238AE">
            <w:pPr>
              <w:pStyle w:val="Regresjonstabell"/>
              <w:jc w:val="right"/>
              <w:rPr>
                <w:sz w:val="20"/>
                <w:szCs w:val="20"/>
              </w:rPr>
            </w:pPr>
            <w:r w:rsidRPr="00113056">
              <w:rPr>
                <w:sz w:val="20"/>
                <w:szCs w:val="20"/>
              </w:rPr>
              <w:t>(29.861)</w:t>
            </w:r>
          </w:p>
        </w:tc>
        <w:tc>
          <w:tcPr>
            <w:tcW w:w="1397" w:type="dxa"/>
            <w:tcBorders>
              <w:top w:val="nil"/>
              <w:left w:val="nil"/>
              <w:bottom w:val="nil"/>
              <w:right w:val="nil"/>
            </w:tcBorders>
          </w:tcPr>
          <w:p w14:paraId="0F429AD3" w14:textId="77777777" w:rsidR="000C35AF" w:rsidRPr="00113056" w:rsidRDefault="000C35AF" w:rsidP="009238AE">
            <w:pPr>
              <w:pStyle w:val="Regresjonstabell"/>
              <w:jc w:val="right"/>
              <w:rPr>
                <w:sz w:val="20"/>
                <w:szCs w:val="20"/>
              </w:rPr>
            </w:pPr>
            <w:r w:rsidRPr="00113056">
              <w:rPr>
                <w:sz w:val="20"/>
                <w:szCs w:val="20"/>
              </w:rPr>
              <w:t>(35.011)</w:t>
            </w:r>
          </w:p>
        </w:tc>
        <w:tc>
          <w:tcPr>
            <w:tcW w:w="1395" w:type="dxa"/>
            <w:tcBorders>
              <w:top w:val="nil"/>
              <w:left w:val="nil"/>
              <w:bottom w:val="nil"/>
              <w:right w:val="nil"/>
            </w:tcBorders>
          </w:tcPr>
          <w:p w14:paraId="093A3AEA" w14:textId="77777777" w:rsidR="000C35AF" w:rsidRPr="00113056" w:rsidRDefault="000C35AF" w:rsidP="009238AE">
            <w:pPr>
              <w:pStyle w:val="Regresjonstabell"/>
              <w:jc w:val="right"/>
              <w:rPr>
                <w:sz w:val="20"/>
                <w:szCs w:val="20"/>
              </w:rPr>
            </w:pPr>
            <w:r w:rsidRPr="00113056">
              <w:rPr>
                <w:sz w:val="20"/>
                <w:szCs w:val="20"/>
              </w:rPr>
              <w:t>(5.454)</w:t>
            </w:r>
          </w:p>
        </w:tc>
        <w:tc>
          <w:tcPr>
            <w:tcW w:w="1395" w:type="dxa"/>
            <w:tcBorders>
              <w:top w:val="nil"/>
              <w:left w:val="nil"/>
              <w:bottom w:val="nil"/>
              <w:right w:val="nil"/>
            </w:tcBorders>
          </w:tcPr>
          <w:p w14:paraId="19F2E792" w14:textId="77777777" w:rsidR="000C35AF" w:rsidRPr="00113056" w:rsidRDefault="000C35AF" w:rsidP="009238AE">
            <w:pPr>
              <w:pStyle w:val="Regresjonstabell"/>
              <w:jc w:val="right"/>
              <w:rPr>
                <w:sz w:val="20"/>
                <w:szCs w:val="20"/>
              </w:rPr>
            </w:pPr>
            <w:r w:rsidRPr="00113056">
              <w:rPr>
                <w:sz w:val="20"/>
                <w:szCs w:val="20"/>
              </w:rPr>
              <w:t>(5.436)</w:t>
            </w:r>
          </w:p>
        </w:tc>
        <w:tc>
          <w:tcPr>
            <w:tcW w:w="1395" w:type="dxa"/>
            <w:tcBorders>
              <w:top w:val="nil"/>
              <w:left w:val="nil"/>
              <w:bottom w:val="nil"/>
              <w:right w:val="nil"/>
            </w:tcBorders>
          </w:tcPr>
          <w:p w14:paraId="16AA873C" w14:textId="77777777" w:rsidR="000C35AF" w:rsidRPr="00113056" w:rsidRDefault="000C35AF" w:rsidP="009238AE">
            <w:pPr>
              <w:pStyle w:val="Regresjonstabell"/>
              <w:jc w:val="right"/>
              <w:rPr>
                <w:sz w:val="20"/>
                <w:szCs w:val="20"/>
              </w:rPr>
            </w:pPr>
            <w:r w:rsidRPr="00113056">
              <w:rPr>
                <w:sz w:val="20"/>
                <w:szCs w:val="20"/>
              </w:rPr>
              <w:t>(9.387)</w:t>
            </w:r>
          </w:p>
        </w:tc>
        <w:tc>
          <w:tcPr>
            <w:tcW w:w="1396" w:type="dxa"/>
            <w:tcBorders>
              <w:top w:val="nil"/>
              <w:left w:val="nil"/>
              <w:bottom w:val="nil"/>
              <w:right w:val="nil"/>
            </w:tcBorders>
          </w:tcPr>
          <w:p w14:paraId="2712CF4E" w14:textId="77777777" w:rsidR="000C35AF" w:rsidRPr="00113056" w:rsidRDefault="000C35AF" w:rsidP="009238AE">
            <w:pPr>
              <w:pStyle w:val="Regresjonstabell"/>
              <w:jc w:val="right"/>
              <w:rPr>
                <w:sz w:val="20"/>
                <w:szCs w:val="20"/>
              </w:rPr>
            </w:pPr>
            <w:r w:rsidRPr="00113056">
              <w:rPr>
                <w:sz w:val="20"/>
                <w:szCs w:val="20"/>
              </w:rPr>
              <w:t>(14.823)</w:t>
            </w:r>
          </w:p>
        </w:tc>
        <w:tc>
          <w:tcPr>
            <w:tcW w:w="1399" w:type="dxa"/>
            <w:tcBorders>
              <w:top w:val="nil"/>
              <w:left w:val="nil"/>
              <w:bottom w:val="nil"/>
              <w:right w:val="single" w:sz="4" w:space="0" w:color="auto"/>
            </w:tcBorders>
          </w:tcPr>
          <w:p w14:paraId="17A7BA41" w14:textId="77777777" w:rsidR="000C35AF" w:rsidRPr="00113056" w:rsidRDefault="000C35AF" w:rsidP="009238AE">
            <w:pPr>
              <w:pStyle w:val="Regresjonstabell"/>
              <w:jc w:val="right"/>
              <w:rPr>
                <w:sz w:val="20"/>
                <w:szCs w:val="20"/>
              </w:rPr>
            </w:pPr>
            <w:r w:rsidRPr="00113056">
              <w:rPr>
                <w:sz w:val="20"/>
                <w:szCs w:val="20"/>
              </w:rPr>
              <w:t>(57.516)</w:t>
            </w:r>
          </w:p>
        </w:tc>
      </w:tr>
      <w:tr w:rsidR="000C35AF" w:rsidRPr="0055149C" w14:paraId="61B6E68E" w14:textId="77777777" w:rsidTr="009238AE">
        <w:trPr>
          <w:trHeight w:val="68"/>
        </w:trPr>
        <w:tc>
          <w:tcPr>
            <w:tcW w:w="2777" w:type="dxa"/>
            <w:tcBorders>
              <w:top w:val="nil"/>
              <w:left w:val="single" w:sz="4" w:space="0" w:color="auto"/>
              <w:bottom w:val="nil"/>
              <w:right w:val="single" w:sz="4" w:space="0" w:color="auto"/>
            </w:tcBorders>
            <w:shd w:val="clear" w:color="auto" w:fill="A9C6E4" w:themeFill="accent2" w:themeFillTint="66"/>
            <w:vAlign w:val="bottom"/>
          </w:tcPr>
          <w:p w14:paraId="780B2C78"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8" w:type="dxa"/>
            <w:tcBorders>
              <w:top w:val="nil"/>
              <w:left w:val="single" w:sz="4" w:space="0" w:color="auto"/>
              <w:bottom w:val="nil"/>
              <w:right w:val="nil"/>
            </w:tcBorders>
          </w:tcPr>
          <w:p w14:paraId="5FB5DD92" w14:textId="77777777" w:rsidR="000C35AF" w:rsidRPr="00113056" w:rsidRDefault="000C35AF" w:rsidP="009238AE">
            <w:pPr>
              <w:pStyle w:val="Regresjonstabell"/>
              <w:jc w:val="right"/>
              <w:rPr>
                <w:sz w:val="20"/>
                <w:szCs w:val="20"/>
              </w:rPr>
            </w:pPr>
            <w:r w:rsidRPr="00113056">
              <w:rPr>
                <w:sz w:val="20"/>
                <w:szCs w:val="20"/>
              </w:rPr>
              <w:t>49.778</w:t>
            </w:r>
          </w:p>
        </w:tc>
        <w:tc>
          <w:tcPr>
            <w:tcW w:w="1440" w:type="dxa"/>
            <w:tcBorders>
              <w:top w:val="nil"/>
              <w:left w:val="nil"/>
              <w:bottom w:val="nil"/>
              <w:right w:val="nil"/>
            </w:tcBorders>
          </w:tcPr>
          <w:p w14:paraId="5F020C1E" w14:textId="77777777" w:rsidR="000C35AF" w:rsidRPr="00113056" w:rsidRDefault="000C35AF" w:rsidP="009238AE">
            <w:pPr>
              <w:pStyle w:val="Regresjonstabell"/>
              <w:jc w:val="right"/>
              <w:rPr>
                <w:sz w:val="20"/>
                <w:szCs w:val="20"/>
              </w:rPr>
            </w:pPr>
            <w:r w:rsidRPr="00113056">
              <w:rPr>
                <w:sz w:val="20"/>
                <w:szCs w:val="20"/>
              </w:rPr>
              <w:t>13.713</w:t>
            </w:r>
          </w:p>
        </w:tc>
        <w:tc>
          <w:tcPr>
            <w:tcW w:w="1397" w:type="dxa"/>
            <w:tcBorders>
              <w:top w:val="nil"/>
              <w:left w:val="nil"/>
              <w:bottom w:val="nil"/>
              <w:right w:val="nil"/>
            </w:tcBorders>
          </w:tcPr>
          <w:p w14:paraId="6C97D22F" w14:textId="77777777" w:rsidR="000C35AF" w:rsidRPr="00113056" w:rsidRDefault="000C35AF" w:rsidP="009238AE">
            <w:pPr>
              <w:pStyle w:val="Regresjonstabell"/>
              <w:jc w:val="right"/>
              <w:rPr>
                <w:sz w:val="20"/>
                <w:szCs w:val="20"/>
              </w:rPr>
            </w:pPr>
            <w:r w:rsidRPr="00113056">
              <w:rPr>
                <w:sz w:val="20"/>
                <w:szCs w:val="20"/>
              </w:rPr>
              <w:t>36.065</w:t>
            </w:r>
          </w:p>
        </w:tc>
        <w:tc>
          <w:tcPr>
            <w:tcW w:w="1395" w:type="dxa"/>
            <w:tcBorders>
              <w:top w:val="nil"/>
              <w:left w:val="nil"/>
              <w:bottom w:val="nil"/>
              <w:right w:val="nil"/>
            </w:tcBorders>
          </w:tcPr>
          <w:p w14:paraId="17673582" w14:textId="77777777" w:rsidR="000C35AF" w:rsidRPr="00113056" w:rsidRDefault="000C35AF" w:rsidP="009238AE">
            <w:pPr>
              <w:pStyle w:val="Regresjonstabell"/>
              <w:jc w:val="right"/>
              <w:rPr>
                <w:sz w:val="20"/>
                <w:szCs w:val="20"/>
              </w:rPr>
            </w:pPr>
            <w:r w:rsidRPr="00113056">
              <w:rPr>
                <w:sz w:val="20"/>
                <w:szCs w:val="20"/>
              </w:rPr>
              <w:t>-0.812</w:t>
            </w:r>
          </w:p>
        </w:tc>
        <w:tc>
          <w:tcPr>
            <w:tcW w:w="1395" w:type="dxa"/>
            <w:tcBorders>
              <w:top w:val="nil"/>
              <w:left w:val="nil"/>
              <w:bottom w:val="nil"/>
              <w:right w:val="nil"/>
            </w:tcBorders>
          </w:tcPr>
          <w:p w14:paraId="6D7C8D5F" w14:textId="77777777" w:rsidR="000C35AF" w:rsidRPr="00113056" w:rsidRDefault="000C35AF" w:rsidP="009238AE">
            <w:pPr>
              <w:pStyle w:val="Regresjonstabell"/>
              <w:jc w:val="right"/>
              <w:rPr>
                <w:sz w:val="20"/>
                <w:szCs w:val="20"/>
              </w:rPr>
            </w:pPr>
            <w:r w:rsidRPr="00113056">
              <w:rPr>
                <w:sz w:val="20"/>
                <w:szCs w:val="20"/>
              </w:rPr>
              <w:t>1.295</w:t>
            </w:r>
          </w:p>
        </w:tc>
        <w:tc>
          <w:tcPr>
            <w:tcW w:w="1395" w:type="dxa"/>
            <w:tcBorders>
              <w:top w:val="nil"/>
              <w:left w:val="nil"/>
              <w:bottom w:val="nil"/>
              <w:right w:val="nil"/>
            </w:tcBorders>
          </w:tcPr>
          <w:p w14:paraId="5E486AD9" w14:textId="77777777" w:rsidR="000C35AF" w:rsidRPr="00113056" w:rsidRDefault="000C35AF" w:rsidP="009238AE">
            <w:pPr>
              <w:pStyle w:val="Regresjonstabell"/>
              <w:jc w:val="right"/>
              <w:rPr>
                <w:sz w:val="20"/>
                <w:szCs w:val="20"/>
              </w:rPr>
            </w:pPr>
            <w:r w:rsidRPr="00113056">
              <w:rPr>
                <w:sz w:val="20"/>
                <w:szCs w:val="20"/>
              </w:rPr>
              <w:t>2.082</w:t>
            </w:r>
          </w:p>
        </w:tc>
        <w:tc>
          <w:tcPr>
            <w:tcW w:w="1396" w:type="dxa"/>
            <w:tcBorders>
              <w:top w:val="nil"/>
              <w:left w:val="nil"/>
              <w:bottom w:val="nil"/>
              <w:right w:val="nil"/>
            </w:tcBorders>
          </w:tcPr>
          <w:p w14:paraId="1B37F20F" w14:textId="77777777" w:rsidR="000C35AF" w:rsidRPr="00113056" w:rsidRDefault="000C35AF" w:rsidP="009238AE">
            <w:pPr>
              <w:pStyle w:val="Regresjonstabell"/>
              <w:jc w:val="right"/>
              <w:rPr>
                <w:sz w:val="20"/>
                <w:szCs w:val="20"/>
              </w:rPr>
            </w:pPr>
            <w:r w:rsidRPr="00113056">
              <w:rPr>
                <w:sz w:val="20"/>
                <w:szCs w:val="20"/>
              </w:rPr>
              <w:t>3.377</w:t>
            </w:r>
          </w:p>
        </w:tc>
        <w:tc>
          <w:tcPr>
            <w:tcW w:w="1399" w:type="dxa"/>
            <w:tcBorders>
              <w:top w:val="nil"/>
              <w:left w:val="nil"/>
              <w:bottom w:val="nil"/>
              <w:right w:val="single" w:sz="4" w:space="0" w:color="auto"/>
            </w:tcBorders>
          </w:tcPr>
          <w:p w14:paraId="4C4DDA27" w14:textId="77777777" w:rsidR="000C35AF" w:rsidRPr="00113056" w:rsidRDefault="000C35AF" w:rsidP="009238AE">
            <w:pPr>
              <w:pStyle w:val="Regresjonstabell"/>
              <w:jc w:val="right"/>
              <w:rPr>
                <w:sz w:val="20"/>
                <w:szCs w:val="20"/>
              </w:rPr>
            </w:pPr>
            <w:r w:rsidRPr="00113056">
              <w:rPr>
                <w:sz w:val="20"/>
                <w:szCs w:val="20"/>
              </w:rPr>
              <w:t>53.156</w:t>
            </w:r>
          </w:p>
        </w:tc>
      </w:tr>
      <w:tr w:rsidR="000C35AF" w:rsidRPr="0055149C" w14:paraId="0F1687DE"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0B7AE00" w14:textId="77777777" w:rsidR="000C35AF" w:rsidRPr="0055149C" w:rsidRDefault="000C35AF" w:rsidP="009238AE">
            <w:pPr>
              <w:pStyle w:val="Regresjonstabell"/>
              <w:rPr>
                <w:sz w:val="20"/>
                <w:szCs w:val="20"/>
              </w:rPr>
            </w:pPr>
            <w:r w:rsidRPr="0055149C">
              <w:rPr>
                <w:sz w:val="20"/>
                <w:szCs w:val="20"/>
              </w:rPr>
              <w:t>(Kriterium 6)</w:t>
            </w:r>
          </w:p>
        </w:tc>
        <w:tc>
          <w:tcPr>
            <w:tcW w:w="1398" w:type="dxa"/>
            <w:tcBorders>
              <w:top w:val="nil"/>
              <w:left w:val="single" w:sz="4" w:space="0" w:color="auto"/>
              <w:bottom w:val="nil"/>
              <w:right w:val="nil"/>
            </w:tcBorders>
          </w:tcPr>
          <w:p w14:paraId="619B1CBA" w14:textId="77777777" w:rsidR="000C35AF" w:rsidRPr="00113056" w:rsidRDefault="000C35AF" w:rsidP="009238AE">
            <w:pPr>
              <w:pStyle w:val="Regresjonstabell"/>
              <w:jc w:val="right"/>
              <w:rPr>
                <w:sz w:val="20"/>
                <w:szCs w:val="20"/>
              </w:rPr>
            </w:pPr>
            <w:r w:rsidRPr="00113056">
              <w:rPr>
                <w:sz w:val="20"/>
                <w:szCs w:val="20"/>
              </w:rPr>
              <w:t>(53.683)</w:t>
            </w:r>
          </w:p>
        </w:tc>
        <w:tc>
          <w:tcPr>
            <w:tcW w:w="1440" w:type="dxa"/>
            <w:tcBorders>
              <w:top w:val="nil"/>
              <w:left w:val="nil"/>
              <w:bottom w:val="nil"/>
              <w:right w:val="nil"/>
            </w:tcBorders>
          </w:tcPr>
          <w:p w14:paraId="16A9E689" w14:textId="77777777" w:rsidR="000C35AF" w:rsidRPr="00113056" w:rsidRDefault="000C35AF" w:rsidP="009238AE">
            <w:pPr>
              <w:pStyle w:val="Regresjonstabell"/>
              <w:jc w:val="right"/>
              <w:rPr>
                <w:sz w:val="20"/>
                <w:szCs w:val="20"/>
              </w:rPr>
            </w:pPr>
            <w:r w:rsidRPr="00113056">
              <w:rPr>
                <w:sz w:val="20"/>
                <w:szCs w:val="20"/>
              </w:rPr>
              <w:t>(28.091)</w:t>
            </w:r>
          </w:p>
        </w:tc>
        <w:tc>
          <w:tcPr>
            <w:tcW w:w="1397" w:type="dxa"/>
            <w:tcBorders>
              <w:top w:val="nil"/>
              <w:left w:val="nil"/>
              <w:bottom w:val="nil"/>
              <w:right w:val="nil"/>
            </w:tcBorders>
          </w:tcPr>
          <w:p w14:paraId="0EFDDCE1" w14:textId="77777777" w:rsidR="000C35AF" w:rsidRPr="00113056" w:rsidRDefault="000C35AF" w:rsidP="009238AE">
            <w:pPr>
              <w:pStyle w:val="Regresjonstabell"/>
              <w:jc w:val="right"/>
              <w:rPr>
                <w:sz w:val="20"/>
                <w:szCs w:val="20"/>
              </w:rPr>
            </w:pPr>
            <w:r w:rsidRPr="00113056">
              <w:rPr>
                <w:sz w:val="20"/>
                <w:szCs w:val="20"/>
              </w:rPr>
              <w:t>(35.405)</w:t>
            </w:r>
          </w:p>
        </w:tc>
        <w:tc>
          <w:tcPr>
            <w:tcW w:w="1395" w:type="dxa"/>
            <w:tcBorders>
              <w:top w:val="nil"/>
              <w:left w:val="nil"/>
              <w:bottom w:val="nil"/>
              <w:right w:val="nil"/>
            </w:tcBorders>
          </w:tcPr>
          <w:p w14:paraId="3C0F65AD" w14:textId="77777777" w:rsidR="000C35AF" w:rsidRPr="00113056" w:rsidRDefault="000C35AF" w:rsidP="009238AE">
            <w:pPr>
              <w:pStyle w:val="Regresjonstabell"/>
              <w:jc w:val="right"/>
              <w:rPr>
                <w:sz w:val="20"/>
                <w:szCs w:val="20"/>
              </w:rPr>
            </w:pPr>
            <w:r w:rsidRPr="00113056">
              <w:rPr>
                <w:sz w:val="20"/>
                <w:szCs w:val="20"/>
              </w:rPr>
              <w:t>(8.072)</w:t>
            </w:r>
          </w:p>
        </w:tc>
        <w:tc>
          <w:tcPr>
            <w:tcW w:w="1395" w:type="dxa"/>
            <w:tcBorders>
              <w:top w:val="nil"/>
              <w:left w:val="nil"/>
              <w:bottom w:val="nil"/>
              <w:right w:val="nil"/>
            </w:tcBorders>
          </w:tcPr>
          <w:p w14:paraId="35BC71B2" w14:textId="77777777" w:rsidR="000C35AF" w:rsidRPr="00113056" w:rsidRDefault="000C35AF" w:rsidP="009238AE">
            <w:pPr>
              <w:pStyle w:val="Regresjonstabell"/>
              <w:jc w:val="right"/>
              <w:rPr>
                <w:sz w:val="20"/>
                <w:szCs w:val="20"/>
              </w:rPr>
            </w:pPr>
            <w:r w:rsidRPr="00113056">
              <w:rPr>
                <w:sz w:val="20"/>
                <w:szCs w:val="20"/>
              </w:rPr>
              <w:t>(3.629)</w:t>
            </w:r>
          </w:p>
        </w:tc>
        <w:tc>
          <w:tcPr>
            <w:tcW w:w="1395" w:type="dxa"/>
            <w:tcBorders>
              <w:top w:val="nil"/>
              <w:left w:val="nil"/>
              <w:bottom w:val="nil"/>
              <w:right w:val="nil"/>
            </w:tcBorders>
          </w:tcPr>
          <w:p w14:paraId="196276F5" w14:textId="77777777" w:rsidR="000C35AF" w:rsidRPr="00113056" w:rsidRDefault="000C35AF" w:rsidP="009238AE">
            <w:pPr>
              <w:pStyle w:val="Regresjonstabell"/>
              <w:jc w:val="right"/>
              <w:rPr>
                <w:sz w:val="20"/>
                <w:szCs w:val="20"/>
              </w:rPr>
            </w:pPr>
            <w:r w:rsidRPr="00113056">
              <w:rPr>
                <w:sz w:val="20"/>
                <w:szCs w:val="20"/>
              </w:rPr>
              <w:t>(6.275)</w:t>
            </w:r>
          </w:p>
        </w:tc>
        <w:tc>
          <w:tcPr>
            <w:tcW w:w="1396" w:type="dxa"/>
            <w:tcBorders>
              <w:top w:val="nil"/>
              <w:left w:val="nil"/>
              <w:bottom w:val="nil"/>
              <w:right w:val="nil"/>
            </w:tcBorders>
          </w:tcPr>
          <w:p w14:paraId="717A5ECE" w14:textId="77777777" w:rsidR="000C35AF" w:rsidRPr="00113056" w:rsidRDefault="000C35AF" w:rsidP="009238AE">
            <w:pPr>
              <w:pStyle w:val="Regresjonstabell"/>
              <w:jc w:val="right"/>
              <w:rPr>
                <w:sz w:val="20"/>
                <w:szCs w:val="20"/>
              </w:rPr>
            </w:pPr>
            <w:r w:rsidRPr="00113056">
              <w:rPr>
                <w:sz w:val="20"/>
                <w:szCs w:val="20"/>
              </w:rPr>
              <w:t>(9.903)</w:t>
            </w:r>
          </w:p>
        </w:tc>
        <w:tc>
          <w:tcPr>
            <w:tcW w:w="1399" w:type="dxa"/>
            <w:tcBorders>
              <w:top w:val="nil"/>
              <w:left w:val="nil"/>
              <w:bottom w:val="nil"/>
              <w:right w:val="single" w:sz="4" w:space="0" w:color="auto"/>
            </w:tcBorders>
          </w:tcPr>
          <w:p w14:paraId="7E9401D0" w14:textId="77777777" w:rsidR="000C35AF" w:rsidRPr="00113056" w:rsidRDefault="000C35AF" w:rsidP="009238AE">
            <w:pPr>
              <w:pStyle w:val="Regresjonstabell"/>
              <w:jc w:val="right"/>
              <w:rPr>
                <w:sz w:val="20"/>
                <w:szCs w:val="20"/>
              </w:rPr>
            </w:pPr>
            <w:r w:rsidRPr="00113056">
              <w:rPr>
                <w:sz w:val="20"/>
                <w:szCs w:val="20"/>
              </w:rPr>
              <w:t>(55.696)</w:t>
            </w:r>
          </w:p>
        </w:tc>
      </w:tr>
      <w:tr w:rsidR="000C35AF" w:rsidRPr="0055149C" w14:paraId="3572EF5D"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6E671A80" w14:textId="77777777" w:rsidR="000C35AF" w:rsidRPr="0055149C" w:rsidRDefault="000C35AF" w:rsidP="009238AE">
            <w:pPr>
              <w:pStyle w:val="Regresjonstabell"/>
              <w:rPr>
                <w:color w:val="000000"/>
                <w:sz w:val="20"/>
                <w:szCs w:val="20"/>
              </w:rPr>
            </w:pPr>
            <w:r w:rsidRPr="0055149C">
              <w:rPr>
                <w:sz w:val="20"/>
                <w:szCs w:val="20"/>
              </w:rPr>
              <w:t>Innbyggere 23 til 66 år</w:t>
            </w:r>
          </w:p>
        </w:tc>
        <w:tc>
          <w:tcPr>
            <w:tcW w:w="1398" w:type="dxa"/>
            <w:tcBorders>
              <w:top w:val="nil"/>
              <w:left w:val="single" w:sz="4" w:space="0" w:color="auto"/>
              <w:bottom w:val="nil"/>
              <w:right w:val="nil"/>
            </w:tcBorders>
          </w:tcPr>
          <w:p w14:paraId="04708BF3" w14:textId="77777777" w:rsidR="000C35AF" w:rsidRPr="00113056" w:rsidRDefault="000C35AF" w:rsidP="009238AE">
            <w:pPr>
              <w:pStyle w:val="Regresjonstabell"/>
              <w:jc w:val="right"/>
              <w:rPr>
                <w:sz w:val="20"/>
                <w:szCs w:val="20"/>
              </w:rPr>
            </w:pPr>
            <w:r w:rsidRPr="00113056">
              <w:rPr>
                <w:sz w:val="20"/>
                <w:szCs w:val="20"/>
              </w:rPr>
              <w:t>-47.643</w:t>
            </w:r>
          </w:p>
        </w:tc>
        <w:tc>
          <w:tcPr>
            <w:tcW w:w="1440" w:type="dxa"/>
            <w:tcBorders>
              <w:top w:val="nil"/>
              <w:left w:val="nil"/>
              <w:bottom w:val="nil"/>
              <w:right w:val="nil"/>
            </w:tcBorders>
          </w:tcPr>
          <w:p w14:paraId="6CB5AF08" w14:textId="77777777" w:rsidR="000C35AF" w:rsidRPr="00113056" w:rsidRDefault="000C35AF" w:rsidP="009238AE">
            <w:pPr>
              <w:pStyle w:val="Regresjonstabell"/>
              <w:jc w:val="right"/>
              <w:rPr>
                <w:sz w:val="20"/>
                <w:szCs w:val="20"/>
              </w:rPr>
            </w:pPr>
            <w:r w:rsidRPr="00113056">
              <w:rPr>
                <w:sz w:val="20"/>
                <w:szCs w:val="20"/>
              </w:rPr>
              <w:t>-44.473**</w:t>
            </w:r>
          </w:p>
        </w:tc>
        <w:tc>
          <w:tcPr>
            <w:tcW w:w="1397" w:type="dxa"/>
            <w:tcBorders>
              <w:top w:val="nil"/>
              <w:left w:val="nil"/>
              <w:bottom w:val="nil"/>
              <w:right w:val="nil"/>
            </w:tcBorders>
          </w:tcPr>
          <w:p w14:paraId="1108CA3C" w14:textId="77777777" w:rsidR="000C35AF" w:rsidRPr="00113056" w:rsidRDefault="000C35AF" w:rsidP="009238AE">
            <w:pPr>
              <w:pStyle w:val="Regresjonstabell"/>
              <w:jc w:val="right"/>
              <w:rPr>
                <w:sz w:val="20"/>
                <w:szCs w:val="20"/>
              </w:rPr>
            </w:pPr>
            <w:r w:rsidRPr="00113056">
              <w:rPr>
                <w:sz w:val="20"/>
                <w:szCs w:val="20"/>
              </w:rPr>
              <w:t>-3.170</w:t>
            </w:r>
          </w:p>
        </w:tc>
        <w:tc>
          <w:tcPr>
            <w:tcW w:w="1395" w:type="dxa"/>
            <w:tcBorders>
              <w:top w:val="nil"/>
              <w:left w:val="nil"/>
              <w:bottom w:val="nil"/>
              <w:right w:val="nil"/>
            </w:tcBorders>
          </w:tcPr>
          <w:p w14:paraId="19430AE2" w14:textId="77777777" w:rsidR="000C35AF" w:rsidRPr="00113056" w:rsidRDefault="000C35AF" w:rsidP="009238AE">
            <w:pPr>
              <w:pStyle w:val="Regresjonstabell"/>
              <w:jc w:val="right"/>
              <w:rPr>
                <w:sz w:val="20"/>
                <w:szCs w:val="20"/>
              </w:rPr>
            </w:pPr>
            <w:r w:rsidRPr="00113056">
              <w:rPr>
                <w:sz w:val="20"/>
                <w:szCs w:val="20"/>
              </w:rPr>
              <w:t>-2.964</w:t>
            </w:r>
          </w:p>
        </w:tc>
        <w:tc>
          <w:tcPr>
            <w:tcW w:w="1395" w:type="dxa"/>
            <w:tcBorders>
              <w:top w:val="nil"/>
              <w:left w:val="nil"/>
              <w:bottom w:val="nil"/>
              <w:right w:val="nil"/>
            </w:tcBorders>
          </w:tcPr>
          <w:p w14:paraId="3C054496" w14:textId="77777777" w:rsidR="000C35AF" w:rsidRPr="00113056" w:rsidRDefault="000C35AF" w:rsidP="009238AE">
            <w:pPr>
              <w:pStyle w:val="Regresjonstabell"/>
              <w:jc w:val="right"/>
              <w:rPr>
                <w:sz w:val="20"/>
                <w:szCs w:val="20"/>
              </w:rPr>
            </w:pPr>
            <w:r w:rsidRPr="00113056">
              <w:rPr>
                <w:sz w:val="20"/>
                <w:szCs w:val="20"/>
              </w:rPr>
              <w:t>0.767</w:t>
            </w:r>
          </w:p>
        </w:tc>
        <w:tc>
          <w:tcPr>
            <w:tcW w:w="1395" w:type="dxa"/>
            <w:tcBorders>
              <w:top w:val="nil"/>
              <w:left w:val="nil"/>
              <w:bottom w:val="nil"/>
              <w:right w:val="nil"/>
            </w:tcBorders>
          </w:tcPr>
          <w:p w14:paraId="31250915" w14:textId="77777777" w:rsidR="000C35AF" w:rsidRPr="00113056" w:rsidRDefault="000C35AF" w:rsidP="009238AE">
            <w:pPr>
              <w:pStyle w:val="Regresjonstabell"/>
              <w:jc w:val="right"/>
              <w:rPr>
                <w:sz w:val="20"/>
                <w:szCs w:val="20"/>
              </w:rPr>
            </w:pPr>
            <w:r w:rsidRPr="00113056">
              <w:rPr>
                <w:sz w:val="20"/>
                <w:szCs w:val="20"/>
              </w:rPr>
              <w:t>1.299</w:t>
            </w:r>
          </w:p>
        </w:tc>
        <w:tc>
          <w:tcPr>
            <w:tcW w:w="1396" w:type="dxa"/>
            <w:tcBorders>
              <w:top w:val="nil"/>
              <w:left w:val="nil"/>
              <w:bottom w:val="nil"/>
              <w:right w:val="nil"/>
            </w:tcBorders>
          </w:tcPr>
          <w:p w14:paraId="74DA3541" w14:textId="77777777" w:rsidR="000C35AF" w:rsidRPr="00113056" w:rsidRDefault="000C35AF" w:rsidP="009238AE">
            <w:pPr>
              <w:pStyle w:val="Regresjonstabell"/>
              <w:jc w:val="right"/>
              <w:rPr>
                <w:sz w:val="20"/>
                <w:szCs w:val="20"/>
              </w:rPr>
            </w:pPr>
            <w:r w:rsidRPr="00113056">
              <w:rPr>
                <w:sz w:val="20"/>
                <w:szCs w:val="20"/>
              </w:rPr>
              <w:t>2.066</w:t>
            </w:r>
          </w:p>
        </w:tc>
        <w:tc>
          <w:tcPr>
            <w:tcW w:w="1399" w:type="dxa"/>
            <w:tcBorders>
              <w:top w:val="nil"/>
              <w:left w:val="nil"/>
              <w:bottom w:val="nil"/>
              <w:right w:val="single" w:sz="4" w:space="0" w:color="auto"/>
            </w:tcBorders>
          </w:tcPr>
          <w:p w14:paraId="7239FB84" w14:textId="77777777" w:rsidR="000C35AF" w:rsidRPr="00113056" w:rsidRDefault="000C35AF" w:rsidP="009238AE">
            <w:pPr>
              <w:pStyle w:val="Regresjonstabell"/>
              <w:jc w:val="right"/>
              <w:rPr>
                <w:sz w:val="20"/>
                <w:szCs w:val="20"/>
              </w:rPr>
            </w:pPr>
            <w:r w:rsidRPr="00113056">
              <w:rPr>
                <w:sz w:val="20"/>
                <w:szCs w:val="20"/>
              </w:rPr>
              <w:t>-45.577</w:t>
            </w:r>
          </w:p>
        </w:tc>
      </w:tr>
      <w:tr w:rsidR="000C35AF" w:rsidRPr="0055149C" w14:paraId="78254614"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55598BB" w14:textId="77777777" w:rsidR="000C35AF" w:rsidRPr="0055149C" w:rsidRDefault="000C35AF" w:rsidP="009238AE">
            <w:pPr>
              <w:pStyle w:val="Regresjonstabell"/>
              <w:rPr>
                <w:color w:val="000000"/>
                <w:sz w:val="20"/>
                <w:szCs w:val="20"/>
              </w:rPr>
            </w:pPr>
            <w:r w:rsidRPr="0055149C">
              <w:rPr>
                <w:sz w:val="20"/>
                <w:szCs w:val="20"/>
              </w:rPr>
              <w:t>(Kriterium 7)</w:t>
            </w:r>
          </w:p>
        </w:tc>
        <w:tc>
          <w:tcPr>
            <w:tcW w:w="1398" w:type="dxa"/>
            <w:tcBorders>
              <w:top w:val="nil"/>
              <w:left w:val="single" w:sz="4" w:space="0" w:color="auto"/>
              <w:bottom w:val="nil"/>
              <w:right w:val="nil"/>
            </w:tcBorders>
          </w:tcPr>
          <w:p w14:paraId="0FD0FE86" w14:textId="77777777" w:rsidR="000C35AF" w:rsidRPr="00113056" w:rsidRDefault="000C35AF" w:rsidP="009238AE">
            <w:pPr>
              <w:pStyle w:val="Regresjonstabell"/>
              <w:jc w:val="right"/>
              <w:rPr>
                <w:sz w:val="20"/>
                <w:szCs w:val="20"/>
              </w:rPr>
            </w:pPr>
            <w:r w:rsidRPr="00113056">
              <w:rPr>
                <w:sz w:val="20"/>
                <w:szCs w:val="20"/>
              </w:rPr>
              <w:t>(42.490)</w:t>
            </w:r>
          </w:p>
        </w:tc>
        <w:tc>
          <w:tcPr>
            <w:tcW w:w="1440" w:type="dxa"/>
            <w:tcBorders>
              <w:top w:val="nil"/>
              <w:left w:val="nil"/>
              <w:bottom w:val="nil"/>
              <w:right w:val="nil"/>
            </w:tcBorders>
          </w:tcPr>
          <w:p w14:paraId="5FC1242F" w14:textId="77777777" w:rsidR="000C35AF" w:rsidRPr="00113056" w:rsidRDefault="000C35AF" w:rsidP="009238AE">
            <w:pPr>
              <w:pStyle w:val="Regresjonstabell"/>
              <w:jc w:val="right"/>
              <w:rPr>
                <w:sz w:val="20"/>
                <w:szCs w:val="20"/>
              </w:rPr>
            </w:pPr>
            <w:r w:rsidRPr="00113056">
              <w:rPr>
                <w:sz w:val="20"/>
                <w:szCs w:val="20"/>
              </w:rPr>
              <w:t>(21.130)</w:t>
            </w:r>
          </w:p>
        </w:tc>
        <w:tc>
          <w:tcPr>
            <w:tcW w:w="1397" w:type="dxa"/>
            <w:tcBorders>
              <w:top w:val="nil"/>
              <w:left w:val="nil"/>
              <w:bottom w:val="nil"/>
              <w:right w:val="nil"/>
            </w:tcBorders>
          </w:tcPr>
          <w:p w14:paraId="0F96002F" w14:textId="77777777" w:rsidR="000C35AF" w:rsidRPr="00113056" w:rsidRDefault="000C35AF" w:rsidP="009238AE">
            <w:pPr>
              <w:pStyle w:val="Regresjonstabell"/>
              <w:jc w:val="right"/>
              <w:rPr>
                <w:sz w:val="20"/>
                <w:szCs w:val="20"/>
              </w:rPr>
            </w:pPr>
            <w:r w:rsidRPr="00113056">
              <w:rPr>
                <w:sz w:val="20"/>
                <w:szCs w:val="20"/>
              </w:rPr>
              <w:t>(27.937)</w:t>
            </w:r>
          </w:p>
        </w:tc>
        <w:tc>
          <w:tcPr>
            <w:tcW w:w="1395" w:type="dxa"/>
            <w:tcBorders>
              <w:top w:val="nil"/>
              <w:left w:val="nil"/>
              <w:bottom w:val="nil"/>
              <w:right w:val="nil"/>
            </w:tcBorders>
          </w:tcPr>
          <w:p w14:paraId="0891CE24" w14:textId="77777777" w:rsidR="000C35AF" w:rsidRPr="00113056" w:rsidRDefault="000C35AF" w:rsidP="009238AE">
            <w:pPr>
              <w:pStyle w:val="Regresjonstabell"/>
              <w:jc w:val="right"/>
              <w:rPr>
                <w:sz w:val="20"/>
                <w:szCs w:val="20"/>
              </w:rPr>
            </w:pPr>
            <w:r w:rsidRPr="00113056">
              <w:rPr>
                <w:sz w:val="20"/>
                <w:szCs w:val="20"/>
              </w:rPr>
              <w:t>(6.888)</w:t>
            </w:r>
          </w:p>
        </w:tc>
        <w:tc>
          <w:tcPr>
            <w:tcW w:w="1395" w:type="dxa"/>
            <w:tcBorders>
              <w:top w:val="nil"/>
              <w:left w:val="nil"/>
              <w:bottom w:val="nil"/>
              <w:right w:val="nil"/>
            </w:tcBorders>
          </w:tcPr>
          <w:p w14:paraId="5C9DDDFE" w14:textId="77777777" w:rsidR="000C35AF" w:rsidRPr="00113056" w:rsidRDefault="000C35AF" w:rsidP="009238AE">
            <w:pPr>
              <w:pStyle w:val="Regresjonstabell"/>
              <w:jc w:val="right"/>
              <w:rPr>
                <w:sz w:val="20"/>
                <w:szCs w:val="20"/>
              </w:rPr>
            </w:pPr>
            <w:r w:rsidRPr="00113056">
              <w:rPr>
                <w:sz w:val="20"/>
                <w:szCs w:val="20"/>
              </w:rPr>
              <w:t>(2.762)</w:t>
            </w:r>
          </w:p>
        </w:tc>
        <w:tc>
          <w:tcPr>
            <w:tcW w:w="1395" w:type="dxa"/>
            <w:tcBorders>
              <w:top w:val="nil"/>
              <w:left w:val="nil"/>
              <w:bottom w:val="nil"/>
              <w:right w:val="nil"/>
            </w:tcBorders>
          </w:tcPr>
          <w:p w14:paraId="2F5A4BD7" w14:textId="77777777" w:rsidR="000C35AF" w:rsidRPr="00113056" w:rsidRDefault="000C35AF" w:rsidP="009238AE">
            <w:pPr>
              <w:pStyle w:val="Regresjonstabell"/>
              <w:jc w:val="right"/>
              <w:rPr>
                <w:sz w:val="20"/>
                <w:szCs w:val="20"/>
              </w:rPr>
            </w:pPr>
            <w:r w:rsidRPr="00113056">
              <w:rPr>
                <w:sz w:val="20"/>
                <w:szCs w:val="20"/>
              </w:rPr>
              <w:t>(4.784)</w:t>
            </w:r>
          </w:p>
        </w:tc>
        <w:tc>
          <w:tcPr>
            <w:tcW w:w="1396" w:type="dxa"/>
            <w:tcBorders>
              <w:top w:val="nil"/>
              <w:left w:val="nil"/>
              <w:bottom w:val="nil"/>
              <w:right w:val="nil"/>
            </w:tcBorders>
          </w:tcPr>
          <w:p w14:paraId="361C4688" w14:textId="77777777" w:rsidR="000C35AF" w:rsidRPr="00113056" w:rsidRDefault="000C35AF" w:rsidP="009238AE">
            <w:pPr>
              <w:pStyle w:val="Regresjonstabell"/>
              <w:jc w:val="right"/>
              <w:rPr>
                <w:sz w:val="20"/>
                <w:szCs w:val="20"/>
              </w:rPr>
            </w:pPr>
            <w:r w:rsidRPr="00113056">
              <w:rPr>
                <w:sz w:val="20"/>
                <w:szCs w:val="20"/>
              </w:rPr>
              <w:t>(7.546)</w:t>
            </w:r>
          </w:p>
        </w:tc>
        <w:tc>
          <w:tcPr>
            <w:tcW w:w="1399" w:type="dxa"/>
            <w:tcBorders>
              <w:top w:val="nil"/>
              <w:left w:val="nil"/>
              <w:bottom w:val="nil"/>
              <w:right w:val="single" w:sz="4" w:space="0" w:color="auto"/>
            </w:tcBorders>
          </w:tcPr>
          <w:p w14:paraId="75CA978F" w14:textId="77777777" w:rsidR="000C35AF" w:rsidRPr="00113056" w:rsidRDefault="000C35AF" w:rsidP="009238AE">
            <w:pPr>
              <w:pStyle w:val="Regresjonstabell"/>
              <w:jc w:val="right"/>
              <w:rPr>
                <w:sz w:val="20"/>
                <w:szCs w:val="20"/>
              </w:rPr>
            </w:pPr>
            <w:r w:rsidRPr="00113056">
              <w:rPr>
                <w:sz w:val="20"/>
                <w:szCs w:val="20"/>
              </w:rPr>
              <w:t>(43.268)</w:t>
            </w:r>
          </w:p>
        </w:tc>
      </w:tr>
      <w:tr w:rsidR="000C35AF" w:rsidRPr="0055149C" w14:paraId="71618E54"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8FE544B" w14:textId="77777777" w:rsidR="000C35AF" w:rsidRPr="0055149C" w:rsidRDefault="000C35AF" w:rsidP="009238AE">
            <w:pPr>
              <w:pStyle w:val="Regresjonstabell"/>
              <w:rPr>
                <w:color w:val="000000"/>
                <w:sz w:val="20"/>
                <w:szCs w:val="20"/>
              </w:rPr>
            </w:pPr>
            <w:r w:rsidRPr="0055149C">
              <w:rPr>
                <w:color w:val="000000"/>
                <w:sz w:val="20"/>
                <w:szCs w:val="20"/>
              </w:rPr>
              <w:t>Innbyggere 67 til 79 år</w:t>
            </w:r>
          </w:p>
        </w:tc>
        <w:tc>
          <w:tcPr>
            <w:tcW w:w="1398" w:type="dxa"/>
            <w:tcBorders>
              <w:top w:val="nil"/>
              <w:left w:val="single" w:sz="4" w:space="0" w:color="auto"/>
              <w:bottom w:val="nil"/>
              <w:right w:val="nil"/>
            </w:tcBorders>
          </w:tcPr>
          <w:p w14:paraId="5FF491CB" w14:textId="77777777" w:rsidR="000C35AF" w:rsidRPr="00113056" w:rsidRDefault="000C35AF" w:rsidP="009238AE">
            <w:pPr>
              <w:pStyle w:val="Regresjonstabell"/>
              <w:jc w:val="right"/>
              <w:rPr>
                <w:sz w:val="20"/>
                <w:szCs w:val="20"/>
              </w:rPr>
            </w:pPr>
            <w:r w:rsidRPr="00113056">
              <w:rPr>
                <w:sz w:val="20"/>
                <w:szCs w:val="20"/>
              </w:rPr>
              <w:t>-21.000</w:t>
            </w:r>
          </w:p>
        </w:tc>
        <w:tc>
          <w:tcPr>
            <w:tcW w:w="1440" w:type="dxa"/>
            <w:tcBorders>
              <w:top w:val="nil"/>
              <w:left w:val="nil"/>
              <w:bottom w:val="nil"/>
              <w:right w:val="nil"/>
            </w:tcBorders>
          </w:tcPr>
          <w:p w14:paraId="4489FCB3" w14:textId="77777777" w:rsidR="000C35AF" w:rsidRPr="00113056" w:rsidRDefault="000C35AF" w:rsidP="009238AE">
            <w:pPr>
              <w:pStyle w:val="Regresjonstabell"/>
              <w:jc w:val="right"/>
              <w:rPr>
                <w:sz w:val="20"/>
                <w:szCs w:val="20"/>
              </w:rPr>
            </w:pPr>
            <w:r w:rsidRPr="00113056">
              <w:rPr>
                <w:sz w:val="20"/>
                <w:szCs w:val="20"/>
              </w:rPr>
              <w:t>-34.266</w:t>
            </w:r>
          </w:p>
        </w:tc>
        <w:tc>
          <w:tcPr>
            <w:tcW w:w="1397" w:type="dxa"/>
            <w:tcBorders>
              <w:top w:val="nil"/>
              <w:left w:val="nil"/>
              <w:bottom w:val="nil"/>
              <w:right w:val="nil"/>
            </w:tcBorders>
          </w:tcPr>
          <w:p w14:paraId="7CB044B4" w14:textId="77777777" w:rsidR="000C35AF" w:rsidRPr="00113056" w:rsidRDefault="000C35AF" w:rsidP="009238AE">
            <w:pPr>
              <w:pStyle w:val="Regresjonstabell"/>
              <w:jc w:val="right"/>
              <w:rPr>
                <w:sz w:val="20"/>
                <w:szCs w:val="20"/>
              </w:rPr>
            </w:pPr>
            <w:r w:rsidRPr="00113056">
              <w:rPr>
                <w:sz w:val="20"/>
                <w:szCs w:val="20"/>
              </w:rPr>
              <w:t>13.266</w:t>
            </w:r>
          </w:p>
        </w:tc>
        <w:tc>
          <w:tcPr>
            <w:tcW w:w="1395" w:type="dxa"/>
            <w:tcBorders>
              <w:top w:val="nil"/>
              <w:left w:val="nil"/>
              <w:bottom w:val="nil"/>
              <w:right w:val="nil"/>
            </w:tcBorders>
          </w:tcPr>
          <w:p w14:paraId="114899E4" w14:textId="77777777" w:rsidR="000C35AF" w:rsidRPr="00113056" w:rsidRDefault="000C35AF" w:rsidP="009238AE">
            <w:pPr>
              <w:pStyle w:val="Regresjonstabell"/>
              <w:jc w:val="right"/>
              <w:rPr>
                <w:sz w:val="20"/>
                <w:szCs w:val="20"/>
              </w:rPr>
            </w:pPr>
            <w:r w:rsidRPr="00113056">
              <w:rPr>
                <w:sz w:val="20"/>
                <w:szCs w:val="20"/>
              </w:rPr>
              <w:t>-0.584</w:t>
            </w:r>
          </w:p>
        </w:tc>
        <w:tc>
          <w:tcPr>
            <w:tcW w:w="1395" w:type="dxa"/>
            <w:tcBorders>
              <w:top w:val="nil"/>
              <w:left w:val="nil"/>
              <w:bottom w:val="nil"/>
              <w:right w:val="nil"/>
            </w:tcBorders>
          </w:tcPr>
          <w:p w14:paraId="294473E8" w14:textId="77777777" w:rsidR="000C35AF" w:rsidRPr="00113056" w:rsidRDefault="000C35AF" w:rsidP="009238AE">
            <w:pPr>
              <w:pStyle w:val="Regresjonstabell"/>
              <w:jc w:val="right"/>
              <w:rPr>
                <w:sz w:val="20"/>
                <w:szCs w:val="20"/>
              </w:rPr>
            </w:pPr>
            <w:r w:rsidRPr="00113056">
              <w:rPr>
                <w:sz w:val="20"/>
                <w:szCs w:val="20"/>
              </w:rPr>
              <w:t>-0.153</w:t>
            </w:r>
          </w:p>
        </w:tc>
        <w:tc>
          <w:tcPr>
            <w:tcW w:w="1395" w:type="dxa"/>
            <w:tcBorders>
              <w:top w:val="nil"/>
              <w:left w:val="nil"/>
              <w:bottom w:val="nil"/>
              <w:right w:val="nil"/>
            </w:tcBorders>
          </w:tcPr>
          <w:p w14:paraId="421F47F9" w14:textId="77777777" w:rsidR="000C35AF" w:rsidRPr="00113056" w:rsidRDefault="000C35AF" w:rsidP="009238AE">
            <w:pPr>
              <w:pStyle w:val="Regresjonstabell"/>
              <w:jc w:val="right"/>
              <w:rPr>
                <w:sz w:val="20"/>
                <w:szCs w:val="20"/>
              </w:rPr>
            </w:pPr>
            <w:r w:rsidRPr="00113056">
              <w:rPr>
                <w:sz w:val="20"/>
                <w:szCs w:val="20"/>
              </w:rPr>
              <w:t>-0.281</w:t>
            </w:r>
          </w:p>
        </w:tc>
        <w:tc>
          <w:tcPr>
            <w:tcW w:w="1396" w:type="dxa"/>
            <w:tcBorders>
              <w:top w:val="nil"/>
              <w:left w:val="nil"/>
              <w:bottom w:val="nil"/>
              <w:right w:val="nil"/>
            </w:tcBorders>
          </w:tcPr>
          <w:p w14:paraId="4518FA3E" w14:textId="77777777" w:rsidR="000C35AF" w:rsidRPr="00113056" w:rsidRDefault="000C35AF" w:rsidP="009238AE">
            <w:pPr>
              <w:pStyle w:val="Regresjonstabell"/>
              <w:jc w:val="right"/>
              <w:rPr>
                <w:sz w:val="20"/>
                <w:szCs w:val="20"/>
              </w:rPr>
            </w:pPr>
            <w:r w:rsidRPr="00113056">
              <w:rPr>
                <w:sz w:val="20"/>
                <w:szCs w:val="20"/>
              </w:rPr>
              <w:t>-0.434</w:t>
            </w:r>
          </w:p>
        </w:tc>
        <w:tc>
          <w:tcPr>
            <w:tcW w:w="1399" w:type="dxa"/>
            <w:tcBorders>
              <w:top w:val="nil"/>
              <w:left w:val="nil"/>
              <w:bottom w:val="nil"/>
              <w:right w:val="single" w:sz="4" w:space="0" w:color="auto"/>
            </w:tcBorders>
          </w:tcPr>
          <w:p w14:paraId="6A44EDBE" w14:textId="77777777" w:rsidR="000C35AF" w:rsidRPr="00113056" w:rsidRDefault="000C35AF" w:rsidP="009238AE">
            <w:pPr>
              <w:pStyle w:val="Regresjonstabell"/>
              <w:jc w:val="right"/>
              <w:rPr>
                <w:sz w:val="20"/>
                <w:szCs w:val="20"/>
              </w:rPr>
            </w:pPr>
            <w:r w:rsidRPr="00113056">
              <w:rPr>
                <w:sz w:val="20"/>
                <w:szCs w:val="20"/>
              </w:rPr>
              <w:t>-21.434</w:t>
            </w:r>
          </w:p>
        </w:tc>
      </w:tr>
      <w:tr w:rsidR="000C35AF" w:rsidRPr="0055149C" w14:paraId="018319ED"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69E1378" w14:textId="77777777" w:rsidR="000C35AF" w:rsidRPr="0055149C" w:rsidRDefault="000C35AF" w:rsidP="009238AE">
            <w:pPr>
              <w:pStyle w:val="Regresjonstabell"/>
              <w:rPr>
                <w:color w:val="000000"/>
                <w:sz w:val="20"/>
                <w:szCs w:val="20"/>
              </w:rPr>
            </w:pPr>
            <w:r w:rsidRPr="0055149C">
              <w:rPr>
                <w:sz w:val="20"/>
                <w:szCs w:val="20"/>
              </w:rPr>
              <w:t>(Kriterium 8)</w:t>
            </w:r>
          </w:p>
        </w:tc>
        <w:tc>
          <w:tcPr>
            <w:tcW w:w="1398" w:type="dxa"/>
            <w:tcBorders>
              <w:top w:val="nil"/>
              <w:left w:val="single" w:sz="4" w:space="0" w:color="auto"/>
              <w:bottom w:val="nil"/>
              <w:right w:val="nil"/>
            </w:tcBorders>
          </w:tcPr>
          <w:p w14:paraId="395DAC40" w14:textId="77777777" w:rsidR="000C35AF" w:rsidRPr="00113056" w:rsidRDefault="000C35AF" w:rsidP="009238AE">
            <w:pPr>
              <w:pStyle w:val="Regresjonstabell"/>
              <w:jc w:val="right"/>
              <w:rPr>
                <w:sz w:val="20"/>
                <w:szCs w:val="20"/>
              </w:rPr>
            </w:pPr>
            <w:r w:rsidRPr="00113056">
              <w:rPr>
                <w:sz w:val="20"/>
                <w:szCs w:val="20"/>
              </w:rPr>
              <w:t>(47.670)</w:t>
            </w:r>
          </w:p>
        </w:tc>
        <w:tc>
          <w:tcPr>
            <w:tcW w:w="1440" w:type="dxa"/>
            <w:tcBorders>
              <w:top w:val="nil"/>
              <w:left w:val="nil"/>
              <w:bottom w:val="nil"/>
              <w:right w:val="nil"/>
            </w:tcBorders>
          </w:tcPr>
          <w:p w14:paraId="59A5DBEE" w14:textId="77777777" w:rsidR="000C35AF" w:rsidRPr="00113056" w:rsidRDefault="000C35AF" w:rsidP="009238AE">
            <w:pPr>
              <w:pStyle w:val="Regresjonstabell"/>
              <w:jc w:val="right"/>
              <w:rPr>
                <w:sz w:val="20"/>
                <w:szCs w:val="20"/>
              </w:rPr>
            </w:pPr>
            <w:r w:rsidRPr="00113056">
              <w:rPr>
                <w:sz w:val="20"/>
                <w:szCs w:val="20"/>
              </w:rPr>
              <w:t>(25.069)</w:t>
            </w:r>
          </w:p>
        </w:tc>
        <w:tc>
          <w:tcPr>
            <w:tcW w:w="1397" w:type="dxa"/>
            <w:tcBorders>
              <w:top w:val="nil"/>
              <w:left w:val="nil"/>
              <w:bottom w:val="nil"/>
              <w:right w:val="nil"/>
            </w:tcBorders>
          </w:tcPr>
          <w:p w14:paraId="4AF31AA5" w14:textId="77777777" w:rsidR="000C35AF" w:rsidRPr="00113056" w:rsidRDefault="000C35AF" w:rsidP="009238AE">
            <w:pPr>
              <w:pStyle w:val="Regresjonstabell"/>
              <w:jc w:val="right"/>
              <w:rPr>
                <w:sz w:val="20"/>
                <w:szCs w:val="20"/>
              </w:rPr>
            </w:pPr>
            <w:r w:rsidRPr="00113056">
              <w:rPr>
                <w:sz w:val="20"/>
                <w:szCs w:val="20"/>
              </w:rPr>
              <w:t>(31.601)</w:t>
            </w:r>
          </w:p>
        </w:tc>
        <w:tc>
          <w:tcPr>
            <w:tcW w:w="1395" w:type="dxa"/>
            <w:tcBorders>
              <w:top w:val="nil"/>
              <w:left w:val="nil"/>
              <w:bottom w:val="nil"/>
              <w:right w:val="nil"/>
            </w:tcBorders>
          </w:tcPr>
          <w:p w14:paraId="6B51F5F8" w14:textId="77777777" w:rsidR="000C35AF" w:rsidRPr="00113056" w:rsidRDefault="000C35AF" w:rsidP="009238AE">
            <w:pPr>
              <w:pStyle w:val="Regresjonstabell"/>
              <w:jc w:val="right"/>
              <w:rPr>
                <w:sz w:val="20"/>
                <w:szCs w:val="20"/>
              </w:rPr>
            </w:pPr>
            <w:r w:rsidRPr="00113056">
              <w:rPr>
                <w:sz w:val="20"/>
                <w:szCs w:val="20"/>
              </w:rPr>
              <w:t>(8.014)</w:t>
            </w:r>
          </w:p>
        </w:tc>
        <w:tc>
          <w:tcPr>
            <w:tcW w:w="1395" w:type="dxa"/>
            <w:tcBorders>
              <w:top w:val="nil"/>
              <w:left w:val="nil"/>
              <w:bottom w:val="nil"/>
              <w:right w:val="nil"/>
            </w:tcBorders>
          </w:tcPr>
          <w:p w14:paraId="4256169E" w14:textId="77777777" w:rsidR="000C35AF" w:rsidRPr="00113056" w:rsidRDefault="000C35AF" w:rsidP="009238AE">
            <w:pPr>
              <w:pStyle w:val="Regresjonstabell"/>
              <w:jc w:val="right"/>
              <w:rPr>
                <w:sz w:val="20"/>
                <w:szCs w:val="20"/>
              </w:rPr>
            </w:pPr>
            <w:r w:rsidRPr="00113056">
              <w:rPr>
                <w:sz w:val="20"/>
                <w:szCs w:val="20"/>
              </w:rPr>
              <w:t>(2.668)</w:t>
            </w:r>
          </w:p>
        </w:tc>
        <w:tc>
          <w:tcPr>
            <w:tcW w:w="1395" w:type="dxa"/>
            <w:tcBorders>
              <w:top w:val="nil"/>
              <w:left w:val="nil"/>
              <w:bottom w:val="nil"/>
              <w:right w:val="nil"/>
            </w:tcBorders>
          </w:tcPr>
          <w:p w14:paraId="7BAE780C" w14:textId="77777777" w:rsidR="000C35AF" w:rsidRPr="00113056" w:rsidRDefault="000C35AF" w:rsidP="009238AE">
            <w:pPr>
              <w:pStyle w:val="Regresjonstabell"/>
              <w:jc w:val="right"/>
              <w:rPr>
                <w:sz w:val="20"/>
                <w:szCs w:val="20"/>
              </w:rPr>
            </w:pPr>
            <w:r w:rsidRPr="00113056">
              <w:rPr>
                <w:sz w:val="20"/>
                <w:szCs w:val="20"/>
              </w:rPr>
              <w:t>(4.620)</w:t>
            </w:r>
          </w:p>
        </w:tc>
        <w:tc>
          <w:tcPr>
            <w:tcW w:w="1396" w:type="dxa"/>
            <w:tcBorders>
              <w:top w:val="nil"/>
              <w:left w:val="nil"/>
              <w:bottom w:val="nil"/>
              <w:right w:val="nil"/>
            </w:tcBorders>
          </w:tcPr>
          <w:p w14:paraId="6F405D97" w14:textId="77777777" w:rsidR="000C35AF" w:rsidRPr="00113056" w:rsidRDefault="000C35AF" w:rsidP="009238AE">
            <w:pPr>
              <w:pStyle w:val="Regresjonstabell"/>
              <w:jc w:val="right"/>
              <w:rPr>
                <w:sz w:val="20"/>
                <w:szCs w:val="20"/>
              </w:rPr>
            </w:pPr>
            <w:r w:rsidRPr="00113056">
              <w:rPr>
                <w:sz w:val="20"/>
                <w:szCs w:val="20"/>
              </w:rPr>
              <w:t>(7.288)</w:t>
            </w:r>
          </w:p>
        </w:tc>
        <w:tc>
          <w:tcPr>
            <w:tcW w:w="1399" w:type="dxa"/>
            <w:tcBorders>
              <w:top w:val="nil"/>
              <w:left w:val="nil"/>
              <w:bottom w:val="nil"/>
              <w:right w:val="single" w:sz="4" w:space="0" w:color="auto"/>
            </w:tcBorders>
          </w:tcPr>
          <w:p w14:paraId="1353662A" w14:textId="77777777" w:rsidR="000C35AF" w:rsidRPr="00113056" w:rsidRDefault="000C35AF" w:rsidP="009238AE">
            <w:pPr>
              <w:pStyle w:val="Regresjonstabell"/>
              <w:jc w:val="right"/>
              <w:rPr>
                <w:sz w:val="20"/>
                <w:szCs w:val="20"/>
              </w:rPr>
            </w:pPr>
            <w:r w:rsidRPr="00113056">
              <w:rPr>
                <w:sz w:val="20"/>
                <w:szCs w:val="20"/>
              </w:rPr>
              <w:t>(47.386)</w:t>
            </w:r>
          </w:p>
        </w:tc>
      </w:tr>
      <w:tr w:rsidR="000C35AF" w:rsidRPr="0055149C" w14:paraId="4BC2F8A5"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D864336" w14:textId="77777777" w:rsidR="000C35AF" w:rsidRPr="0055149C" w:rsidRDefault="000C35AF" w:rsidP="009238AE">
            <w:pPr>
              <w:pStyle w:val="Regresjonstabell"/>
              <w:rPr>
                <w:color w:val="000000"/>
                <w:sz w:val="20"/>
                <w:szCs w:val="20"/>
              </w:rPr>
            </w:pPr>
            <w:r w:rsidRPr="0055149C">
              <w:rPr>
                <w:sz w:val="20"/>
                <w:szCs w:val="20"/>
              </w:rPr>
              <w:t>Innbyggere 80 til 89 år</w:t>
            </w:r>
          </w:p>
        </w:tc>
        <w:tc>
          <w:tcPr>
            <w:tcW w:w="1398" w:type="dxa"/>
            <w:tcBorders>
              <w:top w:val="nil"/>
              <w:left w:val="single" w:sz="4" w:space="0" w:color="auto"/>
              <w:bottom w:val="nil"/>
              <w:right w:val="nil"/>
            </w:tcBorders>
          </w:tcPr>
          <w:p w14:paraId="42CD253E" w14:textId="77777777" w:rsidR="000C35AF" w:rsidRPr="00113056" w:rsidRDefault="000C35AF" w:rsidP="009238AE">
            <w:pPr>
              <w:pStyle w:val="Regresjonstabell"/>
              <w:jc w:val="right"/>
              <w:rPr>
                <w:sz w:val="20"/>
                <w:szCs w:val="20"/>
              </w:rPr>
            </w:pPr>
            <w:r w:rsidRPr="00113056">
              <w:rPr>
                <w:sz w:val="20"/>
                <w:szCs w:val="20"/>
              </w:rPr>
              <w:t>-104.281</w:t>
            </w:r>
          </w:p>
        </w:tc>
        <w:tc>
          <w:tcPr>
            <w:tcW w:w="1440" w:type="dxa"/>
            <w:tcBorders>
              <w:top w:val="nil"/>
              <w:left w:val="nil"/>
              <w:bottom w:val="nil"/>
              <w:right w:val="nil"/>
            </w:tcBorders>
          </w:tcPr>
          <w:p w14:paraId="531A8A76" w14:textId="77777777" w:rsidR="000C35AF" w:rsidRPr="00113056" w:rsidRDefault="000C35AF" w:rsidP="009238AE">
            <w:pPr>
              <w:pStyle w:val="Regresjonstabell"/>
              <w:jc w:val="right"/>
              <w:rPr>
                <w:sz w:val="20"/>
                <w:szCs w:val="20"/>
              </w:rPr>
            </w:pPr>
            <w:r w:rsidRPr="00113056">
              <w:rPr>
                <w:sz w:val="20"/>
                <w:szCs w:val="20"/>
              </w:rPr>
              <w:t>-96.475**</w:t>
            </w:r>
          </w:p>
        </w:tc>
        <w:tc>
          <w:tcPr>
            <w:tcW w:w="1397" w:type="dxa"/>
            <w:tcBorders>
              <w:top w:val="nil"/>
              <w:left w:val="nil"/>
              <w:bottom w:val="nil"/>
              <w:right w:val="nil"/>
            </w:tcBorders>
          </w:tcPr>
          <w:p w14:paraId="3C3EA53D" w14:textId="77777777" w:rsidR="000C35AF" w:rsidRPr="00113056" w:rsidRDefault="000C35AF" w:rsidP="009238AE">
            <w:pPr>
              <w:pStyle w:val="Regresjonstabell"/>
              <w:jc w:val="right"/>
              <w:rPr>
                <w:sz w:val="20"/>
                <w:szCs w:val="20"/>
              </w:rPr>
            </w:pPr>
            <w:r w:rsidRPr="00113056">
              <w:rPr>
                <w:sz w:val="20"/>
                <w:szCs w:val="20"/>
              </w:rPr>
              <w:t>-7.807</w:t>
            </w:r>
          </w:p>
        </w:tc>
        <w:tc>
          <w:tcPr>
            <w:tcW w:w="1395" w:type="dxa"/>
            <w:tcBorders>
              <w:top w:val="nil"/>
              <w:left w:val="nil"/>
              <w:bottom w:val="nil"/>
              <w:right w:val="nil"/>
            </w:tcBorders>
          </w:tcPr>
          <w:p w14:paraId="4A55DCDE" w14:textId="77777777" w:rsidR="000C35AF" w:rsidRPr="00113056" w:rsidRDefault="000C35AF" w:rsidP="009238AE">
            <w:pPr>
              <w:pStyle w:val="Regresjonstabell"/>
              <w:jc w:val="right"/>
              <w:rPr>
                <w:sz w:val="20"/>
                <w:szCs w:val="20"/>
              </w:rPr>
            </w:pPr>
            <w:r w:rsidRPr="00113056">
              <w:rPr>
                <w:sz w:val="20"/>
                <w:szCs w:val="20"/>
              </w:rPr>
              <w:t>1.367</w:t>
            </w:r>
          </w:p>
        </w:tc>
        <w:tc>
          <w:tcPr>
            <w:tcW w:w="1395" w:type="dxa"/>
            <w:tcBorders>
              <w:top w:val="nil"/>
              <w:left w:val="nil"/>
              <w:bottom w:val="nil"/>
              <w:right w:val="nil"/>
            </w:tcBorders>
          </w:tcPr>
          <w:p w14:paraId="5B0703F8" w14:textId="77777777" w:rsidR="000C35AF" w:rsidRPr="00113056" w:rsidRDefault="000C35AF" w:rsidP="009238AE">
            <w:pPr>
              <w:pStyle w:val="Regresjonstabell"/>
              <w:jc w:val="right"/>
              <w:rPr>
                <w:sz w:val="20"/>
                <w:szCs w:val="20"/>
              </w:rPr>
            </w:pPr>
            <w:r w:rsidRPr="00113056">
              <w:rPr>
                <w:sz w:val="20"/>
                <w:szCs w:val="20"/>
              </w:rPr>
              <w:t>3.215</w:t>
            </w:r>
          </w:p>
        </w:tc>
        <w:tc>
          <w:tcPr>
            <w:tcW w:w="1395" w:type="dxa"/>
            <w:tcBorders>
              <w:top w:val="nil"/>
              <w:left w:val="nil"/>
              <w:bottom w:val="nil"/>
              <w:right w:val="nil"/>
            </w:tcBorders>
          </w:tcPr>
          <w:p w14:paraId="37301A56" w14:textId="77777777" w:rsidR="000C35AF" w:rsidRPr="00113056" w:rsidRDefault="000C35AF" w:rsidP="009238AE">
            <w:pPr>
              <w:pStyle w:val="Regresjonstabell"/>
              <w:jc w:val="right"/>
              <w:rPr>
                <w:sz w:val="20"/>
                <w:szCs w:val="20"/>
              </w:rPr>
            </w:pPr>
            <w:r w:rsidRPr="00113056">
              <w:rPr>
                <w:sz w:val="20"/>
                <w:szCs w:val="20"/>
              </w:rPr>
              <w:t>5.442</w:t>
            </w:r>
          </w:p>
        </w:tc>
        <w:tc>
          <w:tcPr>
            <w:tcW w:w="1396" w:type="dxa"/>
            <w:tcBorders>
              <w:top w:val="nil"/>
              <w:left w:val="nil"/>
              <w:bottom w:val="nil"/>
              <w:right w:val="nil"/>
            </w:tcBorders>
          </w:tcPr>
          <w:p w14:paraId="4B6F1588" w14:textId="77777777" w:rsidR="000C35AF" w:rsidRPr="00113056" w:rsidRDefault="000C35AF" w:rsidP="009238AE">
            <w:pPr>
              <w:pStyle w:val="Regresjonstabell"/>
              <w:jc w:val="right"/>
              <w:rPr>
                <w:sz w:val="20"/>
                <w:szCs w:val="20"/>
              </w:rPr>
            </w:pPr>
            <w:r w:rsidRPr="00113056">
              <w:rPr>
                <w:sz w:val="20"/>
                <w:szCs w:val="20"/>
              </w:rPr>
              <w:t>8.656</w:t>
            </w:r>
          </w:p>
        </w:tc>
        <w:tc>
          <w:tcPr>
            <w:tcW w:w="1399" w:type="dxa"/>
            <w:tcBorders>
              <w:top w:val="nil"/>
              <w:left w:val="nil"/>
              <w:bottom w:val="nil"/>
              <w:right w:val="single" w:sz="4" w:space="0" w:color="auto"/>
            </w:tcBorders>
          </w:tcPr>
          <w:p w14:paraId="7F99D666" w14:textId="77777777" w:rsidR="000C35AF" w:rsidRPr="00113056" w:rsidRDefault="000C35AF" w:rsidP="009238AE">
            <w:pPr>
              <w:pStyle w:val="Regresjonstabell"/>
              <w:jc w:val="right"/>
              <w:rPr>
                <w:sz w:val="20"/>
                <w:szCs w:val="20"/>
              </w:rPr>
            </w:pPr>
            <w:r w:rsidRPr="00113056">
              <w:rPr>
                <w:sz w:val="20"/>
                <w:szCs w:val="20"/>
              </w:rPr>
              <w:t>-95.625</w:t>
            </w:r>
          </w:p>
        </w:tc>
      </w:tr>
      <w:tr w:rsidR="000C35AF" w:rsidRPr="0055149C" w14:paraId="033A5AFE"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1C9B9DF" w14:textId="77777777" w:rsidR="000C35AF" w:rsidRPr="0055149C" w:rsidRDefault="000C35AF" w:rsidP="009238AE">
            <w:pPr>
              <w:pStyle w:val="Regresjonstabell"/>
              <w:rPr>
                <w:color w:val="000000"/>
                <w:sz w:val="20"/>
                <w:szCs w:val="20"/>
              </w:rPr>
            </w:pPr>
            <w:r w:rsidRPr="0055149C">
              <w:rPr>
                <w:sz w:val="20"/>
                <w:szCs w:val="20"/>
              </w:rPr>
              <w:t>(Kriterium 9)</w:t>
            </w:r>
          </w:p>
        </w:tc>
        <w:tc>
          <w:tcPr>
            <w:tcW w:w="1398" w:type="dxa"/>
            <w:tcBorders>
              <w:top w:val="nil"/>
              <w:left w:val="single" w:sz="4" w:space="0" w:color="auto"/>
              <w:bottom w:val="nil"/>
              <w:right w:val="nil"/>
            </w:tcBorders>
          </w:tcPr>
          <w:p w14:paraId="02EC5105" w14:textId="77777777" w:rsidR="000C35AF" w:rsidRPr="00113056" w:rsidRDefault="000C35AF" w:rsidP="009238AE">
            <w:pPr>
              <w:pStyle w:val="Regresjonstabell"/>
              <w:jc w:val="right"/>
              <w:rPr>
                <w:sz w:val="20"/>
                <w:szCs w:val="20"/>
              </w:rPr>
            </w:pPr>
            <w:r w:rsidRPr="00113056">
              <w:rPr>
                <w:sz w:val="20"/>
                <w:szCs w:val="20"/>
              </w:rPr>
              <w:t>(83.480)</w:t>
            </w:r>
          </w:p>
        </w:tc>
        <w:tc>
          <w:tcPr>
            <w:tcW w:w="1440" w:type="dxa"/>
            <w:tcBorders>
              <w:top w:val="nil"/>
              <w:left w:val="nil"/>
              <w:bottom w:val="nil"/>
              <w:right w:val="nil"/>
            </w:tcBorders>
          </w:tcPr>
          <w:p w14:paraId="3EECD85A" w14:textId="77777777" w:rsidR="000C35AF" w:rsidRPr="00113056" w:rsidRDefault="000C35AF" w:rsidP="009238AE">
            <w:pPr>
              <w:pStyle w:val="Regresjonstabell"/>
              <w:jc w:val="right"/>
              <w:rPr>
                <w:sz w:val="20"/>
                <w:szCs w:val="20"/>
              </w:rPr>
            </w:pPr>
            <w:r w:rsidRPr="00113056">
              <w:rPr>
                <w:sz w:val="20"/>
                <w:szCs w:val="20"/>
              </w:rPr>
              <w:t>(48.567)</w:t>
            </w:r>
          </w:p>
        </w:tc>
        <w:tc>
          <w:tcPr>
            <w:tcW w:w="1397" w:type="dxa"/>
            <w:tcBorders>
              <w:top w:val="nil"/>
              <w:left w:val="nil"/>
              <w:bottom w:val="nil"/>
              <w:right w:val="nil"/>
            </w:tcBorders>
          </w:tcPr>
          <w:p w14:paraId="1F34BCA2" w14:textId="77777777" w:rsidR="000C35AF" w:rsidRPr="00113056" w:rsidRDefault="000C35AF" w:rsidP="009238AE">
            <w:pPr>
              <w:pStyle w:val="Regresjonstabell"/>
              <w:jc w:val="right"/>
              <w:rPr>
                <w:sz w:val="20"/>
                <w:szCs w:val="20"/>
              </w:rPr>
            </w:pPr>
            <w:r w:rsidRPr="00113056">
              <w:rPr>
                <w:sz w:val="20"/>
                <w:szCs w:val="20"/>
              </w:rPr>
              <w:t>(49.884)</w:t>
            </w:r>
          </w:p>
        </w:tc>
        <w:tc>
          <w:tcPr>
            <w:tcW w:w="1395" w:type="dxa"/>
            <w:tcBorders>
              <w:top w:val="nil"/>
              <w:left w:val="nil"/>
              <w:bottom w:val="nil"/>
              <w:right w:val="nil"/>
            </w:tcBorders>
          </w:tcPr>
          <w:p w14:paraId="4535455A" w14:textId="77777777" w:rsidR="000C35AF" w:rsidRPr="00113056" w:rsidRDefault="000C35AF" w:rsidP="009238AE">
            <w:pPr>
              <w:pStyle w:val="Regresjonstabell"/>
              <w:jc w:val="right"/>
              <w:rPr>
                <w:sz w:val="20"/>
                <w:szCs w:val="20"/>
              </w:rPr>
            </w:pPr>
            <w:r w:rsidRPr="00113056">
              <w:rPr>
                <w:sz w:val="20"/>
                <w:szCs w:val="20"/>
              </w:rPr>
              <w:t>(14.131)</w:t>
            </w:r>
          </w:p>
        </w:tc>
        <w:tc>
          <w:tcPr>
            <w:tcW w:w="1395" w:type="dxa"/>
            <w:tcBorders>
              <w:top w:val="nil"/>
              <w:left w:val="nil"/>
              <w:bottom w:val="nil"/>
              <w:right w:val="nil"/>
            </w:tcBorders>
          </w:tcPr>
          <w:p w14:paraId="27B277DF" w14:textId="77777777" w:rsidR="000C35AF" w:rsidRPr="00113056" w:rsidRDefault="000C35AF" w:rsidP="009238AE">
            <w:pPr>
              <w:pStyle w:val="Regresjonstabell"/>
              <w:jc w:val="right"/>
              <w:rPr>
                <w:sz w:val="20"/>
                <w:szCs w:val="20"/>
              </w:rPr>
            </w:pPr>
            <w:r w:rsidRPr="00113056">
              <w:rPr>
                <w:sz w:val="20"/>
                <w:szCs w:val="20"/>
              </w:rPr>
              <w:t>(7.274)</w:t>
            </w:r>
          </w:p>
        </w:tc>
        <w:tc>
          <w:tcPr>
            <w:tcW w:w="1395" w:type="dxa"/>
            <w:tcBorders>
              <w:top w:val="nil"/>
              <w:left w:val="nil"/>
              <w:bottom w:val="nil"/>
              <w:right w:val="nil"/>
            </w:tcBorders>
          </w:tcPr>
          <w:p w14:paraId="04AD6841" w14:textId="77777777" w:rsidR="000C35AF" w:rsidRPr="00113056" w:rsidRDefault="000C35AF" w:rsidP="009238AE">
            <w:pPr>
              <w:pStyle w:val="Regresjonstabell"/>
              <w:jc w:val="right"/>
              <w:rPr>
                <w:sz w:val="20"/>
                <w:szCs w:val="20"/>
              </w:rPr>
            </w:pPr>
            <w:r w:rsidRPr="00113056">
              <w:rPr>
                <w:sz w:val="20"/>
                <w:szCs w:val="20"/>
              </w:rPr>
              <w:t>(12.566)</w:t>
            </w:r>
          </w:p>
        </w:tc>
        <w:tc>
          <w:tcPr>
            <w:tcW w:w="1396" w:type="dxa"/>
            <w:tcBorders>
              <w:top w:val="nil"/>
              <w:left w:val="nil"/>
              <w:bottom w:val="nil"/>
              <w:right w:val="nil"/>
            </w:tcBorders>
          </w:tcPr>
          <w:p w14:paraId="0B85289C" w14:textId="77777777" w:rsidR="000C35AF" w:rsidRPr="00113056" w:rsidRDefault="000C35AF" w:rsidP="009238AE">
            <w:pPr>
              <w:pStyle w:val="Regresjonstabell"/>
              <w:jc w:val="right"/>
              <w:rPr>
                <w:sz w:val="20"/>
                <w:szCs w:val="20"/>
              </w:rPr>
            </w:pPr>
            <w:r w:rsidRPr="00113056">
              <w:rPr>
                <w:sz w:val="20"/>
                <w:szCs w:val="20"/>
              </w:rPr>
              <w:t>(19.839)</w:t>
            </w:r>
          </w:p>
        </w:tc>
        <w:tc>
          <w:tcPr>
            <w:tcW w:w="1399" w:type="dxa"/>
            <w:tcBorders>
              <w:top w:val="nil"/>
              <w:left w:val="nil"/>
              <w:bottom w:val="nil"/>
              <w:right w:val="single" w:sz="4" w:space="0" w:color="auto"/>
            </w:tcBorders>
          </w:tcPr>
          <w:p w14:paraId="0E73957B" w14:textId="77777777" w:rsidR="000C35AF" w:rsidRPr="00113056" w:rsidRDefault="000C35AF" w:rsidP="009238AE">
            <w:pPr>
              <w:pStyle w:val="Regresjonstabell"/>
              <w:jc w:val="right"/>
              <w:rPr>
                <w:sz w:val="20"/>
                <w:szCs w:val="20"/>
              </w:rPr>
            </w:pPr>
            <w:r w:rsidRPr="00113056">
              <w:rPr>
                <w:sz w:val="20"/>
                <w:szCs w:val="20"/>
              </w:rPr>
              <w:t>(83.775)</w:t>
            </w:r>
          </w:p>
        </w:tc>
      </w:tr>
      <w:tr w:rsidR="000C35AF" w:rsidRPr="0055149C" w14:paraId="6235B0FF"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70C16470" w14:textId="77777777" w:rsidR="000C35AF" w:rsidRPr="0055149C" w:rsidRDefault="000C35AF" w:rsidP="009238AE">
            <w:pPr>
              <w:pStyle w:val="Regresjonstabell"/>
              <w:rPr>
                <w:color w:val="000000"/>
                <w:sz w:val="20"/>
                <w:szCs w:val="20"/>
              </w:rPr>
            </w:pPr>
            <w:r w:rsidRPr="0055149C">
              <w:rPr>
                <w:color w:val="000000"/>
                <w:sz w:val="20"/>
                <w:szCs w:val="20"/>
              </w:rPr>
              <w:t>Gradert basiskriterium</w:t>
            </w:r>
          </w:p>
        </w:tc>
        <w:tc>
          <w:tcPr>
            <w:tcW w:w="1398" w:type="dxa"/>
            <w:tcBorders>
              <w:top w:val="nil"/>
              <w:left w:val="single" w:sz="4" w:space="0" w:color="auto"/>
              <w:bottom w:val="nil"/>
              <w:right w:val="nil"/>
            </w:tcBorders>
          </w:tcPr>
          <w:p w14:paraId="4637164C" w14:textId="77777777" w:rsidR="000C35AF" w:rsidRPr="00113056" w:rsidRDefault="000C35AF" w:rsidP="009238AE">
            <w:pPr>
              <w:pStyle w:val="Regresjonstabell"/>
              <w:jc w:val="right"/>
              <w:rPr>
                <w:sz w:val="20"/>
                <w:szCs w:val="20"/>
              </w:rPr>
            </w:pPr>
            <w:r w:rsidRPr="00113056">
              <w:rPr>
                <w:sz w:val="20"/>
                <w:szCs w:val="20"/>
              </w:rPr>
              <w:t>5,930.910**</w:t>
            </w:r>
          </w:p>
        </w:tc>
        <w:tc>
          <w:tcPr>
            <w:tcW w:w="1440" w:type="dxa"/>
            <w:tcBorders>
              <w:top w:val="nil"/>
              <w:left w:val="nil"/>
              <w:bottom w:val="nil"/>
              <w:right w:val="nil"/>
            </w:tcBorders>
          </w:tcPr>
          <w:p w14:paraId="4A5F4AE2" w14:textId="77777777" w:rsidR="000C35AF" w:rsidRPr="00113056" w:rsidRDefault="000C35AF" w:rsidP="009238AE">
            <w:pPr>
              <w:pStyle w:val="Regresjonstabell"/>
              <w:jc w:val="right"/>
              <w:rPr>
                <w:sz w:val="20"/>
                <w:szCs w:val="20"/>
              </w:rPr>
            </w:pPr>
            <w:r w:rsidRPr="00113056">
              <w:rPr>
                <w:sz w:val="20"/>
                <w:szCs w:val="20"/>
              </w:rPr>
              <w:t>5,192.584***</w:t>
            </w:r>
          </w:p>
        </w:tc>
        <w:tc>
          <w:tcPr>
            <w:tcW w:w="1397" w:type="dxa"/>
            <w:tcBorders>
              <w:top w:val="nil"/>
              <w:left w:val="nil"/>
              <w:bottom w:val="nil"/>
              <w:right w:val="nil"/>
            </w:tcBorders>
          </w:tcPr>
          <w:p w14:paraId="44C8A1CF" w14:textId="77777777" w:rsidR="000C35AF" w:rsidRPr="00113056" w:rsidRDefault="000C35AF" w:rsidP="009238AE">
            <w:pPr>
              <w:pStyle w:val="Regresjonstabell"/>
              <w:jc w:val="right"/>
              <w:rPr>
                <w:sz w:val="20"/>
                <w:szCs w:val="20"/>
              </w:rPr>
            </w:pPr>
            <w:r w:rsidRPr="00113056">
              <w:rPr>
                <w:sz w:val="20"/>
                <w:szCs w:val="20"/>
              </w:rPr>
              <w:t>738.326</w:t>
            </w:r>
          </w:p>
        </w:tc>
        <w:tc>
          <w:tcPr>
            <w:tcW w:w="1395" w:type="dxa"/>
            <w:tcBorders>
              <w:top w:val="nil"/>
              <w:left w:val="nil"/>
              <w:bottom w:val="nil"/>
              <w:right w:val="nil"/>
            </w:tcBorders>
          </w:tcPr>
          <w:p w14:paraId="5FF456A4" w14:textId="77777777" w:rsidR="000C35AF" w:rsidRPr="00113056" w:rsidRDefault="000C35AF" w:rsidP="009238AE">
            <w:pPr>
              <w:pStyle w:val="Regresjonstabell"/>
              <w:jc w:val="right"/>
              <w:rPr>
                <w:sz w:val="20"/>
                <w:szCs w:val="20"/>
              </w:rPr>
            </w:pPr>
            <w:r w:rsidRPr="00113056">
              <w:rPr>
                <w:sz w:val="20"/>
                <w:szCs w:val="20"/>
              </w:rPr>
              <w:t>-176.007</w:t>
            </w:r>
          </w:p>
        </w:tc>
        <w:tc>
          <w:tcPr>
            <w:tcW w:w="1395" w:type="dxa"/>
            <w:tcBorders>
              <w:top w:val="nil"/>
              <w:left w:val="nil"/>
              <w:bottom w:val="nil"/>
              <w:right w:val="nil"/>
            </w:tcBorders>
          </w:tcPr>
          <w:p w14:paraId="3BACC69E" w14:textId="77777777" w:rsidR="000C35AF" w:rsidRPr="00113056" w:rsidRDefault="000C35AF" w:rsidP="009238AE">
            <w:pPr>
              <w:pStyle w:val="Regresjonstabell"/>
              <w:jc w:val="right"/>
              <w:rPr>
                <w:sz w:val="20"/>
                <w:szCs w:val="20"/>
              </w:rPr>
            </w:pPr>
            <w:r w:rsidRPr="00113056">
              <w:rPr>
                <w:sz w:val="20"/>
                <w:szCs w:val="20"/>
              </w:rPr>
              <w:t>100.753</w:t>
            </w:r>
          </w:p>
        </w:tc>
        <w:tc>
          <w:tcPr>
            <w:tcW w:w="1395" w:type="dxa"/>
            <w:tcBorders>
              <w:top w:val="nil"/>
              <w:left w:val="nil"/>
              <w:bottom w:val="nil"/>
              <w:right w:val="nil"/>
            </w:tcBorders>
          </w:tcPr>
          <w:p w14:paraId="6E4C6A98" w14:textId="77777777" w:rsidR="000C35AF" w:rsidRPr="00113056" w:rsidRDefault="000C35AF" w:rsidP="009238AE">
            <w:pPr>
              <w:pStyle w:val="Regresjonstabell"/>
              <w:jc w:val="right"/>
              <w:rPr>
                <w:sz w:val="20"/>
                <w:szCs w:val="20"/>
              </w:rPr>
            </w:pPr>
            <w:r w:rsidRPr="00113056">
              <w:rPr>
                <w:sz w:val="20"/>
                <w:szCs w:val="20"/>
              </w:rPr>
              <w:t>175.473</w:t>
            </w:r>
          </w:p>
        </w:tc>
        <w:tc>
          <w:tcPr>
            <w:tcW w:w="1396" w:type="dxa"/>
            <w:tcBorders>
              <w:top w:val="nil"/>
              <w:left w:val="nil"/>
              <w:bottom w:val="nil"/>
              <w:right w:val="nil"/>
            </w:tcBorders>
          </w:tcPr>
          <w:p w14:paraId="04A24933" w14:textId="77777777" w:rsidR="000C35AF" w:rsidRPr="00113056" w:rsidRDefault="000C35AF" w:rsidP="009238AE">
            <w:pPr>
              <w:pStyle w:val="Regresjonstabell"/>
              <w:jc w:val="right"/>
              <w:rPr>
                <w:sz w:val="20"/>
                <w:szCs w:val="20"/>
              </w:rPr>
            </w:pPr>
            <w:r w:rsidRPr="00113056">
              <w:rPr>
                <w:sz w:val="20"/>
                <w:szCs w:val="20"/>
              </w:rPr>
              <w:t>276.226</w:t>
            </w:r>
          </w:p>
        </w:tc>
        <w:tc>
          <w:tcPr>
            <w:tcW w:w="1399" w:type="dxa"/>
            <w:tcBorders>
              <w:top w:val="nil"/>
              <w:left w:val="nil"/>
              <w:bottom w:val="nil"/>
              <w:right w:val="single" w:sz="4" w:space="0" w:color="auto"/>
            </w:tcBorders>
          </w:tcPr>
          <w:p w14:paraId="60DEE64B" w14:textId="77777777" w:rsidR="000C35AF" w:rsidRPr="00113056" w:rsidRDefault="000C35AF" w:rsidP="009238AE">
            <w:pPr>
              <w:pStyle w:val="Regresjonstabell"/>
              <w:jc w:val="right"/>
              <w:rPr>
                <w:sz w:val="20"/>
                <w:szCs w:val="20"/>
              </w:rPr>
            </w:pPr>
            <w:r w:rsidRPr="00113056">
              <w:rPr>
                <w:sz w:val="20"/>
                <w:szCs w:val="20"/>
              </w:rPr>
              <w:t>6,207.136**</w:t>
            </w:r>
          </w:p>
        </w:tc>
      </w:tr>
      <w:tr w:rsidR="000C35AF" w:rsidRPr="0055149C" w14:paraId="284C2AD7"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0D41A1A" w14:textId="77777777" w:rsidR="000C35AF" w:rsidRPr="0055149C" w:rsidRDefault="000C35AF" w:rsidP="009238AE">
            <w:pPr>
              <w:pStyle w:val="Regresjonstabell"/>
              <w:rPr>
                <w:color w:val="000000"/>
                <w:sz w:val="20"/>
                <w:szCs w:val="20"/>
              </w:rPr>
            </w:pPr>
            <w:r w:rsidRPr="0055149C">
              <w:rPr>
                <w:sz w:val="20"/>
                <w:szCs w:val="20"/>
              </w:rPr>
              <w:t>(Kriterium 12)</w:t>
            </w:r>
          </w:p>
        </w:tc>
        <w:tc>
          <w:tcPr>
            <w:tcW w:w="1398" w:type="dxa"/>
            <w:tcBorders>
              <w:top w:val="nil"/>
              <w:left w:val="single" w:sz="4" w:space="0" w:color="auto"/>
              <w:bottom w:val="nil"/>
              <w:right w:val="nil"/>
            </w:tcBorders>
          </w:tcPr>
          <w:p w14:paraId="23FA2DC4" w14:textId="77777777" w:rsidR="000C35AF" w:rsidRPr="00113056" w:rsidRDefault="000C35AF" w:rsidP="009238AE">
            <w:pPr>
              <w:pStyle w:val="Regresjonstabell"/>
              <w:jc w:val="right"/>
              <w:rPr>
                <w:sz w:val="20"/>
                <w:szCs w:val="20"/>
              </w:rPr>
            </w:pPr>
            <w:r w:rsidRPr="00113056">
              <w:rPr>
                <w:sz w:val="20"/>
                <w:szCs w:val="20"/>
              </w:rPr>
              <w:t>(2,516.984)</w:t>
            </w:r>
          </w:p>
        </w:tc>
        <w:tc>
          <w:tcPr>
            <w:tcW w:w="1440" w:type="dxa"/>
            <w:tcBorders>
              <w:top w:val="nil"/>
              <w:left w:val="nil"/>
              <w:bottom w:val="nil"/>
              <w:right w:val="nil"/>
            </w:tcBorders>
          </w:tcPr>
          <w:p w14:paraId="4FBA7545" w14:textId="77777777" w:rsidR="000C35AF" w:rsidRPr="00113056" w:rsidRDefault="000C35AF" w:rsidP="009238AE">
            <w:pPr>
              <w:pStyle w:val="Regresjonstabell"/>
              <w:jc w:val="right"/>
              <w:rPr>
                <w:sz w:val="20"/>
                <w:szCs w:val="20"/>
              </w:rPr>
            </w:pPr>
            <w:r w:rsidRPr="00113056">
              <w:rPr>
                <w:sz w:val="20"/>
                <w:szCs w:val="20"/>
              </w:rPr>
              <w:t>(1,070.422)</w:t>
            </w:r>
          </w:p>
        </w:tc>
        <w:tc>
          <w:tcPr>
            <w:tcW w:w="1397" w:type="dxa"/>
            <w:tcBorders>
              <w:top w:val="nil"/>
              <w:left w:val="nil"/>
              <w:bottom w:val="nil"/>
              <w:right w:val="nil"/>
            </w:tcBorders>
          </w:tcPr>
          <w:p w14:paraId="3F31B354" w14:textId="77777777" w:rsidR="000C35AF" w:rsidRPr="00113056" w:rsidRDefault="000C35AF" w:rsidP="009238AE">
            <w:pPr>
              <w:pStyle w:val="Regresjonstabell"/>
              <w:jc w:val="right"/>
              <w:rPr>
                <w:sz w:val="20"/>
                <w:szCs w:val="20"/>
              </w:rPr>
            </w:pPr>
            <w:r w:rsidRPr="00113056">
              <w:rPr>
                <w:sz w:val="20"/>
                <w:szCs w:val="20"/>
              </w:rPr>
              <w:t>(1,796.814)</w:t>
            </w:r>
          </w:p>
        </w:tc>
        <w:tc>
          <w:tcPr>
            <w:tcW w:w="1395" w:type="dxa"/>
            <w:tcBorders>
              <w:top w:val="nil"/>
              <w:left w:val="nil"/>
              <w:bottom w:val="nil"/>
              <w:right w:val="nil"/>
            </w:tcBorders>
          </w:tcPr>
          <w:p w14:paraId="70B9807E" w14:textId="77777777" w:rsidR="000C35AF" w:rsidRPr="00113056" w:rsidRDefault="000C35AF" w:rsidP="009238AE">
            <w:pPr>
              <w:pStyle w:val="Regresjonstabell"/>
              <w:jc w:val="right"/>
              <w:rPr>
                <w:sz w:val="20"/>
                <w:szCs w:val="20"/>
              </w:rPr>
            </w:pPr>
            <w:r w:rsidRPr="00113056">
              <w:rPr>
                <w:sz w:val="20"/>
                <w:szCs w:val="20"/>
              </w:rPr>
              <w:t>(409.960)</w:t>
            </w:r>
          </w:p>
        </w:tc>
        <w:tc>
          <w:tcPr>
            <w:tcW w:w="1395" w:type="dxa"/>
            <w:tcBorders>
              <w:top w:val="nil"/>
              <w:left w:val="nil"/>
              <w:bottom w:val="nil"/>
              <w:right w:val="nil"/>
            </w:tcBorders>
          </w:tcPr>
          <w:p w14:paraId="17835FF5" w14:textId="77777777" w:rsidR="000C35AF" w:rsidRPr="00113056" w:rsidRDefault="000C35AF" w:rsidP="009238AE">
            <w:pPr>
              <w:pStyle w:val="Regresjonstabell"/>
              <w:jc w:val="right"/>
              <w:rPr>
                <w:sz w:val="20"/>
                <w:szCs w:val="20"/>
              </w:rPr>
            </w:pPr>
            <w:r w:rsidRPr="00113056">
              <w:rPr>
                <w:sz w:val="20"/>
                <w:szCs w:val="20"/>
              </w:rPr>
              <w:t>(91.696)</w:t>
            </w:r>
          </w:p>
        </w:tc>
        <w:tc>
          <w:tcPr>
            <w:tcW w:w="1395" w:type="dxa"/>
            <w:tcBorders>
              <w:top w:val="nil"/>
              <w:left w:val="nil"/>
              <w:bottom w:val="nil"/>
              <w:right w:val="nil"/>
            </w:tcBorders>
          </w:tcPr>
          <w:p w14:paraId="2604E8FC" w14:textId="77777777" w:rsidR="000C35AF" w:rsidRPr="00113056" w:rsidRDefault="000C35AF" w:rsidP="009238AE">
            <w:pPr>
              <w:pStyle w:val="Regresjonstabell"/>
              <w:jc w:val="right"/>
              <w:rPr>
                <w:sz w:val="20"/>
                <w:szCs w:val="20"/>
              </w:rPr>
            </w:pPr>
            <w:r w:rsidRPr="00113056">
              <w:rPr>
                <w:sz w:val="20"/>
                <w:szCs w:val="20"/>
              </w:rPr>
              <w:t>(158.555)</w:t>
            </w:r>
          </w:p>
        </w:tc>
        <w:tc>
          <w:tcPr>
            <w:tcW w:w="1396" w:type="dxa"/>
            <w:tcBorders>
              <w:top w:val="nil"/>
              <w:left w:val="nil"/>
              <w:bottom w:val="nil"/>
              <w:right w:val="nil"/>
            </w:tcBorders>
          </w:tcPr>
          <w:p w14:paraId="256AE11E" w14:textId="77777777" w:rsidR="000C35AF" w:rsidRPr="00113056" w:rsidRDefault="000C35AF" w:rsidP="009238AE">
            <w:pPr>
              <w:pStyle w:val="Regresjonstabell"/>
              <w:jc w:val="right"/>
              <w:rPr>
                <w:sz w:val="20"/>
                <w:szCs w:val="20"/>
              </w:rPr>
            </w:pPr>
            <w:r w:rsidRPr="00113056">
              <w:rPr>
                <w:sz w:val="20"/>
                <w:szCs w:val="20"/>
              </w:rPr>
              <w:t>(250.249)</w:t>
            </w:r>
          </w:p>
        </w:tc>
        <w:tc>
          <w:tcPr>
            <w:tcW w:w="1399" w:type="dxa"/>
            <w:tcBorders>
              <w:top w:val="nil"/>
              <w:left w:val="nil"/>
              <w:bottom w:val="nil"/>
              <w:right w:val="single" w:sz="4" w:space="0" w:color="auto"/>
            </w:tcBorders>
          </w:tcPr>
          <w:p w14:paraId="104B0003" w14:textId="77777777" w:rsidR="000C35AF" w:rsidRPr="00113056" w:rsidRDefault="000C35AF" w:rsidP="009238AE">
            <w:pPr>
              <w:pStyle w:val="Regresjonstabell"/>
              <w:jc w:val="right"/>
              <w:rPr>
                <w:sz w:val="20"/>
                <w:szCs w:val="20"/>
              </w:rPr>
            </w:pPr>
            <w:r w:rsidRPr="00113056">
              <w:rPr>
                <w:sz w:val="20"/>
                <w:szCs w:val="20"/>
              </w:rPr>
              <w:t>(2,501.185)</w:t>
            </w:r>
          </w:p>
        </w:tc>
      </w:tr>
      <w:tr w:rsidR="000C35AF" w:rsidRPr="0055149C" w14:paraId="6247FA8C"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0D1432FB"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8" w:type="dxa"/>
            <w:tcBorders>
              <w:top w:val="nil"/>
              <w:left w:val="single" w:sz="4" w:space="0" w:color="auto"/>
              <w:bottom w:val="nil"/>
              <w:right w:val="nil"/>
            </w:tcBorders>
          </w:tcPr>
          <w:p w14:paraId="5AF4757D" w14:textId="77777777" w:rsidR="000C35AF" w:rsidRPr="00113056" w:rsidRDefault="000C35AF" w:rsidP="009238AE">
            <w:pPr>
              <w:pStyle w:val="Regresjonstabell"/>
              <w:jc w:val="right"/>
              <w:rPr>
                <w:sz w:val="20"/>
                <w:szCs w:val="20"/>
              </w:rPr>
            </w:pPr>
            <w:r w:rsidRPr="00113056">
              <w:rPr>
                <w:sz w:val="20"/>
                <w:szCs w:val="20"/>
              </w:rPr>
              <w:t>0.275***</w:t>
            </w:r>
          </w:p>
        </w:tc>
        <w:tc>
          <w:tcPr>
            <w:tcW w:w="1440" w:type="dxa"/>
            <w:tcBorders>
              <w:top w:val="nil"/>
              <w:left w:val="nil"/>
              <w:bottom w:val="nil"/>
              <w:right w:val="nil"/>
            </w:tcBorders>
          </w:tcPr>
          <w:p w14:paraId="6F4C1FFD" w14:textId="77777777" w:rsidR="000C35AF" w:rsidRPr="00113056" w:rsidRDefault="000C35AF" w:rsidP="009238AE">
            <w:pPr>
              <w:pStyle w:val="Regresjonstabell"/>
              <w:jc w:val="right"/>
              <w:rPr>
                <w:sz w:val="20"/>
                <w:szCs w:val="20"/>
              </w:rPr>
            </w:pPr>
            <w:r w:rsidRPr="00113056">
              <w:rPr>
                <w:sz w:val="20"/>
                <w:szCs w:val="20"/>
              </w:rPr>
              <w:t>0.073**</w:t>
            </w:r>
          </w:p>
        </w:tc>
        <w:tc>
          <w:tcPr>
            <w:tcW w:w="1397" w:type="dxa"/>
            <w:tcBorders>
              <w:top w:val="nil"/>
              <w:left w:val="nil"/>
              <w:bottom w:val="nil"/>
              <w:right w:val="nil"/>
            </w:tcBorders>
          </w:tcPr>
          <w:p w14:paraId="5674161C" w14:textId="77777777" w:rsidR="000C35AF" w:rsidRPr="00113056" w:rsidRDefault="000C35AF" w:rsidP="009238AE">
            <w:pPr>
              <w:pStyle w:val="Regresjonstabell"/>
              <w:jc w:val="right"/>
              <w:rPr>
                <w:sz w:val="20"/>
                <w:szCs w:val="20"/>
              </w:rPr>
            </w:pPr>
            <w:r w:rsidRPr="00113056">
              <w:rPr>
                <w:sz w:val="20"/>
                <w:szCs w:val="20"/>
              </w:rPr>
              <w:t>0.202***</w:t>
            </w:r>
          </w:p>
        </w:tc>
        <w:tc>
          <w:tcPr>
            <w:tcW w:w="1395" w:type="dxa"/>
            <w:tcBorders>
              <w:top w:val="nil"/>
              <w:left w:val="nil"/>
              <w:bottom w:val="nil"/>
              <w:right w:val="nil"/>
            </w:tcBorders>
          </w:tcPr>
          <w:p w14:paraId="3E810AE9" w14:textId="77777777" w:rsidR="000C35AF" w:rsidRPr="00113056" w:rsidRDefault="000C35AF" w:rsidP="009238AE">
            <w:pPr>
              <w:pStyle w:val="Regresjonstabell"/>
              <w:jc w:val="right"/>
              <w:rPr>
                <w:sz w:val="20"/>
                <w:szCs w:val="20"/>
              </w:rPr>
            </w:pPr>
            <w:r w:rsidRPr="00113056">
              <w:rPr>
                <w:sz w:val="20"/>
                <w:szCs w:val="20"/>
              </w:rPr>
              <w:t>0.019</w:t>
            </w:r>
          </w:p>
        </w:tc>
        <w:tc>
          <w:tcPr>
            <w:tcW w:w="1395" w:type="dxa"/>
            <w:tcBorders>
              <w:top w:val="nil"/>
              <w:left w:val="nil"/>
              <w:bottom w:val="nil"/>
              <w:right w:val="nil"/>
            </w:tcBorders>
          </w:tcPr>
          <w:p w14:paraId="778C6535" w14:textId="77777777" w:rsidR="000C35AF" w:rsidRPr="00113056" w:rsidRDefault="000C35AF" w:rsidP="009238AE">
            <w:pPr>
              <w:pStyle w:val="Regresjonstabell"/>
              <w:jc w:val="right"/>
              <w:rPr>
                <w:sz w:val="20"/>
                <w:szCs w:val="20"/>
              </w:rPr>
            </w:pPr>
            <w:r w:rsidRPr="00113056">
              <w:rPr>
                <w:sz w:val="20"/>
                <w:szCs w:val="20"/>
              </w:rPr>
              <w:t>0.010***</w:t>
            </w:r>
          </w:p>
        </w:tc>
        <w:tc>
          <w:tcPr>
            <w:tcW w:w="1395" w:type="dxa"/>
            <w:tcBorders>
              <w:top w:val="nil"/>
              <w:left w:val="nil"/>
              <w:bottom w:val="nil"/>
              <w:right w:val="nil"/>
            </w:tcBorders>
          </w:tcPr>
          <w:p w14:paraId="601396EA" w14:textId="77777777" w:rsidR="000C35AF" w:rsidRPr="00113056" w:rsidRDefault="000C35AF" w:rsidP="009238AE">
            <w:pPr>
              <w:pStyle w:val="Regresjonstabell"/>
              <w:jc w:val="right"/>
              <w:rPr>
                <w:sz w:val="20"/>
                <w:szCs w:val="20"/>
              </w:rPr>
            </w:pPr>
            <w:r w:rsidRPr="00113056">
              <w:rPr>
                <w:sz w:val="20"/>
                <w:szCs w:val="20"/>
              </w:rPr>
              <w:t>0.017***</w:t>
            </w:r>
          </w:p>
        </w:tc>
        <w:tc>
          <w:tcPr>
            <w:tcW w:w="1396" w:type="dxa"/>
            <w:tcBorders>
              <w:top w:val="nil"/>
              <w:left w:val="nil"/>
              <w:bottom w:val="nil"/>
              <w:right w:val="nil"/>
            </w:tcBorders>
          </w:tcPr>
          <w:p w14:paraId="6A91882A" w14:textId="77777777" w:rsidR="000C35AF" w:rsidRPr="00113056" w:rsidRDefault="000C35AF" w:rsidP="009238AE">
            <w:pPr>
              <w:pStyle w:val="Regresjonstabell"/>
              <w:jc w:val="right"/>
              <w:rPr>
                <w:sz w:val="20"/>
                <w:szCs w:val="20"/>
              </w:rPr>
            </w:pPr>
            <w:r w:rsidRPr="00113056">
              <w:rPr>
                <w:sz w:val="20"/>
                <w:szCs w:val="20"/>
              </w:rPr>
              <w:t>0.027***</w:t>
            </w:r>
          </w:p>
        </w:tc>
        <w:tc>
          <w:tcPr>
            <w:tcW w:w="1399" w:type="dxa"/>
            <w:tcBorders>
              <w:top w:val="nil"/>
              <w:left w:val="nil"/>
              <w:bottom w:val="nil"/>
              <w:right w:val="single" w:sz="4" w:space="0" w:color="auto"/>
            </w:tcBorders>
          </w:tcPr>
          <w:p w14:paraId="6C21A871" w14:textId="77777777" w:rsidR="000C35AF" w:rsidRPr="00113056" w:rsidRDefault="000C35AF" w:rsidP="009238AE">
            <w:pPr>
              <w:pStyle w:val="Regresjonstabell"/>
              <w:jc w:val="right"/>
              <w:rPr>
                <w:sz w:val="20"/>
                <w:szCs w:val="20"/>
              </w:rPr>
            </w:pPr>
            <w:r w:rsidRPr="00113056">
              <w:rPr>
                <w:sz w:val="20"/>
                <w:szCs w:val="20"/>
              </w:rPr>
              <w:t>0.302***</w:t>
            </w:r>
          </w:p>
        </w:tc>
      </w:tr>
      <w:tr w:rsidR="000C35AF" w:rsidRPr="0055149C" w14:paraId="268743FB"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7E63C4AB" w14:textId="77777777" w:rsidR="000C35AF" w:rsidRPr="0055149C" w:rsidRDefault="000C35AF" w:rsidP="009238AE">
            <w:pPr>
              <w:pStyle w:val="Regresjonstabell"/>
              <w:rPr>
                <w:sz w:val="20"/>
                <w:szCs w:val="20"/>
              </w:rPr>
            </w:pPr>
            <w:r w:rsidRPr="0055149C">
              <w:rPr>
                <w:sz w:val="20"/>
                <w:szCs w:val="20"/>
              </w:rPr>
              <w:t>(i tusener kroner)</w:t>
            </w:r>
          </w:p>
        </w:tc>
        <w:tc>
          <w:tcPr>
            <w:tcW w:w="1398" w:type="dxa"/>
            <w:tcBorders>
              <w:top w:val="nil"/>
              <w:left w:val="single" w:sz="4" w:space="0" w:color="auto"/>
              <w:bottom w:val="nil"/>
              <w:right w:val="nil"/>
            </w:tcBorders>
          </w:tcPr>
          <w:p w14:paraId="547CBEF8" w14:textId="77777777" w:rsidR="000C35AF" w:rsidRPr="00113056" w:rsidRDefault="000C35AF" w:rsidP="009238AE">
            <w:pPr>
              <w:pStyle w:val="Regresjonstabell"/>
              <w:jc w:val="right"/>
              <w:rPr>
                <w:sz w:val="20"/>
                <w:szCs w:val="20"/>
              </w:rPr>
            </w:pPr>
            <w:r w:rsidRPr="00113056">
              <w:rPr>
                <w:sz w:val="20"/>
                <w:szCs w:val="20"/>
              </w:rPr>
              <w:t>(0.058)</w:t>
            </w:r>
          </w:p>
        </w:tc>
        <w:tc>
          <w:tcPr>
            <w:tcW w:w="1440" w:type="dxa"/>
            <w:tcBorders>
              <w:top w:val="nil"/>
              <w:left w:val="nil"/>
              <w:bottom w:val="nil"/>
              <w:right w:val="nil"/>
            </w:tcBorders>
          </w:tcPr>
          <w:p w14:paraId="50B70AD5" w14:textId="77777777" w:rsidR="000C35AF" w:rsidRPr="00113056" w:rsidRDefault="000C35AF" w:rsidP="009238AE">
            <w:pPr>
              <w:pStyle w:val="Regresjonstabell"/>
              <w:jc w:val="right"/>
              <w:rPr>
                <w:sz w:val="20"/>
                <w:szCs w:val="20"/>
              </w:rPr>
            </w:pPr>
            <w:r w:rsidRPr="00113056">
              <w:rPr>
                <w:sz w:val="20"/>
                <w:szCs w:val="20"/>
              </w:rPr>
              <w:t>(0.032)</w:t>
            </w:r>
          </w:p>
        </w:tc>
        <w:tc>
          <w:tcPr>
            <w:tcW w:w="1397" w:type="dxa"/>
            <w:tcBorders>
              <w:top w:val="nil"/>
              <w:left w:val="nil"/>
              <w:bottom w:val="nil"/>
              <w:right w:val="nil"/>
            </w:tcBorders>
          </w:tcPr>
          <w:p w14:paraId="192765F2" w14:textId="77777777" w:rsidR="000C35AF" w:rsidRPr="00113056" w:rsidRDefault="000C35AF" w:rsidP="009238AE">
            <w:pPr>
              <w:pStyle w:val="Regresjonstabell"/>
              <w:jc w:val="right"/>
              <w:rPr>
                <w:sz w:val="20"/>
                <w:szCs w:val="20"/>
              </w:rPr>
            </w:pPr>
            <w:r w:rsidRPr="00113056">
              <w:rPr>
                <w:sz w:val="20"/>
                <w:szCs w:val="20"/>
              </w:rPr>
              <w:t>(0.032)</w:t>
            </w:r>
          </w:p>
        </w:tc>
        <w:tc>
          <w:tcPr>
            <w:tcW w:w="1395" w:type="dxa"/>
            <w:tcBorders>
              <w:top w:val="nil"/>
              <w:left w:val="nil"/>
              <w:bottom w:val="nil"/>
              <w:right w:val="nil"/>
            </w:tcBorders>
          </w:tcPr>
          <w:p w14:paraId="177EC338" w14:textId="77777777" w:rsidR="000C35AF" w:rsidRPr="00113056" w:rsidRDefault="000C35AF" w:rsidP="009238AE">
            <w:pPr>
              <w:pStyle w:val="Regresjonstabell"/>
              <w:jc w:val="right"/>
              <w:rPr>
                <w:sz w:val="20"/>
                <w:szCs w:val="20"/>
              </w:rPr>
            </w:pPr>
            <w:r w:rsidRPr="00113056">
              <w:rPr>
                <w:sz w:val="20"/>
                <w:szCs w:val="20"/>
              </w:rPr>
              <w:t>(0.012)</w:t>
            </w:r>
          </w:p>
        </w:tc>
        <w:tc>
          <w:tcPr>
            <w:tcW w:w="1395" w:type="dxa"/>
            <w:tcBorders>
              <w:top w:val="nil"/>
              <w:left w:val="nil"/>
              <w:bottom w:val="nil"/>
              <w:right w:val="nil"/>
            </w:tcBorders>
          </w:tcPr>
          <w:p w14:paraId="7513E7B3" w14:textId="77777777" w:rsidR="000C35AF" w:rsidRPr="00113056" w:rsidRDefault="000C35AF" w:rsidP="009238AE">
            <w:pPr>
              <w:pStyle w:val="Regresjonstabell"/>
              <w:jc w:val="right"/>
              <w:rPr>
                <w:sz w:val="20"/>
                <w:szCs w:val="20"/>
              </w:rPr>
            </w:pPr>
            <w:r w:rsidRPr="00113056">
              <w:rPr>
                <w:sz w:val="20"/>
                <w:szCs w:val="20"/>
              </w:rPr>
              <w:t>(0.004)</w:t>
            </w:r>
          </w:p>
        </w:tc>
        <w:tc>
          <w:tcPr>
            <w:tcW w:w="1395" w:type="dxa"/>
            <w:tcBorders>
              <w:top w:val="nil"/>
              <w:left w:val="nil"/>
              <w:bottom w:val="nil"/>
              <w:right w:val="nil"/>
            </w:tcBorders>
          </w:tcPr>
          <w:p w14:paraId="17ACAC40" w14:textId="77777777" w:rsidR="000C35AF" w:rsidRPr="00113056" w:rsidRDefault="000C35AF" w:rsidP="009238AE">
            <w:pPr>
              <w:pStyle w:val="Regresjonstabell"/>
              <w:jc w:val="right"/>
              <w:rPr>
                <w:sz w:val="20"/>
                <w:szCs w:val="20"/>
              </w:rPr>
            </w:pPr>
            <w:r w:rsidRPr="00113056">
              <w:rPr>
                <w:sz w:val="20"/>
                <w:szCs w:val="20"/>
              </w:rPr>
              <w:t>(0.006)</w:t>
            </w:r>
          </w:p>
        </w:tc>
        <w:tc>
          <w:tcPr>
            <w:tcW w:w="1396" w:type="dxa"/>
            <w:tcBorders>
              <w:top w:val="nil"/>
              <w:left w:val="nil"/>
              <w:bottom w:val="nil"/>
              <w:right w:val="nil"/>
            </w:tcBorders>
          </w:tcPr>
          <w:p w14:paraId="5658CE38" w14:textId="77777777" w:rsidR="000C35AF" w:rsidRPr="00113056" w:rsidRDefault="000C35AF" w:rsidP="009238AE">
            <w:pPr>
              <w:pStyle w:val="Regresjonstabell"/>
              <w:jc w:val="right"/>
              <w:rPr>
                <w:sz w:val="20"/>
                <w:szCs w:val="20"/>
              </w:rPr>
            </w:pPr>
            <w:r w:rsidRPr="00113056">
              <w:rPr>
                <w:sz w:val="20"/>
                <w:szCs w:val="20"/>
              </w:rPr>
              <w:t>(0.010)</w:t>
            </w:r>
          </w:p>
        </w:tc>
        <w:tc>
          <w:tcPr>
            <w:tcW w:w="1399" w:type="dxa"/>
            <w:tcBorders>
              <w:top w:val="nil"/>
              <w:left w:val="nil"/>
              <w:bottom w:val="nil"/>
              <w:right w:val="single" w:sz="4" w:space="0" w:color="auto"/>
            </w:tcBorders>
          </w:tcPr>
          <w:p w14:paraId="27EC1250" w14:textId="77777777" w:rsidR="000C35AF" w:rsidRPr="00113056" w:rsidRDefault="000C35AF" w:rsidP="009238AE">
            <w:pPr>
              <w:pStyle w:val="Regresjonstabell"/>
              <w:jc w:val="right"/>
              <w:rPr>
                <w:sz w:val="20"/>
                <w:szCs w:val="20"/>
              </w:rPr>
            </w:pPr>
            <w:r w:rsidRPr="00113056">
              <w:rPr>
                <w:sz w:val="20"/>
                <w:szCs w:val="20"/>
              </w:rPr>
              <w:t>(0.057)</w:t>
            </w:r>
          </w:p>
        </w:tc>
      </w:tr>
      <w:tr w:rsidR="000C35AF" w:rsidRPr="0055149C" w14:paraId="39E11A36"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2E47C183"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8" w:type="dxa"/>
            <w:tcBorders>
              <w:top w:val="nil"/>
              <w:left w:val="single" w:sz="4" w:space="0" w:color="auto"/>
              <w:bottom w:val="nil"/>
              <w:right w:val="nil"/>
            </w:tcBorders>
          </w:tcPr>
          <w:p w14:paraId="11D78374" w14:textId="77777777" w:rsidR="000C35AF" w:rsidRPr="00113056" w:rsidRDefault="000C35AF" w:rsidP="009238AE">
            <w:pPr>
              <w:pStyle w:val="Regresjonstabell"/>
              <w:jc w:val="right"/>
              <w:rPr>
                <w:sz w:val="20"/>
                <w:szCs w:val="20"/>
              </w:rPr>
            </w:pPr>
            <w:r w:rsidRPr="00113056">
              <w:rPr>
                <w:sz w:val="20"/>
                <w:szCs w:val="20"/>
              </w:rPr>
              <w:t>34.493</w:t>
            </w:r>
          </w:p>
        </w:tc>
        <w:tc>
          <w:tcPr>
            <w:tcW w:w="1440" w:type="dxa"/>
            <w:tcBorders>
              <w:top w:val="nil"/>
              <w:left w:val="nil"/>
              <w:bottom w:val="nil"/>
              <w:right w:val="nil"/>
            </w:tcBorders>
          </w:tcPr>
          <w:p w14:paraId="13DAA9D9" w14:textId="77777777" w:rsidR="000C35AF" w:rsidRPr="00113056" w:rsidRDefault="000C35AF" w:rsidP="009238AE">
            <w:pPr>
              <w:pStyle w:val="Regresjonstabell"/>
              <w:jc w:val="right"/>
              <w:rPr>
                <w:sz w:val="20"/>
                <w:szCs w:val="20"/>
              </w:rPr>
            </w:pPr>
            <w:r w:rsidRPr="00113056">
              <w:rPr>
                <w:sz w:val="20"/>
                <w:szCs w:val="20"/>
              </w:rPr>
              <w:t>39.500*</w:t>
            </w:r>
          </w:p>
        </w:tc>
        <w:tc>
          <w:tcPr>
            <w:tcW w:w="1397" w:type="dxa"/>
            <w:tcBorders>
              <w:top w:val="nil"/>
              <w:left w:val="nil"/>
              <w:bottom w:val="nil"/>
              <w:right w:val="nil"/>
            </w:tcBorders>
          </w:tcPr>
          <w:p w14:paraId="46B29FDB" w14:textId="77777777" w:rsidR="000C35AF" w:rsidRPr="00113056" w:rsidRDefault="000C35AF" w:rsidP="009238AE">
            <w:pPr>
              <w:pStyle w:val="Regresjonstabell"/>
              <w:jc w:val="right"/>
              <w:rPr>
                <w:sz w:val="20"/>
                <w:szCs w:val="20"/>
              </w:rPr>
            </w:pPr>
            <w:r w:rsidRPr="00113056">
              <w:rPr>
                <w:sz w:val="20"/>
                <w:szCs w:val="20"/>
              </w:rPr>
              <w:t>-5.007</w:t>
            </w:r>
          </w:p>
        </w:tc>
        <w:tc>
          <w:tcPr>
            <w:tcW w:w="1395" w:type="dxa"/>
            <w:tcBorders>
              <w:top w:val="nil"/>
              <w:left w:val="nil"/>
              <w:bottom w:val="nil"/>
              <w:right w:val="nil"/>
            </w:tcBorders>
          </w:tcPr>
          <w:p w14:paraId="4DAB6CF9" w14:textId="77777777" w:rsidR="000C35AF" w:rsidRPr="00113056" w:rsidRDefault="000C35AF" w:rsidP="009238AE">
            <w:pPr>
              <w:pStyle w:val="Regresjonstabell"/>
              <w:jc w:val="right"/>
              <w:rPr>
                <w:sz w:val="20"/>
                <w:szCs w:val="20"/>
              </w:rPr>
            </w:pPr>
            <w:r w:rsidRPr="00113056">
              <w:rPr>
                <w:sz w:val="20"/>
                <w:szCs w:val="20"/>
              </w:rPr>
              <w:t>0.429</w:t>
            </w:r>
          </w:p>
        </w:tc>
        <w:tc>
          <w:tcPr>
            <w:tcW w:w="1395" w:type="dxa"/>
            <w:tcBorders>
              <w:top w:val="nil"/>
              <w:left w:val="nil"/>
              <w:bottom w:val="nil"/>
              <w:right w:val="nil"/>
            </w:tcBorders>
          </w:tcPr>
          <w:p w14:paraId="4480732F" w14:textId="77777777" w:rsidR="000C35AF" w:rsidRPr="00113056" w:rsidRDefault="000C35AF" w:rsidP="009238AE">
            <w:pPr>
              <w:pStyle w:val="Regresjonstabell"/>
              <w:jc w:val="right"/>
              <w:rPr>
                <w:sz w:val="20"/>
                <w:szCs w:val="20"/>
              </w:rPr>
            </w:pPr>
            <w:r w:rsidRPr="00113056">
              <w:rPr>
                <w:sz w:val="20"/>
                <w:szCs w:val="20"/>
              </w:rPr>
              <w:t>-1.436</w:t>
            </w:r>
          </w:p>
        </w:tc>
        <w:tc>
          <w:tcPr>
            <w:tcW w:w="1395" w:type="dxa"/>
            <w:tcBorders>
              <w:top w:val="nil"/>
              <w:left w:val="nil"/>
              <w:bottom w:val="nil"/>
              <w:right w:val="nil"/>
            </w:tcBorders>
          </w:tcPr>
          <w:p w14:paraId="0ECFAD0A" w14:textId="77777777" w:rsidR="000C35AF" w:rsidRPr="00113056" w:rsidRDefault="000C35AF" w:rsidP="009238AE">
            <w:pPr>
              <w:pStyle w:val="Regresjonstabell"/>
              <w:jc w:val="right"/>
              <w:rPr>
                <w:sz w:val="20"/>
                <w:szCs w:val="20"/>
              </w:rPr>
            </w:pPr>
            <w:r w:rsidRPr="00113056">
              <w:rPr>
                <w:sz w:val="20"/>
                <w:szCs w:val="20"/>
              </w:rPr>
              <w:t>-2.414</w:t>
            </w:r>
          </w:p>
        </w:tc>
        <w:tc>
          <w:tcPr>
            <w:tcW w:w="1396" w:type="dxa"/>
            <w:tcBorders>
              <w:top w:val="nil"/>
              <w:left w:val="nil"/>
              <w:bottom w:val="nil"/>
              <w:right w:val="nil"/>
            </w:tcBorders>
          </w:tcPr>
          <w:p w14:paraId="502E1FBD" w14:textId="77777777" w:rsidR="000C35AF" w:rsidRPr="00113056" w:rsidRDefault="000C35AF" w:rsidP="009238AE">
            <w:pPr>
              <w:pStyle w:val="Regresjonstabell"/>
              <w:jc w:val="right"/>
              <w:rPr>
                <w:sz w:val="20"/>
                <w:szCs w:val="20"/>
              </w:rPr>
            </w:pPr>
            <w:r w:rsidRPr="00113056">
              <w:rPr>
                <w:sz w:val="20"/>
                <w:szCs w:val="20"/>
              </w:rPr>
              <w:t>-3.849</w:t>
            </w:r>
          </w:p>
        </w:tc>
        <w:tc>
          <w:tcPr>
            <w:tcW w:w="1399" w:type="dxa"/>
            <w:tcBorders>
              <w:top w:val="nil"/>
              <w:left w:val="nil"/>
              <w:bottom w:val="nil"/>
              <w:right w:val="single" w:sz="4" w:space="0" w:color="auto"/>
            </w:tcBorders>
          </w:tcPr>
          <w:p w14:paraId="14847DF7" w14:textId="77777777" w:rsidR="000C35AF" w:rsidRPr="00113056" w:rsidRDefault="000C35AF" w:rsidP="009238AE">
            <w:pPr>
              <w:pStyle w:val="Regresjonstabell"/>
              <w:jc w:val="right"/>
              <w:rPr>
                <w:sz w:val="20"/>
                <w:szCs w:val="20"/>
              </w:rPr>
            </w:pPr>
            <w:r w:rsidRPr="00113056">
              <w:rPr>
                <w:sz w:val="20"/>
                <w:szCs w:val="20"/>
              </w:rPr>
              <w:t>30.643</w:t>
            </w:r>
          </w:p>
        </w:tc>
      </w:tr>
      <w:tr w:rsidR="000C35AF" w:rsidRPr="0055149C" w14:paraId="1E85FE07"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0BB76D46" w14:textId="77777777" w:rsidR="000C35AF" w:rsidRPr="0055149C" w:rsidRDefault="000C35AF" w:rsidP="009238AE">
            <w:pPr>
              <w:pStyle w:val="Regresjonstabell"/>
              <w:rPr>
                <w:sz w:val="20"/>
                <w:szCs w:val="20"/>
              </w:rPr>
            </w:pPr>
            <w:r w:rsidRPr="0055149C">
              <w:rPr>
                <w:sz w:val="20"/>
                <w:szCs w:val="20"/>
              </w:rPr>
              <w:t>(skjæringspunktet)</w:t>
            </w:r>
          </w:p>
        </w:tc>
        <w:tc>
          <w:tcPr>
            <w:tcW w:w="1398" w:type="dxa"/>
            <w:tcBorders>
              <w:top w:val="nil"/>
              <w:left w:val="single" w:sz="4" w:space="0" w:color="auto"/>
              <w:bottom w:val="nil"/>
              <w:right w:val="nil"/>
            </w:tcBorders>
          </w:tcPr>
          <w:p w14:paraId="16E7E03D" w14:textId="77777777" w:rsidR="000C35AF" w:rsidRPr="00113056" w:rsidRDefault="000C35AF" w:rsidP="009238AE">
            <w:pPr>
              <w:pStyle w:val="Regresjonstabell"/>
              <w:jc w:val="right"/>
              <w:rPr>
                <w:sz w:val="20"/>
                <w:szCs w:val="20"/>
              </w:rPr>
            </w:pPr>
            <w:r w:rsidRPr="00113056">
              <w:rPr>
                <w:sz w:val="20"/>
                <w:szCs w:val="20"/>
              </w:rPr>
              <w:t>(41.520)</w:t>
            </w:r>
          </w:p>
        </w:tc>
        <w:tc>
          <w:tcPr>
            <w:tcW w:w="1440" w:type="dxa"/>
            <w:tcBorders>
              <w:top w:val="nil"/>
              <w:left w:val="nil"/>
              <w:bottom w:val="nil"/>
              <w:right w:val="nil"/>
            </w:tcBorders>
          </w:tcPr>
          <w:p w14:paraId="5892346A" w14:textId="77777777" w:rsidR="000C35AF" w:rsidRPr="00113056" w:rsidRDefault="000C35AF" w:rsidP="009238AE">
            <w:pPr>
              <w:pStyle w:val="Regresjonstabell"/>
              <w:jc w:val="right"/>
              <w:rPr>
                <w:sz w:val="20"/>
                <w:szCs w:val="20"/>
              </w:rPr>
            </w:pPr>
            <w:r w:rsidRPr="00113056">
              <w:rPr>
                <w:sz w:val="20"/>
                <w:szCs w:val="20"/>
              </w:rPr>
              <w:t>(20.808)</w:t>
            </w:r>
          </w:p>
        </w:tc>
        <w:tc>
          <w:tcPr>
            <w:tcW w:w="1397" w:type="dxa"/>
            <w:tcBorders>
              <w:top w:val="nil"/>
              <w:left w:val="nil"/>
              <w:bottom w:val="nil"/>
              <w:right w:val="nil"/>
            </w:tcBorders>
          </w:tcPr>
          <w:p w14:paraId="7BF19F72" w14:textId="77777777" w:rsidR="000C35AF" w:rsidRPr="00113056" w:rsidRDefault="000C35AF" w:rsidP="009238AE">
            <w:pPr>
              <w:pStyle w:val="Regresjonstabell"/>
              <w:jc w:val="right"/>
              <w:rPr>
                <w:sz w:val="20"/>
                <w:szCs w:val="20"/>
              </w:rPr>
            </w:pPr>
            <w:r w:rsidRPr="00113056">
              <w:rPr>
                <w:sz w:val="20"/>
                <w:szCs w:val="20"/>
              </w:rPr>
              <w:t>(27.580)</w:t>
            </w:r>
          </w:p>
        </w:tc>
        <w:tc>
          <w:tcPr>
            <w:tcW w:w="1395" w:type="dxa"/>
            <w:tcBorders>
              <w:top w:val="nil"/>
              <w:left w:val="nil"/>
              <w:bottom w:val="nil"/>
              <w:right w:val="nil"/>
            </w:tcBorders>
          </w:tcPr>
          <w:p w14:paraId="7F7EC98D" w14:textId="77777777" w:rsidR="000C35AF" w:rsidRPr="00113056" w:rsidRDefault="000C35AF" w:rsidP="009238AE">
            <w:pPr>
              <w:pStyle w:val="Regresjonstabell"/>
              <w:jc w:val="right"/>
              <w:rPr>
                <w:sz w:val="20"/>
                <w:szCs w:val="20"/>
              </w:rPr>
            </w:pPr>
            <w:r w:rsidRPr="00113056">
              <w:rPr>
                <w:sz w:val="20"/>
                <w:szCs w:val="20"/>
              </w:rPr>
              <w:t>(6.027)</w:t>
            </w:r>
          </w:p>
        </w:tc>
        <w:tc>
          <w:tcPr>
            <w:tcW w:w="1395" w:type="dxa"/>
            <w:tcBorders>
              <w:top w:val="nil"/>
              <w:left w:val="nil"/>
              <w:bottom w:val="nil"/>
              <w:right w:val="nil"/>
            </w:tcBorders>
          </w:tcPr>
          <w:p w14:paraId="3E073137" w14:textId="77777777" w:rsidR="000C35AF" w:rsidRPr="00113056" w:rsidRDefault="000C35AF" w:rsidP="009238AE">
            <w:pPr>
              <w:pStyle w:val="Regresjonstabell"/>
              <w:jc w:val="right"/>
              <w:rPr>
                <w:sz w:val="20"/>
                <w:szCs w:val="20"/>
              </w:rPr>
            </w:pPr>
            <w:r w:rsidRPr="00113056">
              <w:rPr>
                <w:sz w:val="20"/>
                <w:szCs w:val="20"/>
              </w:rPr>
              <w:t>(2.927)</w:t>
            </w:r>
          </w:p>
        </w:tc>
        <w:tc>
          <w:tcPr>
            <w:tcW w:w="1395" w:type="dxa"/>
            <w:tcBorders>
              <w:top w:val="nil"/>
              <w:left w:val="nil"/>
              <w:bottom w:val="nil"/>
              <w:right w:val="nil"/>
            </w:tcBorders>
          </w:tcPr>
          <w:p w14:paraId="34F7E2B9" w14:textId="77777777" w:rsidR="000C35AF" w:rsidRPr="00113056" w:rsidRDefault="000C35AF" w:rsidP="009238AE">
            <w:pPr>
              <w:pStyle w:val="Regresjonstabell"/>
              <w:jc w:val="right"/>
              <w:rPr>
                <w:sz w:val="20"/>
                <w:szCs w:val="20"/>
              </w:rPr>
            </w:pPr>
            <w:r w:rsidRPr="00113056">
              <w:rPr>
                <w:sz w:val="20"/>
                <w:szCs w:val="20"/>
              </w:rPr>
              <w:t>(5.062)</w:t>
            </w:r>
          </w:p>
        </w:tc>
        <w:tc>
          <w:tcPr>
            <w:tcW w:w="1396" w:type="dxa"/>
            <w:tcBorders>
              <w:top w:val="nil"/>
              <w:left w:val="nil"/>
              <w:bottom w:val="nil"/>
              <w:right w:val="nil"/>
            </w:tcBorders>
          </w:tcPr>
          <w:p w14:paraId="24C1A196" w14:textId="77777777" w:rsidR="000C35AF" w:rsidRPr="00113056" w:rsidRDefault="000C35AF" w:rsidP="009238AE">
            <w:pPr>
              <w:pStyle w:val="Regresjonstabell"/>
              <w:jc w:val="right"/>
              <w:rPr>
                <w:sz w:val="20"/>
                <w:szCs w:val="20"/>
              </w:rPr>
            </w:pPr>
            <w:r w:rsidRPr="00113056">
              <w:rPr>
                <w:sz w:val="20"/>
                <w:szCs w:val="20"/>
              </w:rPr>
              <w:t>(7.989)</w:t>
            </w:r>
          </w:p>
        </w:tc>
        <w:tc>
          <w:tcPr>
            <w:tcW w:w="1399" w:type="dxa"/>
            <w:tcBorders>
              <w:top w:val="nil"/>
              <w:left w:val="nil"/>
              <w:bottom w:val="nil"/>
              <w:right w:val="single" w:sz="4" w:space="0" w:color="auto"/>
            </w:tcBorders>
          </w:tcPr>
          <w:p w14:paraId="3360AAD2" w14:textId="77777777" w:rsidR="000C35AF" w:rsidRPr="00113056" w:rsidRDefault="000C35AF" w:rsidP="009238AE">
            <w:pPr>
              <w:pStyle w:val="Regresjonstabell"/>
              <w:jc w:val="right"/>
              <w:rPr>
                <w:sz w:val="20"/>
                <w:szCs w:val="20"/>
              </w:rPr>
            </w:pPr>
            <w:r w:rsidRPr="00113056">
              <w:rPr>
                <w:sz w:val="20"/>
                <w:szCs w:val="20"/>
              </w:rPr>
              <w:t>(42.229)</w:t>
            </w:r>
          </w:p>
        </w:tc>
      </w:tr>
      <w:tr w:rsidR="000C35AF" w:rsidRPr="0055149C" w14:paraId="05294E90"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56F0DD0"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8" w:type="dxa"/>
            <w:tcBorders>
              <w:top w:val="nil"/>
              <w:left w:val="single" w:sz="4" w:space="0" w:color="auto"/>
              <w:bottom w:val="nil"/>
              <w:right w:val="nil"/>
            </w:tcBorders>
          </w:tcPr>
          <w:p w14:paraId="6071B209" w14:textId="77777777" w:rsidR="000C35AF" w:rsidRPr="00113056" w:rsidRDefault="000C35AF" w:rsidP="009238AE">
            <w:pPr>
              <w:pStyle w:val="Regresjonstabell"/>
              <w:jc w:val="right"/>
              <w:rPr>
                <w:sz w:val="20"/>
                <w:szCs w:val="20"/>
              </w:rPr>
            </w:pPr>
            <w:r w:rsidRPr="00113056">
              <w:rPr>
                <w:sz w:val="20"/>
                <w:szCs w:val="20"/>
              </w:rPr>
              <w:t>356</w:t>
            </w:r>
          </w:p>
        </w:tc>
        <w:tc>
          <w:tcPr>
            <w:tcW w:w="1440" w:type="dxa"/>
            <w:tcBorders>
              <w:top w:val="nil"/>
              <w:left w:val="nil"/>
              <w:bottom w:val="nil"/>
              <w:right w:val="nil"/>
            </w:tcBorders>
          </w:tcPr>
          <w:p w14:paraId="04C7FC6F" w14:textId="77777777" w:rsidR="000C35AF" w:rsidRPr="00113056" w:rsidRDefault="000C35AF" w:rsidP="009238AE">
            <w:pPr>
              <w:pStyle w:val="Regresjonstabell"/>
              <w:jc w:val="right"/>
              <w:rPr>
                <w:sz w:val="20"/>
                <w:szCs w:val="20"/>
              </w:rPr>
            </w:pPr>
            <w:r w:rsidRPr="00113056">
              <w:rPr>
                <w:sz w:val="20"/>
                <w:szCs w:val="20"/>
              </w:rPr>
              <w:t>356</w:t>
            </w:r>
          </w:p>
        </w:tc>
        <w:tc>
          <w:tcPr>
            <w:tcW w:w="1397" w:type="dxa"/>
            <w:tcBorders>
              <w:top w:val="nil"/>
              <w:left w:val="nil"/>
              <w:bottom w:val="nil"/>
              <w:right w:val="nil"/>
            </w:tcBorders>
          </w:tcPr>
          <w:p w14:paraId="072BD6CA" w14:textId="77777777" w:rsidR="000C35AF" w:rsidRPr="00113056" w:rsidRDefault="000C35AF" w:rsidP="009238AE">
            <w:pPr>
              <w:pStyle w:val="Regresjonstabell"/>
              <w:jc w:val="right"/>
              <w:rPr>
                <w:sz w:val="20"/>
                <w:szCs w:val="20"/>
              </w:rPr>
            </w:pPr>
            <w:r w:rsidRPr="00113056">
              <w:rPr>
                <w:sz w:val="20"/>
                <w:szCs w:val="20"/>
              </w:rPr>
              <w:t>356</w:t>
            </w:r>
          </w:p>
        </w:tc>
        <w:tc>
          <w:tcPr>
            <w:tcW w:w="1395" w:type="dxa"/>
            <w:tcBorders>
              <w:top w:val="nil"/>
              <w:left w:val="nil"/>
              <w:bottom w:val="nil"/>
              <w:right w:val="nil"/>
            </w:tcBorders>
          </w:tcPr>
          <w:p w14:paraId="37DBBA28" w14:textId="77777777" w:rsidR="000C35AF" w:rsidRPr="00113056" w:rsidRDefault="000C35AF" w:rsidP="009238AE">
            <w:pPr>
              <w:pStyle w:val="Regresjonstabell"/>
              <w:jc w:val="right"/>
              <w:rPr>
                <w:sz w:val="20"/>
                <w:szCs w:val="20"/>
              </w:rPr>
            </w:pPr>
            <w:r w:rsidRPr="00113056">
              <w:rPr>
                <w:sz w:val="20"/>
                <w:szCs w:val="20"/>
              </w:rPr>
              <w:t>356</w:t>
            </w:r>
          </w:p>
        </w:tc>
        <w:tc>
          <w:tcPr>
            <w:tcW w:w="1395" w:type="dxa"/>
            <w:tcBorders>
              <w:top w:val="nil"/>
              <w:left w:val="nil"/>
              <w:bottom w:val="nil"/>
              <w:right w:val="nil"/>
            </w:tcBorders>
          </w:tcPr>
          <w:p w14:paraId="038161E8" w14:textId="77777777" w:rsidR="000C35AF" w:rsidRPr="00113056" w:rsidRDefault="000C35AF" w:rsidP="009238AE">
            <w:pPr>
              <w:pStyle w:val="Regresjonstabell"/>
              <w:jc w:val="right"/>
              <w:rPr>
                <w:sz w:val="20"/>
                <w:szCs w:val="20"/>
              </w:rPr>
            </w:pPr>
            <w:r w:rsidRPr="00113056">
              <w:rPr>
                <w:sz w:val="20"/>
                <w:szCs w:val="20"/>
              </w:rPr>
              <w:t>356</w:t>
            </w:r>
          </w:p>
        </w:tc>
        <w:tc>
          <w:tcPr>
            <w:tcW w:w="1395" w:type="dxa"/>
            <w:tcBorders>
              <w:top w:val="nil"/>
              <w:left w:val="nil"/>
              <w:bottom w:val="nil"/>
              <w:right w:val="nil"/>
            </w:tcBorders>
          </w:tcPr>
          <w:p w14:paraId="1595BECD" w14:textId="77777777" w:rsidR="000C35AF" w:rsidRPr="00113056" w:rsidRDefault="000C35AF" w:rsidP="009238AE">
            <w:pPr>
              <w:pStyle w:val="Regresjonstabell"/>
              <w:jc w:val="right"/>
              <w:rPr>
                <w:sz w:val="20"/>
                <w:szCs w:val="20"/>
              </w:rPr>
            </w:pPr>
            <w:r w:rsidRPr="00113056">
              <w:rPr>
                <w:sz w:val="20"/>
                <w:szCs w:val="20"/>
              </w:rPr>
              <w:t>356</w:t>
            </w:r>
          </w:p>
        </w:tc>
        <w:tc>
          <w:tcPr>
            <w:tcW w:w="1396" w:type="dxa"/>
            <w:tcBorders>
              <w:top w:val="nil"/>
              <w:left w:val="nil"/>
              <w:bottom w:val="nil"/>
              <w:right w:val="nil"/>
            </w:tcBorders>
          </w:tcPr>
          <w:p w14:paraId="2CC576D2" w14:textId="77777777" w:rsidR="000C35AF" w:rsidRPr="00113056" w:rsidRDefault="000C35AF" w:rsidP="009238AE">
            <w:pPr>
              <w:pStyle w:val="Regresjonstabell"/>
              <w:jc w:val="right"/>
              <w:rPr>
                <w:sz w:val="20"/>
                <w:szCs w:val="20"/>
              </w:rPr>
            </w:pPr>
            <w:r w:rsidRPr="00113056">
              <w:rPr>
                <w:sz w:val="20"/>
                <w:szCs w:val="20"/>
              </w:rPr>
              <w:t>356</w:t>
            </w:r>
          </w:p>
        </w:tc>
        <w:tc>
          <w:tcPr>
            <w:tcW w:w="1399" w:type="dxa"/>
            <w:tcBorders>
              <w:top w:val="nil"/>
              <w:left w:val="nil"/>
              <w:bottom w:val="nil"/>
              <w:right w:val="single" w:sz="4" w:space="0" w:color="auto"/>
            </w:tcBorders>
          </w:tcPr>
          <w:p w14:paraId="2E6C208B" w14:textId="77777777" w:rsidR="000C35AF" w:rsidRPr="00113056" w:rsidRDefault="000C35AF" w:rsidP="009238AE">
            <w:pPr>
              <w:pStyle w:val="Regresjonstabell"/>
              <w:jc w:val="right"/>
              <w:rPr>
                <w:sz w:val="20"/>
                <w:szCs w:val="20"/>
              </w:rPr>
            </w:pPr>
            <w:r w:rsidRPr="00113056">
              <w:rPr>
                <w:sz w:val="20"/>
                <w:szCs w:val="20"/>
              </w:rPr>
              <w:t>356</w:t>
            </w:r>
          </w:p>
        </w:tc>
      </w:tr>
      <w:tr w:rsidR="000C35AF" w:rsidRPr="0055149C" w14:paraId="229A1935" w14:textId="77777777" w:rsidTr="009238AE">
        <w:tc>
          <w:tcPr>
            <w:tcW w:w="2777"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1CB7AA87"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8" w:type="dxa"/>
            <w:tcBorders>
              <w:top w:val="nil"/>
              <w:left w:val="single" w:sz="4" w:space="0" w:color="auto"/>
              <w:bottom w:val="single" w:sz="4" w:space="0" w:color="auto"/>
              <w:right w:val="nil"/>
            </w:tcBorders>
          </w:tcPr>
          <w:p w14:paraId="4D15CA12" w14:textId="77777777" w:rsidR="000C35AF" w:rsidRPr="00113056" w:rsidRDefault="000C35AF" w:rsidP="009238AE">
            <w:pPr>
              <w:pStyle w:val="Regresjonstabell"/>
              <w:jc w:val="right"/>
              <w:rPr>
                <w:sz w:val="20"/>
                <w:szCs w:val="20"/>
              </w:rPr>
            </w:pPr>
            <w:r w:rsidRPr="00113056">
              <w:rPr>
                <w:sz w:val="20"/>
                <w:szCs w:val="20"/>
              </w:rPr>
              <w:t>0.724</w:t>
            </w:r>
          </w:p>
        </w:tc>
        <w:tc>
          <w:tcPr>
            <w:tcW w:w="1440" w:type="dxa"/>
            <w:tcBorders>
              <w:top w:val="nil"/>
              <w:left w:val="nil"/>
              <w:bottom w:val="single" w:sz="4" w:space="0" w:color="auto"/>
              <w:right w:val="nil"/>
            </w:tcBorders>
          </w:tcPr>
          <w:p w14:paraId="57F5E3E3" w14:textId="77777777" w:rsidR="000C35AF" w:rsidRPr="00113056" w:rsidRDefault="000C35AF" w:rsidP="009238AE">
            <w:pPr>
              <w:pStyle w:val="Regresjonstabell"/>
              <w:jc w:val="right"/>
              <w:rPr>
                <w:sz w:val="20"/>
                <w:szCs w:val="20"/>
              </w:rPr>
            </w:pPr>
            <w:r w:rsidRPr="00113056">
              <w:rPr>
                <w:sz w:val="20"/>
                <w:szCs w:val="20"/>
              </w:rPr>
              <w:t>0.624</w:t>
            </w:r>
          </w:p>
        </w:tc>
        <w:tc>
          <w:tcPr>
            <w:tcW w:w="1397" w:type="dxa"/>
            <w:tcBorders>
              <w:top w:val="nil"/>
              <w:left w:val="nil"/>
              <w:bottom w:val="single" w:sz="4" w:space="0" w:color="auto"/>
              <w:right w:val="nil"/>
            </w:tcBorders>
          </w:tcPr>
          <w:p w14:paraId="0F346305" w14:textId="77777777" w:rsidR="000C35AF" w:rsidRPr="00113056" w:rsidRDefault="000C35AF" w:rsidP="009238AE">
            <w:pPr>
              <w:pStyle w:val="Regresjonstabell"/>
              <w:jc w:val="right"/>
              <w:rPr>
                <w:sz w:val="20"/>
                <w:szCs w:val="20"/>
              </w:rPr>
            </w:pPr>
            <w:r w:rsidRPr="00113056">
              <w:rPr>
                <w:sz w:val="20"/>
                <w:szCs w:val="20"/>
              </w:rPr>
              <w:t>0.700</w:t>
            </w:r>
          </w:p>
        </w:tc>
        <w:tc>
          <w:tcPr>
            <w:tcW w:w="1395" w:type="dxa"/>
            <w:tcBorders>
              <w:top w:val="nil"/>
              <w:left w:val="nil"/>
              <w:bottom w:val="single" w:sz="4" w:space="0" w:color="auto"/>
              <w:right w:val="nil"/>
            </w:tcBorders>
          </w:tcPr>
          <w:p w14:paraId="67C76B57" w14:textId="77777777" w:rsidR="000C35AF" w:rsidRPr="00113056" w:rsidRDefault="000C35AF" w:rsidP="009238AE">
            <w:pPr>
              <w:pStyle w:val="Regresjonstabell"/>
              <w:jc w:val="right"/>
              <w:rPr>
                <w:sz w:val="20"/>
                <w:szCs w:val="20"/>
              </w:rPr>
            </w:pPr>
            <w:r w:rsidRPr="00113056">
              <w:rPr>
                <w:sz w:val="20"/>
                <w:szCs w:val="20"/>
              </w:rPr>
              <w:t>0.140</w:t>
            </w:r>
          </w:p>
        </w:tc>
        <w:tc>
          <w:tcPr>
            <w:tcW w:w="1395" w:type="dxa"/>
            <w:tcBorders>
              <w:top w:val="nil"/>
              <w:left w:val="nil"/>
              <w:bottom w:val="single" w:sz="4" w:space="0" w:color="auto"/>
              <w:right w:val="nil"/>
            </w:tcBorders>
          </w:tcPr>
          <w:p w14:paraId="686DCF1B" w14:textId="77777777" w:rsidR="000C35AF" w:rsidRPr="00113056" w:rsidRDefault="000C35AF" w:rsidP="009238AE">
            <w:pPr>
              <w:pStyle w:val="Regresjonstabell"/>
              <w:jc w:val="right"/>
              <w:rPr>
                <w:sz w:val="20"/>
                <w:szCs w:val="20"/>
              </w:rPr>
            </w:pPr>
            <w:r w:rsidRPr="00113056">
              <w:rPr>
                <w:sz w:val="20"/>
                <w:szCs w:val="20"/>
              </w:rPr>
              <w:t>0.294</w:t>
            </w:r>
          </w:p>
        </w:tc>
        <w:tc>
          <w:tcPr>
            <w:tcW w:w="1395" w:type="dxa"/>
            <w:tcBorders>
              <w:top w:val="nil"/>
              <w:left w:val="nil"/>
              <w:bottom w:val="single" w:sz="4" w:space="0" w:color="auto"/>
              <w:right w:val="nil"/>
            </w:tcBorders>
          </w:tcPr>
          <w:p w14:paraId="57AF2B3B" w14:textId="77777777" w:rsidR="000C35AF" w:rsidRPr="00113056" w:rsidRDefault="000C35AF" w:rsidP="009238AE">
            <w:pPr>
              <w:pStyle w:val="Regresjonstabell"/>
              <w:jc w:val="right"/>
              <w:rPr>
                <w:sz w:val="20"/>
                <w:szCs w:val="20"/>
              </w:rPr>
            </w:pPr>
            <w:r w:rsidRPr="00113056">
              <w:rPr>
                <w:sz w:val="20"/>
                <w:szCs w:val="20"/>
              </w:rPr>
              <w:t>0.293</w:t>
            </w:r>
          </w:p>
        </w:tc>
        <w:tc>
          <w:tcPr>
            <w:tcW w:w="1396" w:type="dxa"/>
            <w:tcBorders>
              <w:top w:val="nil"/>
              <w:left w:val="nil"/>
              <w:bottom w:val="single" w:sz="4" w:space="0" w:color="auto"/>
              <w:right w:val="nil"/>
            </w:tcBorders>
          </w:tcPr>
          <w:p w14:paraId="761A49E7" w14:textId="77777777" w:rsidR="000C35AF" w:rsidRPr="00113056" w:rsidRDefault="000C35AF" w:rsidP="009238AE">
            <w:pPr>
              <w:pStyle w:val="Regresjonstabell"/>
              <w:jc w:val="right"/>
              <w:rPr>
                <w:sz w:val="20"/>
                <w:szCs w:val="20"/>
              </w:rPr>
            </w:pPr>
            <w:r w:rsidRPr="00113056">
              <w:rPr>
                <w:sz w:val="20"/>
                <w:szCs w:val="20"/>
              </w:rPr>
              <w:t>0.293</w:t>
            </w:r>
          </w:p>
        </w:tc>
        <w:tc>
          <w:tcPr>
            <w:tcW w:w="1399" w:type="dxa"/>
            <w:tcBorders>
              <w:top w:val="nil"/>
              <w:left w:val="nil"/>
              <w:bottom w:val="single" w:sz="4" w:space="0" w:color="auto"/>
              <w:right w:val="single" w:sz="4" w:space="0" w:color="auto"/>
            </w:tcBorders>
          </w:tcPr>
          <w:p w14:paraId="69920A18" w14:textId="77777777" w:rsidR="000C35AF" w:rsidRPr="00113056" w:rsidRDefault="000C35AF" w:rsidP="009238AE">
            <w:pPr>
              <w:pStyle w:val="Regresjonstabell"/>
              <w:jc w:val="right"/>
              <w:rPr>
                <w:sz w:val="20"/>
                <w:szCs w:val="20"/>
              </w:rPr>
            </w:pPr>
            <w:r w:rsidRPr="00113056">
              <w:rPr>
                <w:sz w:val="20"/>
                <w:szCs w:val="20"/>
              </w:rPr>
              <w:t>0.739</w:t>
            </w:r>
          </w:p>
        </w:tc>
      </w:tr>
    </w:tbl>
    <w:p w14:paraId="0CC5BB9B" w14:textId="52D21DE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 xml:space="preserve">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w:t>
      </w:r>
      <w:r w:rsidR="00A159CE" w:rsidRPr="0055149C">
        <w:t>Angiv</w:t>
      </w:r>
      <w:r w:rsidR="00A159CE">
        <w:t>e</w:t>
      </w:r>
      <w:r w:rsidR="00A159CE" w:rsidRPr="0055149C">
        <w:t>lse</w:t>
      </w:r>
      <w:r w:rsidRPr="0055149C">
        <w:t xml:space="preserve"> av signifikans: * p &lt; 0.10, ** p &lt; 0.05 og *** p &lt; 0.01.</w:t>
      </w:r>
    </w:p>
    <w:p w14:paraId="18BAE960" w14:textId="77777777" w:rsidR="000C35AF" w:rsidRPr="0055149C" w:rsidRDefault="000C35AF" w:rsidP="000C35AF">
      <w:pPr>
        <w:pStyle w:val="Source"/>
        <w:rPr>
          <w:lang w:eastAsia="nb-NO"/>
        </w:rPr>
        <w:sectPr w:rsidR="000C35AF" w:rsidRPr="0055149C" w:rsidSect="000C35AF">
          <w:pgSz w:w="16838" w:h="11906" w:orient="landscape" w:code="9"/>
          <w:pgMar w:top="1985" w:right="1418" w:bottom="1418" w:left="1418" w:header="567" w:footer="284" w:gutter="0"/>
          <w:cols w:space="708"/>
          <w:docGrid w:linePitch="360"/>
        </w:sectPr>
      </w:pPr>
      <w:r w:rsidRPr="0055149C">
        <w:rPr>
          <w:lang w:eastAsia="nb-NO"/>
        </w:rPr>
        <w:t>Kilde: Vista Analyse</w:t>
      </w:r>
    </w:p>
    <w:p w14:paraId="230D00A6" w14:textId="4FFCF4AC" w:rsidR="00AB463D" w:rsidRPr="0055149C" w:rsidRDefault="00AB463D" w:rsidP="007B5D49">
      <w:pPr>
        <w:pStyle w:val="Overskrift4"/>
        <w:numPr>
          <w:ilvl w:val="0"/>
          <w:numId w:val="0"/>
        </w:numPr>
      </w:pPr>
      <w:r w:rsidRPr="0055149C">
        <w:lastRenderedPageBreak/>
        <w:t>Fylkeskommunene</w:t>
      </w:r>
    </w:p>
    <w:p w14:paraId="0A420177" w14:textId="143B7190" w:rsidR="000B60CA" w:rsidRPr="0055149C" w:rsidRDefault="00B948A0" w:rsidP="00FD6FE4">
      <w:pPr>
        <w:rPr>
          <w:lang w:eastAsia="nb-NO"/>
        </w:rPr>
      </w:pPr>
      <w:r w:rsidRPr="0055149C">
        <w:rPr>
          <w:lang w:eastAsia="nb-NO"/>
        </w:rPr>
        <w:t xml:space="preserve">Fylkeskommunene er for få til at det gir mening å studere hvordan kriterievektene </w:t>
      </w:r>
      <w:r w:rsidR="00FD6FE4" w:rsidRPr="0055149C">
        <w:rPr>
          <w:lang w:eastAsia="nb-NO"/>
        </w:rPr>
        <w:t>henger sammen med kommunenes bruttodriftsutgifter og kapitalkostnader ved regresjonsanalyse på tverrsnittsdata. Følgelig nøyer vi oss med</w:t>
      </w:r>
      <w:r w:rsidRPr="0055149C">
        <w:rPr>
          <w:lang w:eastAsia="nb-NO"/>
        </w:rPr>
        <w:t xml:space="preserve"> en enklere analyse av funksjonene i inntektssystemet til fylkeskommunene</w:t>
      </w:r>
      <w:r w:rsidR="00FD6FE4" w:rsidRPr="0055149C">
        <w:rPr>
          <w:lang w:eastAsia="nb-NO"/>
        </w:rPr>
        <w:t>, der vi undersøker korrelasjonen mellom hvert kostnadsmål og hvert kriterium i</w:t>
      </w:r>
      <w:r w:rsidR="0050115A" w:rsidRPr="0050115A">
        <w:rPr>
          <w:lang w:eastAsia="nb-NO"/>
        </w:rPr>
        <w:t xml:space="preserve"> </w:t>
      </w:r>
      <w:r w:rsidR="0050115A">
        <w:rPr>
          <w:lang w:eastAsia="nb-NO"/>
        </w:rPr>
        <w:t>utgiftsutjevningen i inntektssystemet for</w:t>
      </w:r>
      <w:r w:rsidR="00FD6FE4" w:rsidRPr="0055149C">
        <w:rPr>
          <w:lang w:eastAsia="nb-NO"/>
        </w:rPr>
        <w:t xml:space="preserve"> fylkeskommunene.</w:t>
      </w:r>
      <w:r w:rsidR="000B60CA" w:rsidRPr="0055149C">
        <w:rPr>
          <w:lang w:eastAsia="nb-NO"/>
        </w:rPr>
        <w:t xml:space="preserve"> Igjen analyserer vi sammenhengen mellom kostnadsmålene og kriteriene i inntektssystemet i 2022. </w:t>
      </w:r>
    </w:p>
    <w:p w14:paraId="044B6FE2" w14:textId="5228F1B3" w:rsidR="004358E5" w:rsidRDefault="00FD6FE4" w:rsidP="004358E5">
      <w:pPr>
        <w:rPr>
          <w:lang w:eastAsia="nb-NO"/>
        </w:rPr>
      </w:pPr>
      <w:r w:rsidRPr="0055149C">
        <w:rPr>
          <w:lang w:eastAsia="nb-NO"/>
        </w:rPr>
        <w:t xml:space="preserve">I inntektssystemet for fylkeskommunene brytes samferdsel opp i flere funksjoner, der kapitalkostnadene i enkelte av disse funksjonene inngår i utgiftsutjevningen. </w:t>
      </w:r>
      <w:r w:rsidR="009B793A">
        <w:rPr>
          <w:lang w:eastAsia="nb-NO"/>
        </w:rPr>
        <w:t>Det dreier seg om kapitalkostnadene forbundet med fylkesveier (</w:t>
      </w:r>
      <w:r w:rsidR="008E65A8" w:rsidRPr="00C33348">
        <w:t>se Krehic og Nyhus 2022</w:t>
      </w:r>
      <w:r w:rsidR="008E65A8">
        <w:t xml:space="preserve">, </w:t>
      </w:r>
      <w:r w:rsidR="008E65A8" w:rsidRPr="00044608">
        <w:t>Holen, Saltnes og Leland 2021</w:t>
      </w:r>
      <w:r w:rsidR="008E65A8">
        <w:t xml:space="preserve">, og </w:t>
      </w:r>
      <w:r w:rsidR="008E65A8" w:rsidRPr="00CE47A4">
        <w:t>Kommunal- og distriktsdepartementet 2023b</w:t>
      </w:r>
      <w:r w:rsidR="008E65A8" w:rsidRPr="00CA5E7F">
        <w:t xml:space="preserve"> </w:t>
      </w:r>
      <w:r w:rsidR="008E65A8" w:rsidRPr="00C33348">
        <w:t>for detaljer</w:t>
      </w:r>
      <w:r w:rsidR="009B793A">
        <w:rPr>
          <w:lang w:eastAsia="nb-NO"/>
        </w:rPr>
        <w:t>) og tilhørende ferge</w:t>
      </w:r>
      <w:r w:rsidR="00D81B4C">
        <w:rPr>
          <w:lang w:eastAsia="nb-NO"/>
        </w:rPr>
        <w:t>samband</w:t>
      </w:r>
      <w:r w:rsidR="009B793A" w:rsidRPr="00C8376C">
        <w:rPr>
          <w:lang w:eastAsia="nb-NO"/>
        </w:rPr>
        <w:t xml:space="preserve"> (se Svendsen med flere 2017</w:t>
      </w:r>
      <w:r w:rsidR="005F192C">
        <w:rPr>
          <w:lang w:eastAsia="nb-NO"/>
        </w:rPr>
        <w:t>,</w:t>
      </w:r>
      <w:r w:rsidR="009B793A" w:rsidRPr="00C8376C">
        <w:rPr>
          <w:lang w:eastAsia="nb-NO"/>
        </w:rPr>
        <w:t xml:space="preserve"> Rødseth med flere 2022a</w:t>
      </w:r>
      <w:r w:rsidR="005F192C" w:rsidRPr="005F192C">
        <w:t xml:space="preserve"> </w:t>
      </w:r>
      <w:r w:rsidR="005F192C">
        <w:t xml:space="preserve">og </w:t>
      </w:r>
      <w:r w:rsidR="005F192C" w:rsidRPr="00CE47A4">
        <w:t>Kommunal- og distriktsdepartementet 2023b</w:t>
      </w:r>
      <w:r w:rsidR="005F192C" w:rsidRPr="00CA5E7F">
        <w:t xml:space="preserve"> </w:t>
      </w:r>
      <w:r w:rsidR="005F192C" w:rsidRPr="00C33348">
        <w:t xml:space="preserve">for </w:t>
      </w:r>
      <w:r w:rsidR="004C34A0">
        <w:t>videre lesing</w:t>
      </w:r>
      <w:r w:rsidR="009B793A" w:rsidRPr="00C8376C">
        <w:rPr>
          <w:lang w:eastAsia="nb-NO"/>
        </w:rPr>
        <w:t>)</w:t>
      </w:r>
      <w:r w:rsidR="009B793A">
        <w:rPr>
          <w:lang w:eastAsia="nb-NO"/>
        </w:rPr>
        <w:t xml:space="preserve">. </w:t>
      </w:r>
      <w:r w:rsidRPr="0055149C">
        <w:rPr>
          <w:lang w:eastAsia="nb-NO"/>
        </w:rPr>
        <w:t xml:space="preserve">I våre kapitalberegninger er samferdsel behandlet som kun én funksjon, slik at vi også bare </w:t>
      </w:r>
      <w:r w:rsidR="00455AF1">
        <w:rPr>
          <w:lang w:eastAsia="nb-NO"/>
        </w:rPr>
        <w:t xml:space="preserve">utfører </w:t>
      </w:r>
      <w:r w:rsidRPr="0055149C">
        <w:rPr>
          <w:lang w:eastAsia="nb-NO"/>
        </w:rPr>
        <w:t>en korrelasjonsanalyse for funksjonen samlet. I tillegg foretar vi tilsvarende korrelasjonsanalyser for videregående skole og tannhelse</w:t>
      </w:r>
      <w:r w:rsidR="000B60CA" w:rsidRPr="0055149C">
        <w:rPr>
          <w:lang w:eastAsia="nb-NO"/>
        </w:rPr>
        <w:t xml:space="preserve">, som også inngår i </w:t>
      </w:r>
      <w:r w:rsidR="003A4B20">
        <w:rPr>
          <w:lang w:eastAsia="nb-NO"/>
        </w:rPr>
        <w:t xml:space="preserve">utgiftsutjevningen for </w:t>
      </w:r>
      <w:r w:rsidR="000B60CA" w:rsidRPr="0055149C">
        <w:rPr>
          <w:lang w:eastAsia="nb-NO"/>
        </w:rPr>
        <w:t>fylkeskommunene.</w:t>
      </w:r>
      <w:r w:rsidR="004358E5" w:rsidRPr="004358E5">
        <w:rPr>
          <w:lang w:eastAsia="nb-NO"/>
        </w:rPr>
        <w:t xml:space="preserve"> </w:t>
      </w:r>
    </w:p>
    <w:p w14:paraId="5BF2BCA5" w14:textId="1E2D5582" w:rsidR="00507610" w:rsidRDefault="009B793A" w:rsidP="007A1EA0">
      <w:pPr>
        <w:rPr>
          <w:lang w:eastAsia="nb-NO"/>
        </w:rPr>
      </w:pPr>
      <w:r>
        <w:rPr>
          <w:lang w:eastAsia="nb-NO"/>
        </w:rPr>
        <w:t xml:space="preserve">I </w:t>
      </w:r>
      <w:r>
        <w:rPr>
          <w:lang w:eastAsia="nb-NO"/>
        </w:rPr>
        <w:fldChar w:fldCharType="begin"/>
      </w:r>
      <w:r>
        <w:rPr>
          <w:lang w:eastAsia="nb-NO"/>
        </w:rPr>
        <w:instrText xml:space="preserve"> REF _Ref178414375 \h </w:instrText>
      </w:r>
      <w:r>
        <w:rPr>
          <w:lang w:eastAsia="nb-NO"/>
        </w:rPr>
      </w:r>
      <w:r>
        <w:rPr>
          <w:lang w:eastAsia="nb-NO"/>
        </w:rPr>
        <w:fldChar w:fldCharType="separate"/>
      </w:r>
      <w:r w:rsidR="009B1DA8" w:rsidRPr="0055149C">
        <w:t xml:space="preserve">Figur </w:t>
      </w:r>
      <w:r w:rsidR="009B1DA8">
        <w:rPr>
          <w:noProof/>
        </w:rPr>
        <w:t>4</w:t>
      </w:r>
      <w:r w:rsidR="009B1DA8">
        <w:t>.</w:t>
      </w:r>
      <w:r w:rsidR="009B1DA8">
        <w:rPr>
          <w:noProof/>
        </w:rPr>
        <w:t>26</w:t>
      </w:r>
      <w:r>
        <w:rPr>
          <w:lang w:eastAsia="nb-NO"/>
        </w:rPr>
        <w:fldChar w:fldCharType="end"/>
      </w:r>
      <w:r>
        <w:rPr>
          <w:lang w:eastAsia="nb-NO"/>
        </w:rPr>
        <w:t xml:space="preserve"> har vi illustrert korrelasjonen</w:t>
      </w:r>
      <w:r w:rsidRPr="009B793A">
        <w:rPr>
          <w:lang w:eastAsia="nb-NO"/>
        </w:rPr>
        <w:t xml:space="preserve"> mellom kriteriene </w:t>
      </w:r>
      <w:r w:rsidR="005758B2">
        <w:rPr>
          <w:lang w:eastAsia="nb-NO"/>
        </w:rPr>
        <w:t>utgiftsutjevningen</w:t>
      </w:r>
      <w:r w:rsidRPr="009B793A">
        <w:rPr>
          <w:lang w:eastAsia="nb-NO"/>
        </w:rPr>
        <w:t xml:space="preserve"> for fylk</w:t>
      </w:r>
      <w:r w:rsidR="005758B2">
        <w:rPr>
          <w:lang w:eastAsia="nb-NO"/>
        </w:rPr>
        <w:t xml:space="preserve">eskommunene </w:t>
      </w:r>
      <w:r w:rsidR="00530C54">
        <w:rPr>
          <w:lang w:eastAsia="nb-NO"/>
        </w:rPr>
        <w:t>i</w:t>
      </w:r>
      <w:r>
        <w:rPr>
          <w:lang w:eastAsia="nb-NO"/>
        </w:rPr>
        <w:t xml:space="preserve"> 2022 </w:t>
      </w:r>
      <w:r w:rsidRPr="009B793A">
        <w:rPr>
          <w:lang w:eastAsia="nb-NO"/>
        </w:rPr>
        <w:t>og alternative kostnadsmål for fylkeskommunene</w:t>
      </w:r>
      <w:r>
        <w:rPr>
          <w:lang w:eastAsia="nb-NO"/>
        </w:rPr>
        <w:t xml:space="preserve"> innenfor de tre sektorene.</w:t>
      </w:r>
      <w:r w:rsidR="00986AC1">
        <w:rPr>
          <w:lang w:eastAsia="nb-NO"/>
        </w:rPr>
        <w:t xml:space="preserve"> </w:t>
      </w:r>
      <w:r>
        <w:rPr>
          <w:lang w:eastAsia="nb-NO"/>
        </w:rPr>
        <w:t xml:space="preserve">Korrelasjonen er </w:t>
      </w:r>
      <w:r w:rsidR="00883459">
        <w:rPr>
          <w:lang w:eastAsia="nb-NO"/>
        </w:rPr>
        <w:t>i hovedsak høy for samtlige sektorer</w:t>
      </w:r>
      <w:r w:rsidR="00986AC1">
        <w:rPr>
          <w:lang w:eastAsia="nb-NO"/>
        </w:rPr>
        <w:t>, dog med enkelte unntak.</w:t>
      </w:r>
      <w:r w:rsidR="007A1EA0">
        <w:rPr>
          <w:lang w:eastAsia="nb-NO"/>
        </w:rPr>
        <w:t xml:space="preserve"> </w:t>
      </w:r>
      <w:r w:rsidR="006569DF">
        <w:rPr>
          <w:lang w:eastAsia="nb-NO"/>
        </w:rPr>
        <w:t>For samferdsel varierer det om det er produktinnsatsutgifter og fordringstap eller lønnsutgifter som driver den høye korrelasjonen mellom bruttodriftsutgifter og systemkriteriene. Kapitalkostnadene er også sterkt korrelerte med kriteriene, men korrelasjonen er lavere enn for bruttodriftsutgifter når man ser på kapitalkostnadskomponentene alene.</w:t>
      </w:r>
      <w:r w:rsidR="00507610" w:rsidRPr="00507610">
        <w:t xml:space="preserve"> </w:t>
      </w:r>
      <w:r w:rsidR="00507610">
        <w:rPr>
          <w:lang w:eastAsia="nb-NO"/>
        </w:rPr>
        <w:t>Kriteriet s</w:t>
      </w:r>
      <w:r w:rsidR="00507610" w:rsidRPr="00507610">
        <w:rPr>
          <w:lang w:eastAsia="nb-NO"/>
        </w:rPr>
        <w:t>kalert sysselsetting etter arbeidsted</w:t>
      </w:r>
      <w:r w:rsidR="00507610">
        <w:rPr>
          <w:lang w:eastAsia="nb-NO"/>
        </w:rPr>
        <w:t xml:space="preserve"> </w:t>
      </w:r>
      <w:r w:rsidR="00991EE7">
        <w:rPr>
          <w:lang w:eastAsia="nb-NO"/>
        </w:rPr>
        <w:t xml:space="preserve">er </w:t>
      </w:r>
      <w:r w:rsidR="00507610">
        <w:rPr>
          <w:lang w:eastAsia="nb-NO"/>
        </w:rPr>
        <w:t>svak</w:t>
      </w:r>
      <w:r w:rsidR="00991EE7">
        <w:rPr>
          <w:lang w:eastAsia="nb-NO"/>
        </w:rPr>
        <w:t>t</w:t>
      </w:r>
      <w:r w:rsidR="00507610">
        <w:rPr>
          <w:lang w:eastAsia="nb-NO"/>
        </w:rPr>
        <w:t xml:space="preserve"> korrelert med samtlige kostnadsmål med unntak av produktinnsatsutgifter og fordringstap.</w:t>
      </w:r>
      <w:r w:rsidR="007A1EA0">
        <w:rPr>
          <w:lang w:eastAsia="nb-NO"/>
        </w:rPr>
        <w:t xml:space="preserve"> </w:t>
      </w:r>
      <w:r w:rsidR="006569DF">
        <w:rPr>
          <w:lang w:eastAsia="nb-NO"/>
        </w:rPr>
        <w:t xml:space="preserve">For videregående skole </w:t>
      </w:r>
      <w:r w:rsidR="00EE510D">
        <w:rPr>
          <w:lang w:eastAsia="nb-NO"/>
        </w:rPr>
        <w:t>korrelerer</w:t>
      </w:r>
      <w:r w:rsidR="006569DF">
        <w:rPr>
          <w:lang w:eastAsia="nb-NO"/>
        </w:rPr>
        <w:t xml:space="preserve"> kapitalkostnadene forbundet med PIM estimert på funksjonsnivå</w:t>
      </w:r>
      <w:r w:rsidR="00EE510D">
        <w:rPr>
          <w:lang w:eastAsia="nb-NO"/>
        </w:rPr>
        <w:t xml:space="preserve"> – </w:t>
      </w:r>
      <w:r w:rsidR="003E18C1">
        <w:rPr>
          <w:lang w:eastAsia="nb-NO"/>
        </w:rPr>
        <w:t>på lik linje med bruttodriftsutgiftene</w:t>
      </w:r>
      <w:r w:rsidR="00EE510D">
        <w:rPr>
          <w:lang w:eastAsia="nb-NO"/>
        </w:rPr>
        <w:t xml:space="preserve"> – høyt </w:t>
      </w:r>
      <w:r w:rsidR="003E18C1">
        <w:rPr>
          <w:lang w:eastAsia="nb-NO"/>
        </w:rPr>
        <w:t>med kriteriene. Kriteriene er imidlertid svakere korrelert med kapitalslitet utledet ved DM og til dels med produktinnsatsutgifter og fordringstap.</w:t>
      </w:r>
      <w:r w:rsidR="007A1EA0">
        <w:rPr>
          <w:lang w:eastAsia="nb-NO"/>
        </w:rPr>
        <w:t xml:space="preserve"> </w:t>
      </w:r>
      <w:r w:rsidR="003E18C1">
        <w:rPr>
          <w:lang w:eastAsia="nb-NO"/>
        </w:rPr>
        <w:t>For tannhelse bidrar både</w:t>
      </w:r>
      <w:r w:rsidR="003E18C1" w:rsidRPr="003E18C1">
        <w:rPr>
          <w:lang w:eastAsia="nb-NO"/>
        </w:rPr>
        <w:t xml:space="preserve"> </w:t>
      </w:r>
      <w:r w:rsidR="003E18C1">
        <w:rPr>
          <w:lang w:eastAsia="nb-NO"/>
        </w:rPr>
        <w:t>produktinnsatsutgiften og fordringstapene og lønnsutgiftene til høy korrelasjon mellom bruttodri</w:t>
      </w:r>
      <w:r w:rsidR="00507610">
        <w:rPr>
          <w:lang w:eastAsia="nb-NO"/>
        </w:rPr>
        <w:t>ftsutgiftene og kriteriene</w:t>
      </w:r>
      <w:r w:rsidR="009317B0">
        <w:rPr>
          <w:lang w:eastAsia="nb-NO"/>
        </w:rPr>
        <w:t xml:space="preserve"> i utgiftsutjevningen</w:t>
      </w:r>
      <w:r w:rsidR="00507610">
        <w:rPr>
          <w:lang w:eastAsia="nb-NO"/>
        </w:rPr>
        <w:t>. Korrelasjonen mellom kapitalkostnadsmålene alene og kriteriene er noe svakere enn dette. Kriteriet i</w:t>
      </w:r>
      <w:r w:rsidR="00507610" w:rsidRPr="00507610">
        <w:rPr>
          <w:lang w:eastAsia="nb-NO"/>
        </w:rPr>
        <w:t>nnbyggere 1 til 18 år</w:t>
      </w:r>
      <w:r w:rsidR="00507610">
        <w:rPr>
          <w:lang w:eastAsia="nb-NO"/>
        </w:rPr>
        <w:t xml:space="preserve"> er relativ svakt korrelert med kostnadsmålene.</w:t>
      </w:r>
    </w:p>
    <w:p w14:paraId="0E0F3C49" w14:textId="51DFB43C" w:rsidR="000F2D01" w:rsidRDefault="00507610" w:rsidP="007F2F89">
      <w:pPr>
        <w:tabs>
          <w:tab w:val="left" w:pos="2010"/>
        </w:tabs>
        <w:rPr>
          <w:lang w:eastAsia="nb-NO"/>
        </w:rPr>
      </w:pPr>
      <w:r>
        <w:rPr>
          <w:lang w:eastAsia="nb-NO"/>
        </w:rPr>
        <w:t xml:space="preserve">Alt i alt </w:t>
      </w:r>
      <w:r w:rsidR="00900460">
        <w:rPr>
          <w:lang w:eastAsia="nb-NO"/>
        </w:rPr>
        <w:t>er</w:t>
      </w:r>
      <w:r>
        <w:rPr>
          <w:lang w:eastAsia="nb-NO"/>
        </w:rPr>
        <w:t xml:space="preserve"> resultatene for fylkeskommunene klarere enn resultatene for primærkommunene, hvilket </w:t>
      </w:r>
      <w:r w:rsidR="00D066B5">
        <w:rPr>
          <w:lang w:eastAsia="nb-NO"/>
        </w:rPr>
        <w:t>tilsier</w:t>
      </w:r>
      <w:r>
        <w:rPr>
          <w:lang w:eastAsia="nb-NO"/>
        </w:rPr>
        <w:t xml:space="preserve"> sterkere argumenter for å inkludere </w:t>
      </w:r>
      <w:r w:rsidR="000D39B6">
        <w:rPr>
          <w:lang w:eastAsia="nb-NO"/>
        </w:rPr>
        <w:t>kapitalkostnader</w:t>
      </w:r>
      <w:r w:rsidR="007A1EA0">
        <w:rPr>
          <w:lang w:eastAsia="nb-NO"/>
        </w:rPr>
        <w:t xml:space="preserve"> i </w:t>
      </w:r>
      <w:r w:rsidR="00E9460F">
        <w:rPr>
          <w:lang w:eastAsia="nb-NO"/>
        </w:rPr>
        <w:t>utgiftsutjevningen</w:t>
      </w:r>
      <w:r w:rsidR="007A1EA0">
        <w:rPr>
          <w:lang w:eastAsia="nb-NO"/>
        </w:rPr>
        <w:t xml:space="preserve"> </w:t>
      </w:r>
      <w:r w:rsidR="00792000">
        <w:rPr>
          <w:lang w:eastAsia="nb-NO"/>
        </w:rPr>
        <w:t>for dette forvaltningsnivået</w:t>
      </w:r>
      <w:r w:rsidR="00D066B5">
        <w:rPr>
          <w:lang w:eastAsia="nb-NO"/>
        </w:rPr>
        <w:t>, også</w:t>
      </w:r>
      <w:r w:rsidR="00792000">
        <w:rPr>
          <w:lang w:eastAsia="nb-NO"/>
        </w:rPr>
        <w:t xml:space="preserve"> </w:t>
      </w:r>
      <w:r w:rsidR="007A1EA0">
        <w:rPr>
          <w:lang w:eastAsia="nb-NO"/>
        </w:rPr>
        <w:t xml:space="preserve">utover </w:t>
      </w:r>
      <w:r w:rsidR="00DC678B">
        <w:rPr>
          <w:lang w:eastAsia="nb-NO"/>
        </w:rPr>
        <w:t>fylkesveier og fergesamband</w:t>
      </w:r>
      <w:r w:rsidR="00B61BD0">
        <w:rPr>
          <w:lang w:eastAsia="nb-NO"/>
        </w:rPr>
        <w:t xml:space="preserve">. </w:t>
      </w:r>
      <w:r>
        <w:rPr>
          <w:lang w:eastAsia="nb-NO"/>
        </w:rPr>
        <w:t xml:space="preserve">Samtidig er det i motsetning </w:t>
      </w:r>
      <w:r w:rsidR="00301A01">
        <w:rPr>
          <w:lang w:eastAsia="nb-NO"/>
        </w:rPr>
        <w:t>til</w:t>
      </w:r>
      <w:r>
        <w:rPr>
          <w:lang w:eastAsia="nb-NO"/>
        </w:rPr>
        <w:t xml:space="preserve"> </w:t>
      </w:r>
      <w:r w:rsidR="008C5527">
        <w:rPr>
          <w:lang w:eastAsia="nb-NO"/>
        </w:rPr>
        <w:t xml:space="preserve">regresjonsanalysene for primærkommunene </w:t>
      </w:r>
      <w:r>
        <w:rPr>
          <w:lang w:eastAsia="nb-NO"/>
        </w:rPr>
        <w:t>snakk om enkle korrelasjons</w:t>
      </w:r>
      <w:r w:rsidR="008C5527">
        <w:rPr>
          <w:lang w:eastAsia="nb-NO"/>
        </w:rPr>
        <w:t xml:space="preserve">analyser uten kontroller eller beregninger av signifikans. </w:t>
      </w:r>
      <w:r w:rsidR="00B61BD0">
        <w:rPr>
          <w:lang w:eastAsia="nb-NO"/>
        </w:rPr>
        <w:t xml:space="preserve">Datagrunnlaget er relativt </w:t>
      </w:r>
      <w:r w:rsidR="007F2F89">
        <w:rPr>
          <w:lang w:eastAsia="nb-NO"/>
        </w:rPr>
        <w:t>svakt med</w:t>
      </w:r>
      <w:r w:rsidR="008C5527">
        <w:rPr>
          <w:lang w:eastAsia="nb-NO"/>
        </w:rPr>
        <w:t xml:space="preserve"> få enheter, selv om tidsdimensjonen</w:t>
      </w:r>
      <w:r w:rsidR="00D066B5">
        <w:rPr>
          <w:lang w:eastAsia="nb-NO"/>
        </w:rPr>
        <w:t xml:space="preserve"> kunne vært utnyttet</w:t>
      </w:r>
      <w:r w:rsidR="007F2F89">
        <w:rPr>
          <w:lang w:eastAsia="nb-NO"/>
        </w:rPr>
        <w:t xml:space="preserve"> i regresjonsanalyser</w:t>
      </w:r>
      <w:r w:rsidR="008C5527">
        <w:rPr>
          <w:lang w:eastAsia="nb-NO"/>
        </w:rPr>
        <w:t>.</w:t>
      </w:r>
      <w:r w:rsidR="007A1EA0">
        <w:rPr>
          <w:lang w:eastAsia="nb-NO"/>
        </w:rPr>
        <w:t xml:space="preserve"> </w:t>
      </w:r>
      <w:r w:rsidR="008C5527">
        <w:rPr>
          <w:lang w:eastAsia="nb-NO"/>
        </w:rPr>
        <w:t xml:space="preserve">Høyere kapitalintensitet i fylkeskommunene enn i primærkommunene </w:t>
      </w:r>
      <w:r w:rsidR="008E3AB5">
        <w:rPr>
          <w:lang w:eastAsia="nb-NO"/>
        </w:rPr>
        <w:t>peker i retning av</w:t>
      </w:r>
      <w:r w:rsidR="008C5527">
        <w:rPr>
          <w:lang w:eastAsia="nb-NO"/>
        </w:rPr>
        <w:t xml:space="preserve"> at det er relativt viktig å inkludere </w:t>
      </w:r>
      <w:r w:rsidR="00A36791">
        <w:rPr>
          <w:lang w:eastAsia="nb-NO"/>
        </w:rPr>
        <w:t>kapitalkostnader</w:t>
      </w:r>
      <w:r w:rsidR="008C5527">
        <w:rPr>
          <w:lang w:eastAsia="nb-NO"/>
        </w:rPr>
        <w:t xml:space="preserve"> </w:t>
      </w:r>
      <w:r w:rsidR="007A1EA0">
        <w:rPr>
          <w:lang w:eastAsia="nb-NO"/>
        </w:rPr>
        <w:t xml:space="preserve">i </w:t>
      </w:r>
      <w:r w:rsidR="00691D5F">
        <w:rPr>
          <w:lang w:eastAsia="nb-NO"/>
        </w:rPr>
        <w:t>utgiftsutjevningen</w:t>
      </w:r>
      <w:r w:rsidR="006C57F0">
        <w:rPr>
          <w:lang w:eastAsia="nb-NO"/>
        </w:rPr>
        <w:t xml:space="preserve"> for dette forvaltningsnivået</w:t>
      </w:r>
      <w:r w:rsidR="00B61BD0">
        <w:rPr>
          <w:lang w:eastAsia="nb-NO"/>
        </w:rPr>
        <w:t xml:space="preserve">. </w:t>
      </w:r>
      <w:r w:rsidR="00B61BD0" w:rsidRPr="0055149C">
        <w:rPr>
          <w:lang w:eastAsia="nb-NO"/>
        </w:rPr>
        <w:t>Lunder</w:t>
      </w:r>
      <w:r w:rsidR="00B61BD0">
        <w:rPr>
          <w:lang w:eastAsia="nb-NO"/>
        </w:rPr>
        <w:t>-utvalget tar til orde for å foreta regresjonsanalyser også for fylkeskommunene (</w:t>
      </w:r>
      <w:r w:rsidR="00B61BD0" w:rsidRPr="0055149C">
        <w:rPr>
          <w:lang w:eastAsia="nb-NO"/>
        </w:rPr>
        <w:t>Kommunal- og distriktsdepartementet 2022)</w:t>
      </w:r>
      <w:r w:rsidR="00B61BD0">
        <w:rPr>
          <w:lang w:eastAsia="nb-NO"/>
        </w:rPr>
        <w:t xml:space="preserve">. </w:t>
      </w:r>
      <w:r w:rsidR="007A1EA0">
        <w:rPr>
          <w:lang w:eastAsia="nb-NO"/>
        </w:rPr>
        <w:t xml:space="preserve">Sett opp mot dagens fastsettelse av kriteriene i </w:t>
      </w:r>
      <w:r w:rsidR="001D088A">
        <w:rPr>
          <w:lang w:eastAsia="nb-NO"/>
        </w:rPr>
        <w:t xml:space="preserve">utgiftsutjevningen </w:t>
      </w:r>
      <w:r w:rsidR="007A1EA0">
        <w:rPr>
          <w:lang w:eastAsia="nb-NO"/>
        </w:rPr>
        <w:t xml:space="preserve">for fylkeskommunene taler imidlertid </w:t>
      </w:r>
      <w:r w:rsidR="004114C8">
        <w:rPr>
          <w:lang w:eastAsia="nb-NO"/>
        </w:rPr>
        <w:t xml:space="preserve">våre funn </w:t>
      </w:r>
      <w:r w:rsidR="007A1EA0">
        <w:rPr>
          <w:lang w:eastAsia="nb-NO"/>
        </w:rPr>
        <w:t xml:space="preserve">for at kapitalkostnader bør inkluderes i utgiftsutjevningen. De prinsipielle poengene </w:t>
      </w:r>
      <w:r w:rsidR="005F321C">
        <w:rPr>
          <w:lang w:eastAsia="nb-NO"/>
        </w:rPr>
        <w:t xml:space="preserve">diskutert i </w:t>
      </w:r>
      <w:r w:rsidR="007A1EA0">
        <w:rPr>
          <w:lang w:eastAsia="nb-NO"/>
        </w:rPr>
        <w:t xml:space="preserve">forrige delseksjon og i kapittel </w:t>
      </w:r>
      <w:r w:rsidR="007A1EA0">
        <w:rPr>
          <w:lang w:eastAsia="nb-NO"/>
        </w:rPr>
        <w:fldChar w:fldCharType="begin"/>
      </w:r>
      <w:r w:rsidR="007A1EA0">
        <w:rPr>
          <w:lang w:eastAsia="nb-NO"/>
        </w:rPr>
        <w:instrText xml:space="preserve"> REF _Ref166966499 \r \h </w:instrText>
      </w:r>
      <w:r w:rsidR="007A1EA0">
        <w:rPr>
          <w:lang w:eastAsia="nb-NO"/>
        </w:rPr>
      </w:r>
      <w:r w:rsidR="007A1EA0">
        <w:rPr>
          <w:lang w:eastAsia="nb-NO"/>
        </w:rPr>
        <w:fldChar w:fldCharType="separate"/>
      </w:r>
      <w:r w:rsidR="009B1DA8">
        <w:rPr>
          <w:lang w:eastAsia="nb-NO"/>
        </w:rPr>
        <w:t>1</w:t>
      </w:r>
      <w:r w:rsidR="007A1EA0">
        <w:rPr>
          <w:lang w:eastAsia="nb-NO"/>
        </w:rPr>
        <w:fldChar w:fldCharType="end"/>
      </w:r>
      <w:r w:rsidR="007A1EA0">
        <w:rPr>
          <w:lang w:eastAsia="nb-NO"/>
        </w:rPr>
        <w:t xml:space="preserve"> peker i samme retning.</w:t>
      </w:r>
      <w:r w:rsidR="000F2D01">
        <w:rPr>
          <w:lang w:eastAsia="nb-NO"/>
        </w:rPr>
        <w:br w:type="page"/>
      </w:r>
    </w:p>
    <w:p w14:paraId="58FD97CE" w14:textId="0625979B" w:rsidR="005A7A0D" w:rsidRDefault="005A7A0D" w:rsidP="005A7A0D">
      <w:pPr>
        <w:pStyle w:val="Bildetekst"/>
        <w:jc w:val="both"/>
      </w:pPr>
      <w:bookmarkStart w:id="146" w:name="_Ref178414375"/>
      <w:r w:rsidRPr="0055149C">
        <w:lastRenderedPageBreak/>
        <w:t xml:space="preserve">Figur </w:t>
      </w:r>
      <w:fldSimple w:instr=" STYLEREF 1 \s ">
        <w:r w:rsidR="009B1DA8">
          <w:rPr>
            <w:noProof/>
          </w:rPr>
          <w:t>4</w:t>
        </w:r>
      </w:fldSimple>
      <w:r w:rsidR="004B03E3">
        <w:t>.</w:t>
      </w:r>
      <w:fldSimple w:instr=" SEQ Figur \* ARABIC \s 1 ">
        <w:r w:rsidR="009B1DA8">
          <w:rPr>
            <w:noProof/>
          </w:rPr>
          <w:t>26</w:t>
        </w:r>
      </w:fldSimple>
      <w:bookmarkEnd w:id="146"/>
      <w:r w:rsidRPr="0055149C">
        <w:tab/>
        <w:t xml:space="preserve">Korrelasjon mellom kriteriene i </w:t>
      </w:r>
      <w:r w:rsidR="007527DD">
        <w:t>utgiftsutjevningen i</w:t>
      </w:r>
      <w:r w:rsidRPr="0055149C">
        <w:t xml:space="preserve"> inntektssystemet for fylke</w:t>
      </w:r>
      <w:r w:rsidR="007527DD">
        <w:t>skommune</w:t>
      </w:r>
      <w:r w:rsidRPr="0055149C">
        <w:t xml:space="preserve">ne og </w:t>
      </w:r>
      <w:r w:rsidR="00815C9B" w:rsidRPr="0055149C">
        <w:t xml:space="preserve">alternative kostnadsmål for </w:t>
      </w:r>
      <w:r w:rsidRPr="0055149C">
        <w:t>fylkeskommunene</w:t>
      </w:r>
      <w:r w:rsidR="00883459">
        <w:t xml:space="preserve"> i 2022</w:t>
      </w:r>
      <w:r w:rsidRPr="0055149C">
        <w:t xml:space="preserve"> innen a) samferdsel (øverst), b) videregående skole (i midten) og c) tannhelse (nederst). Alle variabler er målt per innbygger gjennom året.</w:t>
      </w:r>
    </w:p>
    <w:p w14:paraId="7EC8A6FB" w14:textId="6C3CF762" w:rsidR="00266943" w:rsidRPr="00266943" w:rsidRDefault="0056200B" w:rsidP="00F45E31">
      <w:pPr>
        <w:jc w:val="center"/>
      </w:pPr>
      <w:r>
        <w:rPr>
          <w:noProof/>
          <w:lang w:val="en-US" w:eastAsia="en-US"/>
        </w:rPr>
        <w:drawing>
          <wp:inline distT="0" distB="0" distL="0" distR="0" wp14:anchorId="2481AB25" wp14:editId="0CB00574">
            <wp:extent cx="5364000" cy="2340000"/>
            <wp:effectExtent l="0" t="0" r="8255" b="3175"/>
            <wp:docPr id="964936137" name="Diagram 3">
              <a:extLst xmlns:a="http://schemas.openxmlformats.org/drawingml/2006/main">
                <a:ext uri="{FF2B5EF4-FFF2-40B4-BE49-F238E27FC236}">
                  <a16:creationId xmlns:a16="http://schemas.microsoft.com/office/drawing/2014/main" id="{EB089287-DF26-4CA6-9ED4-A23DDD0B6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A52A7F">
        <w:rPr>
          <w:noProof/>
          <w:lang w:val="en-US" w:eastAsia="en-US"/>
        </w:rPr>
        <w:drawing>
          <wp:inline distT="0" distB="0" distL="0" distR="0" wp14:anchorId="79EB5885" wp14:editId="7AB1AA2F">
            <wp:extent cx="5364000" cy="1980000"/>
            <wp:effectExtent l="0" t="0" r="8255" b="1270"/>
            <wp:docPr id="2055710360" name="Diagram 1">
              <a:extLst xmlns:a="http://schemas.openxmlformats.org/drawingml/2006/main">
                <a:ext uri="{FF2B5EF4-FFF2-40B4-BE49-F238E27FC236}">
                  <a16:creationId xmlns:a16="http://schemas.microsoft.com/office/drawing/2014/main" id="{D54F0A70-AF94-4C4A-B50A-076BBE8F5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266943">
        <w:rPr>
          <w:noProof/>
          <w:lang w:val="en-US" w:eastAsia="en-US"/>
        </w:rPr>
        <w:drawing>
          <wp:inline distT="0" distB="0" distL="0" distR="0" wp14:anchorId="29B7AA8E" wp14:editId="5B77496A">
            <wp:extent cx="5364000" cy="3240000"/>
            <wp:effectExtent l="0" t="0" r="8255" b="0"/>
            <wp:docPr id="569707691" name="Diagram 2">
              <a:extLst xmlns:a="http://schemas.openxmlformats.org/drawingml/2006/main">
                <a:ext uri="{FF2B5EF4-FFF2-40B4-BE49-F238E27FC236}">
                  <a16:creationId xmlns:a16="http://schemas.microsoft.com/office/drawing/2014/main" id="{74C4DD93-9BD9-49BD-847C-60417200D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2E8BB41" w14:textId="0AC2B27B" w:rsidR="00ED2328" w:rsidRPr="0055149C" w:rsidRDefault="00ED2328" w:rsidP="00ED2328">
      <w:pPr>
        <w:pStyle w:val="Billedtekst-forklaring"/>
        <w:ind w:left="0" w:firstLine="0"/>
        <w:rPr>
          <w:shd w:val="clear" w:color="auto" w:fill="468C5C" w:themeFill="accent6"/>
          <w:lang w:eastAsia="nb-NO"/>
        </w:rPr>
      </w:pPr>
      <w:r w:rsidRPr="0055149C">
        <w:t>Forkortelsen dd</w:t>
      </w:r>
      <w:r w:rsidR="00F109EC" w:rsidRPr="0055149C">
        <w:t>l</w:t>
      </w:r>
      <w:r w:rsidRPr="0055149C">
        <w:t xml:space="preserve"> </w:t>
      </w:r>
      <w:r w:rsidR="00D93D66" w:rsidRPr="0055149C">
        <w:t>står for</w:t>
      </w:r>
      <w:r w:rsidRPr="0055149C">
        <w:t xml:space="preserve"> disaggregerte </w:t>
      </w:r>
      <w:r w:rsidR="00F109EC" w:rsidRPr="0055149C">
        <w:t>kapitalparametere</w:t>
      </w:r>
      <w:r w:rsidR="00D93D66" w:rsidRPr="0055149C">
        <w:t xml:space="preserve"> og løpende rente</w:t>
      </w:r>
      <w:r w:rsidRPr="0055149C">
        <w:t>.</w:t>
      </w:r>
    </w:p>
    <w:p w14:paraId="7FBA56B6" w14:textId="5AA00CD8" w:rsidR="00A8286E" w:rsidRPr="0055149C" w:rsidRDefault="00AB2D5F" w:rsidP="00251CD3">
      <w:pPr>
        <w:pStyle w:val="Source"/>
      </w:pPr>
      <w:r w:rsidRPr="0055149C">
        <w:rPr>
          <w:lang w:eastAsia="nb-NO"/>
        </w:rPr>
        <w:t>Kilde: Vista Analyse</w:t>
      </w:r>
      <w:bookmarkEnd w:id="32"/>
      <w:bookmarkEnd w:id="33"/>
      <w:bookmarkEnd w:id="34"/>
      <w:bookmarkEnd w:id="35"/>
    </w:p>
    <w:p w14:paraId="7AF66B21" w14:textId="7BEE88DC" w:rsidR="00A8286E" w:rsidRPr="0055149C" w:rsidRDefault="00A8286E" w:rsidP="00A8286E">
      <w:pPr>
        <w:pStyle w:val="ExecSumHead"/>
      </w:pPr>
      <w:bookmarkStart w:id="147" w:name="_Toc58410157"/>
      <w:bookmarkStart w:id="148" w:name="_Toc79414766"/>
      <w:bookmarkStart w:id="149" w:name="_Toc182321019"/>
      <w:bookmarkStart w:id="150" w:name="_Toc370742727"/>
      <w:bookmarkStart w:id="151" w:name="_Toc369880054"/>
      <w:bookmarkStart w:id="152" w:name="_Toc369876291"/>
      <w:bookmarkStart w:id="153" w:name="_Toc369875175"/>
      <w:bookmarkStart w:id="154" w:name="_Toc369872911"/>
      <w:bookmarkStart w:id="155" w:name="_Toc369615690"/>
      <w:bookmarkStart w:id="156" w:name="_Toc369292263"/>
      <w:bookmarkStart w:id="157" w:name="_Toc369290011"/>
      <w:bookmarkStart w:id="158" w:name="_Toc369288668"/>
      <w:bookmarkStart w:id="159" w:name="_Toc369287820"/>
      <w:bookmarkStart w:id="160" w:name="_Toc369284287"/>
      <w:bookmarkStart w:id="161" w:name="_Toc369074809"/>
      <w:bookmarkStart w:id="162" w:name="_Toc369074560"/>
      <w:bookmarkStart w:id="163" w:name="_Toc368985244"/>
      <w:bookmarkStart w:id="164" w:name="_Toc368693191"/>
      <w:bookmarkStart w:id="165" w:name="_Toc368692887"/>
      <w:bookmarkStart w:id="166" w:name="_Toc368488917"/>
      <w:bookmarkStart w:id="167" w:name="_Toc368479976"/>
      <w:bookmarkStart w:id="168" w:name="_Toc368036976"/>
      <w:bookmarkStart w:id="169" w:name="_Toc367780738"/>
      <w:bookmarkStart w:id="170" w:name="_Toc367190233"/>
      <w:bookmarkStart w:id="171" w:name="_Toc367176026"/>
      <w:bookmarkStart w:id="172" w:name="_Toc362522422"/>
      <w:bookmarkStart w:id="173" w:name="_Toc362342719"/>
      <w:bookmarkStart w:id="174" w:name="_Toc362259598"/>
      <w:bookmarkStart w:id="175" w:name="_Toc362025698"/>
      <w:bookmarkStart w:id="176" w:name="_Toc361660236"/>
      <w:bookmarkStart w:id="177" w:name="_Toc361314421"/>
      <w:bookmarkStart w:id="178" w:name="_Toc358632761"/>
      <w:r w:rsidRPr="0055149C">
        <w:lastRenderedPageBreak/>
        <w:t>Referanser</w:t>
      </w:r>
      <w:bookmarkEnd w:id="147"/>
      <w:bookmarkEnd w:id="148"/>
      <w:bookmarkEnd w:id="149"/>
    </w:p>
    <w:p w14:paraId="5BEF5E0E" w14:textId="32641EBB" w:rsidR="00525C01" w:rsidRPr="00FD2BA2" w:rsidRDefault="00525C01" w:rsidP="00987F6F">
      <w:r w:rsidRPr="00FD2BA2">
        <w:t>Aalen, P., Grimsby, G., &amp; Grünfeld, L. A. (2017). Oppdaterte prognoser for norske kommuner fram mot 2040: Investeringer og gjeld. Menon-publikasjon Nr. 31/2007.</w:t>
      </w:r>
    </w:p>
    <w:p w14:paraId="6B1F7B6D" w14:textId="2AA71A66" w:rsidR="002320C7" w:rsidRPr="00FD2BA2" w:rsidRDefault="002320C7" w:rsidP="00987F6F">
      <w:r w:rsidRPr="00FD2BA2">
        <w:t>Aastvedt, A., Råd, O. G., Løyland, K., Lunder, T. E., Håkonsen, L., &amp; Austin, P. (2006). Storbyfaktorer i inntektssystemet. Storbyenes egenart og konsekvenser for kommunal tjenesteproduksjon. Asplan Viak og Telemark</w:t>
      </w:r>
      <w:r w:rsidR="00B90AD4" w:rsidRPr="00FD2BA2">
        <w:t>s</w:t>
      </w:r>
      <w:r w:rsidRPr="00FD2BA2">
        <w:t>forskning – Bø. KS Program for storbyrettet forskning. Januar 2006.</w:t>
      </w:r>
    </w:p>
    <w:p w14:paraId="7F2EED82" w14:textId="0EF86AA2" w:rsidR="00102737" w:rsidRPr="00FD2BA2" w:rsidRDefault="00102737" w:rsidP="00987F6F">
      <w:pPr>
        <w:rPr>
          <w:color w:val="auto"/>
          <w:lang w:eastAsia="nb-NO"/>
        </w:rPr>
      </w:pPr>
      <w:r w:rsidRPr="00FD2BA2">
        <w:rPr>
          <w:color w:val="auto"/>
          <w:lang w:eastAsia="nb-NO"/>
        </w:rPr>
        <w:t>Albonico, A., Kalyvitis, S., &amp; Pappa, E. (2014). Capital maintenance and depreciation over the business cycle. Journal of Economic Dynamics and Control, 39, 273-286.</w:t>
      </w:r>
    </w:p>
    <w:p w14:paraId="6DED43B5" w14:textId="7FB76813" w:rsidR="002E4587" w:rsidRPr="00FD2BA2" w:rsidRDefault="002E4587" w:rsidP="00987F6F">
      <w:pPr>
        <w:rPr>
          <w:color w:val="auto"/>
        </w:rPr>
      </w:pPr>
      <w:bookmarkStart w:id="179" w:name="_Hlk97899922"/>
      <w:r w:rsidRPr="00FD2BA2">
        <w:rPr>
          <w:color w:val="auto"/>
        </w:rPr>
        <w:t>Amdal, N., Bougroug, A., Halvorsen, T., Kurta, D., Scheele, M., Øynes, J.</w:t>
      </w:r>
      <w:r w:rsidR="004F09D9" w:rsidRPr="00FD2BA2">
        <w:rPr>
          <w:color w:val="auto"/>
        </w:rPr>
        <w:t xml:space="preserve">, &amp; </w:t>
      </w:r>
      <w:r w:rsidRPr="00FD2BA2">
        <w:rPr>
          <w:color w:val="auto"/>
        </w:rPr>
        <w:t xml:space="preserve">Borgås, F. (2016). Norwegian </w:t>
      </w:r>
      <w:r w:rsidR="003E593A" w:rsidRPr="00FD2BA2">
        <w:rPr>
          <w:color w:val="auto"/>
        </w:rPr>
        <w:t>n</w:t>
      </w:r>
      <w:r w:rsidRPr="00FD2BA2">
        <w:rPr>
          <w:color w:val="auto"/>
        </w:rPr>
        <w:t xml:space="preserve">ational </w:t>
      </w:r>
      <w:r w:rsidR="003E593A" w:rsidRPr="00FD2BA2">
        <w:rPr>
          <w:color w:val="auto"/>
        </w:rPr>
        <w:t>a</w:t>
      </w:r>
      <w:r w:rsidRPr="00FD2BA2">
        <w:rPr>
          <w:color w:val="auto"/>
        </w:rPr>
        <w:t xml:space="preserve">ccounts. Annual Sector Accounts (ASA), </w:t>
      </w:r>
      <w:r w:rsidR="00855B04" w:rsidRPr="00FD2BA2">
        <w:rPr>
          <w:color w:val="auto"/>
        </w:rPr>
        <w:t>I</w:t>
      </w:r>
      <w:r w:rsidRPr="00FD2BA2">
        <w:rPr>
          <w:color w:val="auto"/>
        </w:rPr>
        <w:t>nventory 2016.</w:t>
      </w:r>
    </w:p>
    <w:p w14:paraId="5284577A" w14:textId="354086F0" w:rsidR="00102737" w:rsidRPr="00FD2BA2" w:rsidRDefault="00102737" w:rsidP="00987F6F">
      <w:pPr>
        <w:rPr>
          <w:color w:val="auto"/>
        </w:rPr>
      </w:pPr>
      <w:r w:rsidRPr="00FD2BA2">
        <w:rPr>
          <w:color w:val="auto"/>
        </w:rPr>
        <w:t>Baldwin, J.</w:t>
      </w:r>
      <w:r w:rsidR="008E4A43" w:rsidRPr="00FD2BA2">
        <w:rPr>
          <w:color w:val="auto"/>
        </w:rPr>
        <w:t xml:space="preserve"> R.</w:t>
      </w:r>
      <w:r w:rsidRPr="00FD2BA2">
        <w:rPr>
          <w:color w:val="auto"/>
        </w:rPr>
        <w:t>, Gellatly, G., Tanguay, M., &amp; Patry, A. (2005). Estimating depreciation rates for the productivity accounts. In OECD Workshop on Productivity Measurement, Madrid Spain, October (pp. 17-19).</w:t>
      </w:r>
    </w:p>
    <w:p w14:paraId="3B6C56E1" w14:textId="198BCA4B" w:rsidR="004A770F" w:rsidRPr="00FD2BA2" w:rsidRDefault="004A770F" w:rsidP="00987F6F">
      <w:pPr>
        <w:rPr>
          <w:color w:val="auto"/>
        </w:rPr>
      </w:pPr>
      <w:r w:rsidRPr="00FD2BA2">
        <w:rPr>
          <w:color w:val="auto"/>
        </w:rPr>
        <w:t>Baldwin, J. R.</w:t>
      </w:r>
      <w:r w:rsidR="0027218C" w:rsidRPr="00FD2BA2">
        <w:rPr>
          <w:color w:val="auto"/>
        </w:rPr>
        <w:t>, &amp;</w:t>
      </w:r>
      <w:r w:rsidRPr="00FD2BA2">
        <w:rPr>
          <w:color w:val="auto"/>
        </w:rPr>
        <w:t xml:space="preserve"> Gu, W. (2007). Multifactor productivity in Canada: An evaluation of alternative methods of estimating capital services</w:t>
      </w:r>
      <w:r w:rsidR="00FD4987">
        <w:rPr>
          <w:color w:val="auto"/>
        </w:rPr>
        <w:t xml:space="preserve">. </w:t>
      </w:r>
      <w:r w:rsidRPr="00FD2BA2">
        <w:rPr>
          <w:color w:val="auto"/>
        </w:rPr>
        <w:t>The Canadian Productivity Review, No. 15-206.</w:t>
      </w:r>
    </w:p>
    <w:p w14:paraId="3530FE63" w14:textId="572C6558" w:rsidR="00A9674F" w:rsidRDefault="00A9674F" w:rsidP="00987F6F">
      <w:pPr>
        <w:rPr>
          <w:color w:val="auto"/>
        </w:rPr>
      </w:pPr>
      <w:r w:rsidRPr="00FD2BA2">
        <w:rPr>
          <w:color w:val="auto"/>
        </w:rPr>
        <w:t>Barth, N., Cappelen, Å., Skjerpen, T., Todsen, S.</w:t>
      </w:r>
      <w:r w:rsidR="00FF7A18" w:rsidRPr="00FD2BA2">
        <w:rPr>
          <w:color w:val="auto"/>
        </w:rPr>
        <w:t xml:space="preserve">, &amp; </w:t>
      </w:r>
      <w:r w:rsidRPr="00FD2BA2">
        <w:rPr>
          <w:color w:val="auto"/>
        </w:rPr>
        <w:t xml:space="preserve">Åbyholm, T. (2015). </w:t>
      </w:r>
      <w:r w:rsidR="00797F74" w:rsidRPr="00FD2BA2">
        <w:rPr>
          <w:color w:val="auto"/>
        </w:rPr>
        <w:t>Levetid og verdifall på varige driftsmidler</w:t>
      </w:r>
      <w:r w:rsidR="00FD4987">
        <w:rPr>
          <w:color w:val="auto"/>
        </w:rPr>
        <w:t>.</w:t>
      </w:r>
      <w:r w:rsidRPr="00FD2BA2">
        <w:rPr>
          <w:color w:val="auto"/>
        </w:rPr>
        <w:t xml:space="preserve"> </w:t>
      </w:r>
      <w:r w:rsidR="00797F74" w:rsidRPr="00FD2BA2">
        <w:rPr>
          <w:color w:val="auto"/>
        </w:rPr>
        <w:t>Statistisk sentralbyrå rapporter</w:t>
      </w:r>
      <w:r w:rsidRPr="00FD2BA2">
        <w:rPr>
          <w:color w:val="auto"/>
        </w:rPr>
        <w:t xml:space="preserve"> 2015/9.</w:t>
      </w:r>
    </w:p>
    <w:p w14:paraId="424B6C9E" w14:textId="06EFB64B" w:rsidR="002E4587" w:rsidRPr="00FD2BA2" w:rsidRDefault="002E4587" w:rsidP="00987F6F">
      <w:pPr>
        <w:rPr>
          <w:color w:val="auto"/>
        </w:rPr>
      </w:pPr>
      <w:r w:rsidRPr="00FD2BA2">
        <w:rPr>
          <w:color w:val="auto"/>
        </w:rPr>
        <w:t>Barth, N., Cappelen, Å., Skjerpen, T., Todsen, S., &amp; Åbyholm, T. (2016). Expected service lives and depreciation profiles for capital assets: Evidence based on a survey of Norwegian firms. Journal of Economic and Social Measurement, 41(4), 329-369.</w:t>
      </w:r>
    </w:p>
    <w:p w14:paraId="6292B899" w14:textId="23403041" w:rsidR="002E4587" w:rsidRPr="00FD2BA2" w:rsidRDefault="002E4587" w:rsidP="00987F6F">
      <w:pPr>
        <w:rPr>
          <w:color w:val="auto"/>
        </w:rPr>
      </w:pPr>
      <w:r w:rsidRPr="00FD2BA2">
        <w:rPr>
          <w:color w:val="auto"/>
        </w:rPr>
        <w:t>Berlemann, M.</w:t>
      </w:r>
      <w:r w:rsidR="00921330" w:rsidRPr="00FD2BA2">
        <w:rPr>
          <w:color w:val="auto"/>
        </w:rPr>
        <w:t xml:space="preserve">, &amp; </w:t>
      </w:r>
      <w:r w:rsidRPr="00FD2BA2">
        <w:rPr>
          <w:color w:val="auto"/>
        </w:rPr>
        <w:t>Wesselhöft, J. E. (2014). Estimating aggregate capital stocks using the perpetual inventory method. Review of Economics, 65(1), 1-34.</w:t>
      </w:r>
    </w:p>
    <w:p w14:paraId="0AFA883A" w14:textId="77777777" w:rsidR="00F22B40" w:rsidRPr="00FD2BA2" w:rsidRDefault="00D32941" w:rsidP="00987F6F">
      <w:pPr>
        <w:rPr>
          <w:color w:val="auto"/>
        </w:rPr>
      </w:pPr>
      <w:r w:rsidRPr="00FD2BA2">
        <w:rPr>
          <w:color w:val="auto"/>
        </w:rPr>
        <w:t xml:space="preserve">Biatour, B., Bryon, G., &amp; Kegels, C. (2007). Capital services and total factor productivity measurements: Impact of various methodologies for Belgium. International Productivity Monitor, 14, 32-43. </w:t>
      </w:r>
    </w:p>
    <w:p w14:paraId="45A8244B" w14:textId="6AC0347F" w:rsidR="002E4587" w:rsidRPr="00FD2BA2" w:rsidRDefault="002E4587" w:rsidP="00987F6F">
      <w:pPr>
        <w:rPr>
          <w:color w:val="auto"/>
        </w:rPr>
      </w:pPr>
      <w:r w:rsidRPr="00FD2BA2">
        <w:rPr>
          <w:color w:val="auto"/>
        </w:rPr>
        <w:t>Borge, L.-E., &amp; Lindset, S. (2022). Kommunal låneforvaltning: En analyse av samlede og korte lån i norske kommuner, SØF-rapport nr</w:t>
      </w:r>
      <w:r w:rsidR="00AF2925" w:rsidRPr="00FD2BA2">
        <w:rPr>
          <w:color w:val="auto"/>
        </w:rPr>
        <w:t>.</w:t>
      </w:r>
      <w:r w:rsidRPr="00FD2BA2">
        <w:rPr>
          <w:color w:val="auto"/>
        </w:rPr>
        <w:t xml:space="preserve"> 04/22.</w:t>
      </w:r>
    </w:p>
    <w:p w14:paraId="5AFF4FD3" w14:textId="71F150B2" w:rsidR="00127AFE" w:rsidRPr="00FD2BA2" w:rsidRDefault="00127AFE" w:rsidP="00987F6F">
      <w:pPr>
        <w:rPr>
          <w:rStyle w:val="Hyperkobling"/>
          <w:rFonts w:cstheme="minorHAnsi"/>
        </w:rPr>
      </w:pPr>
      <w:r w:rsidRPr="00FD2BA2">
        <w:t xml:space="preserve">Bredeli, E. H. (2017). Utviklingen i kommunenes investeringsutgifter i perioden 2003-2016: Kraftig økning i kommunenes investeringsutgifter. Publisert: 30. mars 2017. Sist besøkt 22. mai 2024. URL: </w:t>
      </w:r>
      <w:hyperlink r:id="rId129" w:history="1">
        <w:r w:rsidRPr="00FD2BA2">
          <w:rPr>
            <w:rStyle w:val="Hyperkobling"/>
            <w:rFonts w:cstheme="minorHAnsi"/>
          </w:rPr>
          <w:t>https://www.ssb.no/offentlig-sektor/artikler-og-publikasjoner/kraftig-okning-i-kommunenes-investeringsutgifter</w:t>
        </w:r>
      </w:hyperlink>
    </w:p>
    <w:p w14:paraId="540AFACA" w14:textId="58966DD6" w:rsidR="00962A69" w:rsidRPr="00FD2BA2" w:rsidRDefault="00962A69" w:rsidP="00987F6F">
      <w:pPr>
        <w:rPr>
          <w:color w:val="auto"/>
        </w:rPr>
      </w:pPr>
      <w:r w:rsidRPr="00FD2BA2">
        <w:rPr>
          <w:color w:val="auto"/>
        </w:rPr>
        <w:t>Bruaset, S., Becker, M. A., Reksten, H., &amp; Baade-Mathiesen, T. (2021). Kommunalt investeringsbehov for vann og avløp 2021-2040. Norsk Vann Rapport 259/2021</w:t>
      </w:r>
      <w:r w:rsidR="00BD4825" w:rsidRPr="00FD2BA2">
        <w:rPr>
          <w:color w:val="auto"/>
        </w:rPr>
        <w:t>.</w:t>
      </w:r>
    </w:p>
    <w:p w14:paraId="31C1CC6D" w14:textId="77777777" w:rsidR="00E8181B" w:rsidRPr="00FD2BA2" w:rsidRDefault="002E4587" w:rsidP="00987F6F">
      <w:pPr>
        <w:rPr>
          <w:color w:val="auto"/>
        </w:rPr>
      </w:pPr>
      <w:r w:rsidRPr="00FD2BA2">
        <w:rPr>
          <w:color w:val="auto"/>
        </w:rPr>
        <w:t>Callao, S., Jarne, J. I., &amp; Laínez, J. A. (2007). Adoption of IFRS in Spain: Effect on the comparability and relevance of financial reporting. Journal of international accounting, auditing and taxation, 16(2), 148-178.</w:t>
      </w:r>
    </w:p>
    <w:p w14:paraId="33F6C84D" w14:textId="742E5D64" w:rsidR="00436479" w:rsidRPr="00FD2BA2" w:rsidRDefault="00436479" w:rsidP="00987F6F">
      <w:pPr>
        <w:rPr>
          <w:color w:val="auto"/>
        </w:rPr>
      </w:pPr>
      <w:r w:rsidRPr="00FD2BA2">
        <w:rPr>
          <w:color w:val="auto"/>
        </w:rPr>
        <w:lastRenderedPageBreak/>
        <w:t>Cappelen, A. (2005). Inntektsutjevning og lokal autonomi, notat til Borgeutvalget (NOU 2005:18).</w:t>
      </w:r>
    </w:p>
    <w:p w14:paraId="5A191FB0" w14:textId="77777777" w:rsidR="000744A1" w:rsidRDefault="000744A1" w:rsidP="00987F6F">
      <w:pPr>
        <w:rPr>
          <w:lang w:eastAsia="nb-NO"/>
        </w:rPr>
      </w:pPr>
      <w:r w:rsidRPr="00FD2BA2">
        <w:rPr>
          <w:lang w:eastAsia="nb-NO"/>
        </w:rPr>
        <w:t>Cochrane, J. H. (2009). Asset pricing. Revised Edition. Princeton University Press.</w:t>
      </w:r>
    </w:p>
    <w:p w14:paraId="34A9AFD3" w14:textId="37D0AD12" w:rsidR="00C26884" w:rsidRDefault="00C26884" w:rsidP="00C26884">
      <w:pPr>
        <w:rPr>
          <w:lang w:eastAsia="nb-NO"/>
        </w:rPr>
      </w:pPr>
      <w:r>
        <w:rPr>
          <w:lang w:eastAsia="nb-NO"/>
        </w:rPr>
        <w:t>Cummins, J. G.</w:t>
      </w:r>
      <w:r w:rsidR="00954317">
        <w:rPr>
          <w:lang w:eastAsia="nb-NO"/>
        </w:rPr>
        <w:t>, &amp;</w:t>
      </w:r>
      <w:r>
        <w:rPr>
          <w:lang w:eastAsia="nb-NO"/>
        </w:rPr>
        <w:t>Violante, G. L. (2002). Investment-specific technical change in the United States (1947–2000): Measurement and macroeconomic consequences</w:t>
      </w:r>
      <w:r w:rsidR="00BB5938">
        <w:rPr>
          <w:lang w:eastAsia="nb-NO"/>
        </w:rPr>
        <w:t>.</w:t>
      </w:r>
      <w:r>
        <w:rPr>
          <w:lang w:eastAsia="nb-NO"/>
        </w:rPr>
        <w:t xml:space="preserve"> Review of Economic Dynamics, 5(2), 243-284.</w:t>
      </w:r>
    </w:p>
    <w:p w14:paraId="379BC81A" w14:textId="438F7398" w:rsidR="002E4587" w:rsidRPr="00FD2BA2" w:rsidRDefault="002E4587" w:rsidP="00987F6F">
      <w:pPr>
        <w:rPr>
          <w:color w:val="auto"/>
        </w:rPr>
      </w:pPr>
      <w:r w:rsidRPr="00FD2BA2">
        <w:rPr>
          <w:color w:val="auto"/>
        </w:rPr>
        <w:t>Damodaran, A. (202</w:t>
      </w:r>
      <w:r w:rsidR="00F57C92" w:rsidRPr="00FD2BA2">
        <w:rPr>
          <w:color w:val="auto"/>
        </w:rPr>
        <w:t>4</w:t>
      </w:r>
      <w:r w:rsidRPr="00FD2BA2">
        <w:rPr>
          <w:color w:val="auto"/>
        </w:rPr>
        <w:t xml:space="preserve">). </w:t>
      </w:r>
      <w:r w:rsidR="00F57C92" w:rsidRPr="00FD2BA2">
        <w:rPr>
          <w:color w:val="auto"/>
        </w:rPr>
        <w:t xml:space="preserve">Cost of </w:t>
      </w:r>
      <w:r w:rsidR="00205589" w:rsidRPr="00FD2BA2">
        <w:rPr>
          <w:color w:val="auto"/>
        </w:rPr>
        <w:t>e</w:t>
      </w:r>
      <w:r w:rsidR="00F57C92" w:rsidRPr="00FD2BA2">
        <w:rPr>
          <w:color w:val="auto"/>
        </w:rPr>
        <w:t xml:space="preserve">quity and </w:t>
      </w:r>
      <w:r w:rsidR="00205589" w:rsidRPr="00FD2BA2">
        <w:rPr>
          <w:color w:val="auto"/>
        </w:rPr>
        <w:t>c</w:t>
      </w:r>
      <w:r w:rsidR="00F57C92" w:rsidRPr="00FD2BA2">
        <w:rPr>
          <w:color w:val="auto"/>
        </w:rPr>
        <w:t>apital (US)</w:t>
      </w:r>
      <w:r w:rsidRPr="00FD2BA2">
        <w:rPr>
          <w:color w:val="auto"/>
        </w:rPr>
        <w:t>, Stern School of Business at NY University</w:t>
      </w:r>
      <w:r w:rsidR="00F57C92" w:rsidRPr="00FD2BA2">
        <w:rPr>
          <w:color w:val="auto"/>
        </w:rPr>
        <w:t>, January 2024</w:t>
      </w:r>
      <w:r w:rsidRPr="00FD2BA2">
        <w:rPr>
          <w:color w:val="auto"/>
        </w:rPr>
        <w:t>.</w:t>
      </w:r>
      <w:r w:rsidR="00024709" w:rsidRPr="00FD2BA2">
        <w:rPr>
          <w:color w:val="auto"/>
        </w:rPr>
        <w:t xml:space="preserve"> </w:t>
      </w:r>
      <w:r w:rsidR="000563B0" w:rsidRPr="00FD2BA2">
        <w:t xml:space="preserve">Sist besøkt 22. mai 2024. </w:t>
      </w:r>
      <w:r w:rsidR="00024709" w:rsidRPr="00FD2BA2">
        <w:rPr>
          <w:color w:val="auto"/>
        </w:rPr>
        <w:t xml:space="preserve">URL: </w:t>
      </w:r>
      <w:hyperlink r:id="rId130" w:history="1">
        <w:r w:rsidR="00024709" w:rsidRPr="00FD2BA2">
          <w:rPr>
            <w:rStyle w:val="Hyperkobling"/>
            <w:rFonts w:cstheme="minorHAnsi"/>
          </w:rPr>
          <w:t>https://pages.stern.nyu.edu/~adamodar/New_Home_Page/datafile/wacc.html</w:t>
        </w:r>
      </w:hyperlink>
      <w:r w:rsidR="00430C13" w:rsidRPr="00FD2BA2">
        <w:rPr>
          <w:color w:val="auto"/>
        </w:rPr>
        <w:t>.</w:t>
      </w:r>
    </w:p>
    <w:p w14:paraId="4041D04C" w14:textId="3F9C23D0" w:rsidR="000744A1" w:rsidRPr="00FD2BA2" w:rsidRDefault="000744A1" w:rsidP="00987F6F">
      <w:pPr>
        <w:rPr>
          <w:lang w:eastAsia="nb-NO"/>
        </w:rPr>
      </w:pPr>
      <w:r w:rsidRPr="00FD2BA2">
        <w:rPr>
          <w:lang w:eastAsia="nb-NO"/>
        </w:rPr>
        <w:t>Danthine, J. P., &amp; Donaldson, J. B. (2014). Intermediate financial theory. Third Edition. Academic Press.</w:t>
      </w:r>
    </w:p>
    <w:p w14:paraId="67749AB1" w14:textId="38825450" w:rsidR="00250F93" w:rsidRPr="00FD2BA2" w:rsidRDefault="00250F93" w:rsidP="00987F6F">
      <w:pPr>
        <w:rPr>
          <w:color w:val="auto"/>
        </w:rPr>
      </w:pPr>
      <w:r w:rsidRPr="00FD2BA2">
        <w:rPr>
          <w:color w:val="auto"/>
        </w:rPr>
        <w:t>Diewert, W. E. (1980). Aggregation problems in the measurement of capital. In The measurement of capital (pp. 433-538). University of Chicago Press</w:t>
      </w:r>
      <w:r w:rsidR="00BD4825" w:rsidRPr="00FD2BA2">
        <w:rPr>
          <w:color w:val="auto"/>
        </w:rPr>
        <w:t>.</w:t>
      </w:r>
    </w:p>
    <w:p w14:paraId="38C824FB" w14:textId="77777777" w:rsidR="00E71625" w:rsidRPr="00FD2BA2" w:rsidRDefault="00250F93" w:rsidP="00987F6F">
      <w:pPr>
        <w:rPr>
          <w:color w:val="auto"/>
        </w:rPr>
      </w:pPr>
      <w:r w:rsidRPr="00FD2BA2">
        <w:rPr>
          <w:color w:val="auto"/>
        </w:rPr>
        <w:t>Diewert, W. E. (2005). Issues in the measurement of capital services, depreciation, asset price changes, and interest rates. In Measuring Capital in the New Economy (pp. 479-556). University of Chicago Press.</w:t>
      </w:r>
    </w:p>
    <w:p w14:paraId="5E5028EB" w14:textId="6CFF5B05" w:rsidR="00AD1909" w:rsidRPr="00FD2BA2" w:rsidRDefault="00AD1909" w:rsidP="00987F6F">
      <w:r w:rsidRPr="00FD2BA2">
        <w:t xml:space="preserve">Diewert, </w:t>
      </w:r>
      <w:r w:rsidR="00B04193" w:rsidRPr="00FD2BA2">
        <w:t xml:space="preserve">W. </w:t>
      </w:r>
      <w:r w:rsidRPr="00FD2BA2">
        <w:t>E., &amp; Wei, H. (2017). Getting rental prices right for computers: Reconciling different perspectives on depreciation. Review of Income and Wealth, 63, S149-S168.</w:t>
      </w:r>
    </w:p>
    <w:p w14:paraId="6703D547" w14:textId="67FD5500" w:rsidR="0057655C" w:rsidRPr="00FD2BA2" w:rsidRDefault="0057655C" w:rsidP="00987F6F">
      <w:r w:rsidRPr="00FD2BA2">
        <w:t>Direktoratet for forvaltning og økonomistyring (2023). Veileder i samfunnsøkonomiske analyser. 21.06.2023, 14:03.</w:t>
      </w:r>
    </w:p>
    <w:p w14:paraId="480A1895" w14:textId="35880C08" w:rsidR="00127AFE" w:rsidRPr="00FD2BA2" w:rsidRDefault="00127AFE" w:rsidP="00987F6F">
      <w:r w:rsidRPr="00FD2BA2">
        <w:t>Egge</w:t>
      </w:r>
      <w:r w:rsidR="00602144" w:rsidRPr="00FD2BA2">
        <w:t>, E. A. S.</w:t>
      </w:r>
      <w:r w:rsidRPr="00FD2BA2">
        <w:t xml:space="preserve"> (2019). Kommuneforvaltningens gjeld: Gjelden øker raskere enn inntektene. SSB analyse 2019/07. Publisert 8. februar 2019. Sist besøkt 22. mai 2024. URL: </w:t>
      </w:r>
      <w:hyperlink r:id="rId131" w:history="1">
        <w:r w:rsidR="00E60E0F" w:rsidRPr="00FD2BA2">
          <w:rPr>
            <w:rStyle w:val="Hyperkobling"/>
            <w:rFonts w:cstheme="minorHAnsi"/>
          </w:rPr>
          <w:t>https://www.ssb.no/offentlig-sektor/artikler-og-publikasjoner/gjelden-oker-raskere-enn-inntektene</w:t>
        </w:r>
      </w:hyperlink>
    </w:p>
    <w:p w14:paraId="0BEAEB44" w14:textId="77777777" w:rsidR="006C5903" w:rsidRPr="00FD2BA2" w:rsidRDefault="006C5903" w:rsidP="00987F6F">
      <w:pPr>
        <w:rPr>
          <w:color w:val="auto"/>
        </w:rPr>
      </w:pPr>
      <w:r w:rsidRPr="00FD2BA2">
        <w:rPr>
          <w:color w:val="auto"/>
        </w:rPr>
        <w:t>Finansdepartementet (2001). Ot.prp. nr. 1 (2001-2002). Skatte- og avgiftsopplegget 2002 – lovendringer. Tilråding fra Finansdepartementet av 28. september 2001, godkjent i statsråd samme dag.</w:t>
      </w:r>
    </w:p>
    <w:p w14:paraId="4E5057C9" w14:textId="77777777" w:rsidR="006C5903" w:rsidRPr="00FD2BA2" w:rsidRDefault="006C5903" w:rsidP="00987F6F">
      <w:pPr>
        <w:rPr>
          <w:color w:val="auto"/>
        </w:rPr>
      </w:pPr>
      <w:r w:rsidRPr="00FD2BA2">
        <w:rPr>
          <w:color w:val="auto"/>
        </w:rPr>
        <w:t>Finansdepartementet (2015). Meld. St. 4 (2015–2016). Bedre skatt — En skattereform for omstilling og vekst. Tilråding fra Finansdepartementet 25. september 2015, godkjent i statsråd samme dag. (Regjeringen Solberg).</w:t>
      </w:r>
    </w:p>
    <w:p w14:paraId="257BFE11" w14:textId="22D50557" w:rsidR="006C5903" w:rsidRPr="00FD2BA2" w:rsidRDefault="006C5903" w:rsidP="00987F6F">
      <w:pPr>
        <w:rPr>
          <w:color w:val="auto"/>
        </w:rPr>
      </w:pPr>
      <w:r w:rsidRPr="00FD2BA2">
        <w:rPr>
          <w:color w:val="auto"/>
        </w:rPr>
        <w:t>Finansdepartementet (2016). Prop. 1 LS (2016–2017). For budsjettåret 2017 — Skatter, avgifter og toll 2017. Tilråding fra Finansdepartementet 23. september 2016, godkjent i statsråd samme dag. (Regjeringen Solberg). Proposisjon til Stortinget (forslag til lovvedtak og stortingsvedtak).</w:t>
      </w:r>
    </w:p>
    <w:p w14:paraId="3A0FE771" w14:textId="4F695908" w:rsidR="0077723B" w:rsidRPr="00FD2BA2" w:rsidRDefault="0077723B" w:rsidP="00987F6F">
      <w:pPr>
        <w:rPr>
          <w:color w:val="auto"/>
        </w:rPr>
      </w:pPr>
      <w:r w:rsidRPr="00FD2BA2">
        <w:rPr>
          <w:color w:val="auto"/>
        </w:rPr>
        <w:t>Finansdepartementet (201</w:t>
      </w:r>
      <w:r w:rsidR="005C2B71">
        <w:rPr>
          <w:color w:val="auto"/>
        </w:rPr>
        <w:t>7</w:t>
      </w:r>
      <w:r w:rsidRPr="00FD2BA2">
        <w:rPr>
          <w:color w:val="auto"/>
        </w:rPr>
        <w:t>). Meld. St. 29</w:t>
      </w:r>
      <w:r w:rsidR="00611E17" w:rsidRPr="00FD2BA2">
        <w:rPr>
          <w:color w:val="auto"/>
        </w:rPr>
        <w:t xml:space="preserve"> </w:t>
      </w:r>
      <w:r w:rsidRPr="00FD2BA2">
        <w:rPr>
          <w:color w:val="auto"/>
        </w:rPr>
        <w:t>(2016</w:t>
      </w:r>
      <w:r w:rsidR="00611E17" w:rsidRPr="00FD2BA2">
        <w:t>–</w:t>
      </w:r>
      <w:r w:rsidRPr="00FD2BA2">
        <w:rPr>
          <w:color w:val="auto"/>
        </w:rPr>
        <w:t>2017)</w:t>
      </w:r>
      <w:r w:rsidR="00611E17" w:rsidRPr="00FD2BA2">
        <w:rPr>
          <w:color w:val="auto"/>
        </w:rPr>
        <w:t>. Perspektivmeldingen 2017.</w:t>
      </w:r>
      <w:r w:rsidR="007A7D8B" w:rsidRPr="00FD2BA2">
        <w:rPr>
          <w:color w:val="auto"/>
        </w:rPr>
        <w:t xml:space="preserve"> Tilråding fra Finansdepartementet 31. mars 2017. godkjent i statsråd samme dag. (Regjeringen Solberg).</w:t>
      </w:r>
    </w:p>
    <w:p w14:paraId="15FED1C7" w14:textId="74F992A7" w:rsidR="008B4F97" w:rsidRPr="00FD2BA2" w:rsidRDefault="008B4F97" w:rsidP="00987F6F">
      <w:r w:rsidRPr="00FD2BA2">
        <w:t>Finansdepartementet (2018). Meld. St. 8 (2017–2018). Ny forskrift for pengepolitikken. Tilråding fra Finansdepartementet 2. mars 2018, godkjent i statsråd samme dag. (Regjeringen Solberg).</w:t>
      </w:r>
    </w:p>
    <w:p w14:paraId="31787F96" w14:textId="32C6276D" w:rsidR="008B4F97" w:rsidRPr="00FD2BA2" w:rsidRDefault="008B4F97" w:rsidP="00987F6F">
      <w:r w:rsidRPr="00FD2BA2">
        <w:t>Finansdepartementet (2021). Prinsipper og krav ved utarbeidelse av samfunnsøkonomiske analyser. Rundskriv R. Nr. R-109. Vår ref. 21/2720-8. Dato 25.06.2021.</w:t>
      </w:r>
    </w:p>
    <w:p w14:paraId="75C598ED" w14:textId="77777777" w:rsidR="00E71625" w:rsidRPr="00FD2BA2" w:rsidRDefault="00D37063" w:rsidP="00987F6F">
      <w:r w:rsidRPr="00FD2BA2">
        <w:lastRenderedPageBreak/>
        <w:t>Finansdepartementet (2024). Meld. St. 31 (2023 –2024). Perspektivmeldingen 2024. Tilråding fra Finansdepartementet 9. august 2024, godkjent i statsråd samme dag. (Regjeringen Støre).</w:t>
      </w:r>
    </w:p>
    <w:p w14:paraId="1AC08272" w14:textId="58B465CA" w:rsidR="00250F93" w:rsidRPr="00FD2BA2" w:rsidRDefault="00250F93" w:rsidP="00987F6F">
      <w:r w:rsidRPr="00FD2BA2">
        <w:rPr>
          <w:color w:val="auto"/>
        </w:rPr>
        <w:t>Finanskomiteen ved Stortinget (2012). Innst. 4 L (2011–2012). Innstilling til Stortinget fra finanskomiteen. Prop. 1 LS (2011–2012). Innstilling fra finanskomiteen om skatter og avgifter 2012 – Lovendringer.</w:t>
      </w:r>
    </w:p>
    <w:p w14:paraId="66591133" w14:textId="77777777" w:rsidR="00250F93" w:rsidRPr="00FD2BA2" w:rsidRDefault="00250F93" w:rsidP="00987F6F">
      <w:pPr>
        <w:rPr>
          <w:color w:val="auto"/>
        </w:rPr>
      </w:pPr>
      <w:r w:rsidRPr="00FD2BA2">
        <w:rPr>
          <w:color w:val="auto"/>
        </w:rPr>
        <w:t>Finanskomiteen ved Stortinget (2016). Innst. 4 L (2015–2016). Innstilling til Stortinget fra finanskomiteen. Prop. 1 LS (2015–2016) og Prop. 1 S Tillegg 1 (2015–2016). Innstilling fra finanskomiteen om skatter, avgifter og toll 2016 – lovgivningssaker.</w:t>
      </w:r>
    </w:p>
    <w:p w14:paraId="01F5BDCE" w14:textId="325D307A" w:rsidR="00250F93" w:rsidRPr="00FD2BA2" w:rsidRDefault="00250F93" w:rsidP="00987F6F">
      <w:pPr>
        <w:rPr>
          <w:color w:val="auto"/>
        </w:rPr>
      </w:pPr>
      <w:r w:rsidRPr="00FD2BA2">
        <w:rPr>
          <w:color w:val="auto"/>
        </w:rPr>
        <w:t>Finanskomiteen ved Stortinget (2017). Innst. 4 L (2016–2017). Innstilling til Stortinget fra finanskomiteen. Prop. 1 LS (2016-2017). Innstilling fra finanskomiteen om skatter, avgifter og toll 2017 – lovsaker.</w:t>
      </w:r>
    </w:p>
    <w:p w14:paraId="74E4A89D" w14:textId="20BD5D5A" w:rsidR="00E578AA" w:rsidRPr="00FD2BA2" w:rsidRDefault="004600C8" w:rsidP="00987F6F">
      <w:r w:rsidRPr="00FD2BA2">
        <w:t>Fraumeni, B. (1997). The measurement of depreciation in the US national income and product accounts. Survey of Current Business-United States Department of Commerce, 77, 7-23.</w:t>
      </w:r>
    </w:p>
    <w:p w14:paraId="4FF81345" w14:textId="662FB65C" w:rsidR="002E4587" w:rsidRPr="00FD2BA2" w:rsidRDefault="002E4587" w:rsidP="00987F6F">
      <w:pPr>
        <w:rPr>
          <w:color w:val="auto"/>
        </w:rPr>
      </w:pPr>
      <w:r w:rsidRPr="00FD2BA2">
        <w:rPr>
          <w:color w:val="auto"/>
        </w:rPr>
        <w:t>Goldsmith, R. W. (1951). A perpetual inventory of national wealth. In</w:t>
      </w:r>
      <w:r w:rsidR="007B55E7" w:rsidRPr="00FD2BA2">
        <w:rPr>
          <w:color w:val="auto"/>
        </w:rPr>
        <w:t>:</w:t>
      </w:r>
      <w:r w:rsidRPr="00FD2BA2">
        <w:rPr>
          <w:color w:val="auto"/>
        </w:rPr>
        <w:t xml:space="preserve"> Studies in Income and Wealth, Volume 14 (pp. 5-73). NBER.</w:t>
      </w:r>
    </w:p>
    <w:p w14:paraId="5D091E27" w14:textId="77777777" w:rsidR="00FB03D9" w:rsidRPr="00FD2BA2" w:rsidRDefault="00FB03D9" w:rsidP="00987F6F">
      <w:pPr>
        <w:rPr>
          <w:lang w:eastAsia="nb-NO"/>
        </w:rPr>
      </w:pPr>
      <w:r w:rsidRPr="00FD2BA2">
        <w:rPr>
          <w:lang w:eastAsia="nb-NO"/>
        </w:rPr>
        <w:t>Greene, W. H. (2018). Econometric analysis. Global Edition. Eight Edition. Pearson.</w:t>
      </w:r>
    </w:p>
    <w:p w14:paraId="6D39C9E0" w14:textId="77777777" w:rsidR="001C3348" w:rsidRPr="00FD2BA2" w:rsidRDefault="001C3348" w:rsidP="00987F6F">
      <w:pPr>
        <w:rPr>
          <w:lang w:eastAsia="nb-NO"/>
        </w:rPr>
      </w:pPr>
      <w:r w:rsidRPr="00FD2BA2">
        <w:rPr>
          <w:lang w:eastAsia="nb-NO"/>
        </w:rPr>
        <w:t>Griliches, Z., &amp; Jorgenson, D. W. (1966). Sources of measured productivity change: Capital input. The American Economic Review, 56(1/2), 50-61.</w:t>
      </w:r>
    </w:p>
    <w:p w14:paraId="10B4BE63" w14:textId="17CD9BB7" w:rsidR="005063FD" w:rsidRPr="00FD2BA2" w:rsidRDefault="00D464B1" w:rsidP="00987F6F">
      <w:pPr>
        <w:rPr>
          <w:lang w:eastAsia="nb-NO"/>
        </w:rPr>
      </w:pPr>
      <w:r w:rsidRPr="00FD2BA2">
        <w:rPr>
          <w:lang w:eastAsia="nb-NO"/>
        </w:rPr>
        <w:t>Haavelmo, T. (1954). A study in the theory of investment. University of Chicago Press.</w:t>
      </w:r>
    </w:p>
    <w:p w14:paraId="7B081967" w14:textId="3808F26F" w:rsidR="002E4587" w:rsidRPr="00FD2BA2" w:rsidRDefault="002E4587" w:rsidP="00987F6F">
      <w:pPr>
        <w:rPr>
          <w:color w:val="auto"/>
        </w:rPr>
      </w:pPr>
      <w:r w:rsidRPr="00FD2BA2">
        <w:rPr>
          <w:color w:val="auto"/>
        </w:rPr>
        <w:t xml:space="preserve">Haraldsvik, M., </w:t>
      </w:r>
      <w:bookmarkStart w:id="180" w:name="_Hlk176724122"/>
      <w:r w:rsidRPr="00FD2BA2">
        <w:rPr>
          <w:color w:val="auto"/>
        </w:rPr>
        <w:t>Hopland, A. O., &amp; Kvamsdal</w:t>
      </w:r>
      <w:bookmarkEnd w:id="180"/>
      <w:r w:rsidRPr="00FD2BA2">
        <w:rPr>
          <w:color w:val="auto"/>
        </w:rPr>
        <w:t xml:space="preserve">, S. F. (2020). Drivere bak investeringer i norske </w:t>
      </w:r>
      <w:r w:rsidR="00CB58BF" w:rsidRPr="00FD2BA2">
        <w:rPr>
          <w:color w:val="auto"/>
        </w:rPr>
        <w:t>kommuner</w:t>
      </w:r>
      <w:r w:rsidRPr="00FD2BA2">
        <w:rPr>
          <w:color w:val="auto"/>
        </w:rPr>
        <w:t>. SØF-rapport.</w:t>
      </w:r>
    </w:p>
    <w:p w14:paraId="00C36E5F" w14:textId="77777777" w:rsidR="002E4587" w:rsidRDefault="002E4587" w:rsidP="00987F6F">
      <w:pPr>
        <w:rPr>
          <w:color w:val="auto"/>
        </w:rPr>
      </w:pPr>
      <w:r w:rsidRPr="00FD2BA2">
        <w:rPr>
          <w:color w:val="auto"/>
        </w:rPr>
        <w:t>Harper, M. J. (1999). Estimating capital inputs for productivity measurement: An overview of US concepts and methods. International Statistical Review, 67(3), 327-337.</w:t>
      </w:r>
    </w:p>
    <w:p w14:paraId="21E861C4" w14:textId="7A2D4D54" w:rsidR="00296A9D" w:rsidRPr="00FD2BA2" w:rsidRDefault="00296A9D" w:rsidP="00987F6F">
      <w:pPr>
        <w:rPr>
          <w:color w:val="auto"/>
        </w:rPr>
      </w:pPr>
      <w:r w:rsidRPr="00FD2BA2">
        <w:rPr>
          <w:color w:val="auto"/>
        </w:rPr>
        <w:t>Holen, Å., Saltnes</w:t>
      </w:r>
      <w:r w:rsidR="00F849F5" w:rsidRPr="00FD2BA2">
        <w:rPr>
          <w:color w:val="auto"/>
        </w:rPr>
        <w:t>, T. E., &amp;</w:t>
      </w:r>
      <w:r w:rsidRPr="00FD2BA2">
        <w:rPr>
          <w:color w:val="auto"/>
        </w:rPr>
        <w:t xml:space="preserve"> Leland</w:t>
      </w:r>
      <w:r w:rsidR="00F849F5" w:rsidRPr="00FD2BA2">
        <w:rPr>
          <w:color w:val="auto"/>
        </w:rPr>
        <w:t>, T.</w:t>
      </w:r>
      <w:r w:rsidRPr="00FD2BA2">
        <w:rPr>
          <w:color w:val="auto"/>
        </w:rPr>
        <w:t xml:space="preserve"> (2021). Forslag til ny modell for beregning av kriteriet for fylkesveger i inntektssystemet for fylkeskommunene. Vianova, Prosjektnr. 21063.</w:t>
      </w:r>
    </w:p>
    <w:p w14:paraId="6887C5DB" w14:textId="7B3015B0" w:rsidR="006F6350" w:rsidRPr="00FD2BA2" w:rsidRDefault="002E4587" w:rsidP="00987F6F">
      <w:pPr>
        <w:rPr>
          <w:color w:val="auto"/>
        </w:rPr>
      </w:pPr>
      <w:r w:rsidRPr="00FD2BA2">
        <w:rPr>
          <w:color w:val="auto"/>
        </w:rPr>
        <w:t>Holmen, R. B. (2019). Bygg- og anleggsnæringens svake produktivitetsutvikling i offentlig statistikk: Betydningen av målefeil, Concept 2019-2</w:t>
      </w:r>
      <w:r w:rsidR="006F6350" w:rsidRPr="00FD2BA2">
        <w:rPr>
          <w:color w:val="auto"/>
        </w:rPr>
        <w:t>.</w:t>
      </w:r>
    </w:p>
    <w:p w14:paraId="28BFCFA0" w14:textId="46E084AD" w:rsidR="006F6350" w:rsidRPr="00FD2BA2" w:rsidRDefault="00102737" w:rsidP="00987F6F">
      <w:pPr>
        <w:rPr>
          <w:color w:val="auto"/>
        </w:rPr>
      </w:pPr>
      <w:r w:rsidRPr="00FD2BA2">
        <w:rPr>
          <w:color w:val="auto"/>
        </w:rPr>
        <w:t xml:space="preserve">Holmen, R. B. (2020). Heterogeneity in </w:t>
      </w:r>
      <w:r w:rsidR="003425F4" w:rsidRPr="00FD2BA2">
        <w:rPr>
          <w:color w:val="auto"/>
        </w:rPr>
        <w:t>f</w:t>
      </w:r>
      <w:r w:rsidRPr="00FD2BA2">
        <w:rPr>
          <w:color w:val="auto"/>
        </w:rPr>
        <w:t xml:space="preserve">ixed </w:t>
      </w:r>
      <w:r w:rsidR="00B77D81" w:rsidRPr="00FD2BA2">
        <w:rPr>
          <w:color w:val="auto"/>
        </w:rPr>
        <w:t>c</w:t>
      </w:r>
      <w:r w:rsidRPr="00FD2BA2">
        <w:rPr>
          <w:color w:val="auto"/>
        </w:rPr>
        <w:t xml:space="preserve">apital </w:t>
      </w:r>
      <w:r w:rsidR="003425F4" w:rsidRPr="00FD2BA2">
        <w:rPr>
          <w:color w:val="auto"/>
        </w:rPr>
        <w:t>e</w:t>
      </w:r>
      <w:r w:rsidRPr="00FD2BA2">
        <w:rPr>
          <w:color w:val="auto"/>
        </w:rPr>
        <w:t xml:space="preserve">stimation: Implications for </w:t>
      </w:r>
      <w:r w:rsidR="003425F4" w:rsidRPr="00FD2BA2">
        <w:rPr>
          <w:color w:val="auto"/>
        </w:rPr>
        <w:t>f</w:t>
      </w:r>
      <w:r w:rsidRPr="00FD2BA2">
        <w:rPr>
          <w:color w:val="auto"/>
        </w:rPr>
        <w:t xml:space="preserve">ixed </w:t>
      </w:r>
      <w:r w:rsidR="003425F4" w:rsidRPr="00FD2BA2">
        <w:rPr>
          <w:color w:val="auto"/>
        </w:rPr>
        <w:t>c</w:t>
      </w:r>
      <w:r w:rsidRPr="00FD2BA2">
        <w:rPr>
          <w:color w:val="auto"/>
        </w:rPr>
        <w:t xml:space="preserve">apital </w:t>
      </w:r>
      <w:r w:rsidR="003425F4" w:rsidRPr="00FD2BA2">
        <w:rPr>
          <w:color w:val="auto"/>
        </w:rPr>
        <w:t>f</w:t>
      </w:r>
      <w:r w:rsidRPr="00FD2BA2">
        <w:rPr>
          <w:color w:val="auto"/>
        </w:rPr>
        <w:t xml:space="preserve">igures and </w:t>
      </w:r>
      <w:r w:rsidR="003425F4" w:rsidRPr="00FD2BA2">
        <w:rPr>
          <w:color w:val="auto"/>
        </w:rPr>
        <w:t>p</w:t>
      </w:r>
      <w:r w:rsidRPr="00FD2BA2">
        <w:rPr>
          <w:color w:val="auto"/>
        </w:rPr>
        <w:t xml:space="preserve">roductivity </w:t>
      </w:r>
      <w:r w:rsidR="003425F4" w:rsidRPr="00FD2BA2">
        <w:rPr>
          <w:color w:val="auto"/>
        </w:rPr>
        <w:t>e</w:t>
      </w:r>
      <w:r w:rsidRPr="00FD2BA2">
        <w:rPr>
          <w:color w:val="auto"/>
        </w:rPr>
        <w:t>stimation.</w:t>
      </w:r>
      <w:r w:rsidR="000A7538" w:rsidRPr="00FD2BA2">
        <w:t xml:space="preserve"> </w:t>
      </w:r>
      <w:r w:rsidR="000A7538" w:rsidRPr="00FD2BA2">
        <w:rPr>
          <w:color w:val="auto"/>
        </w:rPr>
        <w:t>Chapter 4 in Productivity and Mobility by Holmen, R. B. (2020). A dissertation submitted to BI Norwegian Business School for the degree of PhD. PhD specialization: Economics.</w:t>
      </w:r>
    </w:p>
    <w:p w14:paraId="4A4323DA" w14:textId="2CC94A0B" w:rsidR="00E71625" w:rsidRPr="00FD2BA2" w:rsidRDefault="002E4587" w:rsidP="00987F6F">
      <w:pPr>
        <w:rPr>
          <w:color w:val="auto"/>
        </w:rPr>
      </w:pPr>
      <w:r w:rsidRPr="00FD2BA2">
        <w:rPr>
          <w:color w:val="auto"/>
        </w:rPr>
        <w:t>Holmen, R. B. (2022</w:t>
      </w:r>
      <w:r w:rsidR="007E0471" w:rsidRPr="00FD2BA2">
        <w:rPr>
          <w:color w:val="auto"/>
        </w:rPr>
        <w:t>a</w:t>
      </w:r>
      <w:r w:rsidRPr="00FD2BA2">
        <w:rPr>
          <w:color w:val="auto"/>
        </w:rPr>
        <w:t xml:space="preserve">). Fixed </w:t>
      </w:r>
      <w:r w:rsidR="00561CF6" w:rsidRPr="00FD2BA2">
        <w:rPr>
          <w:color w:val="auto"/>
        </w:rPr>
        <w:t>c</w:t>
      </w:r>
      <w:r w:rsidRPr="00FD2BA2">
        <w:rPr>
          <w:color w:val="auto"/>
        </w:rPr>
        <w:t xml:space="preserve">apital </w:t>
      </w:r>
      <w:r w:rsidR="00561CF6" w:rsidRPr="00FD2BA2">
        <w:rPr>
          <w:color w:val="auto"/>
        </w:rPr>
        <w:t>e</w:t>
      </w:r>
      <w:r w:rsidRPr="00FD2BA2">
        <w:rPr>
          <w:color w:val="auto"/>
        </w:rPr>
        <w:t xml:space="preserve">stimation: Utilization of </w:t>
      </w:r>
      <w:r w:rsidR="00561CF6" w:rsidRPr="00FD2BA2">
        <w:rPr>
          <w:color w:val="auto"/>
        </w:rPr>
        <w:t>m</w:t>
      </w:r>
      <w:r w:rsidRPr="00FD2BA2">
        <w:rPr>
          <w:color w:val="auto"/>
        </w:rPr>
        <w:t xml:space="preserve">acro </w:t>
      </w:r>
      <w:r w:rsidR="00561CF6" w:rsidRPr="00FD2BA2">
        <w:rPr>
          <w:color w:val="auto"/>
        </w:rPr>
        <w:t>d</w:t>
      </w:r>
      <w:r w:rsidRPr="00FD2BA2">
        <w:rPr>
          <w:color w:val="auto"/>
        </w:rPr>
        <w:t xml:space="preserve">ata to </w:t>
      </w:r>
      <w:r w:rsidR="00561CF6" w:rsidRPr="00FD2BA2">
        <w:rPr>
          <w:color w:val="auto"/>
        </w:rPr>
        <w:t>a</w:t>
      </w:r>
      <w:r w:rsidRPr="00FD2BA2">
        <w:rPr>
          <w:color w:val="auto"/>
        </w:rPr>
        <w:t xml:space="preserve">ccount for </w:t>
      </w:r>
      <w:r w:rsidR="00561CF6" w:rsidRPr="00FD2BA2">
        <w:rPr>
          <w:color w:val="auto"/>
        </w:rPr>
        <w:t>c</w:t>
      </w:r>
      <w:r w:rsidRPr="00FD2BA2">
        <w:rPr>
          <w:color w:val="auto"/>
        </w:rPr>
        <w:t xml:space="preserve">apital </w:t>
      </w:r>
      <w:r w:rsidR="00561CF6" w:rsidRPr="00FD2BA2">
        <w:rPr>
          <w:color w:val="auto"/>
        </w:rPr>
        <w:t>h</w:t>
      </w:r>
      <w:r w:rsidRPr="00FD2BA2">
        <w:rPr>
          <w:color w:val="auto"/>
        </w:rPr>
        <w:t xml:space="preserve">eterogeneity at </w:t>
      </w:r>
      <w:r w:rsidR="00561CF6" w:rsidRPr="00FD2BA2">
        <w:rPr>
          <w:color w:val="auto"/>
        </w:rPr>
        <w:t>f</w:t>
      </w:r>
      <w:r w:rsidRPr="00FD2BA2">
        <w:rPr>
          <w:color w:val="auto"/>
        </w:rPr>
        <w:t xml:space="preserve">irm </w:t>
      </w:r>
      <w:r w:rsidR="00561CF6" w:rsidRPr="00FD2BA2">
        <w:rPr>
          <w:color w:val="auto"/>
        </w:rPr>
        <w:t>l</w:t>
      </w:r>
      <w:r w:rsidRPr="00FD2BA2">
        <w:rPr>
          <w:color w:val="auto"/>
        </w:rPr>
        <w:t>evel. Beta Scandinavian Journal of Business Research. Volume 36, nr. 1-2022, s. 1–43.</w:t>
      </w:r>
    </w:p>
    <w:p w14:paraId="03CBCED0" w14:textId="5E9E606A" w:rsidR="007E0471" w:rsidRPr="00FD2BA2" w:rsidRDefault="007E0471" w:rsidP="00987F6F">
      <w:pPr>
        <w:rPr>
          <w:color w:val="auto"/>
        </w:rPr>
      </w:pPr>
      <w:r w:rsidRPr="00FD2BA2">
        <w:rPr>
          <w:color w:val="auto"/>
        </w:rPr>
        <w:t xml:space="preserve">Holmen, R. B. (2022b). Productivity </w:t>
      </w:r>
      <w:r w:rsidR="00C67E56" w:rsidRPr="00FD2BA2">
        <w:rPr>
          <w:color w:val="auto"/>
        </w:rPr>
        <w:t>i</w:t>
      </w:r>
      <w:r w:rsidRPr="00FD2BA2">
        <w:rPr>
          <w:color w:val="auto"/>
        </w:rPr>
        <w:t xml:space="preserve">mpulses from </w:t>
      </w:r>
      <w:r w:rsidR="00C67E56" w:rsidRPr="00FD2BA2">
        <w:rPr>
          <w:color w:val="auto"/>
        </w:rPr>
        <w:t>r</w:t>
      </w:r>
      <w:r w:rsidRPr="00FD2BA2">
        <w:rPr>
          <w:color w:val="auto"/>
        </w:rPr>
        <w:t xml:space="preserve">egional </w:t>
      </w:r>
      <w:r w:rsidR="00C67E56" w:rsidRPr="00FD2BA2">
        <w:rPr>
          <w:color w:val="auto"/>
        </w:rPr>
        <w:t>i</w:t>
      </w:r>
      <w:r w:rsidRPr="00FD2BA2">
        <w:rPr>
          <w:color w:val="auto"/>
        </w:rPr>
        <w:t xml:space="preserve">ntegration: Lessons from </w:t>
      </w:r>
      <w:r w:rsidR="00C67E56" w:rsidRPr="00FD2BA2">
        <w:rPr>
          <w:color w:val="auto"/>
        </w:rPr>
        <w:t>r</w:t>
      </w:r>
      <w:r w:rsidRPr="00FD2BA2">
        <w:rPr>
          <w:color w:val="auto"/>
        </w:rPr>
        <w:t xml:space="preserve">oad </w:t>
      </w:r>
      <w:r w:rsidR="00C67E56" w:rsidRPr="00FD2BA2">
        <w:rPr>
          <w:color w:val="auto"/>
        </w:rPr>
        <w:t>o</w:t>
      </w:r>
      <w:r w:rsidRPr="00FD2BA2">
        <w:rPr>
          <w:color w:val="auto"/>
        </w:rPr>
        <w:t>penings. Insights into Regional Development. 4(4), 83-125.</w:t>
      </w:r>
    </w:p>
    <w:p w14:paraId="7FE78F28" w14:textId="03C79454" w:rsidR="00AD1909" w:rsidRPr="00FD2BA2" w:rsidRDefault="00AD1909" w:rsidP="00987F6F">
      <w:r w:rsidRPr="00FD2BA2">
        <w:t xml:space="preserve">Holmes, O. W. (1892). The </w:t>
      </w:r>
      <w:r w:rsidR="00C67E56" w:rsidRPr="00FD2BA2">
        <w:t>o</w:t>
      </w:r>
      <w:r w:rsidRPr="00FD2BA2">
        <w:t xml:space="preserve">ne </w:t>
      </w:r>
      <w:r w:rsidR="00C67E56" w:rsidRPr="00FD2BA2">
        <w:t>h</w:t>
      </w:r>
      <w:r w:rsidRPr="00FD2BA2">
        <w:t xml:space="preserve">oss </w:t>
      </w:r>
      <w:r w:rsidR="00C67E56" w:rsidRPr="00FD2BA2">
        <w:t>s</w:t>
      </w:r>
      <w:r w:rsidRPr="00FD2BA2">
        <w:t xml:space="preserve">hay: With </w:t>
      </w:r>
      <w:r w:rsidR="00C67E56" w:rsidRPr="00FD2BA2">
        <w:t>i</w:t>
      </w:r>
      <w:r w:rsidRPr="00FD2BA2">
        <w:t xml:space="preserve">ts </w:t>
      </w:r>
      <w:r w:rsidR="00C67E56" w:rsidRPr="00FD2BA2">
        <w:t>c</w:t>
      </w:r>
      <w:r w:rsidRPr="00FD2BA2">
        <w:t xml:space="preserve">ompanion </w:t>
      </w:r>
      <w:r w:rsidR="00C67E56" w:rsidRPr="00FD2BA2">
        <w:t>p</w:t>
      </w:r>
      <w:r w:rsidRPr="00FD2BA2">
        <w:t>oems. Houghton, Mifflin.</w:t>
      </w:r>
    </w:p>
    <w:p w14:paraId="0B4C9ED1" w14:textId="47EFAC05" w:rsidR="00250F93" w:rsidRPr="00FD2BA2" w:rsidRDefault="00250F93" w:rsidP="00987F6F">
      <w:pPr>
        <w:rPr>
          <w:color w:val="auto"/>
        </w:rPr>
      </w:pPr>
      <w:r w:rsidRPr="00FD2BA2">
        <w:rPr>
          <w:color w:val="auto"/>
        </w:rPr>
        <w:lastRenderedPageBreak/>
        <w:t>Hulten, C. R. (1991). The measurement of capital. In Fifty years of economic measurement: The jubilee of the Conference on Research in Income and Wealth (pp. 119-158), January 1991 University of Chicago Press.</w:t>
      </w:r>
    </w:p>
    <w:p w14:paraId="65ABDDBA" w14:textId="0E366BE7" w:rsidR="002E4587" w:rsidRPr="00FD2BA2" w:rsidRDefault="002E4587" w:rsidP="00987F6F">
      <w:pPr>
        <w:rPr>
          <w:color w:val="auto"/>
        </w:rPr>
      </w:pPr>
      <w:r w:rsidRPr="00FD2BA2">
        <w:rPr>
          <w:color w:val="auto"/>
        </w:rPr>
        <w:t>Hulten, C. R.</w:t>
      </w:r>
      <w:r w:rsidR="00E578AA" w:rsidRPr="00FD2BA2">
        <w:rPr>
          <w:color w:val="auto"/>
        </w:rPr>
        <w:t xml:space="preserve">, &amp; </w:t>
      </w:r>
      <w:r w:rsidRPr="00FD2BA2">
        <w:rPr>
          <w:color w:val="auto"/>
        </w:rPr>
        <w:t>Wykoff, F. C. (1981a). The estimation of economic depreciation using vintage asset prices: An application of the Box-Cox power transformation. Journal of Econometrics, 15(3), 367-396.</w:t>
      </w:r>
    </w:p>
    <w:p w14:paraId="0D661D89" w14:textId="77777777" w:rsidR="002E4587" w:rsidRPr="00FD2BA2" w:rsidRDefault="002E4587" w:rsidP="00987F6F">
      <w:pPr>
        <w:rPr>
          <w:color w:val="auto"/>
        </w:rPr>
      </w:pPr>
      <w:r w:rsidRPr="00FD2BA2">
        <w:rPr>
          <w:color w:val="auto"/>
        </w:rPr>
        <w:t>Hulten, C. R., &amp; Wykoff, F. C. (1981b). The measurement of economic depreciation, Urban Institute.</w:t>
      </w:r>
    </w:p>
    <w:p w14:paraId="66A899D8" w14:textId="00407092" w:rsidR="00A65EF0" w:rsidRPr="00FD2BA2" w:rsidRDefault="00A65EF0" w:rsidP="00987F6F">
      <w:pPr>
        <w:rPr>
          <w:color w:val="auto"/>
        </w:rPr>
      </w:pPr>
      <w:r w:rsidRPr="00FD2BA2">
        <w:rPr>
          <w:color w:val="auto"/>
        </w:rPr>
        <w:t>Hulten, C. R., &amp; Wykoff, F. C. (1996). Issues in the measurement of economic depreciation introductory remarks. Economic inquiry, 34(1), 10-23.</w:t>
      </w:r>
    </w:p>
    <w:p w14:paraId="2187D901" w14:textId="334E0D69" w:rsidR="002E4587" w:rsidRDefault="002E4587" w:rsidP="00987F6F">
      <w:pPr>
        <w:rPr>
          <w:color w:val="auto"/>
        </w:rPr>
      </w:pPr>
      <w:r w:rsidRPr="00FD2BA2">
        <w:rPr>
          <w:color w:val="auto"/>
        </w:rPr>
        <w:t>Håkonsen, L., Kallager, P. K. R., &amp; Lunder, T, E. (2017). Befolkningsendringer og kommunale investeringer. Kompenseres kapitalkostnader som følge av befolkningsendringer? TF-rapport nr. 399.</w:t>
      </w:r>
    </w:p>
    <w:p w14:paraId="5EAAC60D" w14:textId="0DD62BB3" w:rsidR="00DC6EB2" w:rsidRDefault="00DC6EB2" w:rsidP="00987F6F">
      <w:pPr>
        <w:rPr>
          <w:color w:val="auto"/>
        </w:rPr>
      </w:pPr>
      <w:r w:rsidRPr="00DC6EB2">
        <w:rPr>
          <w:color w:val="auto"/>
        </w:rPr>
        <w:t>Inklaar, R. (2010). The sensitivity of capital services measurement: Measure all assets and the cost of capital. Review of Income and Wealth, 56(2), 389-412.</w:t>
      </w:r>
    </w:p>
    <w:p w14:paraId="2A8082DC" w14:textId="77777777" w:rsidR="00E43960" w:rsidRPr="00E43960" w:rsidRDefault="00E43960" w:rsidP="00E43960">
      <w:pPr>
        <w:rPr>
          <w:color w:val="auto"/>
        </w:rPr>
      </w:pPr>
      <w:r w:rsidRPr="00E43960">
        <w:rPr>
          <w:color w:val="auto"/>
        </w:rPr>
        <w:t>Johansen, L. (1959). Substitution versus fixed production coefficients in the theory of economic growth: A synthesis. Econometrica: Journal of the Econometric Society, 157-176.</w:t>
      </w:r>
    </w:p>
    <w:p w14:paraId="1F2906BE" w14:textId="77777777" w:rsidR="00E43960" w:rsidRPr="00E43960" w:rsidRDefault="00E43960" w:rsidP="00E43960">
      <w:pPr>
        <w:rPr>
          <w:color w:val="auto"/>
        </w:rPr>
      </w:pPr>
      <w:r w:rsidRPr="00E43960">
        <w:rPr>
          <w:color w:val="auto"/>
        </w:rPr>
        <w:t>Johansen, L. (1972). Production functions; an integration of micro and macro, short run and long run aspects (No. 04; HB141, J64.).</w:t>
      </w:r>
    </w:p>
    <w:p w14:paraId="03F4722E" w14:textId="77777777" w:rsidR="00E43960" w:rsidRPr="00E43960" w:rsidRDefault="00E43960" w:rsidP="00E43960">
      <w:pPr>
        <w:rPr>
          <w:color w:val="auto"/>
        </w:rPr>
      </w:pPr>
      <w:r w:rsidRPr="00E43960">
        <w:rPr>
          <w:color w:val="auto"/>
        </w:rPr>
        <w:t>Johansen, L., &amp; Sørsveen, A. (1967). Notes on the measurement of real capital in relation to economic planning models. Review of Income and Wealth, 13(2), 175-197.</w:t>
      </w:r>
    </w:p>
    <w:p w14:paraId="142211ED" w14:textId="14BB1A57" w:rsidR="000B74C2" w:rsidRPr="00FD2BA2" w:rsidRDefault="000B74C2" w:rsidP="00987F6F">
      <w:pPr>
        <w:rPr>
          <w:color w:val="auto"/>
        </w:rPr>
      </w:pPr>
      <w:r w:rsidRPr="00FD2BA2">
        <w:rPr>
          <w:color w:val="auto"/>
        </w:rPr>
        <w:t>Jorgenson, D. W. (1963). Capital theory and investment behavior. The American Economic Review, 53(2), 247-259.</w:t>
      </w:r>
    </w:p>
    <w:p w14:paraId="028A0AC4" w14:textId="2F7C4087" w:rsidR="001542C7" w:rsidRPr="00FD2BA2" w:rsidRDefault="001542C7" w:rsidP="00987F6F">
      <w:pPr>
        <w:rPr>
          <w:color w:val="auto"/>
        </w:rPr>
      </w:pPr>
      <w:r w:rsidRPr="00FD2BA2">
        <w:rPr>
          <w:color w:val="auto"/>
        </w:rPr>
        <w:t xml:space="preserve">Jorgenson, D. W. (1989). Capital as a </w:t>
      </w:r>
      <w:r w:rsidR="00CF517A" w:rsidRPr="00FD2BA2">
        <w:rPr>
          <w:color w:val="auto"/>
        </w:rPr>
        <w:t>f</w:t>
      </w:r>
      <w:r w:rsidRPr="00FD2BA2">
        <w:rPr>
          <w:color w:val="auto"/>
        </w:rPr>
        <w:t xml:space="preserve">actor of </w:t>
      </w:r>
      <w:r w:rsidR="00CF517A" w:rsidRPr="00FD2BA2">
        <w:rPr>
          <w:color w:val="auto"/>
        </w:rPr>
        <w:t>p</w:t>
      </w:r>
      <w:r w:rsidRPr="00FD2BA2">
        <w:rPr>
          <w:color w:val="auto"/>
        </w:rPr>
        <w:t xml:space="preserve">roduction, in </w:t>
      </w:r>
      <w:r w:rsidR="00CF517A" w:rsidRPr="00FD2BA2">
        <w:rPr>
          <w:color w:val="auto"/>
        </w:rPr>
        <w:t>t</w:t>
      </w:r>
      <w:r w:rsidRPr="00FD2BA2">
        <w:rPr>
          <w:color w:val="auto"/>
        </w:rPr>
        <w:t xml:space="preserve">echnology and </w:t>
      </w:r>
      <w:r w:rsidR="00CF517A" w:rsidRPr="00FD2BA2">
        <w:rPr>
          <w:color w:val="auto"/>
        </w:rPr>
        <w:t>c</w:t>
      </w:r>
      <w:r w:rsidRPr="00FD2BA2">
        <w:rPr>
          <w:color w:val="auto"/>
        </w:rPr>
        <w:t>apital formation, edited by Jorgenson, D. W.</w:t>
      </w:r>
      <w:r w:rsidR="00C63158" w:rsidRPr="00FD2BA2">
        <w:rPr>
          <w:color w:val="auto"/>
        </w:rPr>
        <w:t xml:space="preserve">, &amp; </w:t>
      </w:r>
      <w:r w:rsidRPr="00FD2BA2">
        <w:rPr>
          <w:color w:val="auto"/>
        </w:rPr>
        <w:t>Landau, R., Cambridge, MA, pp. 1–36.</w:t>
      </w:r>
    </w:p>
    <w:p w14:paraId="3F6EF325" w14:textId="3DC325B3" w:rsidR="00102737" w:rsidRPr="00FD2BA2" w:rsidRDefault="00102737" w:rsidP="00987F6F">
      <w:pPr>
        <w:rPr>
          <w:color w:val="auto"/>
        </w:rPr>
      </w:pPr>
      <w:r w:rsidRPr="00FD2BA2">
        <w:rPr>
          <w:color w:val="auto"/>
        </w:rPr>
        <w:t>Jorgenson, D. W. (1996). Empirical studies of depreciation. Economic inquiry, 34(1), 24-42.</w:t>
      </w:r>
    </w:p>
    <w:p w14:paraId="1A7C4EB9" w14:textId="77777777" w:rsidR="006E7F8E" w:rsidRPr="00FD2BA2" w:rsidRDefault="006E7F8E" w:rsidP="006E7F8E">
      <w:pPr>
        <w:rPr>
          <w:lang w:eastAsia="nb-NO"/>
        </w:rPr>
      </w:pPr>
      <w:r w:rsidRPr="00FD2BA2">
        <w:rPr>
          <w:lang w:eastAsia="nb-NO"/>
        </w:rPr>
        <w:t>Jorgenson, D. W., &amp; Griliches, Z. (1967). The explanation of productivity change. The review of economic studies, 34(3), 249-283.</w:t>
      </w:r>
    </w:p>
    <w:p w14:paraId="64F72ADD" w14:textId="6E6B37F4" w:rsidR="00E71625" w:rsidRPr="00FD2BA2" w:rsidRDefault="002E4587" w:rsidP="00987F6F">
      <w:pPr>
        <w:rPr>
          <w:color w:val="auto"/>
        </w:rPr>
      </w:pPr>
      <w:r w:rsidRPr="00FD2BA2">
        <w:rPr>
          <w:color w:val="auto"/>
        </w:rPr>
        <w:t>Kalvarskaia, M.</w:t>
      </w:r>
      <w:r w:rsidR="001D54B6" w:rsidRPr="00FD2BA2">
        <w:rPr>
          <w:color w:val="auto"/>
        </w:rPr>
        <w:t xml:space="preserve">, &amp; </w:t>
      </w:r>
      <w:r w:rsidRPr="00FD2BA2">
        <w:rPr>
          <w:color w:val="auto"/>
        </w:rPr>
        <w:t>Langørgen</w:t>
      </w:r>
      <w:r w:rsidR="001D54B6" w:rsidRPr="00FD2BA2">
        <w:rPr>
          <w:color w:val="auto"/>
        </w:rPr>
        <w:t>, A.</w:t>
      </w:r>
      <w:r w:rsidRPr="00FD2BA2">
        <w:rPr>
          <w:color w:val="auto"/>
        </w:rPr>
        <w:t xml:space="preserve"> (2004). Capital costs in municipal school buildings. Reports 2004/9, Statistisk sentralbyrå.</w:t>
      </w:r>
    </w:p>
    <w:p w14:paraId="4FF08B43" w14:textId="35A61DC7" w:rsidR="008D46A5" w:rsidRPr="00FD2BA2" w:rsidRDefault="008D46A5" w:rsidP="00987F6F">
      <w:r w:rsidRPr="00FD2BA2">
        <w:t>Kittelsen, S. A. C. (1994). Effektivitet og regulering i norsk elektrisitetsdistribusjon. Effektivitet i elforsyningen. SNF-prosjekt 023. SNF Rapport nr. 3/1994. ISBN 82-7296-423-6.</w:t>
      </w:r>
    </w:p>
    <w:p w14:paraId="050DF1D1" w14:textId="1275B6D9" w:rsidR="00EA001A" w:rsidRPr="00FD2BA2" w:rsidRDefault="002E4587" w:rsidP="00987F6F">
      <w:pPr>
        <w:rPr>
          <w:color w:val="auto"/>
        </w:rPr>
      </w:pPr>
      <w:r w:rsidRPr="00FD2BA2">
        <w:rPr>
          <w:color w:val="auto"/>
        </w:rPr>
        <w:t>Kommunal- og distriktsdepartementet (2022). Forslag til nytt inntektssystem for fylkeskommunene fra 2024. Rapport fra ekspertutvalg.</w:t>
      </w:r>
    </w:p>
    <w:p w14:paraId="44DB71E2" w14:textId="098E65C6" w:rsidR="002E4587" w:rsidRPr="00FD2BA2" w:rsidRDefault="002E4587" w:rsidP="00987F6F">
      <w:pPr>
        <w:rPr>
          <w:color w:val="auto"/>
          <w:lang w:eastAsia="en-US"/>
        </w:rPr>
      </w:pPr>
      <w:r w:rsidRPr="00FD2BA2">
        <w:rPr>
          <w:color w:val="auto"/>
          <w:lang w:eastAsia="en-US"/>
        </w:rPr>
        <w:t>Kommunal- og distriktsdepartementet (2023a). Forskrift om økonomiplan, årsbudsjett, årsregnskap og årsberetning for interkommunale selskaper (budsjett- og regnskapsforskriften for IKS). Dato FOR-2023-08-16-1327. Ikrafttredelse 01.01.2024. Kunngjort 16.08.2023.</w:t>
      </w:r>
    </w:p>
    <w:p w14:paraId="0BC200A7" w14:textId="41F43971" w:rsidR="00CD39FE" w:rsidRPr="00FD2BA2" w:rsidRDefault="00EF6CE1" w:rsidP="00987F6F">
      <w:pPr>
        <w:rPr>
          <w:color w:val="auto"/>
          <w:lang w:eastAsia="en-US"/>
        </w:rPr>
      </w:pPr>
      <w:r w:rsidRPr="00FD2BA2">
        <w:lastRenderedPageBreak/>
        <w:t>Kommunal- og distriktsdepartementet (2023b). Prop. 112 S (2022 –2023). Kommuneproposisjonen 2024. Proposisjon til Stortinget (forslag til stortingsvedtak). Tilråding fra Kommunal- og distriktsdepartementet 11. mai 2023, godkjent i statsråd samme dag. (Regjeringen Støre).</w:t>
      </w:r>
    </w:p>
    <w:p w14:paraId="5B8FA815" w14:textId="29B85237" w:rsidR="002E4587" w:rsidRPr="00FD2BA2" w:rsidRDefault="002E4587" w:rsidP="00987F6F">
      <w:pPr>
        <w:rPr>
          <w:color w:val="auto"/>
        </w:rPr>
      </w:pPr>
      <w:r w:rsidRPr="00FD2BA2">
        <w:rPr>
          <w:color w:val="auto"/>
        </w:rPr>
        <w:t>Kommunal- og distriktsdepartementet (2023</w:t>
      </w:r>
      <w:r w:rsidR="006E41E4" w:rsidRPr="00FD2BA2">
        <w:rPr>
          <w:color w:val="auto"/>
        </w:rPr>
        <w:t>c</w:t>
      </w:r>
      <w:r w:rsidRPr="00FD2BA2">
        <w:rPr>
          <w:color w:val="auto"/>
        </w:rPr>
        <w:t>). Lov om kommuner og fylkeskommuner (kommuneloven). Dato LOV-2018-06-22-83. Sist endret: LOV-2023-06-02-21 fra 01.07.2023.</w:t>
      </w:r>
    </w:p>
    <w:p w14:paraId="45E8E3ED" w14:textId="77777777" w:rsidR="001C34A6" w:rsidRPr="00FD2BA2" w:rsidRDefault="001C34A6" w:rsidP="00987F6F">
      <w:pPr>
        <w:rPr>
          <w:color w:val="auto"/>
        </w:rPr>
      </w:pPr>
      <w:r w:rsidRPr="00FD2BA2">
        <w:rPr>
          <w:lang w:eastAsia="nb-NO"/>
        </w:rPr>
        <w:t xml:space="preserve">Kommunal- og moderniseringsdepartementet </w:t>
      </w:r>
      <w:r w:rsidRPr="00FD2BA2">
        <w:rPr>
          <w:color w:val="auto"/>
        </w:rPr>
        <w:t>(2019a)</w:t>
      </w:r>
      <w:r w:rsidRPr="00FD2BA2">
        <w:rPr>
          <w:lang w:eastAsia="nb-NO"/>
        </w:rPr>
        <w:t xml:space="preserve">. </w:t>
      </w:r>
      <w:r w:rsidRPr="00FD2BA2">
        <w:rPr>
          <w:color w:val="auto"/>
        </w:rPr>
        <w:t>Forskrift om beregning av samlet selvkost for kommunale og fylkeskommunale gebyrer (selvkostforskriften).</w:t>
      </w:r>
      <w:r w:rsidRPr="00FD2BA2">
        <w:rPr>
          <w:lang w:eastAsia="nb-NO"/>
        </w:rPr>
        <w:t xml:space="preserve"> </w:t>
      </w:r>
      <w:r w:rsidRPr="00FD2BA2">
        <w:rPr>
          <w:color w:val="auto"/>
        </w:rPr>
        <w:t>Dato FOR-2019-12-11-1731.</w:t>
      </w:r>
      <w:r w:rsidRPr="00FD2BA2">
        <w:rPr>
          <w:lang w:eastAsia="nb-NO"/>
        </w:rPr>
        <w:t xml:space="preserve"> </w:t>
      </w:r>
      <w:r w:rsidRPr="00FD2BA2">
        <w:rPr>
          <w:color w:val="auto"/>
        </w:rPr>
        <w:t>Ikrafttredelse 01.01.2020</w:t>
      </w:r>
      <w:r w:rsidRPr="00FD2BA2">
        <w:rPr>
          <w:lang w:eastAsia="nb-NO"/>
        </w:rPr>
        <w:t xml:space="preserve">. </w:t>
      </w:r>
      <w:r w:rsidRPr="00FD2BA2">
        <w:rPr>
          <w:color w:val="auto"/>
        </w:rPr>
        <w:t>Kunngjort. 13.12.2019 kl. 12.20.</w:t>
      </w:r>
    </w:p>
    <w:p w14:paraId="127CE5F3" w14:textId="77777777" w:rsidR="001C34A6" w:rsidRPr="00FD2BA2" w:rsidRDefault="001C34A6" w:rsidP="00987F6F">
      <w:pPr>
        <w:rPr>
          <w:color w:val="auto"/>
          <w:lang w:eastAsia="en-US"/>
        </w:rPr>
      </w:pPr>
      <w:r w:rsidRPr="00FD2BA2">
        <w:rPr>
          <w:lang w:eastAsia="nb-NO"/>
        </w:rPr>
        <w:t xml:space="preserve">Kommunal- og moderniseringsdepartementet </w:t>
      </w:r>
      <w:r w:rsidRPr="00FD2BA2">
        <w:rPr>
          <w:color w:val="auto"/>
          <w:lang w:eastAsia="en-US"/>
        </w:rPr>
        <w:t>(2019b). Forskrift om økonomiplan, årsbudsjett, årsregnskap og årsberetning for kommuner og fylkeskommuner mv. Dato FOR-2019-06-07-714. Sist endret FOR-2021-12-09-3479 fra 01.01.2022. Ikrafttredelse 01.01.2020. Kunngjort 12.06.2019 kl. 15.40. Rettet 21.12.2023 (§ 4-1).</w:t>
      </w:r>
    </w:p>
    <w:p w14:paraId="5C8E4F80" w14:textId="5D8FE3FB" w:rsidR="001C34A6" w:rsidRPr="00FD2BA2" w:rsidRDefault="001C34A6" w:rsidP="00987F6F">
      <w:pPr>
        <w:rPr>
          <w:lang w:eastAsia="nb-NO"/>
        </w:rPr>
      </w:pPr>
      <w:r w:rsidRPr="00FD2BA2">
        <w:rPr>
          <w:lang w:eastAsia="nb-NO"/>
        </w:rPr>
        <w:t>Kommunal- og moderniseringsdepartementet (2020). Distriktsindeksens sammensetning og vekting av indikatorer etter Asplan Viaks gjennomgang av indeksen i 2019. Rapport</w:t>
      </w:r>
      <w:r w:rsidR="00145C32">
        <w:rPr>
          <w:lang w:eastAsia="nb-NO"/>
        </w:rPr>
        <w:t>.</w:t>
      </w:r>
    </w:p>
    <w:p w14:paraId="5C675628" w14:textId="7B45BFA9" w:rsidR="001C34A6" w:rsidRPr="00FD2BA2" w:rsidRDefault="001C34A6" w:rsidP="00987F6F">
      <w:pPr>
        <w:rPr>
          <w:lang w:eastAsia="nb-NO"/>
        </w:rPr>
      </w:pPr>
      <w:r w:rsidRPr="00FD2BA2">
        <w:rPr>
          <w:lang w:eastAsia="nb-NO"/>
        </w:rPr>
        <w:t>Kommunal- og moderniseringsdepartementet (2021</w:t>
      </w:r>
      <w:r w:rsidR="00081714" w:rsidRPr="00FD2BA2">
        <w:rPr>
          <w:lang w:eastAsia="nb-NO"/>
        </w:rPr>
        <w:t>a</w:t>
      </w:r>
      <w:r w:rsidRPr="00FD2BA2">
        <w:rPr>
          <w:lang w:eastAsia="nb-NO"/>
        </w:rPr>
        <w:t>). Inntektssystemet for kommunar og fylkeskommunar 2022. Grønt hefte. Berekningsteknisk dokumentasjon til Prop. 1 S (2021–2022).</w:t>
      </w:r>
    </w:p>
    <w:p w14:paraId="639544EB" w14:textId="208E6095" w:rsidR="0004641A" w:rsidRPr="00FD2BA2" w:rsidRDefault="0004641A" w:rsidP="00987F6F">
      <w:r w:rsidRPr="00FD2BA2">
        <w:t>Kommunal- og moderniseringsdepartementet (2021</w:t>
      </w:r>
      <w:r w:rsidR="00081714" w:rsidRPr="00FD2BA2">
        <w:t>b</w:t>
      </w:r>
      <w:r w:rsidRPr="00FD2BA2">
        <w:t xml:space="preserve">). Veileder til kontoplanen i </w:t>
      </w:r>
      <w:r w:rsidR="008E7E43" w:rsidRPr="00FD2BA2">
        <w:t>KOSTRA</w:t>
      </w:r>
      <w:r w:rsidRPr="00FD2BA2">
        <w:t xml:space="preserve"> for rapporteringsåret 2021. Kommunal- og moderniseringsdepartementets forklaringer til standard kontoplan for regnskapsrapporteringen i </w:t>
      </w:r>
      <w:r w:rsidR="008E7E43" w:rsidRPr="00FD2BA2">
        <w:t>KOSTRA</w:t>
      </w:r>
      <w:r w:rsidRPr="00FD2BA2">
        <w:t>. November 2020. Publisert 5.11.2020. Endret 15.12.2020. Endret 29.1.2021.</w:t>
      </w:r>
    </w:p>
    <w:p w14:paraId="11C271D8" w14:textId="28A6D560" w:rsidR="0004641A" w:rsidRPr="00FD2BA2" w:rsidRDefault="0004641A" w:rsidP="00987F6F">
      <w:pPr>
        <w:rPr>
          <w:color w:val="auto"/>
        </w:rPr>
      </w:pPr>
      <w:r w:rsidRPr="00FD2BA2">
        <w:rPr>
          <w:color w:val="auto"/>
        </w:rPr>
        <w:t>Kommunal- og moderniseringsdepartementet, BDO og Telemark</w:t>
      </w:r>
      <w:r w:rsidR="00221C03" w:rsidRPr="00FD2BA2">
        <w:rPr>
          <w:color w:val="auto"/>
        </w:rPr>
        <w:t>s</w:t>
      </w:r>
      <w:r w:rsidRPr="00FD2BA2">
        <w:rPr>
          <w:color w:val="auto"/>
        </w:rPr>
        <w:t>forsk</w:t>
      </w:r>
      <w:r w:rsidR="00221C03" w:rsidRPr="00FD2BA2">
        <w:rPr>
          <w:color w:val="auto"/>
        </w:rPr>
        <w:t>n</w:t>
      </w:r>
      <w:r w:rsidRPr="00FD2BA2">
        <w:rPr>
          <w:color w:val="auto"/>
        </w:rPr>
        <w:t>ing (2014). Retningslinjer for beregning av selvkost for kommunale betalingstjenester. H-3/14.</w:t>
      </w:r>
    </w:p>
    <w:p w14:paraId="1E4FED97" w14:textId="4F71CFE8" w:rsidR="002E4587" w:rsidRPr="00FD2BA2" w:rsidRDefault="002E4587" w:rsidP="00987F6F">
      <w:pPr>
        <w:rPr>
          <w:color w:val="auto"/>
        </w:rPr>
      </w:pPr>
      <w:r w:rsidRPr="00FD2BA2">
        <w:rPr>
          <w:color w:val="auto"/>
        </w:rPr>
        <w:t>Krehic, L., &amp; Nyhus, O. H. (2022). Vedlikeholdskriteriet i delkostnadsnøkkelen for fylkesveg</w:t>
      </w:r>
      <w:r w:rsidR="009330DB">
        <w:rPr>
          <w:color w:val="auto"/>
        </w:rPr>
        <w:t>.</w:t>
      </w:r>
      <w:r w:rsidRPr="00FD2BA2">
        <w:rPr>
          <w:color w:val="auto"/>
        </w:rPr>
        <w:t xml:space="preserve"> SØF-rapport nr. 05/22, Trondheim, oktober 2022.</w:t>
      </w:r>
    </w:p>
    <w:p w14:paraId="7B5A8202" w14:textId="77777777" w:rsidR="002E4587" w:rsidRPr="00FD2BA2" w:rsidRDefault="002E4587" w:rsidP="00987F6F">
      <w:pPr>
        <w:rPr>
          <w:color w:val="auto"/>
        </w:rPr>
      </w:pPr>
      <w:r w:rsidRPr="00FD2BA2">
        <w:rPr>
          <w:color w:val="auto"/>
        </w:rPr>
        <w:t>Kuznets, S. (1934). Gross capital formation, 1919-1933 (pp. 1-20). NBER.</w:t>
      </w:r>
    </w:p>
    <w:p w14:paraId="2A9A73AB" w14:textId="77777777" w:rsidR="00221C03" w:rsidRPr="00FD2BA2" w:rsidRDefault="002E4587" w:rsidP="00987F6F">
      <w:pPr>
        <w:rPr>
          <w:color w:val="auto"/>
        </w:rPr>
      </w:pPr>
      <w:r w:rsidRPr="00FD2BA2">
        <w:rPr>
          <w:color w:val="auto"/>
        </w:rPr>
        <w:t>Langørgen, A. (2001). Inntektssystemet for kommunene: Måling av utgiftsbehov og fordelingsvirkninger. Statistisk sentralbyrå.</w:t>
      </w:r>
    </w:p>
    <w:p w14:paraId="14977C94" w14:textId="77777777" w:rsidR="00221C03" w:rsidRPr="00FD2BA2" w:rsidRDefault="002E4587" w:rsidP="00987F6F">
      <w:pPr>
        <w:rPr>
          <w:color w:val="auto"/>
        </w:rPr>
      </w:pPr>
      <w:r w:rsidRPr="00FD2BA2">
        <w:rPr>
          <w:color w:val="auto"/>
        </w:rPr>
        <w:t>Langørgen, A., &amp; Rønningen, D. (2003). Kapitalkostnader i kommunene. Statistisk sentralbyrå</w:t>
      </w:r>
      <w:r w:rsidR="007012A4" w:rsidRPr="00FD2BA2">
        <w:rPr>
          <w:color w:val="auto"/>
        </w:rPr>
        <w:t>. Rapport 2002/34</w:t>
      </w:r>
      <w:r w:rsidRPr="00FD2BA2">
        <w:rPr>
          <w:color w:val="auto"/>
        </w:rPr>
        <w:t>.</w:t>
      </w:r>
    </w:p>
    <w:p w14:paraId="2A2E22AC" w14:textId="78044813" w:rsidR="003355B4" w:rsidRDefault="003355B4" w:rsidP="00987F6F">
      <w:pPr>
        <w:rPr>
          <w:color w:val="auto"/>
        </w:rPr>
      </w:pPr>
      <w:r w:rsidRPr="00FD2BA2">
        <w:rPr>
          <w:color w:val="auto"/>
        </w:rPr>
        <w:t>Lintner, J. (1965). The valuation of risk assets and the selection of risky investments in stock portfolios and capital budgets. The Review of Economics and Statistics, 47(1), 13-37.</w:t>
      </w:r>
    </w:p>
    <w:p w14:paraId="6FA2E7A4" w14:textId="54420126" w:rsidR="00FD4987" w:rsidRPr="00FD2BA2" w:rsidRDefault="00FD4987" w:rsidP="00987F6F">
      <w:pPr>
        <w:rPr>
          <w:color w:val="auto"/>
        </w:rPr>
      </w:pPr>
      <w:r w:rsidRPr="00FD4987">
        <w:rPr>
          <w:color w:val="auto"/>
        </w:rPr>
        <w:t xml:space="preserve">Liu, G. (2016). Including land as a balance sheet item in the </w:t>
      </w:r>
      <w:r>
        <w:rPr>
          <w:color w:val="auto"/>
        </w:rPr>
        <w:t>n</w:t>
      </w:r>
      <w:r w:rsidRPr="00FD4987">
        <w:rPr>
          <w:color w:val="auto"/>
        </w:rPr>
        <w:t xml:space="preserve">orwegian </w:t>
      </w:r>
      <w:r>
        <w:rPr>
          <w:color w:val="auto"/>
        </w:rPr>
        <w:t>n</w:t>
      </w:r>
      <w:r w:rsidRPr="00FD4987">
        <w:rPr>
          <w:color w:val="auto"/>
        </w:rPr>
        <w:t xml:space="preserve">ational </w:t>
      </w:r>
      <w:r>
        <w:rPr>
          <w:color w:val="auto"/>
        </w:rPr>
        <w:t>a</w:t>
      </w:r>
      <w:r w:rsidRPr="00FD4987">
        <w:rPr>
          <w:color w:val="auto"/>
        </w:rPr>
        <w:t>ccounts. Statistics Norway Documents 2016/01.</w:t>
      </w:r>
    </w:p>
    <w:p w14:paraId="3ACB45B6" w14:textId="10CAA257" w:rsidR="008C304F" w:rsidRPr="00FD2BA2" w:rsidRDefault="002E4587" w:rsidP="00987F6F">
      <w:pPr>
        <w:rPr>
          <w:color w:val="auto"/>
        </w:rPr>
      </w:pPr>
      <w:r w:rsidRPr="00FD2BA2">
        <w:rPr>
          <w:color w:val="auto"/>
        </w:rPr>
        <w:t>Medby, P., &amp; Karlstad, S. (2008). Infrastruktur og investeringer</w:t>
      </w:r>
      <w:r w:rsidR="00221C03" w:rsidRPr="00FD2BA2">
        <w:rPr>
          <w:color w:val="auto"/>
        </w:rPr>
        <w:t xml:space="preserve"> – </w:t>
      </w:r>
      <w:r w:rsidRPr="00FD2BA2">
        <w:rPr>
          <w:color w:val="auto"/>
        </w:rPr>
        <w:t>Virkninger av befolkningsvekst og befolkningsnedgang i kommunene. Oslo: Norsk institutt for by- og regionforskning.</w:t>
      </w:r>
    </w:p>
    <w:p w14:paraId="7D46C1E2" w14:textId="6B627264" w:rsidR="008C304F" w:rsidRPr="00FD2BA2" w:rsidRDefault="008C304F" w:rsidP="00987F6F">
      <w:pPr>
        <w:rPr>
          <w:color w:val="auto"/>
        </w:rPr>
      </w:pPr>
      <w:r w:rsidRPr="00FD2BA2">
        <w:rPr>
          <w:lang w:eastAsia="nb-NO"/>
        </w:rPr>
        <w:lastRenderedPageBreak/>
        <w:t>Miljøverndepartementet (1993). Ot. prp. nr. 66 (1992-93) Om lov om endringer i lov av 13. mars 1981 nr. 6 om vern mot forurensninger og om avfall (forurensningsloven). Tilråding fra Miljøverndepartementet av 2. april 1993, godkjent av statsråd samme dag.</w:t>
      </w:r>
    </w:p>
    <w:p w14:paraId="26D78B35" w14:textId="7D8D0A5F" w:rsidR="00F97085" w:rsidRPr="00FD2BA2" w:rsidRDefault="00F97085" w:rsidP="00987F6F">
      <w:pPr>
        <w:rPr>
          <w:color w:val="auto"/>
        </w:rPr>
      </w:pPr>
      <w:r w:rsidRPr="00FD2BA2">
        <w:rPr>
          <w:color w:val="auto"/>
        </w:rPr>
        <w:t xml:space="preserve">Modigliani, F., &amp; Miller, M. H. (1958). The </w:t>
      </w:r>
      <w:r w:rsidR="00CF517A" w:rsidRPr="00FD2BA2">
        <w:rPr>
          <w:color w:val="auto"/>
        </w:rPr>
        <w:t>c</w:t>
      </w:r>
      <w:r w:rsidRPr="00FD2BA2">
        <w:rPr>
          <w:color w:val="auto"/>
        </w:rPr>
        <w:t xml:space="preserve">ost of </w:t>
      </w:r>
      <w:r w:rsidR="00CF517A" w:rsidRPr="00FD2BA2">
        <w:rPr>
          <w:color w:val="auto"/>
        </w:rPr>
        <w:t>c</w:t>
      </w:r>
      <w:r w:rsidRPr="00FD2BA2">
        <w:rPr>
          <w:color w:val="auto"/>
        </w:rPr>
        <w:t xml:space="preserve">apital, Corporation </w:t>
      </w:r>
      <w:r w:rsidR="00CF517A" w:rsidRPr="00FD2BA2">
        <w:rPr>
          <w:color w:val="auto"/>
        </w:rPr>
        <w:t>f</w:t>
      </w:r>
      <w:r w:rsidRPr="00FD2BA2">
        <w:rPr>
          <w:color w:val="auto"/>
        </w:rPr>
        <w:t xml:space="preserve">inance and the </w:t>
      </w:r>
      <w:r w:rsidR="00CF517A" w:rsidRPr="00FD2BA2">
        <w:rPr>
          <w:color w:val="auto"/>
        </w:rPr>
        <w:t>t</w:t>
      </w:r>
      <w:r w:rsidRPr="00FD2BA2">
        <w:rPr>
          <w:color w:val="auto"/>
        </w:rPr>
        <w:t xml:space="preserve">heory of </w:t>
      </w:r>
      <w:r w:rsidR="00CF517A" w:rsidRPr="00FD2BA2">
        <w:rPr>
          <w:color w:val="auto"/>
        </w:rPr>
        <w:t>i</w:t>
      </w:r>
      <w:r w:rsidRPr="00FD2BA2">
        <w:rPr>
          <w:color w:val="auto"/>
        </w:rPr>
        <w:t>nvestment. The American Economic Revier, 48(3), 261-297.</w:t>
      </w:r>
    </w:p>
    <w:p w14:paraId="71FC5B47" w14:textId="19194EC8" w:rsidR="002E4587" w:rsidRPr="00FD2BA2" w:rsidRDefault="00F97085" w:rsidP="00987F6F">
      <w:pPr>
        <w:rPr>
          <w:color w:val="auto"/>
        </w:rPr>
      </w:pPr>
      <w:r w:rsidRPr="00FD2BA2">
        <w:rPr>
          <w:color w:val="auto"/>
        </w:rPr>
        <w:t xml:space="preserve">Modigliani, F., &amp; Miller, M. H. (1963). Corporate </w:t>
      </w:r>
      <w:r w:rsidR="00CF517A" w:rsidRPr="00FD2BA2">
        <w:rPr>
          <w:color w:val="auto"/>
        </w:rPr>
        <w:t>i</w:t>
      </w:r>
      <w:r w:rsidRPr="00FD2BA2">
        <w:rPr>
          <w:color w:val="auto"/>
        </w:rPr>
        <w:t xml:space="preserve">ncome </w:t>
      </w:r>
      <w:r w:rsidR="00CF517A" w:rsidRPr="00FD2BA2">
        <w:rPr>
          <w:color w:val="auto"/>
        </w:rPr>
        <w:t>t</w:t>
      </w:r>
      <w:r w:rsidRPr="00FD2BA2">
        <w:rPr>
          <w:color w:val="auto"/>
        </w:rPr>
        <w:t xml:space="preserve">axes and the </w:t>
      </w:r>
      <w:r w:rsidR="00CF517A" w:rsidRPr="00FD2BA2">
        <w:rPr>
          <w:color w:val="auto"/>
        </w:rPr>
        <w:t>c</w:t>
      </w:r>
      <w:r w:rsidRPr="00FD2BA2">
        <w:rPr>
          <w:color w:val="auto"/>
        </w:rPr>
        <w:t xml:space="preserve">ost of </w:t>
      </w:r>
      <w:r w:rsidR="00CF517A" w:rsidRPr="00FD2BA2">
        <w:rPr>
          <w:color w:val="auto"/>
        </w:rPr>
        <w:t>c</w:t>
      </w:r>
      <w:r w:rsidRPr="00FD2BA2">
        <w:rPr>
          <w:color w:val="auto"/>
        </w:rPr>
        <w:t xml:space="preserve">apital: A </w:t>
      </w:r>
      <w:r w:rsidR="00CF517A" w:rsidRPr="00FD2BA2">
        <w:rPr>
          <w:color w:val="auto"/>
        </w:rPr>
        <w:t>c</w:t>
      </w:r>
      <w:r w:rsidRPr="00FD2BA2">
        <w:rPr>
          <w:color w:val="auto"/>
        </w:rPr>
        <w:t>orrection. The American Economic Review, 53(3), 433-443.</w:t>
      </w:r>
    </w:p>
    <w:p w14:paraId="3C4E0F71" w14:textId="63CCA93B" w:rsidR="00A07AB5" w:rsidRPr="00FD2BA2" w:rsidRDefault="00303A23" w:rsidP="00987F6F">
      <w:pPr>
        <w:rPr>
          <w:color w:val="auto"/>
        </w:rPr>
      </w:pPr>
      <w:r w:rsidRPr="00FD2BA2">
        <w:rPr>
          <w:color w:val="auto"/>
        </w:rPr>
        <w:t>Mossin, J. (1966). Equilibrium in a capital asset market. Econometrica, 34(4), 768-783.</w:t>
      </w:r>
    </w:p>
    <w:p w14:paraId="7D7A763E" w14:textId="77777777" w:rsidR="00E50319" w:rsidRPr="00FD2BA2" w:rsidRDefault="00664F2C" w:rsidP="00987F6F">
      <w:pPr>
        <w:rPr>
          <w:color w:val="auto"/>
        </w:rPr>
      </w:pPr>
      <w:r w:rsidRPr="00FD2BA2">
        <w:rPr>
          <w:color w:val="auto"/>
        </w:rPr>
        <w:t>Mueller, S. (2008). Capital stock approximation using firm level panel data. Jahrbücher für Nationalökonomie und Statistik, 228(4), 357-371.</w:t>
      </w:r>
    </w:p>
    <w:p w14:paraId="2705D7A2" w14:textId="117CB9F4" w:rsidR="000D5DFA" w:rsidRPr="00FD2BA2" w:rsidRDefault="000D5DFA" w:rsidP="00987F6F">
      <w:pPr>
        <w:rPr>
          <w:lang w:eastAsia="nb-NO"/>
        </w:rPr>
      </w:pPr>
      <w:r w:rsidRPr="00FD2BA2">
        <w:rPr>
          <w:lang w:eastAsia="nb-NO"/>
        </w:rPr>
        <w:t xml:space="preserve">Nasjonal </w:t>
      </w:r>
      <w:r w:rsidR="00A84BFA" w:rsidRPr="00FD2BA2">
        <w:rPr>
          <w:lang w:eastAsia="nb-NO"/>
        </w:rPr>
        <w:t>k</w:t>
      </w:r>
      <w:r w:rsidRPr="00FD2BA2">
        <w:rPr>
          <w:lang w:eastAsia="nb-NO"/>
        </w:rPr>
        <w:t>ommunikasjonsmyndighet (2023). Vedtak om kalkulatorisk rente for regnskapsåret 2024. Vår ref.: 2109826-9. Vår dato: 2023-12-20. Saksbehandler: Ove Aurebekk.</w:t>
      </w:r>
    </w:p>
    <w:p w14:paraId="0D8FDBC5" w14:textId="1F839BD2" w:rsidR="00102737" w:rsidRPr="00FD2BA2" w:rsidRDefault="00102737" w:rsidP="00987F6F">
      <w:pPr>
        <w:rPr>
          <w:color w:val="auto"/>
        </w:rPr>
      </w:pPr>
      <w:r w:rsidRPr="00FD2BA2">
        <w:rPr>
          <w:color w:val="auto"/>
        </w:rPr>
        <w:t>Nomura, K., &amp; Momose, F. (2008). Measurement of depreciation rates based on disposal asset data in Japan. Economic and Social Research Institute (ESRI) Working paper.</w:t>
      </w:r>
    </w:p>
    <w:p w14:paraId="4B7A15F7" w14:textId="77777777" w:rsidR="00102737" w:rsidRPr="00FD2BA2" w:rsidRDefault="00102737" w:rsidP="00987F6F">
      <w:pPr>
        <w:rPr>
          <w:color w:val="auto"/>
        </w:rPr>
      </w:pPr>
      <w:r w:rsidRPr="00FD2BA2">
        <w:rPr>
          <w:color w:val="auto"/>
        </w:rPr>
        <w:t>Nomura, K., &amp; Suga, Y. (2018). Measurement of depreciation rates using microdata from disposal survey of Japan. In The 35th IARIW General Conference, Copenhagen, Denmark, August 2018.</w:t>
      </w:r>
    </w:p>
    <w:p w14:paraId="79469EE9" w14:textId="29336AEE" w:rsidR="002E4587" w:rsidRPr="00FD2BA2" w:rsidRDefault="002E4587" w:rsidP="00987F6F">
      <w:pPr>
        <w:rPr>
          <w:color w:val="auto"/>
        </w:rPr>
      </w:pPr>
      <w:r w:rsidRPr="00FD2BA2">
        <w:rPr>
          <w:color w:val="auto"/>
        </w:rPr>
        <w:t>NOU (1996:1). Et enklere og mer rettferdig inntektssystem for kommuner og fylkeskommuner. Delutredning I fra Inntektssystemutvalget ved kongelig resolusjon av 24. februar 1995. Avgitt til Kommunal- og arbeidsdepartementet 11. januar 1996.</w:t>
      </w:r>
    </w:p>
    <w:p w14:paraId="254B550B" w14:textId="653D5A1F" w:rsidR="002E4587" w:rsidRPr="00FD2BA2" w:rsidRDefault="002E4587" w:rsidP="00987F6F">
      <w:pPr>
        <w:rPr>
          <w:color w:val="auto"/>
        </w:rPr>
      </w:pPr>
      <w:r w:rsidRPr="00FD2BA2">
        <w:rPr>
          <w:color w:val="auto"/>
        </w:rPr>
        <w:t>NOU (2005:18). Fordeling, forenkling, forbedring — Inntektssystemet for kommuner og fylkeskommuner. Utredning fra utvalg oppnevnt ved kongelig resolusjon 3. oktober 2003. Avgitt til Kommunal- og regionaldepartementet 10. oktober 2005.</w:t>
      </w:r>
    </w:p>
    <w:p w14:paraId="53EFB5B1" w14:textId="73F11A81" w:rsidR="00250F93" w:rsidRPr="00FD2BA2" w:rsidRDefault="00250F93" w:rsidP="00987F6F">
      <w:pPr>
        <w:rPr>
          <w:color w:val="auto"/>
        </w:rPr>
      </w:pPr>
      <w:r w:rsidRPr="00FD2BA2">
        <w:rPr>
          <w:color w:val="auto"/>
        </w:rPr>
        <w:t>NOU (2014:13). Kapitalbeskatning i en internasjonal økonomi. Utredning fra utvalg oppnevnt ved kongelig resolusjon 15. mars 2013. Avgitt til Finansdepartementet 2. desember 2014. Norges offentlige utredninger 2014:13.</w:t>
      </w:r>
    </w:p>
    <w:p w14:paraId="560A5F56" w14:textId="4B0CFE53" w:rsidR="002E4587" w:rsidRPr="00FD2BA2" w:rsidRDefault="002E4587" w:rsidP="00987F6F">
      <w:pPr>
        <w:rPr>
          <w:color w:val="auto"/>
        </w:rPr>
      </w:pPr>
      <w:r w:rsidRPr="00FD2BA2">
        <w:rPr>
          <w:color w:val="auto"/>
        </w:rPr>
        <w:t>NOU (2022:10). Inntektssystemet for kommunene. Utredning fra et utvalg oppnevnt ved kongelig resolusjon 12. mai 2020. Avgitt til Kommunal- og distriktsdepartementet 29. august 2022.</w:t>
      </w:r>
    </w:p>
    <w:p w14:paraId="4CE6B250" w14:textId="77777777" w:rsidR="00250F93" w:rsidRPr="00FD2BA2" w:rsidRDefault="00250F93" w:rsidP="00987F6F">
      <w:pPr>
        <w:rPr>
          <w:color w:val="auto"/>
        </w:rPr>
      </w:pPr>
      <w:r w:rsidRPr="00FD2BA2">
        <w:rPr>
          <w:color w:val="auto"/>
        </w:rPr>
        <w:t>NOU (2022:20). Et helhetlig skattesystem. Utredning fra et utvalg oppnevnt ved kongelig resolusjon 18. juni 2021. Avgitt til Finansdepartementet 19. desember 2022. Norges offentlige utredninger 2022:20.</w:t>
      </w:r>
    </w:p>
    <w:p w14:paraId="14A71DA2" w14:textId="23F02060" w:rsidR="00250F93" w:rsidRPr="00FD2BA2" w:rsidRDefault="00250F93" w:rsidP="00987F6F">
      <w:pPr>
        <w:rPr>
          <w:color w:val="auto"/>
        </w:rPr>
      </w:pPr>
      <w:r w:rsidRPr="00FD2BA2">
        <w:rPr>
          <w:color w:val="auto"/>
        </w:rPr>
        <w:t xml:space="preserve">OECD (2001). Measuring </w:t>
      </w:r>
      <w:r w:rsidR="00E50319" w:rsidRPr="00FD2BA2">
        <w:rPr>
          <w:color w:val="auto"/>
        </w:rPr>
        <w:t>c</w:t>
      </w:r>
      <w:r w:rsidRPr="00FD2BA2">
        <w:rPr>
          <w:color w:val="auto"/>
        </w:rPr>
        <w:t xml:space="preserve">apital: A </w:t>
      </w:r>
      <w:r w:rsidR="00E50319" w:rsidRPr="00FD2BA2">
        <w:rPr>
          <w:color w:val="auto"/>
        </w:rPr>
        <w:t>m</w:t>
      </w:r>
      <w:r w:rsidRPr="00FD2BA2">
        <w:rPr>
          <w:color w:val="auto"/>
        </w:rPr>
        <w:t xml:space="preserve">anual on the </w:t>
      </w:r>
      <w:r w:rsidR="00E50319" w:rsidRPr="00FD2BA2">
        <w:rPr>
          <w:color w:val="auto"/>
        </w:rPr>
        <w:t>m</w:t>
      </w:r>
      <w:r w:rsidRPr="00FD2BA2">
        <w:rPr>
          <w:color w:val="auto"/>
        </w:rPr>
        <w:t xml:space="preserve">easurement of </w:t>
      </w:r>
      <w:r w:rsidR="00E50319" w:rsidRPr="00FD2BA2">
        <w:rPr>
          <w:color w:val="auto"/>
        </w:rPr>
        <w:t>c</w:t>
      </w:r>
      <w:r w:rsidRPr="00FD2BA2">
        <w:rPr>
          <w:color w:val="auto"/>
        </w:rPr>
        <w:t xml:space="preserve">apital </w:t>
      </w:r>
      <w:r w:rsidR="00E50319" w:rsidRPr="00FD2BA2">
        <w:rPr>
          <w:color w:val="auto"/>
        </w:rPr>
        <w:t>s</w:t>
      </w:r>
      <w:r w:rsidRPr="00FD2BA2">
        <w:rPr>
          <w:color w:val="auto"/>
        </w:rPr>
        <w:t xml:space="preserve">tocks, </w:t>
      </w:r>
      <w:r w:rsidR="00E50319" w:rsidRPr="00FD2BA2">
        <w:rPr>
          <w:color w:val="auto"/>
        </w:rPr>
        <w:t>c</w:t>
      </w:r>
      <w:r w:rsidRPr="00FD2BA2">
        <w:rPr>
          <w:color w:val="auto"/>
        </w:rPr>
        <w:t xml:space="preserve">onsumption of </w:t>
      </w:r>
      <w:r w:rsidR="00E50319" w:rsidRPr="00FD2BA2">
        <w:rPr>
          <w:color w:val="auto"/>
        </w:rPr>
        <w:t>f</w:t>
      </w:r>
      <w:r w:rsidRPr="00FD2BA2">
        <w:rPr>
          <w:color w:val="auto"/>
        </w:rPr>
        <w:t xml:space="preserve">ixed </w:t>
      </w:r>
      <w:r w:rsidR="00E50319" w:rsidRPr="00FD2BA2">
        <w:rPr>
          <w:color w:val="auto"/>
        </w:rPr>
        <w:t>c</w:t>
      </w:r>
      <w:r w:rsidRPr="00FD2BA2">
        <w:rPr>
          <w:color w:val="auto"/>
        </w:rPr>
        <w:t xml:space="preserve">apital and </w:t>
      </w:r>
      <w:r w:rsidR="00E50319" w:rsidRPr="00FD2BA2">
        <w:rPr>
          <w:color w:val="auto"/>
        </w:rPr>
        <w:t>c</w:t>
      </w:r>
      <w:r w:rsidRPr="00FD2BA2">
        <w:rPr>
          <w:color w:val="auto"/>
        </w:rPr>
        <w:t xml:space="preserve">apital </w:t>
      </w:r>
      <w:r w:rsidR="00E50319" w:rsidRPr="00FD2BA2">
        <w:rPr>
          <w:color w:val="auto"/>
        </w:rPr>
        <w:t>s</w:t>
      </w:r>
      <w:r w:rsidRPr="00FD2BA2">
        <w:rPr>
          <w:color w:val="auto"/>
        </w:rPr>
        <w:t>ervices</w:t>
      </w:r>
      <w:r w:rsidR="009330DB">
        <w:rPr>
          <w:color w:val="auto"/>
        </w:rPr>
        <w:t>.</w:t>
      </w:r>
      <w:r w:rsidRPr="00FD2BA2">
        <w:rPr>
          <w:color w:val="auto"/>
        </w:rPr>
        <w:t xml:space="preserve"> Paris and Washington.</w:t>
      </w:r>
    </w:p>
    <w:p w14:paraId="4A9D435F" w14:textId="76C31F0B" w:rsidR="00250F93" w:rsidRDefault="00250F93" w:rsidP="00987F6F">
      <w:pPr>
        <w:rPr>
          <w:color w:val="auto"/>
        </w:rPr>
      </w:pPr>
      <w:r w:rsidRPr="00FD2BA2">
        <w:rPr>
          <w:color w:val="auto"/>
        </w:rPr>
        <w:t xml:space="preserve">OECD (2009). Measuring </w:t>
      </w:r>
      <w:r w:rsidR="00E50319" w:rsidRPr="00FD2BA2">
        <w:rPr>
          <w:color w:val="auto"/>
        </w:rPr>
        <w:t>c</w:t>
      </w:r>
      <w:r w:rsidRPr="00FD2BA2">
        <w:rPr>
          <w:color w:val="auto"/>
        </w:rPr>
        <w:t>apital, OECD Manual 2009, Second edition</w:t>
      </w:r>
      <w:r w:rsidR="009330DB">
        <w:rPr>
          <w:color w:val="auto"/>
        </w:rPr>
        <w:t>.</w:t>
      </w:r>
      <w:r w:rsidRPr="00FD2BA2">
        <w:rPr>
          <w:color w:val="auto"/>
        </w:rPr>
        <w:t xml:space="preserve"> OECD Publishing, Paris.</w:t>
      </w:r>
    </w:p>
    <w:p w14:paraId="48D8C2B3" w14:textId="54D7D057" w:rsidR="00733411" w:rsidRPr="00FD2BA2" w:rsidRDefault="00733411" w:rsidP="00987F6F">
      <w:pPr>
        <w:rPr>
          <w:color w:val="auto"/>
        </w:rPr>
      </w:pPr>
      <w:r w:rsidRPr="00733411">
        <w:rPr>
          <w:color w:val="auto"/>
        </w:rPr>
        <w:t xml:space="preserve">OECD and Eurostat (2014). Eurostat-OECD </w:t>
      </w:r>
      <w:r>
        <w:rPr>
          <w:color w:val="auto"/>
        </w:rPr>
        <w:t>s</w:t>
      </w:r>
      <w:r w:rsidRPr="00733411">
        <w:rPr>
          <w:color w:val="auto"/>
        </w:rPr>
        <w:t xml:space="preserve">urvey of </w:t>
      </w:r>
      <w:r>
        <w:rPr>
          <w:color w:val="auto"/>
        </w:rPr>
        <w:t>n</w:t>
      </w:r>
      <w:r w:rsidRPr="00733411">
        <w:rPr>
          <w:color w:val="auto"/>
        </w:rPr>
        <w:t xml:space="preserve">ational </w:t>
      </w:r>
      <w:r w:rsidR="00877370">
        <w:rPr>
          <w:color w:val="auto"/>
        </w:rPr>
        <w:t>p</w:t>
      </w:r>
      <w:r w:rsidRPr="00733411">
        <w:rPr>
          <w:color w:val="auto"/>
        </w:rPr>
        <w:t xml:space="preserve">ractices in </w:t>
      </w:r>
      <w:r w:rsidR="002B4867">
        <w:rPr>
          <w:color w:val="auto"/>
        </w:rPr>
        <w:t>e</w:t>
      </w:r>
      <w:r w:rsidRPr="00733411">
        <w:rPr>
          <w:color w:val="auto"/>
        </w:rPr>
        <w:t xml:space="preserve">stimating </w:t>
      </w:r>
      <w:r w:rsidR="002B4867">
        <w:rPr>
          <w:color w:val="auto"/>
        </w:rPr>
        <w:t>n</w:t>
      </w:r>
      <w:r w:rsidRPr="00733411">
        <w:rPr>
          <w:color w:val="auto"/>
        </w:rPr>
        <w:t xml:space="preserve">et </w:t>
      </w:r>
      <w:r w:rsidR="002B4867">
        <w:rPr>
          <w:color w:val="auto"/>
        </w:rPr>
        <w:t>s</w:t>
      </w:r>
      <w:r w:rsidRPr="00733411">
        <w:rPr>
          <w:color w:val="auto"/>
        </w:rPr>
        <w:t xml:space="preserve">tock of </w:t>
      </w:r>
      <w:r w:rsidR="002B4867">
        <w:rPr>
          <w:color w:val="auto"/>
        </w:rPr>
        <w:t>s</w:t>
      </w:r>
      <w:r w:rsidRPr="00733411">
        <w:rPr>
          <w:color w:val="auto"/>
        </w:rPr>
        <w:t>tructures.</w:t>
      </w:r>
    </w:p>
    <w:p w14:paraId="2F5AD61D" w14:textId="3239DE87" w:rsidR="004300DC" w:rsidRPr="00FD2BA2" w:rsidRDefault="004300DC" w:rsidP="00987F6F">
      <w:pPr>
        <w:rPr>
          <w:color w:val="auto"/>
        </w:rPr>
      </w:pPr>
      <w:r w:rsidRPr="00FD2BA2">
        <w:rPr>
          <w:color w:val="auto"/>
        </w:rPr>
        <w:t>Oslo Economics</w:t>
      </w:r>
      <w:r w:rsidR="000B74C2" w:rsidRPr="00FD2BA2">
        <w:rPr>
          <w:color w:val="auto"/>
        </w:rPr>
        <w:t xml:space="preserve">, &amp; </w:t>
      </w:r>
      <w:r w:rsidRPr="00FD2BA2">
        <w:rPr>
          <w:color w:val="auto"/>
        </w:rPr>
        <w:t>Momentum Solutions (2023). Tiltak for jevnere gebyrer for vann- og avløpstjenester. KS FoU-nummer 236003. KS FoU.</w:t>
      </w:r>
    </w:p>
    <w:p w14:paraId="6F0DF150" w14:textId="6F0509EE" w:rsidR="00102737" w:rsidRPr="00FD2BA2" w:rsidRDefault="00102737" w:rsidP="00987F6F">
      <w:pPr>
        <w:rPr>
          <w:color w:val="auto"/>
        </w:rPr>
      </w:pPr>
      <w:r w:rsidRPr="00FD2BA2">
        <w:rPr>
          <w:color w:val="auto"/>
        </w:rPr>
        <w:lastRenderedPageBreak/>
        <w:t>Oulton, N. (2001). Measuring capital services in the United Kingdom. Bank of England Quarterly Bulletin, Autumn.</w:t>
      </w:r>
    </w:p>
    <w:p w14:paraId="130DBBCC" w14:textId="6701E9E8" w:rsidR="00B36812" w:rsidRPr="00FD2BA2" w:rsidRDefault="00B36812" w:rsidP="00987F6F">
      <w:pPr>
        <w:rPr>
          <w:color w:val="auto"/>
        </w:rPr>
      </w:pPr>
      <w:r w:rsidRPr="00FD2BA2">
        <w:rPr>
          <w:color w:val="auto"/>
        </w:rPr>
        <w:t>Oulton, N. (2007). Ex post versus ex ante measures of the user cost of capital. Review of Income and Wealth, 53(2), 295-317</w:t>
      </w:r>
    </w:p>
    <w:p w14:paraId="07F8F233" w14:textId="7BAA71E6" w:rsidR="00B83C5B" w:rsidRPr="00FD2BA2" w:rsidRDefault="00102737" w:rsidP="00987F6F">
      <w:pPr>
        <w:rPr>
          <w:color w:val="auto"/>
        </w:rPr>
      </w:pPr>
      <w:r w:rsidRPr="00FD2BA2">
        <w:rPr>
          <w:color w:val="auto"/>
        </w:rPr>
        <w:t>Oulton, N., &amp; Srinivasan, S. (2003). Capital stocks, capital services and depreciation: An integrated framework.</w:t>
      </w:r>
      <w:r w:rsidR="00872744" w:rsidRPr="00FD2BA2">
        <w:rPr>
          <w:color w:val="auto"/>
        </w:rPr>
        <w:t xml:space="preserve"> Bank of England 2003. ISSN 1368-5562. </w:t>
      </w:r>
      <w:r w:rsidR="00B83C5B" w:rsidRPr="00FD2BA2">
        <w:rPr>
          <w:color w:val="auto"/>
        </w:rPr>
        <w:t>Working Paper no. 192.</w:t>
      </w:r>
    </w:p>
    <w:p w14:paraId="29C4B2F4" w14:textId="255248B5" w:rsidR="00102737" w:rsidRPr="00FD2BA2" w:rsidRDefault="00102737" w:rsidP="00987F6F">
      <w:pPr>
        <w:rPr>
          <w:color w:val="auto"/>
        </w:rPr>
      </w:pPr>
      <w:r w:rsidRPr="00FD2BA2">
        <w:rPr>
          <w:color w:val="auto"/>
        </w:rPr>
        <w:t>Peles, Y. C. (1988). On the depreciation of automobiles. International Journal of Transport Economics/Rivista internazionale di economia dei trasporti, 43-54.</w:t>
      </w:r>
    </w:p>
    <w:p w14:paraId="2DD18E47" w14:textId="77777777" w:rsidR="00E43960" w:rsidRPr="00FD2BA2" w:rsidRDefault="00E43960" w:rsidP="00E43960">
      <w:pPr>
        <w:rPr>
          <w:color w:val="auto"/>
        </w:rPr>
      </w:pPr>
      <w:r w:rsidRPr="00E43960">
        <w:rPr>
          <w:color w:val="auto"/>
        </w:rPr>
        <w:t>Peterson, R. H. (2002). Accounting for fixed assets. John Wiley &amp; Sons.</w:t>
      </w:r>
    </w:p>
    <w:p w14:paraId="76163DB2" w14:textId="40F20010" w:rsidR="00E64267" w:rsidRPr="00FD2BA2" w:rsidRDefault="007B003D" w:rsidP="00987F6F">
      <w:pPr>
        <w:rPr>
          <w:color w:val="auto"/>
        </w:rPr>
      </w:pPr>
      <w:r w:rsidRPr="00FD2BA2">
        <w:rPr>
          <w:color w:val="auto"/>
        </w:rPr>
        <w:t xml:space="preserve">PWC (2023) Risikopremien i det norske markedet. </w:t>
      </w:r>
      <w:r w:rsidR="00E64267" w:rsidRPr="00FD2BA2">
        <w:rPr>
          <w:color w:val="auto"/>
        </w:rPr>
        <w:t xml:space="preserve">07/12/23. </w:t>
      </w:r>
      <w:r w:rsidR="00F8636E" w:rsidRPr="00FD2BA2">
        <w:t xml:space="preserve">Sist besøkt 22. mai 2024. </w:t>
      </w:r>
      <w:r w:rsidR="00E64267" w:rsidRPr="00FD2BA2">
        <w:rPr>
          <w:color w:val="auto"/>
        </w:rPr>
        <w:t xml:space="preserve">URL: </w:t>
      </w:r>
      <w:hyperlink r:id="rId132" w:history="1">
        <w:r w:rsidR="00E64267" w:rsidRPr="00FD2BA2">
          <w:rPr>
            <w:rStyle w:val="Hyperkobling"/>
            <w:rFonts w:cstheme="minorHAnsi"/>
          </w:rPr>
          <w:t>https://www.pwc.no/no/publikasjoner/risikopremien.html</w:t>
        </w:r>
      </w:hyperlink>
      <w:r w:rsidR="006419CD" w:rsidRPr="00FD2BA2">
        <w:rPr>
          <w:color w:val="auto"/>
        </w:rPr>
        <w:t>.</w:t>
      </w:r>
    </w:p>
    <w:p w14:paraId="36740BBA" w14:textId="6E05BEEB" w:rsidR="002E4587" w:rsidRPr="00FD2BA2" w:rsidRDefault="002E4587" w:rsidP="00987F6F">
      <w:pPr>
        <w:rPr>
          <w:color w:val="auto"/>
        </w:rPr>
      </w:pPr>
      <w:r w:rsidRPr="00FD2BA2">
        <w:rPr>
          <w:color w:val="auto"/>
        </w:rPr>
        <w:t>Raknerud, A., Rønningen, D.</w:t>
      </w:r>
      <w:r w:rsidR="000B74C2" w:rsidRPr="00FD2BA2">
        <w:rPr>
          <w:color w:val="auto"/>
        </w:rPr>
        <w:t xml:space="preserve">, &amp; </w:t>
      </w:r>
      <w:r w:rsidRPr="00FD2BA2">
        <w:rPr>
          <w:color w:val="auto"/>
        </w:rPr>
        <w:t>Skjerpen, T. (2007). A method for improved capital measurement by combining accounts and firm investment data. Review of Income and Wealth, 53(3), 397-421.</w:t>
      </w:r>
    </w:p>
    <w:p w14:paraId="2DE19827" w14:textId="2175A449" w:rsidR="000D5DFA" w:rsidRPr="00FD2BA2" w:rsidRDefault="000D5DFA" w:rsidP="00987F6F">
      <w:pPr>
        <w:rPr>
          <w:lang w:eastAsia="nb-NO"/>
        </w:rPr>
      </w:pPr>
      <w:r w:rsidRPr="00FD2BA2">
        <w:rPr>
          <w:lang w:eastAsia="nb-NO"/>
        </w:rPr>
        <w:t>Reguleringsmyndigheten for energi ved Norges vassdrags- og energidirektorat (2021). Referanserenten. Et faktaark i serien om økonomisk regulering av strømnettselskaper. RME Fakta Nr. 8./2021. Oppdatert 14.12.21.</w:t>
      </w:r>
    </w:p>
    <w:p w14:paraId="2208841B" w14:textId="6304AFAF" w:rsidR="002B106E" w:rsidRPr="00FD2BA2" w:rsidRDefault="002B106E" w:rsidP="00987F6F">
      <w:pPr>
        <w:rPr>
          <w:lang w:eastAsia="nb-NO"/>
        </w:rPr>
      </w:pPr>
      <w:r w:rsidRPr="00FD2BA2">
        <w:rPr>
          <w:lang w:eastAsia="nb-NO"/>
        </w:rPr>
        <w:t>Riksrevisjon (2015). Riksrevisjonens undersøkelse av kommunenes låneopptak og gjeldsbelastning</w:t>
      </w:r>
      <w:r w:rsidR="009330DB">
        <w:rPr>
          <w:lang w:eastAsia="nb-NO"/>
        </w:rPr>
        <w:t>.</w:t>
      </w:r>
      <w:r w:rsidRPr="00FD2BA2">
        <w:rPr>
          <w:lang w:eastAsia="nb-NO"/>
        </w:rPr>
        <w:t xml:space="preserve"> Dokument 3:5 (2014–2015).</w:t>
      </w:r>
    </w:p>
    <w:p w14:paraId="75DBDC18" w14:textId="59CCA898" w:rsidR="00221C03" w:rsidRPr="00FD2BA2" w:rsidRDefault="00102737" w:rsidP="00987F6F">
      <w:pPr>
        <w:rPr>
          <w:color w:val="auto"/>
        </w:rPr>
      </w:pPr>
      <w:r w:rsidRPr="00FD2BA2">
        <w:rPr>
          <w:color w:val="auto"/>
        </w:rPr>
        <w:t>Rincon-Aznar, A., Riley, R., &amp; Young, G. (2017). Academic review of asset lives in the UK. Discussion Papers, 474.</w:t>
      </w:r>
    </w:p>
    <w:p w14:paraId="1CF2A408" w14:textId="4EA3FE98" w:rsidR="002E4587" w:rsidRPr="00FD2BA2" w:rsidRDefault="002E4587" w:rsidP="00987F6F">
      <w:pPr>
        <w:rPr>
          <w:color w:val="auto"/>
        </w:rPr>
      </w:pPr>
      <w:r w:rsidRPr="00FD2BA2">
        <w:rPr>
          <w:color w:val="auto"/>
        </w:rPr>
        <w:t xml:space="preserve">Ringstad, V., &amp; Griliches, Z. (1968). A </w:t>
      </w:r>
      <w:r w:rsidR="00401F78" w:rsidRPr="00FD2BA2">
        <w:rPr>
          <w:color w:val="auto"/>
        </w:rPr>
        <w:t>m</w:t>
      </w:r>
      <w:r w:rsidRPr="00FD2BA2">
        <w:rPr>
          <w:color w:val="auto"/>
        </w:rPr>
        <w:t xml:space="preserve">ethod of </w:t>
      </w:r>
      <w:r w:rsidR="00401F78" w:rsidRPr="00FD2BA2">
        <w:rPr>
          <w:color w:val="auto"/>
        </w:rPr>
        <w:t>a</w:t>
      </w:r>
      <w:r w:rsidRPr="00FD2BA2">
        <w:rPr>
          <w:color w:val="auto"/>
        </w:rPr>
        <w:t xml:space="preserve">nalysing the </w:t>
      </w:r>
      <w:r w:rsidR="00401F78" w:rsidRPr="00FD2BA2">
        <w:rPr>
          <w:color w:val="auto"/>
        </w:rPr>
        <w:t>c</w:t>
      </w:r>
      <w:r w:rsidRPr="00FD2BA2">
        <w:rPr>
          <w:color w:val="auto"/>
        </w:rPr>
        <w:t xml:space="preserve">onsistency of </w:t>
      </w:r>
      <w:r w:rsidR="00401F78" w:rsidRPr="00FD2BA2">
        <w:rPr>
          <w:color w:val="auto"/>
        </w:rPr>
        <w:t>t</w:t>
      </w:r>
      <w:r w:rsidRPr="00FD2BA2">
        <w:rPr>
          <w:color w:val="auto"/>
        </w:rPr>
        <w:t xml:space="preserve">ime </w:t>
      </w:r>
      <w:r w:rsidR="00401F78" w:rsidRPr="00FD2BA2">
        <w:rPr>
          <w:color w:val="auto"/>
        </w:rPr>
        <w:t>s</w:t>
      </w:r>
      <w:r w:rsidRPr="00FD2BA2">
        <w:rPr>
          <w:color w:val="auto"/>
        </w:rPr>
        <w:t>eries for</w:t>
      </w:r>
      <w:r w:rsidR="00401F78" w:rsidRPr="00FD2BA2">
        <w:rPr>
          <w:color w:val="auto"/>
        </w:rPr>
        <w:t xml:space="preserve"> c</w:t>
      </w:r>
      <w:r w:rsidRPr="00FD2BA2">
        <w:rPr>
          <w:color w:val="auto"/>
        </w:rPr>
        <w:t xml:space="preserve">apital and </w:t>
      </w:r>
      <w:r w:rsidR="00401F78" w:rsidRPr="00FD2BA2">
        <w:rPr>
          <w:color w:val="auto"/>
        </w:rPr>
        <w:t>i</w:t>
      </w:r>
      <w:r w:rsidRPr="00FD2BA2">
        <w:rPr>
          <w:color w:val="auto"/>
        </w:rPr>
        <w:t>nvestment. Review of Income and Wealth, 14(4), 411-414.</w:t>
      </w:r>
    </w:p>
    <w:p w14:paraId="238B88FF" w14:textId="4BBB8EED" w:rsidR="002E4587" w:rsidRPr="00FD2BA2" w:rsidRDefault="002E4587" w:rsidP="00987F6F">
      <w:pPr>
        <w:rPr>
          <w:color w:val="auto"/>
        </w:rPr>
      </w:pPr>
      <w:r w:rsidRPr="00FD2BA2">
        <w:rPr>
          <w:color w:val="auto"/>
        </w:rPr>
        <w:t>Rødseth, K. L., Dong, B., Jakobsen, S.</w:t>
      </w:r>
      <w:r w:rsidR="000B74C2" w:rsidRPr="00FD2BA2">
        <w:rPr>
          <w:color w:val="auto"/>
        </w:rPr>
        <w:t xml:space="preserve">, &amp; </w:t>
      </w:r>
      <w:r w:rsidRPr="00FD2BA2">
        <w:rPr>
          <w:color w:val="auto"/>
        </w:rPr>
        <w:t>Danebergs, J. (2022a). Revidert modell til beregning av fergekriteriet i inntektssystemet for fylkeskommunene. TØI-rapport 1914/2022.</w:t>
      </w:r>
    </w:p>
    <w:p w14:paraId="3B135A0E" w14:textId="52CB8614" w:rsidR="002E4587" w:rsidRPr="00FD2BA2" w:rsidRDefault="002E4587" w:rsidP="00987F6F">
      <w:pPr>
        <w:rPr>
          <w:color w:val="auto"/>
        </w:rPr>
      </w:pPr>
      <w:r w:rsidRPr="00FD2BA2">
        <w:rPr>
          <w:color w:val="auto"/>
        </w:rPr>
        <w:t>Rødseth, K.</w:t>
      </w:r>
      <w:r w:rsidR="00024FA6" w:rsidRPr="00FD2BA2">
        <w:rPr>
          <w:color w:val="auto"/>
        </w:rPr>
        <w:t xml:space="preserve"> </w:t>
      </w:r>
      <w:r w:rsidRPr="00FD2BA2">
        <w:rPr>
          <w:color w:val="auto"/>
        </w:rPr>
        <w:t>L</w:t>
      </w:r>
      <w:r w:rsidR="00CE54FF" w:rsidRPr="00FD2BA2">
        <w:rPr>
          <w:color w:val="auto"/>
        </w:rPr>
        <w:t>.</w:t>
      </w:r>
      <w:r w:rsidRPr="00FD2BA2">
        <w:rPr>
          <w:color w:val="auto"/>
        </w:rPr>
        <w:t>, Førsund, F., Holmen, R.</w:t>
      </w:r>
      <w:r w:rsidR="00024FA6" w:rsidRPr="00FD2BA2">
        <w:rPr>
          <w:color w:val="auto"/>
        </w:rPr>
        <w:t xml:space="preserve"> </w:t>
      </w:r>
      <w:r w:rsidRPr="00FD2BA2">
        <w:rPr>
          <w:color w:val="auto"/>
        </w:rPr>
        <w:t>B. &amp; Kittelsen, S.</w:t>
      </w:r>
      <w:r w:rsidR="00024FA6" w:rsidRPr="00FD2BA2">
        <w:rPr>
          <w:color w:val="auto"/>
        </w:rPr>
        <w:t xml:space="preserve"> </w:t>
      </w:r>
      <w:r w:rsidRPr="00FD2BA2">
        <w:rPr>
          <w:color w:val="auto"/>
        </w:rPr>
        <w:t>A.</w:t>
      </w:r>
      <w:r w:rsidR="00024FA6" w:rsidRPr="00FD2BA2">
        <w:rPr>
          <w:color w:val="auto"/>
        </w:rPr>
        <w:t xml:space="preserve"> </w:t>
      </w:r>
      <w:r w:rsidRPr="00FD2BA2">
        <w:rPr>
          <w:color w:val="auto"/>
        </w:rPr>
        <w:t>C. (2022b). Forbedringspotensial ved måling av effektivitet i kommunal sektor. TØI</w:t>
      </w:r>
      <w:r w:rsidR="00221C03" w:rsidRPr="00FD2BA2">
        <w:rPr>
          <w:color w:val="auto"/>
        </w:rPr>
        <w:t>-</w:t>
      </w:r>
      <w:r w:rsidRPr="00FD2BA2">
        <w:rPr>
          <w:color w:val="auto"/>
        </w:rPr>
        <w:t>rapport 1879/2022.</w:t>
      </w:r>
    </w:p>
    <w:p w14:paraId="54D2CA54" w14:textId="72807562" w:rsidR="00C26884" w:rsidRPr="00FD2BA2" w:rsidRDefault="00C26884" w:rsidP="00C26884">
      <w:pPr>
        <w:rPr>
          <w:lang w:eastAsia="nb-NO"/>
        </w:rPr>
      </w:pPr>
      <w:r>
        <w:rPr>
          <w:lang w:eastAsia="nb-NO"/>
        </w:rPr>
        <w:t>Sakellaris, P.</w:t>
      </w:r>
      <w:r w:rsidR="00954317">
        <w:rPr>
          <w:lang w:eastAsia="nb-NO"/>
        </w:rPr>
        <w:t xml:space="preserve">, &amp; </w:t>
      </w:r>
      <w:r>
        <w:rPr>
          <w:lang w:eastAsia="nb-NO"/>
        </w:rPr>
        <w:t xml:space="preserve">Wilson, D. J. (2004). Quantifying </w:t>
      </w:r>
      <w:r w:rsidR="00954317">
        <w:rPr>
          <w:lang w:eastAsia="nb-NO"/>
        </w:rPr>
        <w:t>e</w:t>
      </w:r>
      <w:r>
        <w:rPr>
          <w:lang w:eastAsia="nb-NO"/>
        </w:rPr>
        <w:t xml:space="preserve">mbodied </w:t>
      </w:r>
      <w:r w:rsidR="00954317">
        <w:rPr>
          <w:lang w:eastAsia="nb-NO"/>
        </w:rPr>
        <w:t>t</w:t>
      </w:r>
      <w:r>
        <w:rPr>
          <w:lang w:eastAsia="nb-NO"/>
        </w:rPr>
        <w:t xml:space="preserve">echnological </w:t>
      </w:r>
      <w:r w:rsidR="00954317">
        <w:rPr>
          <w:lang w:eastAsia="nb-NO"/>
        </w:rPr>
        <w:t>c</w:t>
      </w:r>
      <w:r>
        <w:rPr>
          <w:lang w:eastAsia="nb-NO"/>
        </w:rPr>
        <w:t>hange</w:t>
      </w:r>
      <w:r w:rsidR="00BB5938">
        <w:rPr>
          <w:lang w:eastAsia="nb-NO"/>
        </w:rPr>
        <w:t>.</w:t>
      </w:r>
      <w:r>
        <w:rPr>
          <w:lang w:eastAsia="nb-NO"/>
        </w:rPr>
        <w:t xml:space="preserve"> Review of Economic Dynamics, 7(1), page 1–26.</w:t>
      </w:r>
    </w:p>
    <w:p w14:paraId="73C5FEFD" w14:textId="7015720F" w:rsidR="00E6350F" w:rsidRPr="00FD2BA2" w:rsidRDefault="00A74E2D" w:rsidP="00987F6F">
      <w:pPr>
        <w:rPr>
          <w:color w:val="auto"/>
        </w:rPr>
      </w:pPr>
      <w:r w:rsidRPr="00FD2BA2">
        <w:rPr>
          <w:color w:val="auto"/>
        </w:rPr>
        <w:t>Sharpe, W. F. (1964). Capital asset prices: A theory of market equilibrium under conditions of risk. The Journal of Finance, 19(3), 425-442.</w:t>
      </w:r>
    </w:p>
    <w:p w14:paraId="6654E2A9" w14:textId="082BAB7D" w:rsidR="00221C03" w:rsidRPr="00FD2BA2" w:rsidRDefault="00102737" w:rsidP="00987F6F">
      <w:pPr>
        <w:rPr>
          <w:color w:val="auto"/>
        </w:rPr>
      </w:pPr>
      <w:r w:rsidRPr="00FD2BA2">
        <w:rPr>
          <w:color w:val="auto"/>
        </w:rPr>
        <w:t xml:space="preserve">Statistics Canada (2008). Depreciation </w:t>
      </w:r>
      <w:r w:rsidR="00401F78" w:rsidRPr="00FD2BA2">
        <w:rPr>
          <w:color w:val="auto"/>
        </w:rPr>
        <w:t>r</w:t>
      </w:r>
      <w:r w:rsidRPr="00FD2BA2">
        <w:rPr>
          <w:color w:val="auto"/>
        </w:rPr>
        <w:t xml:space="preserve">ates for the </w:t>
      </w:r>
      <w:r w:rsidR="00401F78" w:rsidRPr="00FD2BA2">
        <w:rPr>
          <w:color w:val="auto"/>
        </w:rPr>
        <w:t>p</w:t>
      </w:r>
      <w:r w:rsidRPr="00FD2BA2">
        <w:rPr>
          <w:color w:val="auto"/>
        </w:rPr>
        <w:t xml:space="preserve">roductivity </w:t>
      </w:r>
      <w:r w:rsidR="00401F78" w:rsidRPr="00FD2BA2">
        <w:rPr>
          <w:color w:val="auto"/>
        </w:rPr>
        <w:t>a</w:t>
      </w:r>
      <w:r w:rsidRPr="00FD2BA2">
        <w:rPr>
          <w:color w:val="auto"/>
        </w:rPr>
        <w:t>ccounts</w:t>
      </w:r>
      <w:r w:rsidR="007A6338">
        <w:rPr>
          <w:color w:val="auto"/>
        </w:rPr>
        <w:t>.</w:t>
      </w:r>
      <w:r w:rsidRPr="00FD2BA2">
        <w:rPr>
          <w:color w:val="auto"/>
        </w:rPr>
        <w:t xml:space="preserve"> Mimeo Statistics Canada.</w:t>
      </w:r>
    </w:p>
    <w:p w14:paraId="7CB7CCFF" w14:textId="5426C32C" w:rsidR="00554C96" w:rsidRPr="00FD2BA2" w:rsidRDefault="00554C96" w:rsidP="00987F6F">
      <w:r w:rsidRPr="00FD2BA2">
        <w:t xml:space="preserve">Statistisk sentralbyrå (2024). Dokumentasjon av KOSTRA. Sist besøkt 22. mai 2024. URL: </w:t>
      </w:r>
      <w:hyperlink r:id="rId133" w:history="1">
        <w:r w:rsidRPr="00FD2BA2">
          <w:rPr>
            <w:rStyle w:val="Hyperkobling"/>
            <w:rFonts w:cstheme="minorHAnsi"/>
          </w:rPr>
          <w:t>https://www.ssb.no/offentlig-sektor/kostra/statistikk/kostra-kommune-stat-rapportering/om-kostra/dokumentasjon-av-kostra</w:t>
        </w:r>
      </w:hyperlink>
    </w:p>
    <w:p w14:paraId="68F2C57F" w14:textId="03748130" w:rsidR="00FB03D9" w:rsidRPr="00FD2BA2" w:rsidRDefault="00FB03D9" w:rsidP="00987F6F">
      <w:pPr>
        <w:rPr>
          <w:lang w:eastAsia="nb-NO"/>
        </w:rPr>
      </w:pPr>
      <w:r w:rsidRPr="00FD2BA2">
        <w:rPr>
          <w:lang w:eastAsia="nb-NO"/>
        </w:rPr>
        <w:t>Stock, J. H., &amp; Watson, M. W. (2020). Introduction to econometrics. Fourth Edition. Pearson.</w:t>
      </w:r>
    </w:p>
    <w:p w14:paraId="0651A610" w14:textId="53565514" w:rsidR="00793EB6" w:rsidRPr="00FD2BA2" w:rsidRDefault="00793EB6" w:rsidP="00987F6F">
      <w:pPr>
        <w:rPr>
          <w:lang w:eastAsia="nb-NO"/>
        </w:rPr>
      </w:pPr>
      <w:r w:rsidRPr="00FD2BA2">
        <w:rPr>
          <w:lang w:eastAsia="nb-NO"/>
        </w:rPr>
        <w:lastRenderedPageBreak/>
        <w:t>Strøm, S. (1967). Kapitalavkastning i industrisektorer, struktur og tidsutvikling. Hovedoppgave, Memorandum frå Sosialøkonomisk institutt 10. juli, 1-209.</w:t>
      </w:r>
    </w:p>
    <w:p w14:paraId="1402F546" w14:textId="4E345D50" w:rsidR="00793EB6" w:rsidRPr="00FD2BA2" w:rsidRDefault="00793EB6" w:rsidP="00987F6F">
      <w:pPr>
        <w:rPr>
          <w:lang w:eastAsia="nb-NO"/>
        </w:rPr>
      </w:pPr>
      <w:r w:rsidRPr="00FD2BA2">
        <w:rPr>
          <w:lang w:eastAsia="nb-NO"/>
        </w:rPr>
        <w:t>Strøm, S. (1968). Kapitalavkastning i norske industrisektorer. Sosialøkonomen nr</w:t>
      </w:r>
      <w:r w:rsidR="000541BD" w:rsidRPr="00FD2BA2">
        <w:rPr>
          <w:lang w:eastAsia="nb-NO"/>
        </w:rPr>
        <w:t>.</w:t>
      </w:r>
      <w:r w:rsidRPr="00FD2BA2">
        <w:rPr>
          <w:lang w:eastAsia="nb-NO"/>
        </w:rPr>
        <w:t xml:space="preserve"> 4, 22-31.</w:t>
      </w:r>
    </w:p>
    <w:p w14:paraId="0F717A50" w14:textId="4F424FD5" w:rsidR="00A617C8" w:rsidRPr="00FD2BA2" w:rsidRDefault="00A617C8" w:rsidP="00987F6F">
      <w:r w:rsidRPr="00FD2BA2">
        <w:t>Strøm, S., Kartevoll, T., &amp; Lorentsen, L. (1980). Kalkulasjonsrenten</w:t>
      </w:r>
      <w:r w:rsidR="007A6338">
        <w:t>.</w:t>
      </w:r>
      <w:r w:rsidRPr="00FD2BA2">
        <w:t xml:space="preserve"> Sosialøkonomen nr. 6, 9-16.</w:t>
      </w:r>
    </w:p>
    <w:p w14:paraId="26B83186" w14:textId="74D7A212" w:rsidR="00221C03" w:rsidRPr="00FD2BA2" w:rsidRDefault="00CB70E3" w:rsidP="00987F6F">
      <w:r w:rsidRPr="00FD2BA2">
        <w:t>Svendsen, H., F. Müller, H. Thune-Larsen, H., &amp; Bråthen, S. (2017) Utgiftsbehov til ferjer og hurtigbåter. Møreforsking. Rapport nr. 1701.</w:t>
      </w:r>
    </w:p>
    <w:p w14:paraId="2D4E429A" w14:textId="543E8725" w:rsidR="00832586" w:rsidRPr="00FD2BA2" w:rsidRDefault="00832586" w:rsidP="00987F6F">
      <w:pPr>
        <w:rPr>
          <w:color w:val="auto"/>
        </w:rPr>
      </w:pPr>
      <w:r w:rsidRPr="00FD2BA2">
        <w:rPr>
          <w:color w:val="auto"/>
        </w:rPr>
        <w:t>Thorstensen, A., Lie, K., &amp; Lunder, T. E. (2021). Kapitalkostnader i kommunene</w:t>
      </w:r>
      <w:r w:rsidR="007A6338">
        <w:rPr>
          <w:color w:val="auto"/>
        </w:rPr>
        <w:t>.</w:t>
      </w:r>
      <w:r w:rsidRPr="00FD2BA2">
        <w:rPr>
          <w:color w:val="auto"/>
        </w:rPr>
        <w:t xml:space="preserve"> TF-notat nr.15/2021.</w:t>
      </w:r>
    </w:p>
    <w:p w14:paraId="3A72C54E" w14:textId="4B398A14" w:rsidR="00725CB4" w:rsidRPr="00FD2BA2" w:rsidRDefault="00725CB4" w:rsidP="00987F6F">
      <w:r w:rsidRPr="00FD2BA2">
        <w:t>Tobin, J., &amp; Brainard, W. C. (1977). Asset markets and the cost of capital. In Economic Progress, Private Values, and Public Policy: Essays in Honor of William Fellner (pp. 235-262). North-Holland.</w:t>
      </w:r>
    </w:p>
    <w:p w14:paraId="7072A67F" w14:textId="5B23D29B" w:rsidR="002E4587" w:rsidRPr="00FD2BA2" w:rsidRDefault="002E4587" w:rsidP="00987F6F">
      <w:pPr>
        <w:rPr>
          <w:color w:val="auto"/>
        </w:rPr>
      </w:pPr>
      <w:r w:rsidRPr="00FD2BA2">
        <w:rPr>
          <w:color w:val="auto"/>
        </w:rPr>
        <w:t xml:space="preserve">Todsen, S. (1997a). Capital stock and consumption of fixed capital in the Norwegian national </w:t>
      </w:r>
      <w:r w:rsidR="0007785D" w:rsidRPr="00FD2BA2">
        <w:rPr>
          <w:color w:val="auto"/>
        </w:rPr>
        <w:t>accounts</w:t>
      </w:r>
      <w:r w:rsidR="007A6338">
        <w:rPr>
          <w:color w:val="auto"/>
        </w:rPr>
        <w:t>.</w:t>
      </w:r>
      <w:r w:rsidRPr="00FD2BA2">
        <w:rPr>
          <w:color w:val="auto"/>
        </w:rPr>
        <w:t xml:space="preserve"> Statistics Norway Economic Survey 4/97, Volume 7.</w:t>
      </w:r>
    </w:p>
    <w:p w14:paraId="135800C0" w14:textId="77777777" w:rsidR="006D1D41" w:rsidRPr="00FD2BA2" w:rsidRDefault="006D1D41" w:rsidP="00987F6F">
      <w:r w:rsidRPr="00FD2BA2">
        <w:t>Todsen, S. (1997b). Beregning av realkapitalbeholdninger og kapitalslit i Nasjonalregnskapet. Statistisk sentralbyrå, 97/61. Notater 1997.</w:t>
      </w:r>
    </w:p>
    <w:p w14:paraId="0172225E" w14:textId="77777777" w:rsidR="0037765A" w:rsidRPr="00FD2BA2" w:rsidRDefault="0037765A" w:rsidP="0037765A">
      <w:r w:rsidRPr="00FD2BA2">
        <w:t>Treynor, J. L. (1961). Toward a theory of market value of risky assets. Unpublished manuscript. Later published in Korajczyk, R. A. (Ed.) (1999), Asset pricing and portfolio performance: Models, strategy, and performance metrics (pp. 15-22). McGraw-Hill.</w:t>
      </w:r>
    </w:p>
    <w:p w14:paraId="4297732B" w14:textId="7244E50B" w:rsidR="006450DE" w:rsidRPr="00FD2BA2" w:rsidRDefault="006450DE" w:rsidP="00987F6F">
      <w:r w:rsidRPr="00FD2BA2">
        <w:rPr>
          <w:color w:val="auto"/>
        </w:rPr>
        <w:t>Tveter, E., &amp; Tomasgard, T.,</w:t>
      </w:r>
      <w:r w:rsidR="00402512" w:rsidRPr="00FD2BA2">
        <w:rPr>
          <w:color w:val="auto"/>
        </w:rPr>
        <w:t xml:space="preserve"> &amp;</w:t>
      </w:r>
      <w:r w:rsidRPr="00FD2BA2">
        <w:rPr>
          <w:color w:val="auto"/>
        </w:rPr>
        <w:t xml:space="preserve"> Laingen, M. (2022). Til Dovre faller? En studie av faktisk levetid for veg og jernbane. Concept-rapport nr. 67.</w:t>
      </w:r>
    </w:p>
    <w:p w14:paraId="3AD39688" w14:textId="05DFD492" w:rsidR="00E73BC0" w:rsidRPr="00FD2BA2" w:rsidRDefault="00102737" w:rsidP="00987F6F">
      <w:pPr>
        <w:rPr>
          <w:color w:val="auto"/>
        </w:rPr>
      </w:pPr>
      <w:r w:rsidRPr="00FD2BA2">
        <w:rPr>
          <w:color w:val="auto"/>
        </w:rPr>
        <w:t>Van Roijen-Horsten, M., Van den Berg, D., de Heij, R., &amp; de Haan, M. (2008)</w:t>
      </w:r>
      <w:r w:rsidR="00773778" w:rsidRPr="00FD2BA2">
        <w:rPr>
          <w:color w:val="auto"/>
        </w:rPr>
        <w:t>.</w:t>
      </w:r>
      <w:r w:rsidRPr="00FD2BA2">
        <w:rPr>
          <w:color w:val="auto"/>
        </w:rPr>
        <w:t xml:space="preserve"> Service </w:t>
      </w:r>
      <w:r w:rsidR="00401F78" w:rsidRPr="00FD2BA2">
        <w:rPr>
          <w:color w:val="auto"/>
        </w:rPr>
        <w:t>l</w:t>
      </w:r>
      <w:r w:rsidRPr="00FD2BA2">
        <w:rPr>
          <w:color w:val="auto"/>
        </w:rPr>
        <w:t xml:space="preserve">ife and </w:t>
      </w:r>
      <w:r w:rsidR="00401F78" w:rsidRPr="00FD2BA2">
        <w:rPr>
          <w:color w:val="auto"/>
        </w:rPr>
        <w:t>d</w:t>
      </w:r>
      <w:r w:rsidRPr="00FD2BA2">
        <w:rPr>
          <w:color w:val="auto"/>
        </w:rPr>
        <w:t xml:space="preserve">iscard </w:t>
      </w:r>
      <w:r w:rsidR="00401F78" w:rsidRPr="00FD2BA2">
        <w:rPr>
          <w:color w:val="auto"/>
        </w:rPr>
        <w:t>p</w:t>
      </w:r>
      <w:r w:rsidRPr="00FD2BA2">
        <w:rPr>
          <w:color w:val="auto"/>
        </w:rPr>
        <w:t xml:space="preserve">atterns of </w:t>
      </w:r>
      <w:r w:rsidR="00401F78" w:rsidRPr="00FD2BA2">
        <w:rPr>
          <w:color w:val="auto"/>
        </w:rPr>
        <w:t>c</w:t>
      </w:r>
      <w:r w:rsidRPr="00FD2BA2">
        <w:rPr>
          <w:color w:val="auto"/>
        </w:rPr>
        <w:t xml:space="preserve">apital in the </w:t>
      </w:r>
      <w:r w:rsidR="00401F78" w:rsidRPr="00FD2BA2">
        <w:rPr>
          <w:color w:val="auto"/>
        </w:rPr>
        <w:t>m</w:t>
      </w:r>
      <w:r w:rsidRPr="00FD2BA2">
        <w:rPr>
          <w:color w:val="auto"/>
        </w:rPr>
        <w:t xml:space="preserve">anufacturing </w:t>
      </w:r>
      <w:r w:rsidR="00401F78" w:rsidRPr="00FD2BA2">
        <w:rPr>
          <w:color w:val="auto"/>
        </w:rPr>
        <w:t>i</w:t>
      </w:r>
      <w:r w:rsidRPr="00FD2BA2">
        <w:rPr>
          <w:color w:val="auto"/>
        </w:rPr>
        <w:t>ndustry. Based on Direct Capital Stock Observations, the Netherlands. Discussion paper 08011, Statistics Netherlands 2008.</w:t>
      </w:r>
    </w:p>
    <w:p w14:paraId="55A3EA46" w14:textId="6A5CD50A" w:rsidR="004A770F" w:rsidRPr="00FD2BA2" w:rsidRDefault="00A9543E" w:rsidP="00987F6F">
      <w:r w:rsidRPr="00FD2BA2">
        <w:t>Vennemo, H., Bjørkås, E., &amp; Mariussen, M. S. (2022). Kommunenes gjeldsetterspørsel mot 2035. Vista Analyse Rapport 2022/33.</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468049B" w14:textId="117A0194" w:rsidR="00FE4A42" w:rsidRPr="00FD2BA2" w:rsidRDefault="00FE4A42" w:rsidP="00987F6F">
      <w:pPr>
        <w:rPr>
          <w:color w:val="auto"/>
        </w:rPr>
      </w:pPr>
      <w:r w:rsidRPr="00FD2BA2">
        <w:rPr>
          <w:color w:val="auto"/>
        </w:rPr>
        <w:t xml:space="preserve">Vennemo, H., Furuholmen, J., Rosnes, O., </w:t>
      </w:r>
      <w:r w:rsidR="00402512" w:rsidRPr="00FD2BA2">
        <w:rPr>
          <w:color w:val="auto"/>
        </w:rPr>
        <w:t xml:space="preserve">&amp; </w:t>
      </w:r>
      <w:r w:rsidRPr="00FD2BA2">
        <w:rPr>
          <w:color w:val="auto"/>
        </w:rPr>
        <w:t>Andreev, L. (2020). Noen krevende tema i anvendte samfunnsøkonomiske analyser. En undersøkelse av praksis i Statens prosjektmodell. Concept-rapport nr. 60</w:t>
      </w:r>
    </w:p>
    <w:p w14:paraId="3AF90B8C" w14:textId="51B5B21A" w:rsidR="00F3271B" w:rsidRPr="00FD2BA2" w:rsidRDefault="00761EDA" w:rsidP="00F3271B">
      <w:r w:rsidRPr="00FD2BA2">
        <w:rPr>
          <w:color w:val="auto"/>
        </w:rPr>
        <w:t xml:space="preserve">Vennemo, H., &amp; Godeset, S. M. (2021). Veiledning om levetid i samfunnsøkonomiske analyser av infrastrukturprosjekter i transportsektoren. </w:t>
      </w:r>
      <w:r w:rsidRPr="00FD2BA2">
        <w:t>Vista Analyse Rapport 202</w:t>
      </w:r>
      <w:r w:rsidR="00AE6D08" w:rsidRPr="00FD2BA2">
        <w:t>1</w:t>
      </w:r>
      <w:r w:rsidRPr="00FD2BA2">
        <w:t>/</w:t>
      </w:r>
      <w:r w:rsidR="00AE6D08" w:rsidRPr="00FD2BA2">
        <w:t>1</w:t>
      </w:r>
      <w:r w:rsidRPr="00FD2BA2">
        <w:t>3.</w:t>
      </w:r>
    </w:p>
    <w:sdt>
      <w:sdtPr>
        <w:rPr>
          <w:rFonts w:eastAsiaTheme="minorEastAsia" w:cstheme="minorBidi"/>
          <w:lang w:eastAsia="zh-CN"/>
        </w:rPr>
        <w:alias w:val="Back Page"/>
        <w:tag w:val="Back Page"/>
        <w:id w:val="1819306739"/>
        <w:placeholder>
          <w:docPart w:val="39AEE6E99E564F87BAD2B9979CFFD36D"/>
        </w:placeholder>
      </w:sdtPr>
      <w:sdtContent>
        <w:tbl>
          <w:tblPr>
            <w:tblW w:w="0" w:type="auto"/>
            <w:tblLook w:val="04A0" w:firstRow="1" w:lastRow="0" w:firstColumn="1" w:lastColumn="0" w:noHBand="0" w:noVBand="1"/>
          </w:tblPr>
          <w:tblGrid>
            <w:gridCol w:w="7370"/>
          </w:tblGrid>
          <w:tr w:rsidR="00A8286E" w:rsidRPr="00DD179F" w14:paraId="56EC854E" w14:textId="77777777" w:rsidTr="008F082B">
            <w:tc>
              <w:tcPr>
                <w:tcW w:w="7370" w:type="dxa"/>
                <w:hideMark/>
              </w:tcPr>
              <w:p w14:paraId="4586941A" w14:textId="3F123605" w:rsidR="00A8286E" w:rsidRPr="00DD179F" w:rsidRDefault="00A612E2" w:rsidP="008F082B">
                <w:pPr>
                  <w:pStyle w:val="GraphicLeft"/>
                  <w:pageBreakBefore/>
                </w:pPr>
                <w:r w:rsidRPr="00DD179F">
                  <w:t xml:space="preserve"> </w:t>
                </w:r>
                <w:r w:rsidR="00A8286E" w:rsidRPr="00DD179F">
                  <w:rPr>
                    <w:noProof/>
                    <w:lang w:val="en-US" w:eastAsia="en-US"/>
                  </w:rPr>
                  <w:drawing>
                    <wp:anchor distT="0" distB="0" distL="114300" distR="114300" simplePos="0" relativeHeight="251658242" behindDoc="1" locked="1" layoutInCell="1" allowOverlap="1" wp14:anchorId="3EC27453" wp14:editId="5A1CAC03">
                      <wp:simplePos x="0" y="0"/>
                      <wp:positionH relativeFrom="page">
                        <wp:posOffset>-720090</wp:posOffset>
                      </wp:positionH>
                      <wp:positionV relativeFrom="page">
                        <wp:posOffset>-360045</wp:posOffset>
                      </wp:positionV>
                      <wp:extent cx="853200" cy="1080000"/>
                      <wp:effectExtent l="0" t="0" r="4445" b="635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3200" cy="1080000"/>
                              </a:xfrm>
                              <a:prstGeom prst="rect">
                                <a:avLst/>
                              </a:prstGeom>
                            </pic:spPr>
                          </pic:pic>
                        </a:graphicData>
                      </a:graphic>
                      <wp14:sizeRelH relativeFrom="page">
                        <wp14:pctWidth>0</wp14:pctWidth>
                      </wp14:sizeRelH>
                      <wp14:sizeRelV relativeFrom="page">
                        <wp14:pctHeight>0</wp14:pctHeight>
                      </wp14:sizeRelV>
                    </wp:anchor>
                  </w:drawing>
                </w:r>
                <w:r w:rsidRPr="00DD179F">
                  <w:t xml:space="preserve"> </w:t>
                </w:r>
              </w:p>
            </w:tc>
          </w:tr>
        </w:tbl>
        <w:p w14:paraId="4AC2F5B3" w14:textId="77777777" w:rsidR="00A8286E" w:rsidRPr="0055149C" w:rsidRDefault="00A8286E" w:rsidP="00A8286E">
          <w:r w:rsidRPr="0055149C">
            <w:rPr>
              <w:noProof/>
              <w:lang w:val="en-US" w:eastAsia="en-US"/>
            </w:rPr>
            <mc:AlternateContent>
              <mc:Choice Requires="wps">
                <w:drawing>
                  <wp:anchor distT="0" distB="0" distL="114300" distR="114300" simplePos="0" relativeHeight="251658241" behindDoc="0" locked="1" layoutInCell="1" allowOverlap="1" wp14:anchorId="1333C15C" wp14:editId="2663B4D2">
                    <wp:simplePos x="0" y="0"/>
                    <wp:positionH relativeFrom="page">
                      <wp:align>left</wp:align>
                    </wp:positionH>
                    <wp:positionV relativeFrom="page">
                      <wp:align>bottom</wp:align>
                    </wp:positionV>
                    <wp:extent cx="7560000" cy="3348000"/>
                    <wp:effectExtent l="0" t="0" r="22225" b="20320"/>
                    <wp:wrapNone/>
                    <wp:docPr id="3" name="Rectangle 3"/>
                    <wp:cNvGraphicFramePr/>
                    <a:graphic xmlns:a="http://schemas.openxmlformats.org/drawingml/2006/main">
                      <a:graphicData uri="http://schemas.microsoft.com/office/word/2010/wordprocessingShape">
                        <wps:wsp>
                          <wps:cNvSpPr/>
                          <wps:spPr>
                            <a:xfrm>
                              <a:off x="0" y="0"/>
                              <a:ext cx="7560000" cy="334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W w:w="10206" w:type="dxa"/>
                                  <w:tblLayout w:type="fixed"/>
                                  <w:tblCellMar>
                                    <w:left w:w="0" w:type="dxa"/>
                                    <w:right w:w="0" w:type="dxa"/>
                                  </w:tblCellMar>
                                  <w:tblLook w:val="04A0" w:firstRow="1" w:lastRow="0" w:firstColumn="1" w:lastColumn="0" w:noHBand="0" w:noVBand="1"/>
                                </w:tblPr>
                                <w:tblGrid>
                                  <w:gridCol w:w="10206"/>
                                </w:tblGrid>
                                <w:tr w:rsidR="00B02D7E" w:rsidRPr="00B02D7E" w14:paraId="03614951" w14:textId="77777777" w:rsidTr="00212371">
                                  <w:trPr>
                                    <w:cantSplit/>
                                  </w:trPr>
                                  <w:tc>
                                    <w:tcPr>
                                      <w:tcW w:w="9289" w:type="dxa"/>
                                      <w:vAlign w:val="bottom"/>
                                    </w:tcPr>
                                    <w:p w14:paraId="3D64B367" w14:textId="77777777" w:rsidR="00B02D7E" w:rsidRPr="00A84BFA" w:rsidRDefault="00B02D7E" w:rsidP="00212371">
                                      <w:pPr>
                                        <w:pStyle w:val="DocBackPage"/>
                                        <w:rPr>
                                          <w:lang w:val="nn-NO"/>
                                        </w:rPr>
                                      </w:pPr>
                                      <w:r w:rsidRPr="00A84BFA">
                                        <w:rPr>
                                          <w:lang w:val="nn-NO"/>
                                        </w:rPr>
                                        <w:t>Vista Analyse AS</w:t>
                                      </w:r>
                                    </w:p>
                                    <w:p w14:paraId="5B4341CB" w14:textId="77777777" w:rsidR="00B02D7E" w:rsidRPr="00A84BFA" w:rsidRDefault="00B02D7E" w:rsidP="00212371">
                                      <w:pPr>
                                        <w:pStyle w:val="DocBackPage"/>
                                        <w:rPr>
                                          <w:lang w:val="nn-NO"/>
                                        </w:rPr>
                                      </w:pPr>
                                      <w:r w:rsidRPr="00A84BFA">
                                        <w:rPr>
                                          <w:lang w:val="nn-NO"/>
                                        </w:rPr>
                                        <w:t>Meltzers gate 4</w:t>
                                      </w:r>
                                    </w:p>
                                    <w:p w14:paraId="3E3FFE9C" w14:textId="77777777" w:rsidR="00B02D7E" w:rsidRPr="00A84BFA" w:rsidRDefault="00B02D7E" w:rsidP="00212371">
                                      <w:pPr>
                                        <w:pStyle w:val="DocBackPage"/>
                                        <w:rPr>
                                          <w:lang w:val="nn-NO"/>
                                        </w:rPr>
                                      </w:pPr>
                                      <w:r w:rsidRPr="00A84BFA">
                                        <w:rPr>
                                          <w:lang w:val="nn-NO"/>
                                        </w:rPr>
                                        <w:t>0257 Oslo</w:t>
                                      </w:r>
                                    </w:p>
                                    <w:p w14:paraId="381775CC" w14:textId="77777777" w:rsidR="00B02D7E" w:rsidRPr="00A84BFA" w:rsidRDefault="00B02D7E" w:rsidP="00212371">
                                      <w:pPr>
                                        <w:pStyle w:val="DocBackPage"/>
                                        <w:rPr>
                                          <w:lang w:val="nn-NO"/>
                                        </w:rPr>
                                      </w:pPr>
                                    </w:p>
                                    <w:p w14:paraId="770EE5C1" w14:textId="77777777" w:rsidR="00B02D7E" w:rsidRPr="00A84BFA" w:rsidRDefault="00B02D7E" w:rsidP="00212371">
                                      <w:pPr>
                                        <w:pStyle w:val="DocBackPage"/>
                                        <w:rPr>
                                          <w:lang w:val="nn-NO"/>
                                        </w:rPr>
                                      </w:pPr>
                                      <w:r w:rsidRPr="00A84BFA">
                                        <w:rPr>
                                          <w:lang w:val="nn-NO"/>
                                        </w:rPr>
                                        <w:t>post@vista-analyse.no</w:t>
                                      </w:r>
                                    </w:p>
                                    <w:p w14:paraId="1191045E" w14:textId="77777777" w:rsidR="00B02D7E" w:rsidRPr="00A84BFA" w:rsidRDefault="00B02D7E" w:rsidP="00212371">
                                      <w:pPr>
                                        <w:pStyle w:val="DocBackPage"/>
                                        <w:rPr>
                                          <w:lang w:val="nn-NO"/>
                                        </w:rPr>
                                      </w:pPr>
                                      <w:r w:rsidRPr="00A84BFA">
                                        <w:rPr>
                                          <w:lang w:val="nn-NO"/>
                                        </w:rPr>
                                        <w:t>vista-analyse.no</w:t>
                                      </w:r>
                                    </w:p>
                                  </w:tc>
                                </w:tr>
                              </w:tbl>
                              <w:p w14:paraId="4646609F" w14:textId="77777777" w:rsidR="00B02D7E" w:rsidRPr="00A84BFA" w:rsidRDefault="00B02D7E" w:rsidP="00A8286E">
                                <w:pPr>
                                  <w:pStyle w:val="Spacer"/>
                                  <w:rPr>
                                    <w:lang w:val="nn-NO"/>
                                  </w:rPr>
                                </w:pPr>
                              </w:p>
                            </w:txbxContent>
                          </wps:txbx>
                          <wps:bodyPr rot="0" spcFirstLastPara="0" vertOverflow="overflow" horzOverflow="overflow" vert="horz" wrap="square" lIns="540000" tIns="540000" rIns="540000" bIns="540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333C15C" id="Rectangle 3" o:spid="_x0000_s1035" style="position:absolute;left:0;text-align:left;margin-left:0;margin-top:0;width:595.3pt;height:263.6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" fillcolor="#162f5c [3204]" strokecolor="#0b172d [1604]" strokeweight="1pt">
                    <v:textbox style="mso-fit-shape-to-text:t" inset="15mm,15mm,15mm,15mm">
                      <w:txbxContent>
                        <w:tbl>
                          <w:tblPr>
                            <w:tblW w:w="10206" w:type="dxa"/>
                            <w:tblLayout w:type="fixed"/>
                            <w:tblCellMar>
                              <w:left w:w="0" w:type="dxa"/>
                              <w:right w:w="0" w:type="dxa"/>
                            </w:tblCellMar>
                            <w:tblLook w:val="04A0" w:firstRow="1" w:lastRow="0" w:firstColumn="1" w:lastColumn="0" w:noHBand="0" w:noVBand="1"/>
                          </w:tblPr>
                          <w:tblGrid>
                            <w:gridCol w:w="10206"/>
                          </w:tblGrid>
                          <w:tr w:rsidR="00B02D7E" w:rsidRPr="00B02D7E" w14:paraId="03614951" w14:textId="77777777" w:rsidTr="00212371">
                            <w:trPr>
                              <w:cantSplit/>
                            </w:trPr>
                            <w:tc>
                              <w:tcPr>
                                <w:tcW w:w="9289" w:type="dxa"/>
                                <w:vAlign w:val="bottom"/>
                              </w:tcPr>
                              <w:p w14:paraId="3D64B367" w14:textId="77777777" w:rsidR="00B02D7E" w:rsidRPr="00A84BFA" w:rsidRDefault="00B02D7E" w:rsidP="00212371">
                                <w:pPr>
                                  <w:pStyle w:val="DocBackPage"/>
                                  <w:rPr>
                                    <w:lang w:val="nn-NO"/>
                                  </w:rPr>
                                </w:pPr>
                                <w:r w:rsidRPr="00A84BFA">
                                  <w:rPr>
                                    <w:lang w:val="nn-NO"/>
                                  </w:rPr>
                                  <w:t>Vista Analyse AS</w:t>
                                </w:r>
                              </w:p>
                              <w:p w14:paraId="5B4341CB" w14:textId="77777777" w:rsidR="00B02D7E" w:rsidRPr="00A84BFA" w:rsidRDefault="00B02D7E" w:rsidP="00212371">
                                <w:pPr>
                                  <w:pStyle w:val="DocBackPage"/>
                                  <w:rPr>
                                    <w:lang w:val="nn-NO"/>
                                  </w:rPr>
                                </w:pPr>
                                <w:r w:rsidRPr="00A84BFA">
                                  <w:rPr>
                                    <w:lang w:val="nn-NO"/>
                                  </w:rPr>
                                  <w:t>Meltzers gate 4</w:t>
                                </w:r>
                              </w:p>
                              <w:p w14:paraId="3E3FFE9C" w14:textId="77777777" w:rsidR="00B02D7E" w:rsidRPr="00A84BFA" w:rsidRDefault="00B02D7E" w:rsidP="00212371">
                                <w:pPr>
                                  <w:pStyle w:val="DocBackPage"/>
                                  <w:rPr>
                                    <w:lang w:val="nn-NO"/>
                                  </w:rPr>
                                </w:pPr>
                                <w:r w:rsidRPr="00A84BFA">
                                  <w:rPr>
                                    <w:lang w:val="nn-NO"/>
                                  </w:rPr>
                                  <w:t>0257 Oslo</w:t>
                                </w:r>
                              </w:p>
                              <w:p w14:paraId="381775CC" w14:textId="77777777" w:rsidR="00B02D7E" w:rsidRPr="00A84BFA" w:rsidRDefault="00B02D7E" w:rsidP="00212371">
                                <w:pPr>
                                  <w:pStyle w:val="DocBackPage"/>
                                  <w:rPr>
                                    <w:lang w:val="nn-NO"/>
                                  </w:rPr>
                                </w:pPr>
                              </w:p>
                              <w:p w14:paraId="770EE5C1" w14:textId="77777777" w:rsidR="00B02D7E" w:rsidRPr="00A84BFA" w:rsidRDefault="00B02D7E" w:rsidP="00212371">
                                <w:pPr>
                                  <w:pStyle w:val="DocBackPage"/>
                                  <w:rPr>
                                    <w:lang w:val="nn-NO"/>
                                  </w:rPr>
                                </w:pPr>
                                <w:r w:rsidRPr="00A84BFA">
                                  <w:rPr>
                                    <w:lang w:val="nn-NO"/>
                                  </w:rPr>
                                  <w:t>post@vista-analyse.no</w:t>
                                </w:r>
                              </w:p>
                              <w:p w14:paraId="1191045E" w14:textId="77777777" w:rsidR="00B02D7E" w:rsidRPr="00A84BFA" w:rsidRDefault="00B02D7E" w:rsidP="00212371">
                                <w:pPr>
                                  <w:pStyle w:val="DocBackPage"/>
                                  <w:rPr>
                                    <w:lang w:val="nn-NO"/>
                                  </w:rPr>
                                </w:pPr>
                                <w:r w:rsidRPr="00A84BFA">
                                  <w:rPr>
                                    <w:lang w:val="nn-NO"/>
                                  </w:rPr>
                                  <w:t>vista-analyse.no</w:t>
                                </w:r>
                              </w:p>
                            </w:tc>
                          </w:tr>
                        </w:tbl>
                        <w:p w14:paraId="4646609F" w14:textId="77777777" w:rsidR="00B02D7E" w:rsidRPr="00A84BFA" w:rsidRDefault="00B02D7E" w:rsidP="00A8286E">
                          <w:pPr>
                            <w:pStyle w:val="Spacer"/>
                            <w:rPr>
                              <w:lang w:val="nn-NO"/>
                            </w:rPr>
                          </w:pPr>
                        </w:p>
                      </w:txbxContent>
                    </v:textbox>
                    <w10:wrap anchorx="page" anchory="page"/>
                    <w10:anchorlock/>
                  </v:rect>
                </w:pict>
              </mc:Fallback>
            </mc:AlternateContent>
          </w:r>
          <w:r w:rsidRPr="0055149C">
            <w:rPr>
              <w:noProof/>
              <w:lang w:val="en-US" w:eastAsia="en-US"/>
            </w:rPr>
            <mc:AlternateContent>
              <mc:Choice Requires="wps">
                <w:drawing>
                  <wp:anchor distT="0" distB="0" distL="114300" distR="114300" simplePos="0" relativeHeight="251658240" behindDoc="1" locked="1" layoutInCell="1" allowOverlap="1" wp14:anchorId="29B7C557" wp14:editId="1A82C8F2">
                    <wp:simplePos x="0" y="0"/>
                    <wp:positionH relativeFrom="page">
                      <wp:posOffset>0</wp:posOffset>
                    </wp:positionH>
                    <wp:positionV relativeFrom="page">
                      <wp:posOffset>0</wp:posOffset>
                    </wp:positionV>
                    <wp:extent cx="7578090" cy="10709910"/>
                    <wp:effectExtent l="0" t="0" r="3810" b="0"/>
                    <wp:wrapNone/>
                    <wp:docPr id="12" name="Coloured Background"/>
                    <wp:cNvGraphicFramePr/>
                    <a:graphic xmlns:a="http://schemas.openxmlformats.org/drawingml/2006/main">
                      <a:graphicData uri="http://schemas.microsoft.com/office/word/2010/wordprocessingShape">
                        <wps:wsp>
                          <wps:cNvSpPr/>
                          <wps:spPr>
                            <a:xfrm>
                              <a:off x="0" y="0"/>
                              <a:ext cx="7577455" cy="10709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3EDE19F" id="Coloured Background" o:spid="_x0000_s1026" style="position:absolute;margin-left:0;margin-top:0;width:596.7pt;height:843.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" fillcolor="white [3212]" stroked="f" strokeweight="1pt">
                    <w10:wrap anchorx="page" anchory="page"/>
                    <w10:anchorlock/>
                  </v:rect>
                </w:pict>
              </mc:Fallback>
            </mc:AlternateContent>
          </w:r>
        </w:p>
      </w:sdtContent>
    </w:sdt>
    <w:p w14:paraId="3458B13D" w14:textId="77777777" w:rsidR="00A8286E" w:rsidRPr="0055149C" w:rsidRDefault="00A8286E" w:rsidP="00A8286E"/>
    <w:p w14:paraId="49944980" w14:textId="77777777" w:rsidR="00A8286E" w:rsidRPr="0055149C" w:rsidRDefault="00A8286E" w:rsidP="00A8286E"/>
    <w:p w14:paraId="58D49342" w14:textId="77777777" w:rsidR="00A8286E" w:rsidRPr="0055149C" w:rsidRDefault="00A8286E" w:rsidP="00A8286E">
      <w:pPr>
        <w:pStyle w:val="BodyHeading"/>
      </w:pPr>
    </w:p>
    <w:sectPr w:rsidR="00A8286E" w:rsidRPr="0055149C" w:rsidSect="0006455C">
      <w:headerReference w:type="default" r:id="rId134"/>
      <w:footerReference w:type="default" r:id="rId135"/>
      <w:pgSz w:w="11906" w:h="16838" w:code="9"/>
      <w:pgMar w:top="1418" w:right="1418" w:bottom="1418" w:left="1985"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7EF11" w14:textId="77777777" w:rsidR="000724F7" w:rsidRDefault="000724F7" w:rsidP="0000661D">
      <w:pPr>
        <w:spacing w:line="240" w:lineRule="auto"/>
      </w:pPr>
      <w:r>
        <w:separator/>
      </w:r>
    </w:p>
  </w:endnote>
  <w:endnote w:type="continuationSeparator" w:id="0">
    <w:p w14:paraId="2CB65D48" w14:textId="77777777" w:rsidR="000724F7" w:rsidRDefault="000724F7" w:rsidP="0000661D">
      <w:pPr>
        <w:spacing w:line="240" w:lineRule="auto"/>
      </w:pPr>
      <w:r>
        <w:continuationSeparator/>
      </w:r>
    </w:p>
  </w:endnote>
  <w:endnote w:type="continuationNotice" w:id="1">
    <w:p w14:paraId="13AB68A5" w14:textId="77777777" w:rsidR="000724F7" w:rsidRDefault="000724F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ne)">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10205"/>
    </w:tblGrid>
    <w:tr w:rsidR="00B02D7E" w14:paraId="3E4AD5C9" w14:textId="77777777" w:rsidTr="00B74780">
      <w:tc>
        <w:tcPr>
          <w:tcW w:w="10205" w:type="dxa"/>
        </w:tcPr>
        <w:p w14:paraId="2D8ABB94" w14:textId="227F1D3A" w:rsidR="00B02D7E" w:rsidRPr="000A3F9A"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rsidRPr="000A3F9A">
            <w:tab/>
          </w:r>
          <w:r>
            <w:fldChar w:fldCharType="begin"/>
          </w:r>
          <w:r w:rsidRPr="000A3F9A">
            <w:instrText xml:space="preserve"> PAGE  \* Arabic </w:instrText>
          </w:r>
          <w:r>
            <w:fldChar w:fldCharType="separate"/>
          </w:r>
          <w:r w:rsidR="005C6094">
            <w:rPr>
              <w:noProof/>
            </w:rPr>
            <w:t>5</w:t>
          </w:r>
          <w:r>
            <w:fldChar w:fldCharType="end"/>
          </w:r>
        </w:p>
      </w:tc>
    </w:tr>
  </w:tbl>
  <w:p w14:paraId="57F862A0" w14:textId="77777777" w:rsidR="00B02D7E" w:rsidRPr="000A3F9A" w:rsidRDefault="00B02D7E" w:rsidP="001654D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134"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5A21421E" w14:textId="77777777" w:rsidTr="00305492">
      <w:tc>
        <w:tcPr>
          <w:tcW w:w="9639" w:type="dxa"/>
        </w:tcPr>
        <w:p w14:paraId="5D608027" w14:textId="6ED7F470"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tab/>
          </w:r>
          <w:r>
            <w:fldChar w:fldCharType="begin"/>
          </w:r>
          <w:r>
            <w:instrText xml:space="preserve"> PAGE  \* Arabic </w:instrText>
          </w:r>
          <w:r>
            <w:fldChar w:fldCharType="separate"/>
          </w:r>
          <w:r w:rsidR="005C6094">
            <w:rPr>
              <w:noProof/>
            </w:rPr>
            <w:t>54</w:t>
          </w:r>
          <w:r>
            <w:fldChar w:fldCharType="end"/>
          </w:r>
        </w:p>
      </w:tc>
    </w:tr>
  </w:tbl>
  <w:p w14:paraId="48F24C98" w14:textId="77777777" w:rsidR="00B02D7E" w:rsidRPr="001654D1" w:rsidRDefault="00B02D7E" w:rsidP="001654D1">
    <w:pPr>
      <w:pStyle w:val="Bunntekst"/>
    </w:pPr>
  </w:p>
  <w:p w14:paraId="127138F1" w14:textId="77777777" w:rsidR="00B02D7E" w:rsidRDefault="00B02D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134"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6F70A34A" w14:textId="77777777" w:rsidTr="00305492">
      <w:tc>
        <w:tcPr>
          <w:tcW w:w="9639" w:type="dxa"/>
        </w:tcPr>
        <w:p w14:paraId="42FFEE95" w14:textId="4632A6A0"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tab/>
          </w:r>
          <w:r>
            <w:fldChar w:fldCharType="begin"/>
          </w:r>
          <w:r>
            <w:instrText xml:space="preserve"> PAGE  \* Arabic </w:instrText>
          </w:r>
          <w:r>
            <w:fldChar w:fldCharType="separate"/>
          </w:r>
          <w:r w:rsidR="005C6094">
            <w:rPr>
              <w:noProof/>
            </w:rPr>
            <w:t>76</w:t>
          </w:r>
          <w:r>
            <w:fldChar w:fldCharType="end"/>
          </w:r>
        </w:p>
      </w:tc>
    </w:tr>
  </w:tbl>
  <w:p w14:paraId="4F3553EE" w14:textId="77777777" w:rsidR="00B02D7E" w:rsidRPr="001654D1" w:rsidRDefault="00B02D7E" w:rsidP="001654D1">
    <w:pPr>
      <w:pStyle w:val="Bunntekst"/>
    </w:pPr>
  </w:p>
  <w:p w14:paraId="4BE1A9A7" w14:textId="77777777" w:rsidR="00B02D7E" w:rsidRDefault="00B02D7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47D9CCC6" w14:textId="77777777" w:rsidTr="003E5E7B">
      <w:trPr>
        <w:jc w:val="center"/>
      </w:trPr>
      <w:tc>
        <w:tcPr>
          <w:tcW w:w="9639" w:type="dxa"/>
        </w:tcPr>
        <w:p w14:paraId="1EBCB0DD" w14:textId="7384544A"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tab/>
          </w:r>
          <w:r>
            <w:fldChar w:fldCharType="begin"/>
          </w:r>
          <w:r>
            <w:instrText xml:space="preserve"> PAGE  \* Arabic </w:instrText>
          </w:r>
          <w:r>
            <w:fldChar w:fldCharType="separate"/>
          </w:r>
          <w:r w:rsidR="005C6094">
            <w:rPr>
              <w:noProof/>
            </w:rPr>
            <w:t>81</w:t>
          </w:r>
          <w:r>
            <w:fldChar w:fldCharType="end"/>
          </w:r>
        </w:p>
      </w:tc>
    </w:tr>
  </w:tbl>
  <w:p w14:paraId="0991B481" w14:textId="77777777" w:rsidR="00B02D7E" w:rsidRPr="001654D1" w:rsidRDefault="00B02D7E" w:rsidP="001654D1">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17D618B1" w14:textId="77777777" w:rsidTr="00341502">
      <w:trPr>
        <w:jc w:val="center"/>
      </w:trPr>
      <w:tc>
        <w:tcPr>
          <w:tcW w:w="9639" w:type="dxa"/>
        </w:tcPr>
        <w:p w14:paraId="78CAD18D" w14:textId="60F5CB7F"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tab/>
          </w:r>
          <w:r>
            <w:fldChar w:fldCharType="begin"/>
          </w:r>
          <w:r>
            <w:instrText xml:space="preserve"> PAGE  \* Arabic </w:instrText>
          </w:r>
          <w:r>
            <w:fldChar w:fldCharType="separate"/>
          </w:r>
          <w:r w:rsidR="005C6094">
            <w:rPr>
              <w:noProof/>
            </w:rPr>
            <w:t>81</w:t>
          </w:r>
          <w:r>
            <w:fldChar w:fldCharType="end"/>
          </w:r>
        </w:p>
      </w:tc>
    </w:tr>
  </w:tbl>
  <w:p w14:paraId="0B7E0B8E" w14:textId="77777777" w:rsidR="00B02D7E" w:rsidRPr="001654D1" w:rsidRDefault="00B02D7E" w:rsidP="001654D1">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44986BB7" w14:textId="77777777" w:rsidTr="003E5E7B">
      <w:trPr>
        <w:jc w:val="center"/>
      </w:trPr>
      <w:tc>
        <w:tcPr>
          <w:tcW w:w="9639" w:type="dxa"/>
        </w:tcPr>
        <w:p w14:paraId="374747C0" w14:textId="29F489F4" w:rsidR="00B02D7E" w:rsidRDefault="00B02D7E" w:rsidP="003E5E7B">
          <w:pPr>
            <w:pStyle w:val="Bunntekst"/>
            <w:tabs>
              <w:tab w:val="right" w:pos="10200"/>
            </w:tabs>
            <w:jc w:val="center"/>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tab/>
          </w:r>
          <w:r>
            <w:fldChar w:fldCharType="begin"/>
          </w:r>
          <w:r>
            <w:instrText xml:space="preserve"> PAGE  \* Arabic </w:instrText>
          </w:r>
          <w:r>
            <w:fldChar w:fldCharType="separate"/>
          </w:r>
          <w:r w:rsidR="005C6094">
            <w:rPr>
              <w:noProof/>
            </w:rPr>
            <w:t>95</w:t>
          </w:r>
          <w:r>
            <w:fldChar w:fldCharType="end"/>
          </w:r>
        </w:p>
      </w:tc>
    </w:tr>
  </w:tbl>
  <w:p w14:paraId="26691297" w14:textId="77777777" w:rsidR="00B02D7E" w:rsidRPr="001654D1" w:rsidRDefault="00B02D7E" w:rsidP="001654D1">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09A8B0BF" w14:textId="77777777" w:rsidTr="003E5E7B">
      <w:trPr>
        <w:jc w:val="center"/>
      </w:trPr>
      <w:tc>
        <w:tcPr>
          <w:tcW w:w="9639" w:type="dxa"/>
        </w:tcPr>
        <w:p w14:paraId="52A471A5" w14:textId="025B605B"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tab/>
          </w:r>
          <w:r>
            <w:fldChar w:fldCharType="begin"/>
          </w:r>
          <w:r>
            <w:instrText xml:space="preserve"> PAGE  \* Arabic </w:instrText>
          </w:r>
          <w:r>
            <w:fldChar w:fldCharType="separate"/>
          </w:r>
          <w:r w:rsidR="005C6094">
            <w:rPr>
              <w:noProof/>
            </w:rPr>
            <w:t>120</w:t>
          </w:r>
          <w:r>
            <w:fldChar w:fldCharType="end"/>
          </w:r>
        </w:p>
      </w:tc>
    </w:tr>
  </w:tbl>
  <w:p w14:paraId="279145C9" w14:textId="77777777" w:rsidR="00B02D7E" w:rsidRPr="001654D1" w:rsidRDefault="00B02D7E" w:rsidP="001654D1">
    <w:pPr>
      <w:pStyle w:val="Bunn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134"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3A072E5B" w14:textId="77777777" w:rsidTr="00305492">
      <w:tc>
        <w:tcPr>
          <w:tcW w:w="9639" w:type="dxa"/>
        </w:tcPr>
        <w:p w14:paraId="014B1F94" w14:textId="4B21AC1F"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9B1DA8">
            <w:rPr>
              <w:noProof/>
            </w:rPr>
            <w:instrText>Rapport 2024/20</w:instrText>
          </w:r>
          <w:r>
            <w:rPr>
              <w:noProof/>
            </w:rPr>
            <w:fldChar w:fldCharType="end"/>
          </w:r>
          <w:r w:rsidRPr="000A3F9A">
            <w:instrText xml:space="preserve">" </w:instrText>
          </w:r>
          <w:r w:rsidRPr="00E83C7D">
            <w:fldChar w:fldCharType="separate"/>
          </w:r>
          <w:r w:rsidR="009B1DA8" w:rsidRPr="000A3F9A">
            <w:rPr>
              <w:noProof/>
            </w:rPr>
            <w:t xml:space="preserve">  </w:t>
          </w:r>
          <w:r w:rsidR="009B1DA8" w:rsidRPr="000A3F9A">
            <w:rPr>
              <w:rFonts w:ascii="Arial" w:hAnsi="Arial"/>
              <w:noProof/>
            </w:rPr>
            <w:t>|</w:t>
          </w:r>
          <w:r w:rsidR="009B1DA8" w:rsidRPr="000A3F9A">
            <w:rPr>
              <w:noProof/>
            </w:rPr>
            <w:t xml:space="preserve">  </w:t>
          </w:r>
          <w:r w:rsidR="009B1DA8">
            <w:rPr>
              <w:noProof/>
            </w:rPr>
            <w:t>Rapport 2024/20</w:t>
          </w:r>
          <w:r w:rsidRPr="00E83C7D">
            <w:fldChar w:fldCharType="end"/>
          </w:r>
          <w:r>
            <w:tab/>
          </w:r>
          <w:r>
            <w:fldChar w:fldCharType="begin"/>
          </w:r>
          <w:r>
            <w:instrText xml:space="preserve"> PAGE  \* Arabic </w:instrText>
          </w:r>
          <w:r>
            <w:fldChar w:fldCharType="separate"/>
          </w:r>
          <w:r w:rsidR="005C6094">
            <w:rPr>
              <w:noProof/>
            </w:rPr>
            <w:t>129</w:t>
          </w:r>
          <w:r>
            <w:fldChar w:fldCharType="end"/>
          </w:r>
        </w:p>
      </w:tc>
    </w:tr>
  </w:tbl>
  <w:p w14:paraId="758B5CB8" w14:textId="77777777" w:rsidR="00B02D7E" w:rsidRDefault="00B02D7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E8FC6" w14:textId="77777777" w:rsidR="000724F7" w:rsidRPr="000377AF" w:rsidRDefault="000724F7" w:rsidP="00622B1A">
      <w:pPr>
        <w:pStyle w:val="Ingenmellomrom"/>
        <w:rPr>
          <w:color w:val="D4D4D4" w:themeColor="background2"/>
        </w:rPr>
      </w:pPr>
      <w:r w:rsidRPr="000377AF">
        <w:rPr>
          <w:color w:val="D4D4D4" w:themeColor="background2"/>
        </w:rPr>
        <w:separator/>
      </w:r>
    </w:p>
  </w:footnote>
  <w:footnote w:type="continuationSeparator" w:id="0">
    <w:p w14:paraId="5A5B2C64" w14:textId="77777777" w:rsidR="000724F7" w:rsidRPr="000377AF" w:rsidRDefault="000724F7" w:rsidP="00622B1A">
      <w:pPr>
        <w:pStyle w:val="Ingenmellomrom"/>
        <w:rPr>
          <w:color w:val="D4D4D4" w:themeColor="background2"/>
        </w:rPr>
      </w:pPr>
      <w:r w:rsidRPr="000377AF">
        <w:rPr>
          <w:color w:val="D4D4D4" w:themeColor="background2"/>
        </w:rPr>
        <w:continuationSeparator/>
      </w:r>
    </w:p>
  </w:footnote>
  <w:footnote w:type="continuationNotice" w:id="1">
    <w:p w14:paraId="2E9D63E9" w14:textId="77777777" w:rsidR="000724F7" w:rsidRDefault="000724F7">
      <w:pPr>
        <w:spacing w:before="0" w:line="240" w:lineRule="auto"/>
      </w:pPr>
    </w:p>
  </w:footnote>
  <w:footnote w:id="2">
    <w:p w14:paraId="7EBCCD7A" w14:textId="773FC2E1" w:rsidR="00B02D7E" w:rsidRDefault="00B02D7E">
      <w:pPr>
        <w:pStyle w:val="Fotnotetekst"/>
      </w:pPr>
      <w:r>
        <w:rPr>
          <w:rStyle w:val="Fotnotereferanse"/>
        </w:rPr>
        <w:footnoteRef/>
      </w:r>
      <w:r>
        <w:t xml:space="preserve"> Merk at d</w:t>
      </w:r>
      <w:r w:rsidRPr="00996DD1">
        <w:t>istriktspolitiske tilskudd er en del av rammetilskuddet</w:t>
      </w:r>
      <w:r>
        <w:t>. Det er imidlertid</w:t>
      </w:r>
      <w:r w:rsidRPr="00996DD1">
        <w:t xml:space="preserve"> ujevnt fordelt og bidrar til inntektsforskjeller mellom kommunene</w:t>
      </w:r>
      <w:r>
        <w:t>.</w:t>
      </w:r>
    </w:p>
  </w:footnote>
  <w:footnote w:id="3">
    <w:p w14:paraId="240EF444" w14:textId="6B83F986" w:rsidR="00B02D7E" w:rsidRPr="00D86F9D" w:rsidRDefault="00B02D7E" w:rsidP="00E65464">
      <w:pPr>
        <w:pStyle w:val="Fotnotetekst"/>
        <w:rPr>
          <w:szCs w:val="18"/>
        </w:rPr>
      </w:pPr>
      <w:r w:rsidRPr="00D86F9D">
        <w:rPr>
          <w:rStyle w:val="Fotnotereferanse"/>
          <w:szCs w:val="18"/>
        </w:rPr>
        <w:footnoteRef/>
      </w:r>
      <w:r w:rsidRPr="00D86F9D">
        <w:rPr>
          <w:szCs w:val="18"/>
        </w:rPr>
        <w:t xml:space="preserve"> Merk at tallene her skiller seg litt fra totaltallene for kommunal sektor i Kostra. Det </w:t>
      </w:r>
      <w:r>
        <w:rPr>
          <w:szCs w:val="18"/>
        </w:rPr>
        <w:t xml:space="preserve">er </w:t>
      </w:r>
      <w:r w:rsidRPr="00D86F9D">
        <w:rPr>
          <w:szCs w:val="18"/>
        </w:rPr>
        <w:t>tre grunner til dette. For det første sammenfaller ikke de nasjonale tallene for hver tjenestefunksjon i Kostra med summen av nøkkeltallet over kommuner, som vi har basert oss på. For det andre har vi lagt avviket mellom samlede kommunale tjenester og summen av alle tjenester til tjenestefunksjonen «administrasjon og felles» for hver primærkommune og forvaltningskommune. For det tredje har vi satt negative tall for bruttodriftsutgifter og andre ikke-negative regnskapsposter lik null.</w:t>
      </w:r>
      <w:r>
        <w:rPr>
          <w:szCs w:val="18"/>
        </w:rPr>
        <w:t xml:space="preserve"> Vi viser til seksjon </w:t>
      </w:r>
      <w:r w:rsidR="0093343E">
        <w:rPr>
          <w:szCs w:val="18"/>
        </w:rPr>
        <w:fldChar w:fldCharType="begin"/>
      </w:r>
      <w:r w:rsidR="0093343E">
        <w:rPr>
          <w:szCs w:val="18"/>
        </w:rPr>
        <w:instrText xml:space="preserve"> REF _Ref166249059 \r \h </w:instrText>
      </w:r>
      <w:r w:rsidR="0093343E">
        <w:rPr>
          <w:szCs w:val="18"/>
        </w:rPr>
      </w:r>
      <w:r w:rsidR="0093343E">
        <w:rPr>
          <w:szCs w:val="18"/>
        </w:rPr>
        <w:fldChar w:fldCharType="separate"/>
      </w:r>
      <w:r w:rsidR="009B1DA8">
        <w:rPr>
          <w:szCs w:val="18"/>
        </w:rPr>
        <w:t>3.1.1</w:t>
      </w:r>
      <w:r w:rsidR="0093343E">
        <w:rPr>
          <w:szCs w:val="18"/>
        </w:rPr>
        <w:fldChar w:fldCharType="end"/>
      </w:r>
      <w:r>
        <w:rPr>
          <w:szCs w:val="18"/>
        </w:rPr>
        <w:t xml:space="preserve"> for detaljer.</w:t>
      </w:r>
    </w:p>
  </w:footnote>
  <w:footnote w:id="4">
    <w:p w14:paraId="750B9D94" w14:textId="77777777" w:rsidR="00B02D7E" w:rsidRPr="00D86F9D" w:rsidRDefault="00B02D7E" w:rsidP="007E07E5">
      <w:pPr>
        <w:pStyle w:val="Fotnotetekst"/>
        <w:rPr>
          <w:szCs w:val="18"/>
        </w:rPr>
      </w:pPr>
      <w:r w:rsidRPr="00D86F9D">
        <w:rPr>
          <w:rStyle w:val="Fotnotereferanse"/>
          <w:szCs w:val="18"/>
        </w:rPr>
        <w:footnoteRef/>
      </w:r>
      <w:r w:rsidRPr="00D86F9D">
        <w:rPr>
          <w:szCs w:val="18"/>
        </w:rPr>
        <w:t xml:space="preserve"> </w:t>
      </w:r>
      <w:r w:rsidRPr="0061059B">
        <w:rPr>
          <w:szCs w:val="18"/>
        </w:rPr>
        <w:t>Merk at det i dette steget ikke spiller noen rolle om en regner per innbygger eller ikke, ettersom en eventuell normalisering fra samlede utgifter til utgifter per innbygger vil være symmetrisk innad i kommunene.</w:t>
      </w:r>
    </w:p>
  </w:footnote>
  <w:footnote w:id="5">
    <w:p w14:paraId="1BC5C12A" w14:textId="2AA9E712" w:rsidR="00B02D7E" w:rsidRPr="00D86F9D" w:rsidRDefault="00B02D7E" w:rsidP="00010B5A">
      <w:pPr>
        <w:pStyle w:val="Fotnotetekst"/>
        <w:rPr>
          <w:szCs w:val="18"/>
        </w:rPr>
      </w:pPr>
      <w:r w:rsidRPr="00D86F9D">
        <w:rPr>
          <w:rStyle w:val="Fotnotereferanse"/>
          <w:szCs w:val="18"/>
        </w:rPr>
        <w:footnoteRef/>
      </w:r>
      <w:r w:rsidRPr="00D86F9D">
        <w:rPr>
          <w:szCs w:val="18"/>
        </w:rPr>
        <w:t xml:space="preserve"> </w:t>
      </w:r>
      <w:r w:rsidRPr="0061059B">
        <w:rPr>
          <w:szCs w:val="18"/>
        </w:rPr>
        <w:t>Verdiforringelsen knyttet til slitasje kan reduseres gjennom vedlikehold og liknende</w:t>
      </w:r>
      <w:r w:rsidR="00D66E09" w:rsidRPr="0061059B">
        <w:rPr>
          <w:szCs w:val="18"/>
        </w:rPr>
        <w:t>. E</w:t>
      </w:r>
      <w:r w:rsidRPr="0061059B">
        <w:rPr>
          <w:szCs w:val="18"/>
        </w:rPr>
        <w:t>n kan tenke seg at det finnes et optimalt nivå på vedlikeholdet som gjør summen av depresiering og vedlikehold minst mulig.</w:t>
      </w:r>
    </w:p>
  </w:footnote>
  <w:footnote w:id="6">
    <w:p w14:paraId="32592D1A" w14:textId="4016434F" w:rsidR="00B02D7E" w:rsidRPr="00D86F9D" w:rsidRDefault="00B02D7E" w:rsidP="00A22B61">
      <w:pPr>
        <w:pStyle w:val="Fotnotetekst"/>
        <w:rPr>
          <w:szCs w:val="18"/>
        </w:rPr>
      </w:pPr>
      <w:r w:rsidRPr="00D86F9D">
        <w:rPr>
          <w:rStyle w:val="Fotnotereferanse"/>
          <w:szCs w:val="18"/>
        </w:rPr>
        <w:footnoteRef/>
      </w:r>
      <w:r w:rsidRPr="00D86F9D">
        <w:rPr>
          <w:szCs w:val="18"/>
        </w:rPr>
        <w:t xml:space="preserve"> </w:t>
      </w:r>
      <w:r w:rsidRPr="0061059B">
        <w:rPr>
          <w:szCs w:val="18"/>
        </w:rPr>
        <w:t>«﻿</w:t>
      </w:r>
      <w:r w:rsidRPr="0061059B">
        <w:rPr>
          <w:i/>
          <w:szCs w:val="18"/>
        </w:rPr>
        <w:t>Påløpte renter over hele året – det vil si rentekostnadene på lånt kapital</w:t>
      </w:r>
      <w:r w:rsidR="00E31CC1" w:rsidRPr="0061059B">
        <w:rPr>
          <w:i/>
          <w:szCs w:val="18"/>
        </w:rPr>
        <w:t xml:space="preserve"> –</w:t>
      </w:r>
      <w:r w:rsidRPr="0061059B">
        <w:rPr>
          <w:i/>
          <w:szCs w:val="18"/>
        </w:rPr>
        <w:t xml:space="preserve"> framkommer i K</w:t>
      </w:r>
      <w:r w:rsidR="00E31CC1" w:rsidRPr="0061059B">
        <w:rPr>
          <w:i/>
          <w:szCs w:val="18"/>
        </w:rPr>
        <w:t>OSTRA</w:t>
      </w:r>
      <w:r w:rsidRPr="0061059B">
        <w:rPr>
          <w:i/>
          <w:szCs w:val="18"/>
        </w:rPr>
        <w:t xml:space="preserve"> under art 500 Renteutgifter, provisjoner og andre finansutgifter. Slike rentekostnader blir generelt ikke ført mot den enkelte K</w:t>
      </w:r>
      <w:r w:rsidR="00E31CC1" w:rsidRPr="0061059B">
        <w:rPr>
          <w:i/>
          <w:szCs w:val="18"/>
        </w:rPr>
        <w:t>OSTRA</w:t>
      </w:r>
      <w:r w:rsidRPr="0061059B">
        <w:rPr>
          <w:i/>
          <w:szCs w:val="18"/>
        </w:rPr>
        <w:t>-funksjon og omfatter for eksempel også rentekostnader på kommuners Startlån</w:t>
      </w:r>
      <w:r w:rsidRPr="0061059B">
        <w:rPr>
          <w:szCs w:val="18"/>
        </w:rPr>
        <w:t>» (side 11, Thorstensen, Lie og Lunder 2021).</w:t>
      </w:r>
    </w:p>
  </w:footnote>
  <w:footnote w:id="7">
    <w:p w14:paraId="22241B95" w14:textId="0A0B1280" w:rsidR="00B02D7E" w:rsidRPr="00D86F9D" w:rsidRDefault="00B02D7E" w:rsidP="00A22B61">
      <w:pPr>
        <w:pStyle w:val="Fotnotetekst"/>
        <w:rPr>
          <w:szCs w:val="18"/>
        </w:rPr>
      </w:pPr>
      <w:r w:rsidRPr="00D86F9D">
        <w:rPr>
          <w:rStyle w:val="Fotnotereferanse"/>
          <w:szCs w:val="18"/>
        </w:rPr>
        <w:footnoteRef/>
      </w:r>
      <w:r w:rsidRPr="00D86F9D">
        <w:rPr>
          <w:szCs w:val="18"/>
        </w:rPr>
        <w:t xml:space="preserve"> </w:t>
      </w:r>
      <w:r w:rsidRPr="0061059B">
        <w:rPr>
          <w:i/>
          <w:szCs w:val="18"/>
        </w:rPr>
        <w:t>«﻿Netto investeringsbeløp vil si brutto investeringsutgift fratrukket for eksempel et statlig investeringstilskudd som investeringen har utløst, eller for eksempel et anleggsbidrag ved en investering innenfor vann- og avløpsområdet</w:t>
      </w:r>
      <w:r w:rsidRPr="0061059B">
        <w:rPr>
          <w:szCs w:val="18"/>
        </w:rPr>
        <w:t>» (side 10, Thorstensen, Lie og Lunder 2021).</w:t>
      </w:r>
    </w:p>
  </w:footnote>
  <w:footnote w:id="8">
    <w:p w14:paraId="3F4E6F5A" w14:textId="6CC23CA2" w:rsidR="00B02D7E" w:rsidRPr="00D86F9D" w:rsidRDefault="00B02D7E" w:rsidP="00916DDE">
      <w:pPr>
        <w:pStyle w:val="Fotnotetekst"/>
        <w:rPr>
          <w:szCs w:val="18"/>
        </w:rPr>
      </w:pPr>
      <w:r w:rsidRPr="00D86F9D">
        <w:rPr>
          <w:rStyle w:val="Fotnotereferanse"/>
          <w:szCs w:val="18"/>
        </w:rPr>
        <w:footnoteRef/>
      </w:r>
      <w:r w:rsidRPr="00D86F9D">
        <w:rPr>
          <w:szCs w:val="18"/>
        </w:rPr>
        <w:t xml:space="preserve"> Dette står i motsetning </w:t>
      </w:r>
      <w:r w:rsidRPr="0098157F">
        <w:rPr>
          <w:szCs w:val="18"/>
        </w:rPr>
        <w:t>til «</w:t>
      </w:r>
      <w:r w:rsidRPr="0098157F">
        <w:rPr>
          <w:color w:val="3672B0" w:themeColor="accent2"/>
        </w:rPr>
        <w:t>IFRS</w:t>
      </w:r>
      <w:r w:rsidRPr="0098157F">
        <w:rPr>
          <w:szCs w:val="18"/>
        </w:rPr>
        <w:t xml:space="preserve">»-regnskapssystemer – altså regnskapssystemer som følger </w:t>
      </w:r>
      <w:r w:rsidRPr="0098157F">
        <w:t>«</w:t>
      </w:r>
      <w:r w:rsidRPr="00E65914">
        <w:rPr>
          <w:i/>
          <w:iCs/>
          <w:color w:val="3672B0" w:themeColor="accent2"/>
        </w:rPr>
        <w:t>International Financial Reporting Standards</w:t>
      </w:r>
      <w:r w:rsidRPr="0098157F">
        <w:t>». Disse</w:t>
      </w:r>
      <w:r>
        <w:t xml:space="preserve"> vek</w:t>
      </w:r>
      <w:r>
        <w:rPr>
          <w:szCs w:val="18"/>
        </w:rPr>
        <w:t>tlegger isteden</w:t>
      </w:r>
      <w:r w:rsidRPr="00D86F9D">
        <w:rPr>
          <w:szCs w:val="18"/>
        </w:rPr>
        <w:t xml:space="preserve"> riktighet i balanse</w:t>
      </w:r>
      <w:r>
        <w:rPr>
          <w:szCs w:val="18"/>
        </w:rPr>
        <w:t>regnskapet</w:t>
      </w:r>
      <w:r w:rsidRPr="00D86F9D">
        <w:rPr>
          <w:szCs w:val="18"/>
        </w:rPr>
        <w:t xml:space="preserve"> snarere enn</w:t>
      </w:r>
      <w:r>
        <w:rPr>
          <w:szCs w:val="18"/>
        </w:rPr>
        <w:t xml:space="preserve"> i </w:t>
      </w:r>
      <w:r w:rsidRPr="00D86F9D">
        <w:rPr>
          <w:szCs w:val="18"/>
        </w:rPr>
        <w:t>resultat</w:t>
      </w:r>
      <w:r>
        <w:rPr>
          <w:szCs w:val="18"/>
        </w:rPr>
        <w:t>regnskapet.</w:t>
      </w:r>
    </w:p>
  </w:footnote>
  <w:footnote w:id="9">
    <w:p w14:paraId="39C4BDCB" w14:textId="51199A0C" w:rsidR="00210BE4" w:rsidRDefault="00210BE4">
      <w:pPr>
        <w:pStyle w:val="Fotnotetekst"/>
      </w:pPr>
      <w:r>
        <w:rPr>
          <w:rStyle w:val="Fotnotereferanse"/>
        </w:rPr>
        <w:footnoteRef/>
      </w:r>
      <w:r>
        <w:t xml:space="preserve"> </w:t>
      </w:r>
      <w:r w:rsidRPr="00210BE4">
        <w:t xml:space="preserve">Alternativer til PIM og DM eksisterer, men er mindre vanlige. I Leif Johansens produksjonsteori vurderes beholdningene av og bruttoinvesteringene i realkapital ut fra overlevelsessannsynligheter, kapitalartsspesifikke teknologiske endringer og </w:t>
      </w:r>
      <w:r w:rsidR="00F4133B">
        <w:t>delvis</w:t>
      </w:r>
      <w:r w:rsidRPr="00210BE4">
        <w:t xml:space="preserve"> irreversible bruttoinvesteringer, men uten periodisk kapitalslit (Johansen 1959 og 1972, og Johansen </w:t>
      </w:r>
      <w:r w:rsidR="00060BB2">
        <w:t>og</w:t>
      </w:r>
      <w:r w:rsidRPr="00210BE4">
        <w:t xml:space="preserve"> Sørsveen 1967). Peterson (2002) gjennomgår flere tilnærminger til kapitalestimering på selskapsnivå basert på kontantstrømmer, bokføring, og salgsverdier, som riktignok kan ses på som ulike varianter av PIM og DM.</w:t>
      </w:r>
      <w:r w:rsidR="00944A8B" w:rsidRPr="00944A8B">
        <w:t xml:space="preserve"> Nasjonale statistikkmyndigheter utnytter informasjon fra en rekke kilder i estimeringen av realkapitalvariabler i sine nasjonalregnskaper, herunder formuesundersøkelser, folketellinger, brannforsikringsregistre, selskapsregnskaper, administrative eiendomsregistre og aksjeverdsettelser (se for eksempel OECD og Eurostat 2014).</w:t>
      </w:r>
    </w:p>
  </w:footnote>
  <w:footnote w:id="10">
    <w:p w14:paraId="21B47F3A" w14:textId="2DAAFD8D" w:rsidR="00B02D7E" w:rsidRPr="00D86F9D" w:rsidRDefault="00B02D7E" w:rsidP="00874DF5">
      <w:pPr>
        <w:pStyle w:val="Fotnotetekst"/>
        <w:rPr>
          <w:szCs w:val="18"/>
        </w:rPr>
      </w:pPr>
      <w:r w:rsidRPr="00D86F9D">
        <w:rPr>
          <w:rStyle w:val="Fotnotereferanse"/>
          <w:szCs w:val="18"/>
        </w:rPr>
        <w:footnoteRef/>
      </w:r>
      <w:r w:rsidRPr="00D86F9D">
        <w:rPr>
          <w:szCs w:val="18"/>
        </w:rPr>
        <w:t xml:space="preserve"> Holmen (2022</w:t>
      </w:r>
      <w:r>
        <w:rPr>
          <w:szCs w:val="18"/>
        </w:rPr>
        <w:t>a</w:t>
      </w:r>
      <w:r w:rsidRPr="00D86F9D">
        <w:rPr>
          <w:szCs w:val="18"/>
        </w:rPr>
        <w:t>) tar for seg tolv realkapitalformer, men kun ni av dem er til stede i kommunal sektor. I tillegg kommer goodwill og utsatt skattefordel, som regnes som operative anleggsmidler, men ikke realkapital.</w:t>
      </w:r>
    </w:p>
  </w:footnote>
  <w:footnote w:id="11">
    <w:p w14:paraId="093B12EC" w14:textId="57F2504D" w:rsidR="00B02D7E" w:rsidRPr="00D86F9D" w:rsidRDefault="00B02D7E">
      <w:pPr>
        <w:pStyle w:val="Fotnotetekst"/>
        <w:rPr>
          <w:szCs w:val="18"/>
        </w:rPr>
      </w:pPr>
      <w:r w:rsidRPr="004A1E78">
        <w:rPr>
          <w:rStyle w:val="Fotnotereferanse"/>
          <w:szCs w:val="18"/>
        </w:rPr>
        <w:footnoteRef/>
      </w:r>
      <w:r w:rsidRPr="00D86F9D">
        <w:rPr>
          <w:color w:val="auto"/>
          <w:szCs w:val="18"/>
        </w:rPr>
        <w:t xml:space="preserve"> </w:t>
      </w:r>
      <w:r w:rsidRPr="004A1E78">
        <w:rPr>
          <w:szCs w:val="18"/>
        </w:rPr>
        <w:t>I engelsk litteratur er denne formen for depresiering gitt det poetiske navnet «</w:t>
      </w:r>
      <w:r w:rsidRPr="004A1E78">
        <w:rPr>
          <w:i/>
          <w:iCs/>
          <w:szCs w:val="18"/>
        </w:rPr>
        <w:t>One Hoss Shay</w:t>
      </w:r>
      <w:r w:rsidRPr="004A1E78">
        <w:rPr>
          <w:szCs w:val="18"/>
        </w:rPr>
        <w:t>» etter et dikt av Oliver Wendel Holmes (se Diewert og Wei 2017 for begrepsbruken og Holmes 1892 for selve diktet).</w:t>
      </w:r>
    </w:p>
  </w:footnote>
  <w:footnote w:id="12">
    <w:p w14:paraId="7F717D20" w14:textId="5E647C07" w:rsidR="00B02D7E" w:rsidRPr="00D86F9D" w:rsidRDefault="00B02D7E">
      <w:pPr>
        <w:pStyle w:val="Fotnotetekst"/>
        <w:rPr>
          <w:szCs w:val="18"/>
        </w:rPr>
      </w:pPr>
      <w:r w:rsidRPr="00D86F9D">
        <w:rPr>
          <w:rStyle w:val="Fotnotereferanse"/>
          <w:szCs w:val="18"/>
        </w:rPr>
        <w:footnoteRef/>
      </w:r>
      <w:r w:rsidRPr="00D86F9D">
        <w:rPr>
          <w:szCs w:val="18"/>
        </w:rPr>
        <w:t xml:space="preserve"> </w:t>
      </w:r>
      <w:r w:rsidRPr="004A1E78">
        <w:rPr>
          <w:szCs w:val="18"/>
        </w:rPr>
        <w:t>Andre studier antyder at det nøyaktige valget av depresieringsrater har begrenset innvirkning på målingen av den langsiktige produktivitetsutviklingen (se for eksempel Baldwin med flere 2005 eller Holmen 2020). Oulton og Srinivasan (2003) finner at kapital knyttet til datamaskiner og programvare utgjør den største feilkilden i målingen av kapitaltjenester og kapitalbeholdning.</w:t>
      </w:r>
    </w:p>
  </w:footnote>
  <w:footnote w:id="13">
    <w:p w14:paraId="2A373B48" w14:textId="26A08E8F" w:rsidR="008D03A1" w:rsidRPr="00D86F9D" w:rsidRDefault="00B02D7E" w:rsidP="0042153F">
      <w:pPr>
        <w:pStyle w:val="Fotnotetekst"/>
        <w:rPr>
          <w:color w:val="auto"/>
          <w:szCs w:val="18"/>
        </w:rPr>
      </w:pPr>
      <w:r w:rsidRPr="00D86F9D">
        <w:rPr>
          <w:rStyle w:val="Fotnotereferanse"/>
          <w:szCs w:val="18"/>
        </w:rPr>
        <w:footnoteRef/>
      </w:r>
      <w:r w:rsidRPr="00D86F9D">
        <w:rPr>
          <w:szCs w:val="18"/>
        </w:rPr>
        <w:t xml:space="preserve"> </w:t>
      </w:r>
      <w:r w:rsidRPr="00A1566E">
        <w:rPr>
          <w:szCs w:val="18"/>
        </w:rPr>
        <w:t>Et knippe kartlegger levetider, depresieringsrater og depresieringsmønstre for et gitt land, deriblant Canada (Statistics Canada 2008), Japan (Nomura og Momose 2008 og Nomura og Suga 2018), Nederland (Van Roijen-Horsten med flere 2008), Storbritannia (Oulton 2001 og Rincon-Aznar med flere 2017) og USA (Fraumeni 1997). I Norge gjennomførte Barth med flere (2015 og 2016) en omfattende kartlegging av levetiden på kapitalmassen over kapitalarter og næringer. Tidligere har grunnlaget for depresieringsratene benyttet i nasjonalregnskapet blitt klargjort av Todsen (1997a og 1997b</w:t>
      </w:r>
      <w:r>
        <w:rPr>
          <w:szCs w:val="18"/>
        </w:rPr>
        <w:t xml:space="preserve">) og </w:t>
      </w:r>
      <w:r w:rsidRPr="0055149C">
        <w:t xml:space="preserve">Amdal med flere </w:t>
      </w:r>
      <w:r>
        <w:t>(</w:t>
      </w:r>
      <w:r w:rsidRPr="0055149C">
        <w:t>2016</w:t>
      </w:r>
      <w:r w:rsidRPr="00A1566E">
        <w:rPr>
          <w:szCs w:val="18"/>
        </w:rPr>
        <w:t>). Holmen (2022a) kombinerer tidligere kartlegginger av depresieringsrater, avskrivningsregler og kapitalslittall fra nasjonalregnskapet fra Foretaks- og virksomhetsregistren</w:t>
      </w:r>
      <w:r>
        <w:rPr>
          <w:szCs w:val="18"/>
        </w:rPr>
        <w:t>e</w:t>
      </w:r>
      <w:r w:rsidRPr="00A1566E">
        <w:rPr>
          <w:szCs w:val="18"/>
        </w:rPr>
        <w:t xml:space="preserve"> i Brønnøysund til å anslå depresieringsrater på tvers av kapital</w:t>
      </w:r>
      <w:r>
        <w:rPr>
          <w:szCs w:val="18"/>
        </w:rPr>
        <w:t>a</w:t>
      </w:r>
      <w:r w:rsidRPr="00A1566E">
        <w:rPr>
          <w:szCs w:val="18"/>
        </w:rPr>
        <w:t>rter og næringer.</w:t>
      </w:r>
      <w:r w:rsidR="00D36E95">
        <w:rPr>
          <w:szCs w:val="18"/>
        </w:rPr>
        <w:t xml:space="preserve"> </w:t>
      </w:r>
      <w:r w:rsidR="00BB5A4F" w:rsidRPr="00BB5A4F">
        <w:rPr>
          <w:szCs w:val="18"/>
        </w:rPr>
        <w:t>Vennemo</w:t>
      </w:r>
      <w:r w:rsidR="00BB5A4F">
        <w:rPr>
          <w:szCs w:val="18"/>
        </w:rPr>
        <w:t xml:space="preserve"> med flere (2020)</w:t>
      </w:r>
      <w:r w:rsidR="007A5008">
        <w:rPr>
          <w:szCs w:val="18"/>
        </w:rPr>
        <w:t xml:space="preserve"> drøfter levetider på realkapitalen i store statlige investeringsprosjekter, mens </w:t>
      </w:r>
      <w:r w:rsidR="00EB630D">
        <w:rPr>
          <w:szCs w:val="18"/>
        </w:rPr>
        <w:t>Vennemo og Godeseth (2021)</w:t>
      </w:r>
      <w:r w:rsidR="00023BA5">
        <w:rPr>
          <w:szCs w:val="18"/>
        </w:rPr>
        <w:t xml:space="preserve"> og </w:t>
      </w:r>
      <w:r w:rsidR="00023BA5" w:rsidRPr="00023BA5">
        <w:rPr>
          <w:szCs w:val="18"/>
        </w:rPr>
        <w:t xml:space="preserve">Tveter, Tomasgard </w:t>
      </w:r>
      <w:r w:rsidR="00023BA5">
        <w:rPr>
          <w:szCs w:val="18"/>
        </w:rPr>
        <w:t>og</w:t>
      </w:r>
      <w:r w:rsidR="00023BA5" w:rsidRPr="00023BA5">
        <w:rPr>
          <w:szCs w:val="18"/>
        </w:rPr>
        <w:t xml:space="preserve"> Laingen</w:t>
      </w:r>
      <w:r w:rsidR="00023BA5">
        <w:rPr>
          <w:szCs w:val="18"/>
        </w:rPr>
        <w:t xml:space="preserve"> (2022)</w:t>
      </w:r>
      <w:r w:rsidR="007A5008">
        <w:rPr>
          <w:szCs w:val="18"/>
        </w:rPr>
        <w:t xml:space="preserve"> studerer </w:t>
      </w:r>
      <w:r w:rsidR="00641794">
        <w:rPr>
          <w:szCs w:val="18"/>
        </w:rPr>
        <w:t>kapital</w:t>
      </w:r>
      <w:r w:rsidR="007A5008">
        <w:rPr>
          <w:szCs w:val="18"/>
        </w:rPr>
        <w:t xml:space="preserve">levetider </w:t>
      </w:r>
      <w:r w:rsidR="00D36E95">
        <w:rPr>
          <w:szCs w:val="18"/>
        </w:rPr>
        <w:t>innenfor samferdselssektoren.</w:t>
      </w:r>
    </w:p>
  </w:footnote>
  <w:footnote w:id="14">
    <w:p w14:paraId="70D98556" w14:textId="0C044FB5" w:rsidR="00B02D7E" w:rsidRDefault="00B02D7E">
      <w:pPr>
        <w:pStyle w:val="Fotnotetekst"/>
      </w:pPr>
      <w:r>
        <w:rPr>
          <w:rStyle w:val="Fotnotereferanse"/>
        </w:rPr>
        <w:footnoteRef/>
      </w:r>
      <w:r>
        <w:t xml:space="preserve"> </w:t>
      </w:r>
      <w:r w:rsidRPr="00C81843">
        <w:t>Diskusjonen om normrente eller faktiske gjennomsnitt likner litt på diskusjonen om en skal kompensere kommunene for ufrivillige avvik fra normerte kostnader, eller for ufrivillige avvik fra det kommunale gjennomsnittet, som da brukes som norm. En begrunnelse for å gjøre det siste, er at det er vanskelig å spesifisere normer. For rentekostnader kan en slik løsning også være litt enklere.</w:t>
      </w:r>
    </w:p>
  </w:footnote>
  <w:footnote w:id="15">
    <w:p w14:paraId="6DBE055F" w14:textId="0A549B62" w:rsidR="00B02D7E" w:rsidRDefault="00B02D7E">
      <w:pPr>
        <w:pStyle w:val="Fotnotetekst"/>
      </w:pPr>
      <w:r>
        <w:rPr>
          <w:rStyle w:val="Fotnotereferanse"/>
        </w:rPr>
        <w:footnoteRef/>
      </w:r>
      <w:r>
        <w:t xml:space="preserve"> </w:t>
      </w:r>
      <w:r w:rsidRPr="0042153F">
        <w:t>Selvkosttjenester er tjenester som i prinsippet skal brukerfinansieres av brukergebyrer som gjenspeiler selvkost. VAR-tjenester – det vil si tjenester forbundet med vann, avløp, renovasjon og avfall – utgjør den klart største grenen av selvkosttjenestene. De andre kommunale selvkosttjenestene inkluderer behandling av plan- og byggesaker, kart og delingsforretning, og feiertjenester. Blant disse skiller renovasjon og avfall seg ut i den forstand at det er krav om at gebyrnivået skal settes til selvkost. Andre kommunale tjenester som skolefritidsordningen og deltjenester innenfor andre tjenesteområder kan også legge selvkostprinsippet til grunn. De regnes likevel normalt ikke som selvkosttjenester, ettersom handlingsregelen er valgfri for disse tjenestene.</w:t>
      </w:r>
    </w:p>
  </w:footnote>
  <w:footnote w:id="16">
    <w:p w14:paraId="6596660E" w14:textId="56C788F1" w:rsidR="00B95B28" w:rsidRDefault="00B95B28">
      <w:pPr>
        <w:pStyle w:val="Fotnotetekst"/>
      </w:pPr>
      <w:r>
        <w:rPr>
          <w:rStyle w:val="Fotnotereferanse"/>
        </w:rPr>
        <w:footnoteRef/>
      </w:r>
      <w:r>
        <w:t xml:space="preserve"> </w:t>
      </w:r>
      <w:r w:rsidR="00AA5C0F" w:rsidRPr="00AA5C0F">
        <w:t>Ved PIM fordeles kapitalkostnaden over tid basert på kapitalverdier med oppjusterte priser, mens spredningen ved DM minner mer om periodiseringen av et lån med renter og avdrag basert på anskaffelsespriser.</w:t>
      </w:r>
    </w:p>
  </w:footnote>
  <w:footnote w:id="17">
    <w:p w14:paraId="64DC0C7B" w14:textId="4C54AFAF" w:rsidR="00B02D7E" w:rsidRPr="00D86F9D" w:rsidRDefault="00B02D7E" w:rsidP="008E5D44">
      <w:pPr>
        <w:pStyle w:val="Fotnotetekst"/>
        <w:rPr>
          <w:szCs w:val="18"/>
        </w:rPr>
      </w:pPr>
      <w:r w:rsidRPr="00D86F9D">
        <w:rPr>
          <w:rStyle w:val="Fotnotereferanse"/>
          <w:szCs w:val="18"/>
        </w:rPr>
        <w:footnoteRef/>
      </w:r>
      <w:r w:rsidRPr="00D86F9D">
        <w:rPr>
          <w:szCs w:val="18"/>
        </w:rPr>
        <w:t xml:space="preserve"> </w:t>
      </w:r>
      <w:r w:rsidRPr="004A1E78">
        <w:rPr>
          <w:szCs w:val="18"/>
        </w:rPr>
        <w:t xml:space="preserve">Varekjøp fanges opp i driftsutgiftene, men man kan stå igjen med en måleutfordring forbundet med timingen ved endringene i varelageret. I prinsippet bokføres biologiske kultiverte ressurser ofte i varelageret, men denne </w:t>
      </w:r>
      <w:r w:rsidR="001E1668">
        <w:rPr>
          <w:szCs w:val="18"/>
        </w:rPr>
        <w:t>real</w:t>
      </w:r>
      <w:r w:rsidRPr="004A1E78">
        <w:rPr>
          <w:szCs w:val="18"/>
        </w:rPr>
        <w:t>kapitalformen er neglisjerbar i kommunal sektor.</w:t>
      </w:r>
    </w:p>
  </w:footnote>
  <w:footnote w:id="18">
    <w:p w14:paraId="0187E707" w14:textId="77777777" w:rsidR="00B02D7E" w:rsidRPr="00D86F9D" w:rsidRDefault="00B02D7E" w:rsidP="00F600DE">
      <w:pPr>
        <w:pStyle w:val="Fotnotetekst"/>
        <w:rPr>
          <w:szCs w:val="18"/>
        </w:rPr>
      </w:pPr>
      <w:r w:rsidRPr="00D86F9D">
        <w:rPr>
          <w:rStyle w:val="Fotnotereferanse"/>
          <w:szCs w:val="18"/>
        </w:rPr>
        <w:footnoteRef/>
      </w:r>
      <w:r w:rsidRPr="00D86F9D">
        <w:rPr>
          <w:szCs w:val="18"/>
        </w:rPr>
        <w:t xml:space="preserve"> Vi gjør oppmerksom på at det ved en spesialbestilling til nasjonalregnskapet fra departementet vil være mulig å framskaffe enda mer disaggregerte deflatorer, både med tanke på kapitalform, næring og institusjonell sektor.</w:t>
      </w:r>
    </w:p>
  </w:footnote>
  <w:footnote w:id="19">
    <w:p w14:paraId="0D0BD500" w14:textId="0795E863" w:rsidR="00B02D7E" w:rsidRPr="00D86F9D" w:rsidRDefault="00B02D7E">
      <w:pPr>
        <w:pStyle w:val="Fotnotetekst"/>
        <w:rPr>
          <w:szCs w:val="18"/>
        </w:rPr>
      </w:pPr>
      <w:r w:rsidRPr="00D86F9D">
        <w:rPr>
          <w:rStyle w:val="Fotnotereferanse"/>
          <w:szCs w:val="18"/>
        </w:rPr>
        <w:footnoteRef/>
      </w:r>
      <w:r w:rsidRPr="00D86F9D">
        <w:rPr>
          <w:szCs w:val="18"/>
        </w:rPr>
        <w:t xml:space="preserve"> Merk at Statistisk sentralbyrå også </w:t>
      </w:r>
      <w:r>
        <w:rPr>
          <w:szCs w:val="18"/>
        </w:rPr>
        <w:t>publiserer</w:t>
      </w:r>
      <w:r w:rsidRPr="00D86F9D">
        <w:rPr>
          <w:szCs w:val="18"/>
        </w:rPr>
        <w:t xml:space="preserve"> statistikk for kvadratmeterpriser over boligtyper på kommunenivå, men disse prisene er ikke kvalitetsjusterte. </w:t>
      </w:r>
      <w:r w:rsidR="00754894" w:rsidRPr="00754894">
        <w:rPr>
          <w:szCs w:val="18"/>
        </w:rPr>
        <w:t xml:space="preserve">Husbankens statistikk utgjør en annen offentlig </w:t>
      </w:r>
      <w:r w:rsidR="002320C7">
        <w:rPr>
          <w:szCs w:val="18"/>
        </w:rPr>
        <w:t>statistik</w:t>
      </w:r>
      <w:r w:rsidR="00754894" w:rsidRPr="00754894">
        <w:rPr>
          <w:szCs w:val="18"/>
        </w:rPr>
        <w:t>kilde som kan bidra til å belyse kommunale tomteprise</w:t>
      </w:r>
      <w:r w:rsidR="00754894">
        <w:rPr>
          <w:szCs w:val="18"/>
        </w:rPr>
        <w:t xml:space="preserve">r. </w:t>
      </w:r>
      <w:r w:rsidRPr="00D86F9D">
        <w:rPr>
          <w:szCs w:val="18"/>
        </w:rPr>
        <w:t>Det fins også private statistikkleverandører som leverer disaggregert eiendomsprisstatistikk, deriblant Arealstatistikk og Eiendomsverdi.</w:t>
      </w:r>
    </w:p>
  </w:footnote>
  <w:footnote w:id="20">
    <w:p w14:paraId="37E68777" w14:textId="66B5C0E1" w:rsidR="00B02D7E" w:rsidRPr="00D86F9D" w:rsidRDefault="00B02D7E" w:rsidP="00112219">
      <w:pPr>
        <w:pStyle w:val="Fotnotetekst"/>
        <w:rPr>
          <w:szCs w:val="18"/>
        </w:rPr>
      </w:pPr>
      <w:r w:rsidRPr="00D86F9D">
        <w:rPr>
          <w:rStyle w:val="Fotnotereferanse"/>
          <w:szCs w:val="18"/>
        </w:rPr>
        <w:footnoteRef/>
      </w:r>
      <w:r w:rsidRPr="00D86F9D">
        <w:rPr>
          <w:szCs w:val="18"/>
        </w:rPr>
        <w:t xml:space="preserve"> I en eventuell omregning fra løpende nominell rente til løpende realrente kan man bruke Finansdepartementets indeks for pris- og lønnsvekst i kommunal sektor, Kommunal deflator, som skal gjenspeile sektorens samlede prisendring, veid over delkomponenter. Kommunal deflator tilsvarer summen </w:t>
      </w:r>
      <w:r>
        <w:rPr>
          <w:szCs w:val="18"/>
        </w:rPr>
        <w:t xml:space="preserve">av </w:t>
      </w:r>
      <w:r w:rsidRPr="00D86F9D">
        <w:rPr>
          <w:szCs w:val="18"/>
        </w:rPr>
        <w:t xml:space="preserve">konsumprisindeksen, et risikopåslag på 0,5 prosentpoeng og årslønnsveksten i hele økonomien. Prisindeksen tar utgangspunkt i et konsumentperspektiv. Alternativ kan man benytte Statistisk sentralbyrås </w:t>
      </w:r>
      <w:r w:rsidR="001E7794">
        <w:rPr>
          <w:szCs w:val="18"/>
        </w:rPr>
        <w:t xml:space="preserve">impliserte </w:t>
      </w:r>
      <w:r w:rsidRPr="00D86F9D">
        <w:rPr>
          <w:szCs w:val="18"/>
        </w:rPr>
        <w:t>bruttoproduktdeflator for kommunal sektor, dersom man legger et produksjonsperspektiv til grunn. Bruttoproduktdeflatoren for kommunal sektor er også en komposittdeflator, der de ulike sektorene har egne deflatorer for bruttoproduksjon og produktinnsats. Bruttoproduktdeflatoren fås ved å dividere differansen mellom bruttoproduksjonen og produktinnsatsen i løpende priser på tilsvarende differanse i faste priser.</w:t>
      </w:r>
    </w:p>
  </w:footnote>
  <w:footnote w:id="21">
    <w:p w14:paraId="46DE4D80" w14:textId="1661D561" w:rsidR="00B02D7E" w:rsidRPr="00D86F9D" w:rsidRDefault="00B02D7E" w:rsidP="00D86F9D">
      <w:pPr>
        <w:rPr>
          <w:sz w:val="18"/>
          <w:szCs w:val="18"/>
          <w:lang w:eastAsia="nb-NO"/>
        </w:rPr>
      </w:pPr>
      <w:r w:rsidRPr="00D86F9D">
        <w:rPr>
          <w:rStyle w:val="Fotnotereferanse"/>
          <w:sz w:val="18"/>
          <w:szCs w:val="18"/>
        </w:rPr>
        <w:footnoteRef/>
      </w:r>
      <w:r w:rsidRPr="00D86F9D">
        <w:rPr>
          <w:sz w:val="18"/>
          <w:szCs w:val="18"/>
        </w:rPr>
        <w:t xml:space="preserve"> </w:t>
      </w:r>
      <w:r w:rsidRPr="0042153F">
        <w:rPr>
          <w:color w:val="555555" w:themeColor="text2"/>
          <w:sz w:val="18"/>
          <w:szCs w:val="18"/>
        </w:rPr>
        <w:t>«</w:t>
      </w:r>
      <w:r w:rsidRPr="002C79A3">
        <w:rPr>
          <w:color w:val="3672B0" w:themeColor="accent2"/>
          <w:sz w:val="18"/>
          <w:szCs w:val="18"/>
          <w:lang w:eastAsia="nb-NO"/>
        </w:rPr>
        <w:t>NIBOR</w:t>
      </w:r>
      <w:r w:rsidRPr="0042153F">
        <w:rPr>
          <w:color w:val="555555" w:themeColor="text2"/>
          <w:sz w:val="18"/>
          <w:szCs w:val="18"/>
          <w:lang w:eastAsia="nb-NO"/>
        </w:rPr>
        <w:t>» står for «</w:t>
      </w:r>
      <w:r w:rsidRPr="002C79A3">
        <w:rPr>
          <w:i/>
          <w:iCs/>
          <w:color w:val="3672B0" w:themeColor="accent2"/>
          <w:sz w:val="18"/>
          <w:szCs w:val="18"/>
          <w:lang w:eastAsia="nb-NO"/>
        </w:rPr>
        <w:t>Norwegian Interbank Offered Rate</w:t>
      </w:r>
      <w:r w:rsidRPr="0042153F">
        <w:rPr>
          <w:color w:val="555555" w:themeColor="text2"/>
          <w:sz w:val="18"/>
          <w:szCs w:val="18"/>
          <w:lang w:eastAsia="nb-NO"/>
        </w:rPr>
        <w:t>». NIBOR-rentene skal gjenspeile rentenivået som en bank krever for usikret pengemarkedsutlån i norske kroner til en annen bank og kan ha ulike løpetider og kredittspredning.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Layout w:type="fixed"/>
      <w:tblCellMar>
        <w:left w:w="0" w:type="dxa"/>
        <w:right w:w="0" w:type="dxa"/>
      </w:tblCellMar>
      <w:tblLook w:val="04A0" w:firstRow="1" w:lastRow="0" w:firstColumn="1" w:lastColumn="0" w:noHBand="0" w:noVBand="1"/>
    </w:tblPr>
    <w:tblGrid>
      <w:gridCol w:w="10206"/>
    </w:tblGrid>
    <w:tr w:rsidR="00B02D7E" w:rsidRPr="008F082B" w14:paraId="67C8C619" w14:textId="77777777" w:rsidTr="00B74780">
      <w:tc>
        <w:tcPr>
          <w:tcW w:w="10205" w:type="dxa"/>
        </w:tcPr>
        <w:p w14:paraId="2C80E472" w14:textId="6EA234E7"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1C64A160" w14:textId="77777777" w:rsidR="00B02D7E" w:rsidRPr="008F082B" w:rsidRDefault="00B02D7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tblInd w:w="-1134" w:type="dxa"/>
      <w:tblLayout w:type="fixed"/>
      <w:tblCellMar>
        <w:left w:w="0" w:type="dxa"/>
        <w:right w:w="0" w:type="dxa"/>
      </w:tblCellMar>
      <w:tblLook w:val="04A0" w:firstRow="1" w:lastRow="0" w:firstColumn="1" w:lastColumn="0" w:noHBand="0" w:noVBand="1"/>
    </w:tblPr>
    <w:tblGrid>
      <w:gridCol w:w="10205"/>
    </w:tblGrid>
    <w:tr w:rsidR="00B02D7E" w:rsidRPr="008F082B" w14:paraId="1C21C2A3" w14:textId="77777777" w:rsidTr="001654D1">
      <w:tc>
        <w:tcPr>
          <w:tcW w:w="10205" w:type="dxa"/>
        </w:tcPr>
        <w:p w14:paraId="48FC8FB4" w14:textId="64FD8ACE"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56349D50" w14:textId="77777777" w:rsidR="00B02D7E" w:rsidRPr="008F082B" w:rsidRDefault="00B02D7E">
    <w:pPr>
      <w:pStyle w:val="Topptekst"/>
    </w:pPr>
  </w:p>
  <w:p w14:paraId="3B83E572" w14:textId="77777777" w:rsidR="00B02D7E" w:rsidRDefault="00B02D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tblInd w:w="-1134" w:type="dxa"/>
      <w:tblLayout w:type="fixed"/>
      <w:tblCellMar>
        <w:left w:w="0" w:type="dxa"/>
        <w:right w:w="0" w:type="dxa"/>
      </w:tblCellMar>
      <w:tblLook w:val="04A0" w:firstRow="1" w:lastRow="0" w:firstColumn="1" w:lastColumn="0" w:noHBand="0" w:noVBand="1"/>
    </w:tblPr>
    <w:tblGrid>
      <w:gridCol w:w="10205"/>
    </w:tblGrid>
    <w:tr w:rsidR="00B02D7E" w:rsidRPr="008F082B" w14:paraId="4C811F48" w14:textId="77777777" w:rsidTr="001654D1">
      <w:tc>
        <w:tcPr>
          <w:tcW w:w="10205" w:type="dxa"/>
        </w:tcPr>
        <w:p w14:paraId="0DBAA60E" w14:textId="5A6C4E6E"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1099EFD7" w14:textId="77777777" w:rsidR="00B02D7E" w:rsidRPr="008F082B" w:rsidRDefault="00B02D7E">
    <w:pPr>
      <w:pStyle w:val="Topptekst"/>
    </w:pPr>
  </w:p>
  <w:p w14:paraId="7C92C70B" w14:textId="77777777" w:rsidR="00B02D7E" w:rsidRDefault="00B02D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3906761E" w14:textId="77777777" w:rsidTr="003E5E7B">
      <w:trPr>
        <w:jc w:val="center"/>
      </w:trPr>
      <w:tc>
        <w:tcPr>
          <w:tcW w:w="10205" w:type="dxa"/>
        </w:tcPr>
        <w:p w14:paraId="3F2CE97F" w14:textId="0646E2C1"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47EE3397" w14:textId="77777777" w:rsidR="00B02D7E" w:rsidRPr="008F082B" w:rsidRDefault="00B02D7E">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4F12A0A5" w14:textId="77777777" w:rsidTr="00341502">
      <w:trPr>
        <w:jc w:val="center"/>
      </w:trPr>
      <w:tc>
        <w:tcPr>
          <w:tcW w:w="10205" w:type="dxa"/>
        </w:tcPr>
        <w:p w14:paraId="3722DA04" w14:textId="724C5E02"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18A9C7F0" w14:textId="77777777" w:rsidR="00B02D7E" w:rsidRPr="008F082B" w:rsidRDefault="00B02D7E" w:rsidP="003E5E7B">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343F587F" w14:textId="77777777" w:rsidTr="003E5E7B">
      <w:trPr>
        <w:jc w:val="center"/>
      </w:trPr>
      <w:tc>
        <w:tcPr>
          <w:tcW w:w="10205" w:type="dxa"/>
        </w:tcPr>
        <w:p w14:paraId="03ECF353" w14:textId="16AEC0DD"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7D32D374" w14:textId="77777777" w:rsidR="00B02D7E" w:rsidRPr="008F082B" w:rsidRDefault="00B02D7E">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13461715" w14:textId="77777777" w:rsidTr="003E5E7B">
      <w:trPr>
        <w:jc w:val="center"/>
      </w:trPr>
      <w:tc>
        <w:tcPr>
          <w:tcW w:w="10205" w:type="dxa"/>
        </w:tcPr>
        <w:p w14:paraId="5FA33571" w14:textId="12DD30FA"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02F02ABE" w14:textId="77777777" w:rsidR="00B02D7E" w:rsidRPr="008F082B" w:rsidRDefault="00B02D7E" w:rsidP="003E5E7B">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5" w:type="dxa"/>
      <w:tblInd w:w="-1134" w:type="dxa"/>
      <w:tblLayout w:type="fixed"/>
      <w:tblCellMar>
        <w:left w:w="0" w:type="dxa"/>
        <w:right w:w="0" w:type="dxa"/>
      </w:tblCellMar>
      <w:tblLook w:val="04A0" w:firstRow="1" w:lastRow="0" w:firstColumn="1" w:lastColumn="0" w:noHBand="0" w:noVBand="1"/>
    </w:tblPr>
    <w:tblGrid>
      <w:gridCol w:w="10205"/>
    </w:tblGrid>
    <w:tr w:rsidR="00B02D7E" w:rsidRPr="008F082B" w14:paraId="2B26B00D" w14:textId="77777777" w:rsidTr="001654D1">
      <w:tc>
        <w:tcPr>
          <w:tcW w:w="10205" w:type="dxa"/>
        </w:tcPr>
        <w:p w14:paraId="776CFCAF" w14:textId="3DB64F56"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9B1DA8">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9B1DA8">
            <w:rPr>
              <w:noProof/>
            </w:rPr>
            <w:t>Bruk av kapitalkostnader i utgiftsutjevningen i inntektssystemet for kommunal sektor</w:t>
          </w:r>
          <w:r w:rsidRPr="00E83C7D">
            <w:fldChar w:fldCharType="end"/>
          </w:r>
        </w:p>
      </w:tc>
    </w:tr>
  </w:tbl>
  <w:p w14:paraId="4AD5125F" w14:textId="77777777" w:rsidR="00B02D7E" w:rsidRDefault="00B02D7E" w:rsidP="001E726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C523004"/>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364920C"/>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BF06B8AE"/>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F956174A"/>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390C0A5C"/>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1A2A12"/>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BC729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E6330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D8A19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F0C0B292"/>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159B1130"/>
    <w:multiLevelType w:val="multilevel"/>
    <w:tmpl w:val="38A4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A0CD7"/>
    <w:multiLevelType w:val="hybridMultilevel"/>
    <w:tmpl w:val="99CCC1A4"/>
    <w:lvl w:ilvl="0" w:tplc="59C6522E">
      <w:start w:val="1"/>
      <w:numFmt w:val="bullet"/>
      <w:lvlText w:val=""/>
      <w:lvlJc w:val="left"/>
      <w:pPr>
        <w:ind w:left="1080" w:hanging="360"/>
      </w:pPr>
      <w:rPr>
        <w:rFonts w:ascii="Symbol" w:hAnsi="Symbol"/>
      </w:rPr>
    </w:lvl>
    <w:lvl w:ilvl="1" w:tplc="45CAA724">
      <w:start w:val="1"/>
      <w:numFmt w:val="bullet"/>
      <w:lvlText w:val=""/>
      <w:lvlJc w:val="left"/>
      <w:pPr>
        <w:ind w:left="1080" w:hanging="360"/>
      </w:pPr>
      <w:rPr>
        <w:rFonts w:ascii="Symbol" w:hAnsi="Symbol"/>
      </w:rPr>
    </w:lvl>
    <w:lvl w:ilvl="2" w:tplc="C18EF9EA">
      <w:start w:val="1"/>
      <w:numFmt w:val="bullet"/>
      <w:lvlText w:val=""/>
      <w:lvlJc w:val="left"/>
      <w:pPr>
        <w:ind w:left="1080" w:hanging="360"/>
      </w:pPr>
      <w:rPr>
        <w:rFonts w:ascii="Symbol" w:hAnsi="Symbol"/>
      </w:rPr>
    </w:lvl>
    <w:lvl w:ilvl="3" w:tplc="3CCE1F24">
      <w:start w:val="1"/>
      <w:numFmt w:val="bullet"/>
      <w:lvlText w:val=""/>
      <w:lvlJc w:val="left"/>
      <w:pPr>
        <w:ind w:left="1080" w:hanging="360"/>
      </w:pPr>
      <w:rPr>
        <w:rFonts w:ascii="Symbol" w:hAnsi="Symbol"/>
      </w:rPr>
    </w:lvl>
    <w:lvl w:ilvl="4" w:tplc="191243B4">
      <w:start w:val="1"/>
      <w:numFmt w:val="bullet"/>
      <w:lvlText w:val=""/>
      <w:lvlJc w:val="left"/>
      <w:pPr>
        <w:ind w:left="1080" w:hanging="360"/>
      </w:pPr>
      <w:rPr>
        <w:rFonts w:ascii="Symbol" w:hAnsi="Symbol"/>
      </w:rPr>
    </w:lvl>
    <w:lvl w:ilvl="5" w:tplc="DB90DD98">
      <w:start w:val="1"/>
      <w:numFmt w:val="bullet"/>
      <w:lvlText w:val=""/>
      <w:lvlJc w:val="left"/>
      <w:pPr>
        <w:ind w:left="1080" w:hanging="360"/>
      </w:pPr>
      <w:rPr>
        <w:rFonts w:ascii="Symbol" w:hAnsi="Symbol"/>
      </w:rPr>
    </w:lvl>
    <w:lvl w:ilvl="6" w:tplc="C5001F38">
      <w:start w:val="1"/>
      <w:numFmt w:val="bullet"/>
      <w:lvlText w:val=""/>
      <w:lvlJc w:val="left"/>
      <w:pPr>
        <w:ind w:left="1080" w:hanging="360"/>
      </w:pPr>
      <w:rPr>
        <w:rFonts w:ascii="Symbol" w:hAnsi="Symbol"/>
      </w:rPr>
    </w:lvl>
    <w:lvl w:ilvl="7" w:tplc="0CC41B48">
      <w:start w:val="1"/>
      <w:numFmt w:val="bullet"/>
      <w:lvlText w:val=""/>
      <w:lvlJc w:val="left"/>
      <w:pPr>
        <w:ind w:left="1080" w:hanging="360"/>
      </w:pPr>
      <w:rPr>
        <w:rFonts w:ascii="Symbol" w:hAnsi="Symbol"/>
      </w:rPr>
    </w:lvl>
    <w:lvl w:ilvl="8" w:tplc="F1002934">
      <w:start w:val="1"/>
      <w:numFmt w:val="bullet"/>
      <w:lvlText w:val=""/>
      <w:lvlJc w:val="left"/>
      <w:pPr>
        <w:ind w:left="1080" w:hanging="360"/>
      </w:pPr>
      <w:rPr>
        <w:rFonts w:ascii="Symbol" w:hAnsi="Symbol"/>
      </w:rPr>
    </w:lvl>
  </w:abstractNum>
  <w:abstractNum w:abstractNumId="12" w15:restartNumberingAfterBreak="0">
    <w:nsid w:val="234F58A6"/>
    <w:multiLevelType w:val="hybridMultilevel"/>
    <w:tmpl w:val="AA1ECF80"/>
    <w:lvl w:ilvl="0" w:tplc="E3FCFC3C">
      <w:start w:val="1"/>
      <w:numFmt w:val="decimal"/>
      <w:lvlText w:val="C%1"/>
      <w:lvlJc w:val="left"/>
      <w:pPr>
        <w:ind w:left="720" w:hanging="360"/>
      </w:pPr>
      <w:rPr>
        <w:rFonts w:hint="default"/>
        <w:color w:val="3672B0" w:themeColor="accent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8AA4081"/>
    <w:multiLevelType w:val="multilevel"/>
    <w:tmpl w:val="C898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DA5A04"/>
    <w:multiLevelType w:val="hybridMultilevel"/>
    <w:tmpl w:val="4AA87132"/>
    <w:lvl w:ilvl="0" w:tplc="FFFFFFFF">
      <w:start w:val="1"/>
      <w:numFmt w:val="decimal"/>
      <w:lvlText w:val="M%1"/>
      <w:lvlJc w:val="left"/>
      <w:pPr>
        <w:ind w:left="720" w:hanging="360"/>
      </w:pPr>
      <w:rPr>
        <w:rFonts w:hint="default"/>
        <w:color w:val="3672B0" w:themeColor="accent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57F038C"/>
    <w:multiLevelType w:val="hybridMultilevel"/>
    <w:tmpl w:val="6DA0F69E"/>
    <w:lvl w:ilvl="0" w:tplc="B9D49974">
      <w:start w:val="1"/>
      <w:numFmt w:val="bullet"/>
      <w:lvlText w:val=""/>
      <w:lvlJc w:val="left"/>
      <w:pPr>
        <w:ind w:left="1440" w:hanging="360"/>
      </w:pPr>
      <w:rPr>
        <w:rFonts w:ascii="Symbol" w:hAnsi="Symbol"/>
      </w:rPr>
    </w:lvl>
    <w:lvl w:ilvl="1" w:tplc="A7225B56">
      <w:start w:val="1"/>
      <w:numFmt w:val="bullet"/>
      <w:lvlText w:val=""/>
      <w:lvlJc w:val="left"/>
      <w:pPr>
        <w:ind w:left="1440" w:hanging="360"/>
      </w:pPr>
      <w:rPr>
        <w:rFonts w:ascii="Symbol" w:hAnsi="Symbol"/>
      </w:rPr>
    </w:lvl>
    <w:lvl w:ilvl="2" w:tplc="796ED0C0">
      <w:start w:val="1"/>
      <w:numFmt w:val="bullet"/>
      <w:lvlText w:val=""/>
      <w:lvlJc w:val="left"/>
      <w:pPr>
        <w:ind w:left="1440" w:hanging="360"/>
      </w:pPr>
      <w:rPr>
        <w:rFonts w:ascii="Symbol" w:hAnsi="Symbol"/>
      </w:rPr>
    </w:lvl>
    <w:lvl w:ilvl="3" w:tplc="D450AFBC">
      <w:start w:val="1"/>
      <w:numFmt w:val="bullet"/>
      <w:lvlText w:val=""/>
      <w:lvlJc w:val="left"/>
      <w:pPr>
        <w:ind w:left="1440" w:hanging="360"/>
      </w:pPr>
      <w:rPr>
        <w:rFonts w:ascii="Symbol" w:hAnsi="Symbol"/>
      </w:rPr>
    </w:lvl>
    <w:lvl w:ilvl="4" w:tplc="6240BDEA">
      <w:start w:val="1"/>
      <w:numFmt w:val="bullet"/>
      <w:lvlText w:val=""/>
      <w:lvlJc w:val="left"/>
      <w:pPr>
        <w:ind w:left="1440" w:hanging="360"/>
      </w:pPr>
      <w:rPr>
        <w:rFonts w:ascii="Symbol" w:hAnsi="Symbol"/>
      </w:rPr>
    </w:lvl>
    <w:lvl w:ilvl="5" w:tplc="4FD61BEE">
      <w:start w:val="1"/>
      <w:numFmt w:val="bullet"/>
      <w:lvlText w:val=""/>
      <w:lvlJc w:val="left"/>
      <w:pPr>
        <w:ind w:left="1440" w:hanging="360"/>
      </w:pPr>
      <w:rPr>
        <w:rFonts w:ascii="Symbol" w:hAnsi="Symbol"/>
      </w:rPr>
    </w:lvl>
    <w:lvl w:ilvl="6" w:tplc="F28695EC">
      <w:start w:val="1"/>
      <w:numFmt w:val="bullet"/>
      <w:lvlText w:val=""/>
      <w:lvlJc w:val="left"/>
      <w:pPr>
        <w:ind w:left="1440" w:hanging="360"/>
      </w:pPr>
      <w:rPr>
        <w:rFonts w:ascii="Symbol" w:hAnsi="Symbol"/>
      </w:rPr>
    </w:lvl>
    <w:lvl w:ilvl="7" w:tplc="18502C56">
      <w:start w:val="1"/>
      <w:numFmt w:val="bullet"/>
      <w:lvlText w:val=""/>
      <w:lvlJc w:val="left"/>
      <w:pPr>
        <w:ind w:left="1440" w:hanging="360"/>
      </w:pPr>
      <w:rPr>
        <w:rFonts w:ascii="Symbol" w:hAnsi="Symbol"/>
      </w:rPr>
    </w:lvl>
    <w:lvl w:ilvl="8" w:tplc="65C4A080">
      <w:start w:val="1"/>
      <w:numFmt w:val="bullet"/>
      <w:lvlText w:val=""/>
      <w:lvlJc w:val="left"/>
      <w:pPr>
        <w:ind w:left="1440" w:hanging="360"/>
      </w:pPr>
      <w:rPr>
        <w:rFonts w:ascii="Symbol" w:hAnsi="Symbol"/>
      </w:rPr>
    </w:lvl>
  </w:abstractNum>
  <w:abstractNum w:abstractNumId="16" w15:restartNumberingAfterBreak="0">
    <w:nsid w:val="40AF3AC9"/>
    <w:multiLevelType w:val="hybridMultilevel"/>
    <w:tmpl w:val="C092505A"/>
    <w:lvl w:ilvl="0" w:tplc="17FA41CA">
      <w:start w:val="1"/>
      <w:numFmt w:val="decimal"/>
      <w:lvlText w:val="%1)"/>
      <w:lvlJc w:val="left"/>
      <w:pPr>
        <w:ind w:left="1020" w:hanging="360"/>
      </w:pPr>
    </w:lvl>
    <w:lvl w:ilvl="1" w:tplc="54A46F3A">
      <w:start w:val="1"/>
      <w:numFmt w:val="decimal"/>
      <w:lvlText w:val="%2)"/>
      <w:lvlJc w:val="left"/>
      <w:pPr>
        <w:ind w:left="1020" w:hanging="360"/>
      </w:pPr>
    </w:lvl>
    <w:lvl w:ilvl="2" w:tplc="5C407684">
      <w:start w:val="1"/>
      <w:numFmt w:val="decimal"/>
      <w:lvlText w:val="%3)"/>
      <w:lvlJc w:val="left"/>
      <w:pPr>
        <w:ind w:left="1020" w:hanging="360"/>
      </w:pPr>
    </w:lvl>
    <w:lvl w:ilvl="3" w:tplc="24948E0A">
      <w:start w:val="1"/>
      <w:numFmt w:val="decimal"/>
      <w:lvlText w:val="%4)"/>
      <w:lvlJc w:val="left"/>
      <w:pPr>
        <w:ind w:left="1020" w:hanging="360"/>
      </w:pPr>
    </w:lvl>
    <w:lvl w:ilvl="4" w:tplc="94924C44">
      <w:start w:val="1"/>
      <w:numFmt w:val="decimal"/>
      <w:lvlText w:val="%5)"/>
      <w:lvlJc w:val="left"/>
      <w:pPr>
        <w:ind w:left="1020" w:hanging="360"/>
      </w:pPr>
    </w:lvl>
    <w:lvl w:ilvl="5" w:tplc="31E21C04">
      <w:start w:val="1"/>
      <w:numFmt w:val="decimal"/>
      <w:lvlText w:val="%6)"/>
      <w:lvlJc w:val="left"/>
      <w:pPr>
        <w:ind w:left="1020" w:hanging="360"/>
      </w:pPr>
    </w:lvl>
    <w:lvl w:ilvl="6" w:tplc="0A4A0AE2">
      <w:start w:val="1"/>
      <w:numFmt w:val="decimal"/>
      <w:lvlText w:val="%7)"/>
      <w:lvlJc w:val="left"/>
      <w:pPr>
        <w:ind w:left="1020" w:hanging="360"/>
      </w:pPr>
    </w:lvl>
    <w:lvl w:ilvl="7" w:tplc="C9FED2A6">
      <w:start w:val="1"/>
      <w:numFmt w:val="decimal"/>
      <w:lvlText w:val="%8)"/>
      <w:lvlJc w:val="left"/>
      <w:pPr>
        <w:ind w:left="1020" w:hanging="360"/>
      </w:pPr>
    </w:lvl>
    <w:lvl w:ilvl="8" w:tplc="A36C058A">
      <w:start w:val="1"/>
      <w:numFmt w:val="decimal"/>
      <w:lvlText w:val="%9)"/>
      <w:lvlJc w:val="left"/>
      <w:pPr>
        <w:ind w:left="1020" w:hanging="360"/>
      </w:pPr>
    </w:lvl>
  </w:abstractNum>
  <w:abstractNum w:abstractNumId="17" w15:restartNumberingAfterBreak="0">
    <w:nsid w:val="453709A5"/>
    <w:multiLevelType w:val="multilevel"/>
    <w:tmpl w:val="57C0F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0744BE"/>
    <w:multiLevelType w:val="multilevel"/>
    <w:tmpl w:val="CB82F502"/>
    <w:lvl w:ilvl="0">
      <w:numFmt w:val="bullet"/>
      <w:pStyle w:val="Bullet1"/>
      <w:lvlText w:val=""/>
      <w:lvlJc w:val="left"/>
      <w:pPr>
        <w:tabs>
          <w:tab w:val="num" w:pos="340"/>
        </w:tabs>
        <w:ind w:left="340" w:hanging="340"/>
      </w:pPr>
      <w:rPr>
        <w:rFonts w:ascii="Symbol" w:hAnsi="Symbol" w:hint="default"/>
        <w:color w:val="3672B0" w:themeColor="accent2"/>
      </w:rPr>
    </w:lvl>
    <w:lvl w:ilvl="1">
      <w:numFmt w:val="bullet"/>
      <w:pStyle w:val="Bullet2"/>
      <w:lvlText w:val="–"/>
      <w:lvlJc w:val="left"/>
      <w:pPr>
        <w:tabs>
          <w:tab w:val="num" w:pos="680"/>
        </w:tabs>
        <w:ind w:left="680" w:hanging="340"/>
      </w:pPr>
      <w:rPr>
        <w:rFonts w:hint="default"/>
        <w:color w:val="3672B0" w:themeColor="accent2"/>
      </w:rPr>
    </w:lvl>
    <w:lvl w:ilvl="2">
      <w:numFmt w:val="bullet"/>
      <w:pStyle w:val="Bullet3"/>
      <w:lvlText w:val="–"/>
      <w:lvlJc w:val="left"/>
      <w:pPr>
        <w:tabs>
          <w:tab w:val="num" w:pos="1021"/>
        </w:tabs>
        <w:ind w:left="1021" w:hanging="341"/>
      </w:pPr>
      <w:rPr>
        <w:rFonts w:hint="default"/>
        <w:color w:val="3672B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CD5573B"/>
    <w:multiLevelType w:val="hybridMultilevel"/>
    <w:tmpl w:val="9BDA7FB4"/>
    <w:lvl w:ilvl="0" w:tplc="04140001">
      <w:start w:val="1"/>
      <w:numFmt w:val="bullet"/>
      <w:lvlText w:val=""/>
      <w:lvlJc w:val="left"/>
      <w:pPr>
        <w:ind w:left="720" w:hanging="360"/>
      </w:pPr>
      <w:rPr>
        <w:rFonts w:ascii="Symbol" w:hAnsi="Symbol" w:hint="default"/>
        <w:color w:val="3672B0"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1770C9"/>
    <w:multiLevelType w:val="multilevel"/>
    <w:tmpl w:val="79C4B6E6"/>
    <w:lvl w:ilvl="0">
      <w:start w:val="1"/>
      <w:numFmt w:val="upperLetter"/>
      <w:pStyle w:val="Overskrift7"/>
      <w:lvlText w:val="%1"/>
      <w:lvlJc w:val="right"/>
      <w:pPr>
        <w:ind w:left="0" w:hanging="284"/>
      </w:pPr>
      <w:rPr>
        <w:rFonts w:hint="default"/>
      </w:rPr>
    </w:lvl>
    <w:lvl w:ilvl="1">
      <w:start w:val="1"/>
      <w:numFmt w:val="decimal"/>
      <w:pStyle w:val="Overskrift8"/>
      <w:lvlText w:val="%1.%2"/>
      <w:lvlJc w:val="right"/>
      <w:pPr>
        <w:ind w:left="0" w:hanging="284"/>
      </w:pPr>
      <w:rPr>
        <w:rFonts w:hint="default"/>
      </w:rPr>
    </w:lvl>
    <w:lvl w:ilvl="2">
      <w:start w:val="1"/>
      <w:numFmt w:val="decimal"/>
      <w:pStyle w:val="Overskrift9"/>
      <w:lvlText w:val="%1.%2.%3"/>
      <w:lvlJc w:val="right"/>
      <w:pPr>
        <w:ind w:left="0"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33A2A7D"/>
    <w:multiLevelType w:val="hybridMultilevel"/>
    <w:tmpl w:val="83F83954"/>
    <w:lvl w:ilvl="0" w:tplc="2014FAE6">
      <w:start w:val="1"/>
      <w:numFmt w:val="decimal"/>
      <w:lvlText w:val="K%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4CF620D"/>
    <w:multiLevelType w:val="multilevel"/>
    <w:tmpl w:val="C2942DFA"/>
    <w:lvl w:ilvl="0">
      <w:start w:val="1"/>
      <w:numFmt w:val="decimal"/>
      <w:lvlRestart w:val="0"/>
      <w:pStyle w:val="Overskrift1"/>
      <w:isLgl/>
      <w:lvlText w:val="%1"/>
      <w:lvlJc w:val="right"/>
      <w:pPr>
        <w:tabs>
          <w:tab w:val="num" w:pos="0"/>
        </w:tabs>
        <w:ind w:left="0" w:hanging="283"/>
      </w:pPr>
      <w:rPr>
        <w:sz w:val="64"/>
        <w:szCs w:val="64"/>
      </w:rPr>
    </w:lvl>
    <w:lvl w:ilvl="1">
      <w:start w:val="1"/>
      <w:numFmt w:val="decimal"/>
      <w:pStyle w:val="Overskrift2"/>
      <w:isLgl/>
      <w:lvlText w:val="%1.%2"/>
      <w:lvlJc w:val="right"/>
      <w:pPr>
        <w:tabs>
          <w:tab w:val="num" w:pos="0"/>
        </w:tabs>
        <w:ind w:left="0" w:hanging="283"/>
      </w:pPr>
      <w:rPr>
        <w:rFonts w:hint="default"/>
      </w:rPr>
    </w:lvl>
    <w:lvl w:ilvl="2">
      <w:start w:val="1"/>
      <w:numFmt w:val="decimal"/>
      <w:pStyle w:val="Overskrift3"/>
      <w:isLgl/>
      <w:lvlText w:val="%1.%2.%3"/>
      <w:lvlJc w:val="right"/>
      <w:pPr>
        <w:tabs>
          <w:tab w:val="num" w:pos="0"/>
        </w:tabs>
        <w:ind w:left="0" w:hanging="283"/>
      </w:pPr>
      <w:rPr>
        <w:rFonts w:hint="default"/>
      </w:rPr>
    </w:lvl>
    <w:lvl w:ilvl="3">
      <w:start w:val="1"/>
      <w:numFmt w:val="decimal"/>
      <w:pStyle w:val="Overskrift4"/>
      <w:isLgl/>
      <w:lvlText w:val="%1.%2.%3.%4"/>
      <w:lvlJc w:val="right"/>
      <w:pPr>
        <w:tabs>
          <w:tab w:val="num" w:pos="0"/>
        </w:tabs>
        <w:ind w:left="0" w:hanging="283"/>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23" w15:restartNumberingAfterBreak="0">
    <w:nsid w:val="56F2539E"/>
    <w:multiLevelType w:val="hybridMultilevel"/>
    <w:tmpl w:val="5ACA8B16"/>
    <w:lvl w:ilvl="0" w:tplc="47F03162">
      <w:start w:val="1"/>
      <w:numFmt w:val="decimal"/>
      <w:lvlText w:val="%1)"/>
      <w:lvlJc w:val="left"/>
      <w:pPr>
        <w:ind w:left="1020" w:hanging="360"/>
      </w:pPr>
    </w:lvl>
    <w:lvl w:ilvl="1" w:tplc="FFA2B446">
      <w:start w:val="1"/>
      <w:numFmt w:val="decimal"/>
      <w:lvlText w:val="%2)"/>
      <w:lvlJc w:val="left"/>
      <w:pPr>
        <w:ind w:left="1020" w:hanging="360"/>
      </w:pPr>
    </w:lvl>
    <w:lvl w:ilvl="2" w:tplc="6FC8CD0C">
      <w:start w:val="1"/>
      <w:numFmt w:val="decimal"/>
      <w:lvlText w:val="%3)"/>
      <w:lvlJc w:val="left"/>
      <w:pPr>
        <w:ind w:left="1020" w:hanging="360"/>
      </w:pPr>
    </w:lvl>
    <w:lvl w:ilvl="3" w:tplc="F45C1E5E">
      <w:start w:val="1"/>
      <w:numFmt w:val="decimal"/>
      <w:lvlText w:val="%4)"/>
      <w:lvlJc w:val="left"/>
      <w:pPr>
        <w:ind w:left="1020" w:hanging="360"/>
      </w:pPr>
    </w:lvl>
    <w:lvl w:ilvl="4" w:tplc="4AF27950">
      <w:start w:val="1"/>
      <w:numFmt w:val="decimal"/>
      <w:lvlText w:val="%5)"/>
      <w:lvlJc w:val="left"/>
      <w:pPr>
        <w:ind w:left="1020" w:hanging="360"/>
      </w:pPr>
    </w:lvl>
    <w:lvl w:ilvl="5" w:tplc="7B3640C8">
      <w:start w:val="1"/>
      <w:numFmt w:val="decimal"/>
      <w:lvlText w:val="%6)"/>
      <w:lvlJc w:val="left"/>
      <w:pPr>
        <w:ind w:left="1020" w:hanging="360"/>
      </w:pPr>
    </w:lvl>
    <w:lvl w:ilvl="6" w:tplc="953A6828">
      <w:start w:val="1"/>
      <w:numFmt w:val="decimal"/>
      <w:lvlText w:val="%7)"/>
      <w:lvlJc w:val="left"/>
      <w:pPr>
        <w:ind w:left="1020" w:hanging="360"/>
      </w:pPr>
    </w:lvl>
    <w:lvl w:ilvl="7" w:tplc="550E89F6">
      <w:start w:val="1"/>
      <w:numFmt w:val="decimal"/>
      <w:lvlText w:val="%8)"/>
      <w:lvlJc w:val="left"/>
      <w:pPr>
        <w:ind w:left="1020" w:hanging="360"/>
      </w:pPr>
    </w:lvl>
    <w:lvl w:ilvl="8" w:tplc="275C419C">
      <w:start w:val="1"/>
      <w:numFmt w:val="decimal"/>
      <w:lvlText w:val="%9)"/>
      <w:lvlJc w:val="left"/>
      <w:pPr>
        <w:ind w:left="1020" w:hanging="360"/>
      </w:pPr>
    </w:lvl>
  </w:abstractNum>
  <w:abstractNum w:abstractNumId="24" w15:restartNumberingAfterBreak="0">
    <w:nsid w:val="5EB916D9"/>
    <w:multiLevelType w:val="multilevel"/>
    <w:tmpl w:val="72C68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F52E9"/>
    <w:multiLevelType w:val="multilevel"/>
    <w:tmpl w:val="F49E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E3444F"/>
    <w:multiLevelType w:val="multilevel"/>
    <w:tmpl w:val="477A889A"/>
    <w:lvl w:ilvl="0">
      <w:numFmt w:val="bullet"/>
      <w:pStyle w:val="TableBullet1"/>
      <w:lvlText w:val=""/>
      <w:lvlJc w:val="left"/>
      <w:pPr>
        <w:tabs>
          <w:tab w:val="num" w:pos="170"/>
        </w:tabs>
        <w:ind w:left="170" w:hanging="170"/>
      </w:pPr>
      <w:rPr>
        <w:rFonts w:ascii="Symbol" w:hAnsi="Symbol" w:hint="default"/>
        <w:color w:val="3672B0" w:themeColor="accent2"/>
      </w:rPr>
    </w:lvl>
    <w:lvl w:ilvl="1">
      <w:numFmt w:val="bullet"/>
      <w:pStyle w:val="TableBullet2"/>
      <w:lvlText w:val="–"/>
      <w:lvlJc w:val="left"/>
      <w:pPr>
        <w:tabs>
          <w:tab w:val="num" w:pos="340"/>
        </w:tabs>
        <w:ind w:left="340" w:hanging="170"/>
      </w:pPr>
      <w:rPr>
        <w:rFonts w:hint="default"/>
        <w:color w:val="3672B0" w:themeColor="accent2"/>
      </w:rPr>
    </w:lvl>
    <w:lvl w:ilvl="2">
      <w:numFmt w:val="bullet"/>
      <w:pStyle w:val="TableBullet3"/>
      <w:lvlText w:val="–"/>
      <w:lvlJc w:val="left"/>
      <w:pPr>
        <w:tabs>
          <w:tab w:val="num" w:pos="510"/>
        </w:tabs>
        <w:ind w:left="510" w:hanging="170"/>
      </w:pPr>
      <w:rPr>
        <w:rFonts w:hint="default"/>
        <w:color w:val="3672B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27" w15:restartNumberingAfterBreak="0">
    <w:nsid w:val="796A3518"/>
    <w:multiLevelType w:val="multilevel"/>
    <w:tmpl w:val="2C58B08A"/>
    <w:lvl w:ilvl="0">
      <w:start w:val="1"/>
      <w:numFmt w:val="decimal"/>
      <w:pStyle w:val="NumBullet1"/>
      <w:lvlText w:val="%1."/>
      <w:lvlJc w:val="left"/>
      <w:pPr>
        <w:tabs>
          <w:tab w:val="num" w:pos="340"/>
        </w:tabs>
        <w:ind w:left="340" w:hanging="340"/>
      </w:pPr>
      <w:rPr>
        <w:rFonts w:hint="default"/>
        <w:color w:val="3672B0" w:themeColor="accent2"/>
      </w:rPr>
    </w:lvl>
    <w:lvl w:ilvl="1">
      <w:start w:val="1"/>
      <w:numFmt w:val="lowerLetter"/>
      <w:pStyle w:val="NumBullet2"/>
      <w:lvlText w:val="%2."/>
      <w:lvlJc w:val="left"/>
      <w:pPr>
        <w:tabs>
          <w:tab w:val="num" w:pos="680"/>
        </w:tabs>
        <w:ind w:left="680" w:hanging="340"/>
      </w:pPr>
      <w:rPr>
        <w:rFonts w:hint="default"/>
        <w:color w:val="3672B0" w:themeColor="accent2"/>
      </w:rPr>
    </w:lvl>
    <w:lvl w:ilvl="2">
      <w:start w:val="1"/>
      <w:numFmt w:val="lowerRoman"/>
      <w:pStyle w:val="NumBullet3"/>
      <w:lvlText w:val="%3."/>
      <w:lvlJc w:val="left"/>
      <w:pPr>
        <w:tabs>
          <w:tab w:val="num" w:pos="1021"/>
        </w:tabs>
        <w:ind w:left="1021" w:hanging="341"/>
      </w:pPr>
      <w:rPr>
        <w:rFonts w:hint="default"/>
        <w:color w:val="3672B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8016012">
    <w:abstractNumId w:val="22"/>
  </w:num>
  <w:num w:numId="2" w16cid:durableId="732193650">
    <w:abstractNumId w:val="22"/>
  </w:num>
  <w:num w:numId="3" w16cid:durableId="229534803">
    <w:abstractNumId w:val="20"/>
  </w:num>
  <w:num w:numId="4" w16cid:durableId="1440686267">
    <w:abstractNumId w:val="18"/>
  </w:num>
  <w:num w:numId="5" w16cid:durableId="304235248">
    <w:abstractNumId w:val="27"/>
  </w:num>
  <w:num w:numId="6" w16cid:durableId="1258252709">
    <w:abstractNumId w:val="26"/>
  </w:num>
  <w:num w:numId="7" w16cid:durableId="1928807376">
    <w:abstractNumId w:val="8"/>
  </w:num>
  <w:num w:numId="8" w16cid:durableId="531962936">
    <w:abstractNumId w:val="3"/>
  </w:num>
  <w:num w:numId="9" w16cid:durableId="140583729">
    <w:abstractNumId w:val="2"/>
  </w:num>
  <w:num w:numId="10" w16cid:durableId="10769306">
    <w:abstractNumId w:val="1"/>
  </w:num>
  <w:num w:numId="11" w16cid:durableId="2000226300">
    <w:abstractNumId w:val="0"/>
  </w:num>
  <w:num w:numId="12" w16cid:durableId="366370709">
    <w:abstractNumId w:val="4"/>
  </w:num>
  <w:num w:numId="13" w16cid:durableId="1251155398">
    <w:abstractNumId w:val="5"/>
  </w:num>
  <w:num w:numId="14" w16cid:durableId="1386679394">
    <w:abstractNumId w:val="6"/>
  </w:num>
  <w:num w:numId="15" w16cid:durableId="1786734076">
    <w:abstractNumId w:val="9"/>
  </w:num>
  <w:num w:numId="16" w16cid:durableId="1267349667">
    <w:abstractNumId w:val="7"/>
  </w:num>
  <w:num w:numId="17" w16cid:durableId="1740132401">
    <w:abstractNumId w:val="12"/>
  </w:num>
  <w:num w:numId="18" w16cid:durableId="1548100025">
    <w:abstractNumId w:val="21"/>
  </w:num>
  <w:num w:numId="19" w16cid:durableId="2059279751">
    <w:abstractNumId w:val="14"/>
  </w:num>
  <w:num w:numId="20" w16cid:durableId="392655880">
    <w:abstractNumId w:val="19"/>
  </w:num>
  <w:num w:numId="21" w16cid:durableId="1496333746">
    <w:abstractNumId w:val="16"/>
  </w:num>
  <w:num w:numId="22" w16cid:durableId="1549948624">
    <w:abstractNumId w:val="24"/>
  </w:num>
  <w:num w:numId="23" w16cid:durableId="1382704521">
    <w:abstractNumId w:val="10"/>
  </w:num>
  <w:num w:numId="24" w16cid:durableId="468866072">
    <w:abstractNumId w:val="25"/>
  </w:num>
  <w:num w:numId="25" w16cid:durableId="439183315">
    <w:abstractNumId w:val="11"/>
  </w:num>
  <w:num w:numId="26" w16cid:durableId="404686203">
    <w:abstractNumId w:val="15"/>
  </w:num>
  <w:num w:numId="27" w16cid:durableId="516820468">
    <w:abstractNumId w:val="13"/>
  </w:num>
  <w:num w:numId="28" w16cid:durableId="1601833264">
    <w:abstractNumId w:val="17"/>
    <w:lvlOverride w:ilvl="0">
      <w:startOverride w:val="2"/>
    </w:lvlOverride>
  </w:num>
  <w:num w:numId="29" w16cid:durableId="1073164322">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doNotHyphenateCaps/>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xMDcxtTQ3MDKwNDdT0lEKTi0uzszPAykwMqkFAFTm+n0tAAAA"/>
  </w:docVars>
  <w:rsids>
    <w:rsidRoot w:val="005277BF"/>
    <w:rsid w:val="000004E5"/>
    <w:rsid w:val="00000642"/>
    <w:rsid w:val="0000133D"/>
    <w:rsid w:val="000016A5"/>
    <w:rsid w:val="000016DA"/>
    <w:rsid w:val="000017CB"/>
    <w:rsid w:val="00001926"/>
    <w:rsid w:val="00001BB3"/>
    <w:rsid w:val="00002017"/>
    <w:rsid w:val="00002718"/>
    <w:rsid w:val="000027EE"/>
    <w:rsid w:val="0000294B"/>
    <w:rsid w:val="00003160"/>
    <w:rsid w:val="00003607"/>
    <w:rsid w:val="00003A24"/>
    <w:rsid w:val="00003DCD"/>
    <w:rsid w:val="00004873"/>
    <w:rsid w:val="0000534F"/>
    <w:rsid w:val="00005423"/>
    <w:rsid w:val="000056DC"/>
    <w:rsid w:val="000057D9"/>
    <w:rsid w:val="000062E0"/>
    <w:rsid w:val="0000661D"/>
    <w:rsid w:val="00006B15"/>
    <w:rsid w:val="00006CAA"/>
    <w:rsid w:val="00006D2F"/>
    <w:rsid w:val="000077CB"/>
    <w:rsid w:val="0000794F"/>
    <w:rsid w:val="00007CC4"/>
    <w:rsid w:val="000108F7"/>
    <w:rsid w:val="00010B5A"/>
    <w:rsid w:val="00010D6C"/>
    <w:rsid w:val="00010F5F"/>
    <w:rsid w:val="0001190D"/>
    <w:rsid w:val="00011AF0"/>
    <w:rsid w:val="0001215A"/>
    <w:rsid w:val="00012F9D"/>
    <w:rsid w:val="0001305C"/>
    <w:rsid w:val="00013238"/>
    <w:rsid w:val="00013486"/>
    <w:rsid w:val="000135BC"/>
    <w:rsid w:val="00013E4C"/>
    <w:rsid w:val="000141CD"/>
    <w:rsid w:val="0001497F"/>
    <w:rsid w:val="00014D3F"/>
    <w:rsid w:val="00014F0F"/>
    <w:rsid w:val="000151EA"/>
    <w:rsid w:val="00015233"/>
    <w:rsid w:val="00015AEC"/>
    <w:rsid w:val="00015B49"/>
    <w:rsid w:val="00015F98"/>
    <w:rsid w:val="00016630"/>
    <w:rsid w:val="0001725B"/>
    <w:rsid w:val="0001774F"/>
    <w:rsid w:val="000178D7"/>
    <w:rsid w:val="00017967"/>
    <w:rsid w:val="00017FEB"/>
    <w:rsid w:val="00020053"/>
    <w:rsid w:val="000202E4"/>
    <w:rsid w:val="0002033F"/>
    <w:rsid w:val="0002139B"/>
    <w:rsid w:val="0002169B"/>
    <w:rsid w:val="000218C9"/>
    <w:rsid w:val="00021B1C"/>
    <w:rsid w:val="00022991"/>
    <w:rsid w:val="00022F0E"/>
    <w:rsid w:val="0002344F"/>
    <w:rsid w:val="00023BA5"/>
    <w:rsid w:val="00023F7A"/>
    <w:rsid w:val="00023FED"/>
    <w:rsid w:val="000245A3"/>
    <w:rsid w:val="000246B0"/>
    <w:rsid w:val="00024709"/>
    <w:rsid w:val="00024898"/>
    <w:rsid w:val="0002496E"/>
    <w:rsid w:val="00024FA6"/>
    <w:rsid w:val="000254A9"/>
    <w:rsid w:val="0002557B"/>
    <w:rsid w:val="000256BC"/>
    <w:rsid w:val="00025BE8"/>
    <w:rsid w:val="00025C19"/>
    <w:rsid w:val="000262BD"/>
    <w:rsid w:val="00026701"/>
    <w:rsid w:val="0002671A"/>
    <w:rsid w:val="00026B55"/>
    <w:rsid w:val="0002765F"/>
    <w:rsid w:val="00027E00"/>
    <w:rsid w:val="00027E5E"/>
    <w:rsid w:val="00027F44"/>
    <w:rsid w:val="00030136"/>
    <w:rsid w:val="00030454"/>
    <w:rsid w:val="000304A2"/>
    <w:rsid w:val="00030E57"/>
    <w:rsid w:val="000310B0"/>
    <w:rsid w:val="000321F0"/>
    <w:rsid w:val="00032A05"/>
    <w:rsid w:val="00032A97"/>
    <w:rsid w:val="00032CD7"/>
    <w:rsid w:val="00033130"/>
    <w:rsid w:val="000331FF"/>
    <w:rsid w:val="00033210"/>
    <w:rsid w:val="00033B3D"/>
    <w:rsid w:val="00033F33"/>
    <w:rsid w:val="00033FEB"/>
    <w:rsid w:val="000340E3"/>
    <w:rsid w:val="00034262"/>
    <w:rsid w:val="0003460F"/>
    <w:rsid w:val="00034919"/>
    <w:rsid w:val="00034996"/>
    <w:rsid w:val="000349A9"/>
    <w:rsid w:val="00034A46"/>
    <w:rsid w:val="000357AE"/>
    <w:rsid w:val="000358C9"/>
    <w:rsid w:val="00035E3F"/>
    <w:rsid w:val="000369AC"/>
    <w:rsid w:val="0003763C"/>
    <w:rsid w:val="000377AF"/>
    <w:rsid w:val="00037C35"/>
    <w:rsid w:val="00037F15"/>
    <w:rsid w:val="00037F5A"/>
    <w:rsid w:val="0004014B"/>
    <w:rsid w:val="00040203"/>
    <w:rsid w:val="00041116"/>
    <w:rsid w:val="0004113A"/>
    <w:rsid w:val="0004121A"/>
    <w:rsid w:val="0004141B"/>
    <w:rsid w:val="00041D11"/>
    <w:rsid w:val="00041D86"/>
    <w:rsid w:val="00042077"/>
    <w:rsid w:val="000420F2"/>
    <w:rsid w:val="000426D9"/>
    <w:rsid w:val="00042ABC"/>
    <w:rsid w:val="00042BB3"/>
    <w:rsid w:val="00042BF6"/>
    <w:rsid w:val="00042EE9"/>
    <w:rsid w:val="00042FBE"/>
    <w:rsid w:val="00043465"/>
    <w:rsid w:val="00044122"/>
    <w:rsid w:val="00044176"/>
    <w:rsid w:val="00044608"/>
    <w:rsid w:val="00045326"/>
    <w:rsid w:val="00045855"/>
    <w:rsid w:val="00045986"/>
    <w:rsid w:val="00045ADC"/>
    <w:rsid w:val="0004641A"/>
    <w:rsid w:val="000466DD"/>
    <w:rsid w:val="00047388"/>
    <w:rsid w:val="00047760"/>
    <w:rsid w:val="00047771"/>
    <w:rsid w:val="00047819"/>
    <w:rsid w:val="000504C7"/>
    <w:rsid w:val="00050A75"/>
    <w:rsid w:val="00051273"/>
    <w:rsid w:val="00051531"/>
    <w:rsid w:val="000516D5"/>
    <w:rsid w:val="000518AA"/>
    <w:rsid w:val="000518C1"/>
    <w:rsid w:val="000518EE"/>
    <w:rsid w:val="00051A60"/>
    <w:rsid w:val="00051A64"/>
    <w:rsid w:val="00051F20"/>
    <w:rsid w:val="00052595"/>
    <w:rsid w:val="0005281C"/>
    <w:rsid w:val="00052BBA"/>
    <w:rsid w:val="00052F19"/>
    <w:rsid w:val="00052F38"/>
    <w:rsid w:val="00053456"/>
    <w:rsid w:val="0005378D"/>
    <w:rsid w:val="0005380A"/>
    <w:rsid w:val="00053AF5"/>
    <w:rsid w:val="00053D81"/>
    <w:rsid w:val="000541BD"/>
    <w:rsid w:val="00054645"/>
    <w:rsid w:val="000548B4"/>
    <w:rsid w:val="00054966"/>
    <w:rsid w:val="00054C4F"/>
    <w:rsid w:val="00054CB0"/>
    <w:rsid w:val="00055177"/>
    <w:rsid w:val="000555A2"/>
    <w:rsid w:val="00055775"/>
    <w:rsid w:val="00055C00"/>
    <w:rsid w:val="00055DB9"/>
    <w:rsid w:val="000563B0"/>
    <w:rsid w:val="0005648F"/>
    <w:rsid w:val="00056742"/>
    <w:rsid w:val="00056953"/>
    <w:rsid w:val="00056D18"/>
    <w:rsid w:val="0005738B"/>
    <w:rsid w:val="000578EE"/>
    <w:rsid w:val="00057919"/>
    <w:rsid w:val="00057AD3"/>
    <w:rsid w:val="00057F53"/>
    <w:rsid w:val="000600F4"/>
    <w:rsid w:val="0006028B"/>
    <w:rsid w:val="00060763"/>
    <w:rsid w:val="00060A80"/>
    <w:rsid w:val="00060B20"/>
    <w:rsid w:val="00060BB2"/>
    <w:rsid w:val="00060C4F"/>
    <w:rsid w:val="0006155E"/>
    <w:rsid w:val="0006169D"/>
    <w:rsid w:val="00061771"/>
    <w:rsid w:val="00061B37"/>
    <w:rsid w:val="00062703"/>
    <w:rsid w:val="000628BF"/>
    <w:rsid w:val="00062DD0"/>
    <w:rsid w:val="0006381A"/>
    <w:rsid w:val="00063834"/>
    <w:rsid w:val="0006455C"/>
    <w:rsid w:val="00064682"/>
    <w:rsid w:val="00064F10"/>
    <w:rsid w:val="000651DD"/>
    <w:rsid w:val="000652A6"/>
    <w:rsid w:val="00065878"/>
    <w:rsid w:val="00065A84"/>
    <w:rsid w:val="00065CE8"/>
    <w:rsid w:val="00065E3A"/>
    <w:rsid w:val="00065F52"/>
    <w:rsid w:val="000660C9"/>
    <w:rsid w:val="000661DD"/>
    <w:rsid w:val="000664A5"/>
    <w:rsid w:val="00066757"/>
    <w:rsid w:val="00066912"/>
    <w:rsid w:val="00066C8D"/>
    <w:rsid w:val="0006712A"/>
    <w:rsid w:val="0006762A"/>
    <w:rsid w:val="00067D49"/>
    <w:rsid w:val="0007090A"/>
    <w:rsid w:val="00070BBB"/>
    <w:rsid w:val="00070C1D"/>
    <w:rsid w:val="000712B0"/>
    <w:rsid w:val="00071610"/>
    <w:rsid w:val="000717B3"/>
    <w:rsid w:val="00071970"/>
    <w:rsid w:val="000719B7"/>
    <w:rsid w:val="00071B1F"/>
    <w:rsid w:val="00071DD3"/>
    <w:rsid w:val="0007215D"/>
    <w:rsid w:val="00072293"/>
    <w:rsid w:val="000724F7"/>
    <w:rsid w:val="00072ABC"/>
    <w:rsid w:val="00072C16"/>
    <w:rsid w:val="00072F60"/>
    <w:rsid w:val="00073221"/>
    <w:rsid w:val="00073608"/>
    <w:rsid w:val="00073A0B"/>
    <w:rsid w:val="00073A86"/>
    <w:rsid w:val="00073CB3"/>
    <w:rsid w:val="00074367"/>
    <w:rsid w:val="000744A1"/>
    <w:rsid w:val="00075C1F"/>
    <w:rsid w:val="00075D13"/>
    <w:rsid w:val="000764AF"/>
    <w:rsid w:val="000765E9"/>
    <w:rsid w:val="000766EF"/>
    <w:rsid w:val="00076F2D"/>
    <w:rsid w:val="0007785D"/>
    <w:rsid w:val="00077A6C"/>
    <w:rsid w:val="00077D26"/>
    <w:rsid w:val="00080289"/>
    <w:rsid w:val="000803D9"/>
    <w:rsid w:val="00080810"/>
    <w:rsid w:val="0008102E"/>
    <w:rsid w:val="000814D3"/>
    <w:rsid w:val="000816ED"/>
    <w:rsid w:val="00081714"/>
    <w:rsid w:val="000819A9"/>
    <w:rsid w:val="000821AE"/>
    <w:rsid w:val="000823F7"/>
    <w:rsid w:val="00082662"/>
    <w:rsid w:val="0008367F"/>
    <w:rsid w:val="00083A6D"/>
    <w:rsid w:val="00084046"/>
    <w:rsid w:val="0008462A"/>
    <w:rsid w:val="00084695"/>
    <w:rsid w:val="00084781"/>
    <w:rsid w:val="00085521"/>
    <w:rsid w:val="000856FC"/>
    <w:rsid w:val="0008597E"/>
    <w:rsid w:val="00085BE5"/>
    <w:rsid w:val="00086319"/>
    <w:rsid w:val="00086AA6"/>
    <w:rsid w:val="00087520"/>
    <w:rsid w:val="00087557"/>
    <w:rsid w:val="00090395"/>
    <w:rsid w:val="000904BD"/>
    <w:rsid w:val="000904DF"/>
    <w:rsid w:val="00090C2F"/>
    <w:rsid w:val="00091227"/>
    <w:rsid w:val="00091958"/>
    <w:rsid w:val="00091A05"/>
    <w:rsid w:val="00091B34"/>
    <w:rsid w:val="00091C3D"/>
    <w:rsid w:val="00091C9D"/>
    <w:rsid w:val="00093605"/>
    <w:rsid w:val="00093703"/>
    <w:rsid w:val="0009399C"/>
    <w:rsid w:val="000939B6"/>
    <w:rsid w:val="0009418D"/>
    <w:rsid w:val="00094D11"/>
    <w:rsid w:val="0009535E"/>
    <w:rsid w:val="00095580"/>
    <w:rsid w:val="000962FD"/>
    <w:rsid w:val="000963B8"/>
    <w:rsid w:val="00096442"/>
    <w:rsid w:val="000965C6"/>
    <w:rsid w:val="00096EDF"/>
    <w:rsid w:val="00097348"/>
    <w:rsid w:val="0009734C"/>
    <w:rsid w:val="0009748A"/>
    <w:rsid w:val="0009752A"/>
    <w:rsid w:val="000A00AF"/>
    <w:rsid w:val="000A0388"/>
    <w:rsid w:val="000A0558"/>
    <w:rsid w:val="000A05D0"/>
    <w:rsid w:val="000A09C0"/>
    <w:rsid w:val="000A0C3E"/>
    <w:rsid w:val="000A0CD7"/>
    <w:rsid w:val="000A14ED"/>
    <w:rsid w:val="000A168B"/>
    <w:rsid w:val="000A1CD0"/>
    <w:rsid w:val="000A1EB8"/>
    <w:rsid w:val="000A1F84"/>
    <w:rsid w:val="000A207C"/>
    <w:rsid w:val="000A20F3"/>
    <w:rsid w:val="000A21B0"/>
    <w:rsid w:val="000A24B1"/>
    <w:rsid w:val="000A2A30"/>
    <w:rsid w:val="000A2AA7"/>
    <w:rsid w:val="000A3C7C"/>
    <w:rsid w:val="000A3F9A"/>
    <w:rsid w:val="000A4368"/>
    <w:rsid w:val="000A46C4"/>
    <w:rsid w:val="000A4829"/>
    <w:rsid w:val="000A4F1C"/>
    <w:rsid w:val="000A501D"/>
    <w:rsid w:val="000A59C1"/>
    <w:rsid w:val="000A59E1"/>
    <w:rsid w:val="000A5BB6"/>
    <w:rsid w:val="000A5D1D"/>
    <w:rsid w:val="000A60BF"/>
    <w:rsid w:val="000A63D9"/>
    <w:rsid w:val="000A6476"/>
    <w:rsid w:val="000A647F"/>
    <w:rsid w:val="000A6716"/>
    <w:rsid w:val="000A6A0D"/>
    <w:rsid w:val="000A6AD0"/>
    <w:rsid w:val="000A7105"/>
    <w:rsid w:val="000A7117"/>
    <w:rsid w:val="000A7538"/>
    <w:rsid w:val="000A763E"/>
    <w:rsid w:val="000A7F78"/>
    <w:rsid w:val="000B0437"/>
    <w:rsid w:val="000B0A1D"/>
    <w:rsid w:val="000B0A46"/>
    <w:rsid w:val="000B1055"/>
    <w:rsid w:val="000B15F2"/>
    <w:rsid w:val="000B164C"/>
    <w:rsid w:val="000B1844"/>
    <w:rsid w:val="000B1CB3"/>
    <w:rsid w:val="000B232C"/>
    <w:rsid w:val="000B286B"/>
    <w:rsid w:val="000B2F9C"/>
    <w:rsid w:val="000B3198"/>
    <w:rsid w:val="000B31C8"/>
    <w:rsid w:val="000B3488"/>
    <w:rsid w:val="000B3EB7"/>
    <w:rsid w:val="000B4420"/>
    <w:rsid w:val="000B453E"/>
    <w:rsid w:val="000B49E6"/>
    <w:rsid w:val="000B4FF4"/>
    <w:rsid w:val="000B565C"/>
    <w:rsid w:val="000B5B1C"/>
    <w:rsid w:val="000B5C3B"/>
    <w:rsid w:val="000B60CA"/>
    <w:rsid w:val="000B6244"/>
    <w:rsid w:val="000B74C2"/>
    <w:rsid w:val="000B7562"/>
    <w:rsid w:val="000C0897"/>
    <w:rsid w:val="000C08D2"/>
    <w:rsid w:val="000C0AA2"/>
    <w:rsid w:val="000C0F30"/>
    <w:rsid w:val="000C12AD"/>
    <w:rsid w:val="000C1678"/>
    <w:rsid w:val="000C1934"/>
    <w:rsid w:val="000C1DC9"/>
    <w:rsid w:val="000C1FF4"/>
    <w:rsid w:val="000C2269"/>
    <w:rsid w:val="000C2545"/>
    <w:rsid w:val="000C26D7"/>
    <w:rsid w:val="000C2A60"/>
    <w:rsid w:val="000C2A93"/>
    <w:rsid w:val="000C2C22"/>
    <w:rsid w:val="000C31AE"/>
    <w:rsid w:val="000C3326"/>
    <w:rsid w:val="000C3523"/>
    <w:rsid w:val="000C35AF"/>
    <w:rsid w:val="000C39EF"/>
    <w:rsid w:val="000C3B83"/>
    <w:rsid w:val="000C4679"/>
    <w:rsid w:val="000C4756"/>
    <w:rsid w:val="000C4A1A"/>
    <w:rsid w:val="000C4A1C"/>
    <w:rsid w:val="000C4CBC"/>
    <w:rsid w:val="000C555B"/>
    <w:rsid w:val="000C556F"/>
    <w:rsid w:val="000C5EC3"/>
    <w:rsid w:val="000C5F67"/>
    <w:rsid w:val="000C5F8E"/>
    <w:rsid w:val="000C63DB"/>
    <w:rsid w:val="000C655F"/>
    <w:rsid w:val="000C65C9"/>
    <w:rsid w:val="000C6BBE"/>
    <w:rsid w:val="000C728C"/>
    <w:rsid w:val="000C75E4"/>
    <w:rsid w:val="000C76F0"/>
    <w:rsid w:val="000C79D5"/>
    <w:rsid w:val="000C7DEE"/>
    <w:rsid w:val="000D0015"/>
    <w:rsid w:val="000D04AA"/>
    <w:rsid w:val="000D060B"/>
    <w:rsid w:val="000D09F2"/>
    <w:rsid w:val="000D0C48"/>
    <w:rsid w:val="000D17BB"/>
    <w:rsid w:val="000D2226"/>
    <w:rsid w:val="000D22AF"/>
    <w:rsid w:val="000D2471"/>
    <w:rsid w:val="000D29F2"/>
    <w:rsid w:val="000D2BAE"/>
    <w:rsid w:val="000D2F75"/>
    <w:rsid w:val="000D32DE"/>
    <w:rsid w:val="000D3518"/>
    <w:rsid w:val="000D3615"/>
    <w:rsid w:val="000D39B6"/>
    <w:rsid w:val="000D3B51"/>
    <w:rsid w:val="000D3E1F"/>
    <w:rsid w:val="000D44CC"/>
    <w:rsid w:val="000D44D5"/>
    <w:rsid w:val="000D46AB"/>
    <w:rsid w:val="000D475F"/>
    <w:rsid w:val="000D4779"/>
    <w:rsid w:val="000D47A8"/>
    <w:rsid w:val="000D4DC3"/>
    <w:rsid w:val="000D4ECA"/>
    <w:rsid w:val="000D51A2"/>
    <w:rsid w:val="000D5381"/>
    <w:rsid w:val="000D5ABA"/>
    <w:rsid w:val="000D5B7E"/>
    <w:rsid w:val="000D5DFA"/>
    <w:rsid w:val="000D5E5E"/>
    <w:rsid w:val="000D5EA7"/>
    <w:rsid w:val="000D60B1"/>
    <w:rsid w:val="000D6767"/>
    <w:rsid w:val="000D68A0"/>
    <w:rsid w:val="000D69AF"/>
    <w:rsid w:val="000D7095"/>
    <w:rsid w:val="000D750A"/>
    <w:rsid w:val="000D77DD"/>
    <w:rsid w:val="000D7C60"/>
    <w:rsid w:val="000E01B0"/>
    <w:rsid w:val="000E01CD"/>
    <w:rsid w:val="000E08F8"/>
    <w:rsid w:val="000E094C"/>
    <w:rsid w:val="000E117E"/>
    <w:rsid w:val="000E120A"/>
    <w:rsid w:val="000E1513"/>
    <w:rsid w:val="000E1F0D"/>
    <w:rsid w:val="000E2874"/>
    <w:rsid w:val="000E3464"/>
    <w:rsid w:val="000E37BB"/>
    <w:rsid w:val="000E3FE4"/>
    <w:rsid w:val="000E43D1"/>
    <w:rsid w:val="000E449B"/>
    <w:rsid w:val="000E4569"/>
    <w:rsid w:val="000E4B14"/>
    <w:rsid w:val="000E4CEF"/>
    <w:rsid w:val="000E4DE1"/>
    <w:rsid w:val="000E4DFC"/>
    <w:rsid w:val="000E50B8"/>
    <w:rsid w:val="000E5882"/>
    <w:rsid w:val="000E58E9"/>
    <w:rsid w:val="000E5944"/>
    <w:rsid w:val="000E65C4"/>
    <w:rsid w:val="000E661B"/>
    <w:rsid w:val="000E672C"/>
    <w:rsid w:val="000E72C7"/>
    <w:rsid w:val="000E7600"/>
    <w:rsid w:val="000E7742"/>
    <w:rsid w:val="000F0276"/>
    <w:rsid w:val="000F0369"/>
    <w:rsid w:val="000F04F6"/>
    <w:rsid w:val="000F06AE"/>
    <w:rsid w:val="000F0725"/>
    <w:rsid w:val="000F0DD3"/>
    <w:rsid w:val="000F1324"/>
    <w:rsid w:val="000F1967"/>
    <w:rsid w:val="000F2BAD"/>
    <w:rsid w:val="000F2D01"/>
    <w:rsid w:val="000F3080"/>
    <w:rsid w:val="000F32F3"/>
    <w:rsid w:val="000F362C"/>
    <w:rsid w:val="000F399C"/>
    <w:rsid w:val="000F3AD3"/>
    <w:rsid w:val="000F3B0A"/>
    <w:rsid w:val="000F3E2A"/>
    <w:rsid w:val="000F403D"/>
    <w:rsid w:val="000F4522"/>
    <w:rsid w:val="000F45C5"/>
    <w:rsid w:val="000F4712"/>
    <w:rsid w:val="000F50C9"/>
    <w:rsid w:val="000F53F4"/>
    <w:rsid w:val="000F547F"/>
    <w:rsid w:val="000F5B32"/>
    <w:rsid w:val="000F63DB"/>
    <w:rsid w:val="000F64FE"/>
    <w:rsid w:val="000F65E6"/>
    <w:rsid w:val="000F6A6F"/>
    <w:rsid w:val="000F6C58"/>
    <w:rsid w:val="000F6E1B"/>
    <w:rsid w:val="000F6E7F"/>
    <w:rsid w:val="000F7008"/>
    <w:rsid w:val="000F742D"/>
    <w:rsid w:val="000F7566"/>
    <w:rsid w:val="000F7A87"/>
    <w:rsid w:val="000F7D40"/>
    <w:rsid w:val="000F7F5E"/>
    <w:rsid w:val="001003A9"/>
    <w:rsid w:val="00100B0A"/>
    <w:rsid w:val="00100B2D"/>
    <w:rsid w:val="00101544"/>
    <w:rsid w:val="0010158F"/>
    <w:rsid w:val="00101D46"/>
    <w:rsid w:val="00101D5D"/>
    <w:rsid w:val="001025D5"/>
    <w:rsid w:val="00102737"/>
    <w:rsid w:val="001029EA"/>
    <w:rsid w:val="00102FFC"/>
    <w:rsid w:val="00103A84"/>
    <w:rsid w:val="00104515"/>
    <w:rsid w:val="0010470E"/>
    <w:rsid w:val="0010478F"/>
    <w:rsid w:val="00105497"/>
    <w:rsid w:val="001056AC"/>
    <w:rsid w:val="00105F1F"/>
    <w:rsid w:val="001060BB"/>
    <w:rsid w:val="00106515"/>
    <w:rsid w:val="00106518"/>
    <w:rsid w:val="0010668E"/>
    <w:rsid w:val="001066AA"/>
    <w:rsid w:val="00107128"/>
    <w:rsid w:val="001072FF"/>
    <w:rsid w:val="00107333"/>
    <w:rsid w:val="0010779D"/>
    <w:rsid w:val="0011016A"/>
    <w:rsid w:val="00110274"/>
    <w:rsid w:val="00110301"/>
    <w:rsid w:val="001106BD"/>
    <w:rsid w:val="001107F5"/>
    <w:rsid w:val="001108FB"/>
    <w:rsid w:val="00110BF7"/>
    <w:rsid w:val="001114A7"/>
    <w:rsid w:val="001115A7"/>
    <w:rsid w:val="001115D7"/>
    <w:rsid w:val="00111C38"/>
    <w:rsid w:val="00111F40"/>
    <w:rsid w:val="0011204F"/>
    <w:rsid w:val="00112219"/>
    <w:rsid w:val="001123B8"/>
    <w:rsid w:val="0011273E"/>
    <w:rsid w:val="00112879"/>
    <w:rsid w:val="00112D6D"/>
    <w:rsid w:val="00113017"/>
    <w:rsid w:val="00113056"/>
    <w:rsid w:val="00113509"/>
    <w:rsid w:val="001136F2"/>
    <w:rsid w:val="0011376E"/>
    <w:rsid w:val="001137F6"/>
    <w:rsid w:val="00113CFF"/>
    <w:rsid w:val="00113E7E"/>
    <w:rsid w:val="00113F1F"/>
    <w:rsid w:val="00114214"/>
    <w:rsid w:val="0011443F"/>
    <w:rsid w:val="001145DF"/>
    <w:rsid w:val="0011485A"/>
    <w:rsid w:val="00115312"/>
    <w:rsid w:val="0011543C"/>
    <w:rsid w:val="00115B7D"/>
    <w:rsid w:val="00115C66"/>
    <w:rsid w:val="00115CF3"/>
    <w:rsid w:val="00116545"/>
    <w:rsid w:val="00116696"/>
    <w:rsid w:val="0011703E"/>
    <w:rsid w:val="00117319"/>
    <w:rsid w:val="001173A7"/>
    <w:rsid w:val="00117B8F"/>
    <w:rsid w:val="0012012A"/>
    <w:rsid w:val="001207D8"/>
    <w:rsid w:val="00120B8F"/>
    <w:rsid w:val="00120DE9"/>
    <w:rsid w:val="001210A3"/>
    <w:rsid w:val="00121732"/>
    <w:rsid w:val="00121E37"/>
    <w:rsid w:val="001224D6"/>
    <w:rsid w:val="00122575"/>
    <w:rsid w:val="001228FD"/>
    <w:rsid w:val="00122CC7"/>
    <w:rsid w:val="00123214"/>
    <w:rsid w:val="00123A7D"/>
    <w:rsid w:val="00123B4C"/>
    <w:rsid w:val="00123BD3"/>
    <w:rsid w:val="0012401C"/>
    <w:rsid w:val="00124133"/>
    <w:rsid w:val="00124262"/>
    <w:rsid w:val="0012431D"/>
    <w:rsid w:val="00125B69"/>
    <w:rsid w:val="001260C5"/>
    <w:rsid w:val="0012618B"/>
    <w:rsid w:val="001261CD"/>
    <w:rsid w:val="00126347"/>
    <w:rsid w:val="001265DB"/>
    <w:rsid w:val="00126646"/>
    <w:rsid w:val="00126B3D"/>
    <w:rsid w:val="00126EF2"/>
    <w:rsid w:val="00127219"/>
    <w:rsid w:val="0012722C"/>
    <w:rsid w:val="00127AFE"/>
    <w:rsid w:val="00127C74"/>
    <w:rsid w:val="00127CB2"/>
    <w:rsid w:val="0013067E"/>
    <w:rsid w:val="00130D72"/>
    <w:rsid w:val="00130E0B"/>
    <w:rsid w:val="0013111D"/>
    <w:rsid w:val="00131293"/>
    <w:rsid w:val="001314AD"/>
    <w:rsid w:val="001314B7"/>
    <w:rsid w:val="001319A7"/>
    <w:rsid w:val="00131AF1"/>
    <w:rsid w:val="00131B27"/>
    <w:rsid w:val="00131F4E"/>
    <w:rsid w:val="001323AB"/>
    <w:rsid w:val="001325F6"/>
    <w:rsid w:val="0013283D"/>
    <w:rsid w:val="00132BD6"/>
    <w:rsid w:val="00132D76"/>
    <w:rsid w:val="001333D9"/>
    <w:rsid w:val="001338D8"/>
    <w:rsid w:val="00133F58"/>
    <w:rsid w:val="00133FE6"/>
    <w:rsid w:val="0013409B"/>
    <w:rsid w:val="001344A3"/>
    <w:rsid w:val="001348C1"/>
    <w:rsid w:val="00135811"/>
    <w:rsid w:val="00136024"/>
    <w:rsid w:val="0013606C"/>
    <w:rsid w:val="0013630C"/>
    <w:rsid w:val="00136527"/>
    <w:rsid w:val="001365E2"/>
    <w:rsid w:val="00136EDF"/>
    <w:rsid w:val="00136F2A"/>
    <w:rsid w:val="001370AE"/>
    <w:rsid w:val="00137307"/>
    <w:rsid w:val="0013746E"/>
    <w:rsid w:val="00137DB1"/>
    <w:rsid w:val="0014004F"/>
    <w:rsid w:val="0014093B"/>
    <w:rsid w:val="00140D4B"/>
    <w:rsid w:val="00140EFF"/>
    <w:rsid w:val="001413AE"/>
    <w:rsid w:val="00141744"/>
    <w:rsid w:val="00141B3E"/>
    <w:rsid w:val="00141B89"/>
    <w:rsid w:val="00141BDA"/>
    <w:rsid w:val="001429A5"/>
    <w:rsid w:val="00142BC5"/>
    <w:rsid w:val="00142FBC"/>
    <w:rsid w:val="0014321E"/>
    <w:rsid w:val="001432EA"/>
    <w:rsid w:val="001435EA"/>
    <w:rsid w:val="0014397E"/>
    <w:rsid w:val="00143E02"/>
    <w:rsid w:val="00143E55"/>
    <w:rsid w:val="00144BA3"/>
    <w:rsid w:val="00144D3A"/>
    <w:rsid w:val="00144DC6"/>
    <w:rsid w:val="00144F09"/>
    <w:rsid w:val="001455F4"/>
    <w:rsid w:val="00145BC7"/>
    <w:rsid w:val="00145C32"/>
    <w:rsid w:val="00146094"/>
    <w:rsid w:val="00146266"/>
    <w:rsid w:val="00146497"/>
    <w:rsid w:val="0014654E"/>
    <w:rsid w:val="0014661D"/>
    <w:rsid w:val="00146BC6"/>
    <w:rsid w:val="00147005"/>
    <w:rsid w:val="00147104"/>
    <w:rsid w:val="001473DD"/>
    <w:rsid w:val="00147467"/>
    <w:rsid w:val="00147776"/>
    <w:rsid w:val="00147E40"/>
    <w:rsid w:val="001500F4"/>
    <w:rsid w:val="00150473"/>
    <w:rsid w:val="00150677"/>
    <w:rsid w:val="0015084F"/>
    <w:rsid w:val="00150961"/>
    <w:rsid w:val="0015149F"/>
    <w:rsid w:val="001518AA"/>
    <w:rsid w:val="00151932"/>
    <w:rsid w:val="00151E25"/>
    <w:rsid w:val="0015247B"/>
    <w:rsid w:val="00152A0C"/>
    <w:rsid w:val="00152C5D"/>
    <w:rsid w:val="00153C00"/>
    <w:rsid w:val="00153DF5"/>
    <w:rsid w:val="001542C7"/>
    <w:rsid w:val="0015471D"/>
    <w:rsid w:val="00154B6E"/>
    <w:rsid w:val="00154ED6"/>
    <w:rsid w:val="00154F9C"/>
    <w:rsid w:val="001553DE"/>
    <w:rsid w:val="001557F1"/>
    <w:rsid w:val="00155E97"/>
    <w:rsid w:val="00155EA6"/>
    <w:rsid w:val="00156130"/>
    <w:rsid w:val="00156390"/>
    <w:rsid w:val="0015695F"/>
    <w:rsid w:val="001569C8"/>
    <w:rsid w:val="001574EB"/>
    <w:rsid w:val="00157561"/>
    <w:rsid w:val="001579D1"/>
    <w:rsid w:val="001600C2"/>
    <w:rsid w:val="001603F7"/>
    <w:rsid w:val="00160447"/>
    <w:rsid w:val="001606A3"/>
    <w:rsid w:val="00160CC4"/>
    <w:rsid w:val="00160E79"/>
    <w:rsid w:val="00161019"/>
    <w:rsid w:val="00161888"/>
    <w:rsid w:val="00161C1C"/>
    <w:rsid w:val="00162A11"/>
    <w:rsid w:val="00162B3B"/>
    <w:rsid w:val="00163062"/>
    <w:rsid w:val="00163560"/>
    <w:rsid w:val="001635F4"/>
    <w:rsid w:val="001637EE"/>
    <w:rsid w:val="00163E1C"/>
    <w:rsid w:val="00163EE1"/>
    <w:rsid w:val="00164398"/>
    <w:rsid w:val="00164576"/>
    <w:rsid w:val="00164849"/>
    <w:rsid w:val="00164B21"/>
    <w:rsid w:val="00164BBC"/>
    <w:rsid w:val="00165115"/>
    <w:rsid w:val="001654D1"/>
    <w:rsid w:val="00165D2F"/>
    <w:rsid w:val="00165DBD"/>
    <w:rsid w:val="00165DEE"/>
    <w:rsid w:val="0016650D"/>
    <w:rsid w:val="00166572"/>
    <w:rsid w:val="00166BD2"/>
    <w:rsid w:val="00166D78"/>
    <w:rsid w:val="00166F95"/>
    <w:rsid w:val="001671AC"/>
    <w:rsid w:val="00167372"/>
    <w:rsid w:val="00167665"/>
    <w:rsid w:val="00167B54"/>
    <w:rsid w:val="00170D4B"/>
    <w:rsid w:val="00170F7D"/>
    <w:rsid w:val="00172553"/>
    <w:rsid w:val="001727D5"/>
    <w:rsid w:val="0017283D"/>
    <w:rsid w:val="00172E1C"/>
    <w:rsid w:val="0017331F"/>
    <w:rsid w:val="0017343A"/>
    <w:rsid w:val="00173C4B"/>
    <w:rsid w:val="00173F74"/>
    <w:rsid w:val="00174CBD"/>
    <w:rsid w:val="00174E82"/>
    <w:rsid w:val="0017517C"/>
    <w:rsid w:val="001753CC"/>
    <w:rsid w:val="001755BA"/>
    <w:rsid w:val="00175619"/>
    <w:rsid w:val="00176552"/>
    <w:rsid w:val="001766B8"/>
    <w:rsid w:val="00176EB8"/>
    <w:rsid w:val="001770EF"/>
    <w:rsid w:val="00177109"/>
    <w:rsid w:val="001772B0"/>
    <w:rsid w:val="00177309"/>
    <w:rsid w:val="001774CB"/>
    <w:rsid w:val="0017784A"/>
    <w:rsid w:val="001801AC"/>
    <w:rsid w:val="00180C48"/>
    <w:rsid w:val="00181277"/>
    <w:rsid w:val="00181F20"/>
    <w:rsid w:val="00182183"/>
    <w:rsid w:val="001821F9"/>
    <w:rsid w:val="00182837"/>
    <w:rsid w:val="001829CB"/>
    <w:rsid w:val="00182B1F"/>
    <w:rsid w:val="00182D3A"/>
    <w:rsid w:val="00182E0A"/>
    <w:rsid w:val="001838A0"/>
    <w:rsid w:val="001839E3"/>
    <w:rsid w:val="00183F94"/>
    <w:rsid w:val="0018408C"/>
    <w:rsid w:val="00184116"/>
    <w:rsid w:val="001841A7"/>
    <w:rsid w:val="001845C3"/>
    <w:rsid w:val="001846F5"/>
    <w:rsid w:val="00184DCE"/>
    <w:rsid w:val="00184F8F"/>
    <w:rsid w:val="001859CB"/>
    <w:rsid w:val="00185B78"/>
    <w:rsid w:val="001861D2"/>
    <w:rsid w:val="00186244"/>
    <w:rsid w:val="00186278"/>
    <w:rsid w:val="00186364"/>
    <w:rsid w:val="00186526"/>
    <w:rsid w:val="00186634"/>
    <w:rsid w:val="001868CE"/>
    <w:rsid w:val="001868F3"/>
    <w:rsid w:val="00186BD4"/>
    <w:rsid w:val="00187644"/>
    <w:rsid w:val="00187692"/>
    <w:rsid w:val="001877C7"/>
    <w:rsid w:val="001877FE"/>
    <w:rsid w:val="001879F5"/>
    <w:rsid w:val="00187B8D"/>
    <w:rsid w:val="00187B9F"/>
    <w:rsid w:val="00187F18"/>
    <w:rsid w:val="00187F6C"/>
    <w:rsid w:val="00187FCD"/>
    <w:rsid w:val="001904A0"/>
    <w:rsid w:val="00190626"/>
    <w:rsid w:val="001909D5"/>
    <w:rsid w:val="00190B19"/>
    <w:rsid w:val="00190C8C"/>
    <w:rsid w:val="00190C91"/>
    <w:rsid w:val="00191498"/>
    <w:rsid w:val="00191B9F"/>
    <w:rsid w:val="00191BA4"/>
    <w:rsid w:val="00191C7F"/>
    <w:rsid w:val="00191D9F"/>
    <w:rsid w:val="00192F00"/>
    <w:rsid w:val="00193546"/>
    <w:rsid w:val="0019369F"/>
    <w:rsid w:val="001937FC"/>
    <w:rsid w:val="00193882"/>
    <w:rsid w:val="00193EC8"/>
    <w:rsid w:val="00194394"/>
    <w:rsid w:val="00194902"/>
    <w:rsid w:val="00194A0F"/>
    <w:rsid w:val="00194AD6"/>
    <w:rsid w:val="00194FBD"/>
    <w:rsid w:val="0019518B"/>
    <w:rsid w:val="00195283"/>
    <w:rsid w:val="001955ED"/>
    <w:rsid w:val="00195B34"/>
    <w:rsid w:val="00195EB7"/>
    <w:rsid w:val="0019603A"/>
    <w:rsid w:val="00196990"/>
    <w:rsid w:val="00196C78"/>
    <w:rsid w:val="001975E1"/>
    <w:rsid w:val="001977E7"/>
    <w:rsid w:val="001A0095"/>
    <w:rsid w:val="001A039F"/>
    <w:rsid w:val="001A0579"/>
    <w:rsid w:val="001A0A6F"/>
    <w:rsid w:val="001A0ABB"/>
    <w:rsid w:val="001A131B"/>
    <w:rsid w:val="001A1388"/>
    <w:rsid w:val="001A148E"/>
    <w:rsid w:val="001A1CC9"/>
    <w:rsid w:val="001A25AD"/>
    <w:rsid w:val="001A2790"/>
    <w:rsid w:val="001A27C6"/>
    <w:rsid w:val="001A28D4"/>
    <w:rsid w:val="001A2FF5"/>
    <w:rsid w:val="001A3049"/>
    <w:rsid w:val="001A32DE"/>
    <w:rsid w:val="001A36B2"/>
    <w:rsid w:val="001A3B4A"/>
    <w:rsid w:val="001A40A6"/>
    <w:rsid w:val="001A4442"/>
    <w:rsid w:val="001A4AE5"/>
    <w:rsid w:val="001A54EF"/>
    <w:rsid w:val="001A56DC"/>
    <w:rsid w:val="001A5AF4"/>
    <w:rsid w:val="001A5F70"/>
    <w:rsid w:val="001A623F"/>
    <w:rsid w:val="001A63B6"/>
    <w:rsid w:val="001A6655"/>
    <w:rsid w:val="001A666F"/>
    <w:rsid w:val="001A6D55"/>
    <w:rsid w:val="001A717A"/>
    <w:rsid w:val="001A75B0"/>
    <w:rsid w:val="001A75BE"/>
    <w:rsid w:val="001A786D"/>
    <w:rsid w:val="001A7D99"/>
    <w:rsid w:val="001B006D"/>
    <w:rsid w:val="001B09DB"/>
    <w:rsid w:val="001B0D61"/>
    <w:rsid w:val="001B0E77"/>
    <w:rsid w:val="001B0F1D"/>
    <w:rsid w:val="001B133B"/>
    <w:rsid w:val="001B171E"/>
    <w:rsid w:val="001B1D3F"/>
    <w:rsid w:val="001B1FDB"/>
    <w:rsid w:val="001B2C33"/>
    <w:rsid w:val="001B2D1F"/>
    <w:rsid w:val="001B328E"/>
    <w:rsid w:val="001B362F"/>
    <w:rsid w:val="001B37F7"/>
    <w:rsid w:val="001B3E0E"/>
    <w:rsid w:val="001B412B"/>
    <w:rsid w:val="001B4B49"/>
    <w:rsid w:val="001B508C"/>
    <w:rsid w:val="001B5243"/>
    <w:rsid w:val="001B53E7"/>
    <w:rsid w:val="001B547D"/>
    <w:rsid w:val="001B5B66"/>
    <w:rsid w:val="001B5D7E"/>
    <w:rsid w:val="001B5F5E"/>
    <w:rsid w:val="001B6338"/>
    <w:rsid w:val="001B63D9"/>
    <w:rsid w:val="001B68B3"/>
    <w:rsid w:val="001B69F7"/>
    <w:rsid w:val="001B6AFB"/>
    <w:rsid w:val="001B6C4D"/>
    <w:rsid w:val="001B7222"/>
    <w:rsid w:val="001B73B8"/>
    <w:rsid w:val="001B7AC4"/>
    <w:rsid w:val="001C005D"/>
    <w:rsid w:val="001C06E9"/>
    <w:rsid w:val="001C072C"/>
    <w:rsid w:val="001C0A0F"/>
    <w:rsid w:val="001C0C74"/>
    <w:rsid w:val="001C0D79"/>
    <w:rsid w:val="001C0E20"/>
    <w:rsid w:val="001C148F"/>
    <w:rsid w:val="001C1CA7"/>
    <w:rsid w:val="001C20F4"/>
    <w:rsid w:val="001C2200"/>
    <w:rsid w:val="001C2401"/>
    <w:rsid w:val="001C2944"/>
    <w:rsid w:val="001C3348"/>
    <w:rsid w:val="001C34A6"/>
    <w:rsid w:val="001C3530"/>
    <w:rsid w:val="001C37D9"/>
    <w:rsid w:val="001C38AA"/>
    <w:rsid w:val="001C38C4"/>
    <w:rsid w:val="001C4638"/>
    <w:rsid w:val="001C4DDC"/>
    <w:rsid w:val="001C56FD"/>
    <w:rsid w:val="001C57B4"/>
    <w:rsid w:val="001C5EDA"/>
    <w:rsid w:val="001C5FFB"/>
    <w:rsid w:val="001C639B"/>
    <w:rsid w:val="001C645B"/>
    <w:rsid w:val="001C725A"/>
    <w:rsid w:val="001C77FB"/>
    <w:rsid w:val="001D07DF"/>
    <w:rsid w:val="001D088A"/>
    <w:rsid w:val="001D0918"/>
    <w:rsid w:val="001D0BF6"/>
    <w:rsid w:val="001D0C2F"/>
    <w:rsid w:val="001D0D29"/>
    <w:rsid w:val="001D0D9B"/>
    <w:rsid w:val="001D0FD7"/>
    <w:rsid w:val="001D15AA"/>
    <w:rsid w:val="001D163A"/>
    <w:rsid w:val="001D1742"/>
    <w:rsid w:val="001D198E"/>
    <w:rsid w:val="001D1FB2"/>
    <w:rsid w:val="001D2327"/>
    <w:rsid w:val="001D333E"/>
    <w:rsid w:val="001D3815"/>
    <w:rsid w:val="001D3A16"/>
    <w:rsid w:val="001D3E1A"/>
    <w:rsid w:val="001D401B"/>
    <w:rsid w:val="001D4B91"/>
    <w:rsid w:val="001D515B"/>
    <w:rsid w:val="001D5402"/>
    <w:rsid w:val="001D540C"/>
    <w:rsid w:val="001D5423"/>
    <w:rsid w:val="001D54B6"/>
    <w:rsid w:val="001D5A96"/>
    <w:rsid w:val="001D5AE4"/>
    <w:rsid w:val="001D5C73"/>
    <w:rsid w:val="001D5CBC"/>
    <w:rsid w:val="001D5DB6"/>
    <w:rsid w:val="001D5E69"/>
    <w:rsid w:val="001D60F0"/>
    <w:rsid w:val="001D61AB"/>
    <w:rsid w:val="001D6858"/>
    <w:rsid w:val="001D6B45"/>
    <w:rsid w:val="001D6D1D"/>
    <w:rsid w:val="001D7639"/>
    <w:rsid w:val="001D7942"/>
    <w:rsid w:val="001D799B"/>
    <w:rsid w:val="001E001D"/>
    <w:rsid w:val="001E0058"/>
    <w:rsid w:val="001E03CA"/>
    <w:rsid w:val="001E046B"/>
    <w:rsid w:val="001E06C2"/>
    <w:rsid w:val="001E0A44"/>
    <w:rsid w:val="001E0FF3"/>
    <w:rsid w:val="001E1668"/>
    <w:rsid w:val="001E1862"/>
    <w:rsid w:val="001E19C4"/>
    <w:rsid w:val="001E24D6"/>
    <w:rsid w:val="001E25C6"/>
    <w:rsid w:val="001E27C0"/>
    <w:rsid w:val="001E27D0"/>
    <w:rsid w:val="001E2AC0"/>
    <w:rsid w:val="001E30D4"/>
    <w:rsid w:val="001E35A7"/>
    <w:rsid w:val="001E35D2"/>
    <w:rsid w:val="001E3618"/>
    <w:rsid w:val="001E4398"/>
    <w:rsid w:val="001E44B3"/>
    <w:rsid w:val="001E45C0"/>
    <w:rsid w:val="001E483F"/>
    <w:rsid w:val="001E4BED"/>
    <w:rsid w:val="001E4CDB"/>
    <w:rsid w:val="001E5DED"/>
    <w:rsid w:val="001E605C"/>
    <w:rsid w:val="001E6E53"/>
    <w:rsid w:val="001E6F3C"/>
    <w:rsid w:val="001E6FFC"/>
    <w:rsid w:val="001E7263"/>
    <w:rsid w:val="001E747C"/>
    <w:rsid w:val="001E7794"/>
    <w:rsid w:val="001E7CBE"/>
    <w:rsid w:val="001E7E85"/>
    <w:rsid w:val="001F111C"/>
    <w:rsid w:val="001F167A"/>
    <w:rsid w:val="001F18E4"/>
    <w:rsid w:val="001F1D2E"/>
    <w:rsid w:val="001F2382"/>
    <w:rsid w:val="001F27F3"/>
    <w:rsid w:val="001F2CB2"/>
    <w:rsid w:val="001F330E"/>
    <w:rsid w:val="001F3369"/>
    <w:rsid w:val="001F36CD"/>
    <w:rsid w:val="001F3A94"/>
    <w:rsid w:val="001F4717"/>
    <w:rsid w:val="001F4721"/>
    <w:rsid w:val="001F472C"/>
    <w:rsid w:val="001F47BB"/>
    <w:rsid w:val="001F53FA"/>
    <w:rsid w:val="001F549F"/>
    <w:rsid w:val="001F6151"/>
    <w:rsid w:val="001F61E4"/>
    <w:rsid w:val="001F69F9"/>
    <w:rsid w:val="001F6AFA"/>
    <w:rsid w:val="001F6CEC"/>
    <w:rsid w:val="001F6D6B"/>
    <w:rsid w:val="001F70D7"/>
    <w:rsid w:val="001F712D"/>
    <w:rsid w:val="001F7C9B"/>
    <w:rsid w:val="001F7E21"/>
    <w:rsid w:val="001F7E4A"/>
    <w:rsid w:val="001F7F73"/>
    <w:rsid w:val="00200708"/>
    <w:rsid w:val="0020091C"/>
    <w:rsid w:val="00200CC6"/>
    <w:rsid w:val="00200D78"/>
    <w:rsid w:val="0020168C"/>
    <w:rsid w:val="002018A1"/>
    <w:rsid w:val="00201BB7"/>
    <w:rsid w:val="00202611"/>
    <w:rsid w:val="002026D7"/>
    <w:rsid w:val="00202733"/>
    <w:rsid w:val="002029F3"/>
    <w:rsid w:val="0020302A"/>
    <w:rsid w:val="0020321A"/>
    <w:rsid w:val="002032DF"/>
    <w:rsid w:val="00203325"/>
    <w:rsid w:val="00203500"/>
    <w:rsid w:val="0020376C"/>
    <w:rsid w:val="0020377E"/>
    <w:rsid w:val="002037D2"/>
    <w:rsid w:val="00203852"/>
    <w:rsid w:val="00204BF8"/>
    <w:rsid w:val="00204C43"/>
    <w:rsid w:val="00204CC5"/>
    <w:rsid w:val="00204E9F"/>
    <w:rsid w:val="00204F70"/>
    <w:rsid w:val="00205558"/>
    <w:rsid w:val="00205589"/>
    <w:rsid w:val="0020559D"/>
    <w:rsid w:val="002055B6"/>
    <w:rsid w:val="00205853"/>
    <w:rsid w:val="00205E72"/>
    <w:rsid w:val="002061F6"/>
    <w:rsid w:val="00206290"/>
    <w:rsid w:val="00206B9D"/>
    <w:rsid w:val="0020704C"/>
    <w:rsid w:val="00207291"/>
    <w:rsid w:val="002073D8"/>
    <w:rsid w:val="00207610"/>
    <w:rsid w:val="00207945"/>
    <w:rsid w:val="0021000C"/>
    <w:rsid w:val="00210797"/>
    <w:rsid w:val="00210BE4"/>
    <w:rsid w:val="00210D11"/>
    <w:rsid w:val="00210E31"/>
    <w:rsid w:val="00210EAF"/>
    <w:rsid w:val="00210FAC"/>
    <w:rsid w:val="002112B8"/>
    <w:rsid w:val="0021182E"/>
    <w:rsid w:val="00212371"/>
    <w:rsid w:val="002133F0"/>
    <w:rsid w:val="002137DE"/>
    <w:rsid w:val="002139B5"/>
    <w:rsid w:val="00213EFD"/>
    <w:rsid w:val="00213FFD"/>
    <w:rsid w:val="00214085"/>
    <w:rsid w:val="0021439B"/>
    <w:rsid w:val="00214412"/>
    <w:rsid w:val="002145D6"/>
    <w:rsid w:val="00214A02"/>
    <w:rsid w:val="00214D9C"/>
    <w:rsid w:val="00214E70"/>
    <w:rsid w:val="002152B9"/>
    <w:rsid w:val="002153D6"/>
    <w:rsid w:val="00215485"/>
    <w:rsid w:val="0021598A"/>
    <w:rsid w:val="00215D00"/>
    <w:rsid w:val="00215D89"/>
    <w:rsid w:val="00215EF9"/>
    <w:rsid w:val="00216016"/>
    <w:rsid w:val="00216B37"/>
    <w:rsid w:val="00216CC1"/>
    <w:rsid w:val="00217421"/>
    <w:rsid w:val="002179D9"/>
    <w:rsid w:val="00217F5F"/>
    <w:rsid w:val="002200C3"/>
    <w:rsid w:val="002200F9"/>
    <w:rsid w:val="00220386"/>
    <w:rsid w:val="00220520"/>
    <w:rsid w:val="00220809"/>
    <w:rsid w:val="00220D91"/>
    <w:rsid w:val="00220DE0"/>
    <w:rsid w:val="00220F32"/>
    <w:rsid w:val="00221209"/>
    <w:rsid w:val="002212ED"/>
    <w:rsid w:val="00221C03"/>
    <w:rsid w:val="00221E17"/>
    <w:rsid w:val="00221FA0"/>
    <w:rsid w:val="00222055"/>
    <w:rsid w:val="0022224B"/>
    <w:rsid w:val="00222B31"/>
    <w:rsid w:val="00222C7E"/>
    <w:rsid w:val="00223373"/>
    <w:rsid w:val="002234B0"/>
    <w:rsid w:val="002237A9"/>
    <w:rsid w:val="00223C8E"/>
    <w:rsid w:val="00223E02"/>
    <w:rsid w:val="00223E22"/>
    <w:rsid w:val="00224537"/>
    <w:rsid w:val="00224615"/>
    <w:rsid w:val="0022498A"/>
    <w:rsid w:val="00224D48"/>
    <w:rsid w:val="00225393"/>
    <w:rsid w:val="00225407"/>
    <w:rsid w:val="00225C4E"/>
    <w:rsid w:val="00225F31"/>
    <w:rsid w:val="00225FF7"/>
    <w:rsid w:val="002260FB"/>
    <w:rsid w:val="002263C1"/>
    <w:rsid w:val="0022742D"/>
    <w:rsid w:val="00227B01"/>
    <w:rsid w:val="00227B74"/>
    <w:rsid w:val="00227BE3"/>
    <w:rsid w:val="00227DCF"/>
    <w:rsid w:val="00230439"/>
    <w:rsid w:val="002304AE"/>
    <w:rsid w:val="00230BED"/>
    <w:rsid w:val="002316E3"/>
    <w:rsid w:val="00231C18"/>
    <w:rsid w:val="002320C7"/>
    <w:rsid w:val="00232485"/>
    <w:rsid w:val="00232B8E"/>
    <w:rsid w:val="00232EF4"/>
    <w:rsid w:val="00233024"/>
    <w:rsid w:val="002332A3"/>
    <w:rsid w:val="00233519"/>
    <w:rsid w:val="002339AE"/>
    <w:rsid w:val="00233D99"/>
    <w:rsid w:val="00234013"/>
    <w:rsid w:val="00234030"/>
    <w:rsid w:val="00234481"/>
    <w:rsid w:val="0023450E"/>
    <w:rsid w:val="00234518"/>
    <w:rsid w:val="0023475B"/>
    <w:rsid w:val="002347B1"/>
    <w:rsid w:val="002347FD"/>
    <w:rsid w:val="00234BE7"/>
    <w:rsid w:val="00234E61"/>
    <w:rsid w:val="00235213"/>
    <w:rsid w:val="002352AA"/>
    <w:rsid w:val="00236556"/>
    <w:rsid w:val="00236ED8"/>
    <w:rsid w:val="00236F81"/>
    <w:rsid w:val="00236FB1"/>
    <w:rsid w:val="0023756D"/>
    <w:rsid w:val="00237867"/>
    <w:rsid w:val="00237BFF"/>
    <w:rsid w:val="002401E8"/>
    <w:rsid w:val="002404A7"/>
    <w:rsid w:val="002405E5"/>
    <w:rsid w:val="0024069D"/>
    <w:rsid w:val="00240924"/>
    <w:rsid w:val="002409F7"/>
    <w:rsid w:val="00240BFD"/>
    <w:rsid w:val="0024119A"/>
    <w:rsid w:val="002418F0"/>
    <w:rsid w:val="00241BCD"/>
    <w:rsid w:val="0024254C"/>
    <w:rsid w:val="00242AE6"/>
    <w:rsid w:val="00242EBB"/>
    <w:rsid w:val="0024339A"/>
    <w:rsid w:val="00243542"/>
    <w:rsid w:val="00243860"/>
    <w:rsid w:val="0024399C"/>
    <w:rsid w:val="0024434D"/>
    <w:rsid w:val="00244363"/>
    <w:rsid w:val="00244610"/>
    <w:rsid w:val="002449C7"/>
    <w:rsid w:val="00244E0C"/>
    <w:rsid w:val="00244E97"/>
    <w:rsid w:val="002453CB"/>
    <w:rsid w:val="00245EFE"/>
    <w:rsid w:val="00245FAC"/>
    <w:rsid w:val="0024665D"/>
    <w:rsid w:val="00246BB5"/>
    <w:rsid w:val="00246BF9"/>
    <w:rsid w:val="00250021"/>
    <w:rsid w:val="002503F5"/>
    <w:rsid w:val="002506A7"/>
    <w:rsid w:val="00250CA5"/>
    <w:rsid w:val="00250F93"/>
    <w:rsid w:val="00251081"/>
    <w:rsid w:val="002511D1"/>
    <w:rsid w:val="00251B8B"/>
    <w:rsid w:val="00251CD3"/>
    <w:rsid w:val="00251DE2"/>
    <w:rsid w:val="00251FD1"/>
    <w:rsid w:val="0025204A"/>
    <w:rsid w:val="002520AF"/>
    <w:rsid w:val="0025258B"/>
    <w:rsid w:val="002525BF"/>
    <w:rsid w:val="00252D36"/>
    <w:rsid w:val="002530B0"/>
    <w:rsid w:val="00253696"/>
    <w:rsid w:val="002538AC"/>
    <w:rsid w:val="00253CE6"/>
    <w:rsid w:val="002549D6"/>
    <w:rsid w:val="00255510"/>
    <w:rsid w:val="0025575E"/>
    <w:rsid w:val="002558CC"/>
    <w:rsid w:val="00256108"/>
    <w:rsid w:val="00256384"/>
    <w:rsid w:val="002567AB"/>
    <w:rsid w:val="00256FC1"/>
    <w:rsid w:val="00257522"/>
    <w:rsid w:val="0025772F"/>
    <w:rsid w:val="002577D8"/>
    <w:rsid w:val="0026068B"/>
    <w:rsid w:val="0026069A"/>
    <w:rsid w:val="002609EC"/>
    <w:rsid w:val="00260B59"/>
    <w:rsid w:val="0026186E"/>
    <w:rsid w:val="00262291"/>
    <w:rsid w:val="0026272E"/>
    <w:rsid w:val="002628A2"/>
    <w:rsid w:val="002640D5"/>
    <w:rsid w:val="0026476C"/>
    <w:rsid w:val="0026480A"/>
    <w:rsid w:val="002648E2"/>
    <w:rsid w:val="002648EB"/>
    <w:rsid w:val="00264F90"/>
    <w:rsid w:val="00265130"/>
    <w:rsid w:val="002652B5"/>
    <w:rsid w:val="002659F1"/>
    <w:rsid w:val="00265B12"/>
    <w:rsid w:val="00265E50"/>
    <w:rsid w:val="002660B0"/>
    <w:rsid w:val="002664D9"/>
    <w:rsid w:val="002667B1"/>
    <w:rsid w:val="00266943"/>
    <w:rsid w:val="00266C37"/>
    <w:rsid w:val="00266DA3"/>
    <w:rsid w:val="002675B7"/>
    <w:rsid w:val="00267D89"/>
    <w:rsid w:val="00270781"/>
    <w:rsid w:val="00270869"/>
    <w:rsid w:val="002708FD"/>
    <w:rsid w:val="00271625"/>
    <w:rsid w:val="00271959"/>
    <w:rsid w:val="00271AAD"/>
    <w:rsid w:val="00271B04"/>
    <w:rsid w:val="00271DBE"/>
    <w:rsid w:val="0027218C"/>
    <w:rsid w:val="00272265"/>
    <w:rsid w:val="00272414"/>
    <w:rsid w:val="0027248C"/>
    <w:rsid w:val="00272CC8"/>
    <w:rsid w:val="0027308C"/>
    <w:rsid w:val="00273185"/>
    <w:rsid w:val="00273643"/>
    <w:rsid w:val="0027369C"/>
    <w:rsid w:val="002736E0"/>
    <w:rsid w:val="0027371A"/>
    <w:rsid w:val="00274139"/>
    <w:rsid w:val="002744F5"/>
    <w:rsid w:val="002748A0"/>
    <w:rsid w:val="00274C3D"/>
    <w:rsid w:val="0027555A"/>
    <w:rsid w:val="0027608B"/>
    <w:rsid w:val="00276EB8"/>
    <w:rsid w:val="002771B7"/>
    <w:rsid w:val="002771D6"/>
    <w:rsid w:val="0027792A"/>
    <w:rsid w:val="00277C7E"/>
    <w:rsid w:val="00280331"/>
    <w:rsid w:val="00280861"/>
    <w:rsid w:val="00280EC4"/>
    <w:rsid w:val="002811C4"/>
    <w:rsid w:val="002819C5"/>
    <w:rsid w:val="00282D13"/>
    <w:rsid w:val="00283103"/>
    <w:rsid w:val="002832D1"/>
    <w:rsid w:val="00283A4C"/>
    <w:rsid w:val="00283C10"/>
    <w:rsid w:val="00283ECC"/>
    <w:rsid w:val="00285259"/>
    <w:rsid w:val="00285600"/>
    <w:rsid w:val="00285A17"/>
    <w:rsid w:val="00285E76"/>
    <w:rsid w:val="0028651C"/>
    <w:rsid w:val="002865F4"/>
    <w:rsid w:val="00286700"/>
    <w:rsid w:val="0028672F"/>
    <w:rsid w:val="00286DBC"/>
    <w:rsid w:val="00287E78"/>
    <w:rsid w:val="002905BC"/>
    <w:rsid w:val="0029061E"/>
    <w:rsid w:val="00290A70"/>
    <w:rsid w:val="00290CA9"/>
    <w:rsid w:val="00290D1E"/>
    <w:rsid w:val="0029149F"/>
    <w:rsid w:val="0029162F"/>
    <w:rsid w:val="002917BF"/>
    <w:rsid w:val="00291A25"/>
    <w:rsid w:val="00291BF4"/>
    <w:rsid w:val="00291FBC"/>
    <w:rsid w:val="002921AC"/>
    <w:rsid w:val="00292269"/>
    <w:rsid w:val="00292DA2"/>
    <w:rsid w:val="00292E49"/>
    <w:rsid w:val="00292FD1"/>
    <w:rsid w:val="0029356B"/>
    <w:rsid w:val="002941D8"/>
    <w:rsid w:val="0029441B"/>
    <w:rsid w:val="0029475D"/>
    <w:rsid w:val="00294B95"/>
    <w:rsid w:val="00294D39"/>
    <w:rsid w:val="00294EB9"/>
    <w:rsid w:val="00295156"/>
    <w:rsid w:val="00295324"/>
    <w:rsid w:val="00295A21"/>
    <w:rsid w:val="00295A44"/>
    <w:rsid w:val="00295A4D"/>
    <w:rsid w:val="002960BE"/>
    <w:rsid w:val="0029630C"/>
    <w:rsid w:val="002963FA"/>
    <w:rsid w:val="00296A9D"/>
    <w:rsid w:val="00296C32"/>
    <w:rsid w:val="00297640"/>
    <w:rsid w:val="00297ABC"/>
    <w:rsid w:val="002A0079"/>
    <w:rsid w:val="002A092A"/>
    <w:rsid w:val="002A18E3"/>
    <w:rsid w:val="002A1CE1"/>
    <w:rsid w:val="002A20ED"/>
    <w:rsid w:val="002A2B49"/>
    <w:rsid w:val="002A2EFB"/>
    <w:rsid w:val="002A31FE"/>
    <w:rsid w:val="002A3989"/>
    <w:rsid w:val="002A4031"/>
    <w:rsid w:val="002A44B4"/>
    <w:rsid w:val="002A465E"/>
    <w:rsid w:val="002A4905"/>
    <w:rsid w:val="002A4959"/>
    <w:rsid w:val="002A5113"/>
    <w:rsid w:val="002A51CD"/>
    <w:rsid w:val="002A5279"/>
    <w:rsid w:val="002A52EA"/>
    <w:rsid w:val="002A5996"/>
    <w:rsid w:val="002A5A0F"/>
    <w:rsid w:val="002A6BEE"/>
    <w:rsid w:val="002A782D"/>
    <w:rsid w:val="002A7BD8"/>
    <w:rsid w:val="002A7CA2"/>
    <w:rsid w:val="002B00F5"/>
    <w:rsid w:val="002B0302"/>
    <w:rsid w:val="002B106E"/>
    <w:rsid w:val="002B111F"/>
    <w:rsid w:val="002B165A"/>
    <w:rsid w:val="002B21D5"/>
    <w:rsid w:val="002B275D"/>
    <w:rsid w:val="002B2878"/>
    <w:rsid w:val="002B3303"/>
    <w:rsid w:val="002B34E7"/>
    <w:rsid w:val="002B37A9"/>
    <w:rsid w:val="002B3AFC"/>
    <w:rsid w:val="002B3C14"/>
    <w:rsid w:val="002B3D25"/>
    <w:rsid w:val="002B3DED"/>
    <w:rsid w:val="002B40C4"/>
    <w:rsid w:val="002B473B"/>
    <w:rsid w:val="002B4867"/>
    <w:rsid w:val="002B49AE"/>
    <w:rsid w:val="002B4E91"/>
    <w:rsid w:val="002B5128"/>
    <w:rsid w:val="002B51CE"/>
    <w:rsid w:val="002B5263"/>
    <w:rsid w:val="002B553E"/>
    <w:rsid w:val="002B5ECC"/>
    <w:rsid w:val="002B601F"/>
    <w:rsid w:val="002B7110"/>
    <w:rsid w:val="002B71AF"/>
    <w:rsid w:val="002B789E"/>
    <w:rsid w:val="002C036D"/>
    <w:rsid w:val="002C0C3A"/>
    <w:rsid w:val="002C0C4C"/>
    <w:rsid w:val="002C1350"/>
    <w:rsid w:val="002C1616"/>
    <w:rsid w:val="002C211B"/>
    <w:rsid w:val="002C21F0"/>
    <w:rsid w:val="002C28E4"/>
    <w:rsid w:val="002C2C89"/>
    <w:rsid w:val="002C30E1"/>
    <w:rsid w:val="002C3173"/>
    <w:rsid w:val="002C32FB"/>
    <w:rsid w:val="002C34A9"/>
    <w:rsid w:val="002C3986"/>
    <w:rsid w:val="002C3B82"/>
    <w:rsid w:val="002C3C46"/>
    <w:rsid w:val="002C3ED3"/>
    <w:rsid w:val="002C3FF9"/>
    <w:rsid w:val="002C40EB"/>
    <w:rsid w:val="002C4171"/>
    <w:rsid w:val="002C42C3"/>
    <w:rsid w:val="002C4710"/>
    <w:rsid w:val="002C4CE9"/>
    <w:rsid w:val="002C507D"/>
    <w:rsid w:val="002C56D0"/>
    <w:rsid w:val="002C5CA6"/>
    <w:rsid w:val="002C6189"/>
    <w:rsid w:val="002C6560"/>
    <w:rsid w:val="002C662A"/>
    <w:rsid w:val="002C74C6"/>
    <w:rsid w:val="002C7803"/>
    <w:rsid w:val="002C79A3"/>
    <w:rsid w:val="002C7B87"/>
    <w:rsid w:val="002D0006"/>
    <w:rsid w:val="002D04EE"/>
    <w:rsid w:val="002D0A23"/>
    <w:rsid w:val="002D16A1"/>
    <w:rsid w:val="002D2137"/>
    <w:rsid w:val="002D21E0"/>
    <w:rsid w:val="002D21E3"/>
    <w:rsid w:val="002D24C4"/>
    <w:rsid w:val="002D265C"/>
    <w:rsid w:val="002D282B"/>
    <w:rsid w:val="002D2A2E"/>
    <w:rsid w:val="002D365B"/>
    <w:rsid w:val="002D393E"/>
    <w:rsid w:val="002D3A88"/>
    <w:rsid w:val="002D3BEB"/>
    <w:rsid w:val="002D3D56"/>
    <w:rsid w:val="002D4BEE"/>
    <w:rsid w:val="002D5D06"/>
    <w:rsid w:val="002D5EFB"/>
    <w:rsid w:val="002D6877"/>
    <w:rsid w:val="002D6995"/>
    <w:rsid w:val="002D6EE6"/>
    <w:rsid w:val="002D6EE8"/>
    <w:rsid w:val="002D6FB5"/>
    <w:rsid w:val="002D7432"/>
    <w:rsid w:val="002D77C3"/>
    <w:rsid w:val="002D79E5"/>
    <w:rsid w:val="002D7DEE"/>
    <w:rsid w:val="002E001E"/>
    <w:rsid w:val="002E01BC"/>
    <w:rsid w:val="002E03DA"/>
    <w:rsid w:val="002E0A46"/>
    <w:rsid w:val="002E0FFD"/>
    <w:rsid w:val="002E1510"/>
    <w:rsid w:val="002E17BF"/>
    <w:rsid w:val="002E19ED"/>
    <w:rsid w:val="002E1AF4"/>
    <w:rsid w:val="002E1F11"/>
    <w:rsid w:val="002E1F20"/>
    <w:rsid w:val="002E2010"/>
    <w:rsid w:val="002E22BF"/>
    <w:rsid w:val="002E2633"/>
    <w:rsid w:val="002E2A63"/>
    <w:rsid w:val="002E2C70"/>
    <w:rsid w:val="002E30A0"/>
    <w:rsid w:val="002E346E"/>
    <w:rsid w:val="002E3A32"/>
    <w:rsid w:val="002E3BA9"/>
    <w:rsid w:val="002E3D36"/>
    <w:rsid w:val="002E4087"/>
    <w:rsid w:val="002E4587"/>
    <w:rsid w:val="002E49B0"/>
    <w:rsid w:val="002E4F4A"/>
    <w:rsid w:val="002E637F"/>
    <w:rsid w:val="002E6587"/>
    <w:rsid w:val="002E67FF"/>
    <w:rsid w:val="002E6966"/>
    <w:rsid w:val="002E6A0A"/>
    <w:rsid w:val="002E6D66"/>
    <w:rsid w:val="002E71C7"/>
    <w:rsid w:val="002E73B3"/>
    <w:rsid w:val="002E75AB"/>
    <w:rsid w:val="002E75EC"/>
    <w:rsid w:val="002E7A84"/>
    <w:rsid w:val="002E7FF6"/>
    <w:rsid w:val="002F0057"/>
    <w:rsid w:val="002F053D"/>
    <w:rsid w:val="002F0AE2"/>
    <w:rsid w:val="002F0D67"/>
    <w:rsid w:val="002F0FDE"/>
    <w:rsid w:val="002F1C40"/>
    <w:rsid w:val="002F1CEF"/>
    <w:rsid w:val="002F1EAE"/>
    <w:rsid w:val="002F21AE"/>
    <w:rsid w:val="002F23A4"/>
    <w:rsid w:val="002F23E1"/>
    <w:rsid w:val="002F2531"/>
    <w:rsid w:val="002F2973"/>
    <w:rsid w:val="002F2A3A"/>
    <w:rsid w:val="002F2A3F"/>
    <w:rsid w:val="002F2C8D"/>
    <w:rsid w:val="002F31F7"/>
    <w:rsid w:val="002F339E"/>
    <w:rsid w:val="002F3588"/>
    <w:rsid w:val="002F35CE"/>
    <w:rsid w:val="002F3ADB"/>
    <w:rsid w:val="002F3C50"/>
    <w:rsid w:val="002F4132"/>
    <w:rsid w:val="002F4187"/>
    <w:rsid w:val="002F47DD"/>
    <w:rsid w:val="002F4C3E"/>
    <w:rsid w:val="002F4D3B"/>
    <w:rsid w:val="002F53F7"/>
    <w:rsid w:val="002F548D"/>
    <w:rsid w:val="002F562C"/>
    <w:rsid w:val="002F5AA4"/>
    <w:rsid w:val="002F5EAC"/>
    <w:rsid w:val="002F6082"/>
    <w:rsid w:val="002F6175"/>
    <w:rsid w:val="002F685F"/>
    <w:rsid w:val="002F6B98"/>
    <w:rsid w:val="002F6CA1"/>
    <w:rsid w:val="002F705A"/>
    <w:rsid w:val="002F706F"/>
    <w:rsid w:val="002F712F"/>
    <w:rsid w:val="002F71B8"/>
    <w:rsid w:val="002F75C7"/>
    <w:rsid w:val="002F7757"/>
    <w:rsid w:val="002F794C"/>
    <w:rsid w:val="002F7BA1"/>
    <w:rsid w:val="002F7E8F"/>
    <w:rsid w:val="003004D7"/>
    <w:rsid w:val="00301821"/>
    <w:rsid w:val="00301A01"/>
    <w:rsid w:val="00302149"/>
    <w:rsid w:val="00302C99"/>
    <w:rsid w:val="0030375C"/>
    <w:rsid w:val="00303868"/>
    <w:rsid w:val="00303A23"/>
    <w:rsid w:val="00303CF0"/>
    <w:rsid w:val="00303F13"/>
    <w:rsid w:val="00303F30"/>
    <w:rsid w:val="00304110"/>
    <w:rsid w:val="0030448F"/>
    <w:rsid w:val="00304570"/>
    <w:rsid w:val="003045E1"/>
    <w:rsid w:val="003048D5"/>
    <w:rsid w:val="00304C5E"/>
    <w:rsid w:val="00304DC0"/>
    <w:rsid w:val="0030529A"/>
    <w:rsid w:val="00305492"/>
    <w:rsid w:val="003054A5"/>
    <w:rsid w:val="003056B2"/>
    <w:rsid w:val="0030662E"/>
    <w:rsid w:val="00306CD5"/>
    <w:rsid w:val="00307264"/>
    <w:rsid w:val="00307325"/>
    <w:rsid w:val="00307EA1"/>
    <w:rsid w:val="00310108"/>
    <w:rsid w:val="00310213"/>
    <w:rsid w:val="003103DB"/>
    <w:rsid w:val="003111CD"/>
    <w:rsid w:val="00311F11"/>
    <w:rsid w:val="003122A9"/>
    <w:rsid w:val="003124C8"/>
    <w:rsid w:val="0031290C"/>
    <w:rsid w:val="00312A3E"/>
    <w:rsid w:val="00312A6F"/>
    <w:rsid w:val="0031342A"/>
    <w:rsid w:val="003134A7"/>
    <w:rsid w:val="00313739"/>
    <w:rsid w:val="00313B90"/>
    <w:rsid w:val="003145A3"/>
    <w:rsid w:val="00314B4A"/>
    <w:rsid w:val="0031508F"/>
    <w:rsid w:val="0031532E"/>
    <w:rsid w:val="003155A4"/>
    <w:rsid w:val="00315BAC"/>
    <w:rsid w:val="00315F17"/>
    <w:rsid w:val="0031663E"/>
    <w:rsid w:val="003174D4"/>
    <w:rsid w:val="00317625"/>
    <w:rsid w:val="0031762E"/>
    <w:rsid w:val="00317754"/>
    <w:rsid w:val="00317899"/>
    <w:rsid w:val="00317D68"/>
    <w:rsid w:val="00317DCC"/>
    <w:rsid w:val="00317EBF"/>
    <w:rsid w:val="003204E3"/>
    <w:rsid w:val="00320BFB"/>
    <w:rsid w:val="00321602"/>
    <w:rsid w:val="00321A8F"/>
    <w:rsid w:val="00321CA7"/>
    <w:rsid w:val="00321CAB"/>
    <w:rsid w:val="003220D4"/>
    <w:rsid w:val="003220DD"/>
    <w:rsid w:val="0032235B"/>
    <w:rsid w:val="00322436"/>
    <w:rsid w:val="00323226"/>
    <w:rsid w:val="00323312"/>
    <w:rsid w:val="0032338F"/>
    <w:rsid w:val="00323461"/>
    <w:rsid w:val="00323487"/>
    <w:rsid w:val="003234BA"/>
    <w:rsid w:val="00323566"/>
    <w:rsid w:val="00323636"/>
    <w:rsid w:val="00323B8D"/>
    <w:rsid w:val="003243D8"/>
    <w:rsid w:val="0032488E"/>
    <w:rsid w:val="00324980"/>
    <w:rsid w:val="00324DD5"/>
    <w:rsid w:val="0032547A"/>
    <w:rsid w:val="003254B0"/>
    <w:rsid w:val="00325E53"/>
    <w:rsid w:val="00326378"/>
    <w:rsid w:val="00327470"/>
    <w:rsid w:val="00327747"/>
    <w:rsid w:val="00327DE9"/>
    <w:rsid w:val="00327F02"/>
    <w:rsid w:val="003301EF"/>
    <w:rsid w:val="00330221"/>
    <w:rsid w:val="003302AF"/>
    <w:rsid w:val="0033072D"/>
    <w:rsid w:val="00330937"/>
    <w:rsid w:val="003309DD"/>
    <w:rsid w:val="00330E4F"/>
    <w:rsid w:val="003314F1"/>
    <w:rsid w:val="00331A05"/>
    <w:rsid w:val="00331C10"/>
    <w:rsid w:val="00332036"/>
    <w:rsid w:val="0033206A"/>
    <w:rsid w:val="003321DA"/>
    <w:rsid w:val="003322DA"/>
    <w:rsid w:val="0033244B"/>
    <w:rsid w:val="00332AE0"/>
    <w:rsid w:val="00332E05"/>
    <w:rsid w:val="00332FD2"/>
    <w:rsid w:val="003332DA"/>
    <w:rsid w:val="00333B3A"/>
    <w:rsid w:val="00333CFE"/>
    <w:rsid w:val="00333FB4"/>
    <w:rsid w:val="00334B57"/>
    <w:rsid w:val="0033536F"/>
    <w:rsid w:val="003353BB"/>
    <w:rsid w:val="00335545"/>
    <w:rsid w:val="003355B4"/>
    <w:rsid w:val="0033571D"/>
    <w:rsid w:val="00335802"/>
    <w:rsid w:val="00335C8E"/>
    <w:rsid w:val="00336157"/>
    <w:rsid w:val="0033633E"/>
    <w:rsid w:val="00336403"/>
    <w:rsid w:val="0033703F"/>
    <w:rsid w:val="0033714B"/>
    <w:rsid w:val="003373AE"/>
    <w:rsid w:val="0033777F"/>
    <w:rsid w:val="00337C9B"/>
    <w:rsid w:val="00337DE0"/>
    <w:rsid w:val="00337E9D"/>
    <w:rsid w:val="00340429"/>
    <w:rsid w:val="0034095D"/>
    <w:rsid w:val="00340B08"/>
    <w:rsid w:val="00341502"/>
    <w:rsid w:val="0034155E"/>
    <w:rsid w:val="0034162F"/>
    <w:rsid w:val="0034166A"/>
    <w:rsid w:val="0034185F"/>
    <w:rsid w:val="00341E31"/>
    <w:rsid w:val="00342040"/>
    <w:rsid w:val="003425F4"/>
    <w:rsid w:val="0034273D"/>
    <w:rsid w:val="00342FF2"/>
    <w:rsid w:val="00343092"/>
    <w:rsid w:val="00343A58"/>
    <w:rsid w:val="00344112"/>
    <w:rsid w:val="003443BA"/>
    <w:rsid w:val="00345071"/>
    <w:rsid w:val="003453B0"/>
    <w:rsid w:val="0034547E"/>
    <w:rsid w:val="00345731"/>
    <w:rsid w:val="003457B4"/>
    <w:rsid w:val="00345C5E"/>
    <w:rsid w:val="00345EC1"/>
    <w:rsid w:val="00345FD7"/>
    <w:rsid w:val="00346027"/>
    <w:rsid w:val="0034630E"/>
    <w:rsid w:val="003464A9"/>
    <w:rsid w:val="003465A8"/>
    <w:rsid w:val="0034672E"/>
    <w:rsid w:val="00346B83"/>
    <w:rsid w:val="00346C90"/>
    <w:rsid w:val="00346FD4"/>
    <w:rsid w:val="00347062"/>
    <w:rsid w:val="003475AE"/>
    <w:rsid w:val="0034794C"/>
    <w:rsid w:val="003479CD"/>
    <w:rsid w:val="00347B5D"/>
    <w:rsid w:val="00347B6E"/>
    <w:rsid w:val="003501D2"/>
    <w:rsid w:val="003503B7"/>
    <w:rsid w:val="003503D3"/>
    <w:rsid w:val="003504AC"/>
    <w:rsid w:val="00350F43"/>
    <w:rsid w:val="00350F63"/>
    <w:rsid w:val="003511C7"/>
    <w:rsid w:val="00351C59"/>
    <w:rsid w:val="00352361"/>
    <w:rsid w:val="00352663"/>
    <w:rsid w:val="00352863"/>
    <w:rsid w:val="003529CE"/>
    <w:rsid w:val="00352C3F"/>
    <w:rsid w:val="003531F9"/>
    <w:rsid w:val="00353704"/>
    <w:rsid w:val="00353A2F"/>
    <w:rsid w:val="00353C34"/>
    <w:rsid w:val="00353C55"/>
    <w:rsid w:val="00354709"/>
    <w:rsid w:val="00354A0B"/>
    <w:rsid w:val="00354F05"/>
    <w:rsid w:val="00354F2A"/>
    <w:rsid w:val="003550D3"/>
    <w:rsid w:val="00355C38"/>
    <w:rsid w:val="00356048"/>
    <w:rsid w:val="00356510"/>
    <w:rsid w:val="00356691"/>
    <w:rsid w:val="003566CD"/>
    <w:rsid w:val="003569C4"/>
    <w:rsid w:val="003574DD"/>
    <w:rsid w:val="003575EC"/>
    <w:rsid w:val="00357909"/>
    <w:rsid w:val="003579FE"/>
    <w:rsid w:val="00357C4C"/>
    <w:rsid w:val="00357D8A"/>
    <w:rsid w:val="00357ED3"/>
    <w:rsid w:val="00357EDD"/>
    <w:rsid w:val="0036070F"/>
    <w:rsid w:val="00360D35"/>
    <w:rsid w:val="00360D4A"/>
    <w:rsid w:val="00360F06"/>
    <w:rsid w:val="0036143D"/>
    <w:rsid w:val="00362002"/>
    <w:rsid w:val="00362341"/>
    <w:rsid w:val="00362382"/>
    <w:rsid w:val="003623E9"/>
    <w:rsid w:val="003628D3"/>
    <w:rsid w:val="003629CD"/>
    <w:rsid w:val="00362A4F"/>
    <w:rsid w:val="00362C1B"/>
    <w:rsid w:val="00362F5A"/>
    <w:rsid w:val="00363938"/>
    <w:rsid w:val="00363E7C"/>
    <w:rsid w:val="003644EA"/>
    <w:rsid w:val="003648CD"/>
    <w:rsid w:val="00364DF6"/>
    <w:rsid w:val="00365100"/>
    <w:rsid w:val="00365124"/>
    <w:rsid w:val="0036520D"/>
    <w:rsid w:val="003657DD"/>
    <w:rsid w:val="00365FF0"/>
    <w:rsid w:val="003666E6"/>
    <w:rsid w:val="00366ED6"/>
    <w:rsid w:val="003670D0"/>
    <w:rsid w:val="003671EB"/>
    <w:rsid w:val="00367416"/>
    <w:rsid w:val="00367C7C"/>
    <w:rsid w:val="00367FC9"/>
    <w:rsid w:val="003703F3"/>
    <w:rsid w:val="00370488"/>
    <w:rsid w:val="00370D23"/>
    <w:rsid w:val="003711DC"/>
    <w:rsid w:val="00371302"/>
    <w:rsid w:val="00371636"/>
    <w:rsid w:val="0037165B"/>
    <w:rsid w:val="00371B8E"/>
    <w:rsid w:val="003723F6"/>
    <w:rsid w:val="00372968"/>
    <w:rsid w:val="00372A01"/>
    <w:rsid w:val="00372A09"/>
    <w:rsid w:val="0037345C"/>
    <w:rsid w:val="00373928"/>
    <w:rsid w:val="00373D95"/>
    <w:rsid w:val="003742CE"/>
    <w:rsid w:val="003743BF"/>
    <w:rsid w:val="00374539"/>
    <w:rsid w:val="00375094"/>
    <w:rsid w:val="003750CF"/>
    <w:rsid w:val="00375119"/>
    <w:rsid w:val="00375620"/>
    <w:rsid w:val="0037566B"/>
    <w:rsid w:val="0037593B"/>
    <w:rsid w:val="003759E3"/>
    <w:rsid w:val="00375B52"/>
    <w:rsid w:val="0037658F"/>
    <w:rsid w:val="0037669C"/>
    <w:rsid w:val="003768A9"/>
    <w:rsid w:val="00376FF0"/>
    <w:rsid w:val="003770BF"/>
    <w:rsid w:val="0037744C"/>
    <w:rsid w:val="0037765A"/>
    <w:rsid w:val="00377BC0"/>
    <w:rsid w:val="00377E6E"/>
    <w:rsid w:val="00380414"/>
    <w:rsid w:val="00380588"/>
    <w:rsid w:val="00380D7B"/>
    <w:rsid w:val="003818EE"/>
    <w:rsid w:val="003822C1"/>
    <w:rsid w:val="00382395"/>
    <w:rsid w:val="00382781"/>
    <w:rsid w:val="003829A0"/>
    <w:rsid w:val="00382AF5"/>
    <w:rsid w:val="00382B55"/>
    <w:rsid w:val="00383432"/>
    <w:rsid w:val="00383965"/>
    <w:rsid w:val="00383F9B"/>
    <w:rsid w:val="00384682"/>
    <w:rsid w:val="003846B6"/>
    <w:rsid w:val="00384A86"/>
    <w:rsid w:val="00384E2A"/>
    <w:rsid w:val="00385037"/>
    <w:rsid w:val="003850AC"/>
    <w:rsid w:val="003851AC"/>
    <w:rsid w:val="00386059"/>
    <w:rsid w:val="003863DC"/>
    <w:rsid w:val="00386A0B"/>
    <w:rsid w:val="00386AC6"/>
    <w:rsid w:val="00387045"/>
    <w:rsid w:val="003874E5"/>
    <w:rsid w:val="00387BB5"/>
    <w:rsid w:val="00387C3C"/>
    <w:rsid w:val="00390353"/>
    <w:rsid w:val="0039053C"/>
    <w:rsid w:val="00390FB3"/>
    <w:rsid w:val="00391872"/>
    <w:rsid w:val="00391DCF"/>
    <w:rsid w:val="00392087"/>
    <w:rsid w:val="0039272A"/>
    <w:rsid w:val="00392995"/>
    <w:rsid w:val="00392B35"/>
    <w:rsid w:val="00392D5C"/>
    <w:rsid w:val="003934D0"/>
    <w:rsid w:val="00393697"/>
    <w:rsid w:val="00393704"/>
    <w:rsid w:val="00393777"/>
    <w:rsid w:val="00393CC0"/>
    <w:rsid w:val="0039405E"/>
    <w:rsid w:val="00394262"/>
    <w:rsid w:val="0039446B"/>
    <w:rsid w:val="0039459A"/>
    <w:rsid w:val="00394720"/>
    <w:rsid w:val="003949AF"/>
    <w:rsid w:val="00394C48"/>
    <w:rsid w:val="00394CD8"/>
    <w:rsid w:val="00394F29"/>
    <w:rsid w:val="003950A5"/>
    <w:rsid w:val="00395117"/>
    <w:rsid w:val="003953DD"/>
    <w:rsid w:val="00395462"/>
    <w:rsid w:val="00395922"/>
    <w:rsid w:val="00396020"/>
    <w:rsid w:val="00396931"/>
    <w:rsid w:val="003969CB"/>
    <w:rsid w:val="00396A89"/>
    <w:rsid w:val="00396ECD"/>
    <w:rsid w:val="00396F09"/>
    <w:rsid w:val="0039762A"/>
    <w:rsid w:val="00397931"/>
    <w:rsid w:val="00397EEA"/>
    <w:rsid w:val="003A000C"/>
    <w:rsid w:val="003A1304"/>
    <w:rsid w:val="003A1432"/>
    <w:rsid w:val="003A1806"/>
    <w:rsid w:val="003A1894"/>
    <w:rsid w:val="003A1896"/>
    <w:rsid w:val="003A1ABF"/>
    <w:rsid w:val="003A1E0B"/>
    <w:rsid w:val="003A1ED2"/>
    <w:rsid w:val="003A1FF3"/>
    <w:rsid w:val="003A2207"/>
    <w:rsid w:val="003A23E6"/>
    <w:rsid w:val="003A3108"/>
    <w:rsid w:val="003A348B"/>
    <w:rsid w:val="003A40DC"/>
    <w:rsid w:val="003A423C"/>
    <w:rsid w:val="003A47F1"/>
    <w:rsid w:val="003A4A4C"/>
    <w:rsid w:val="003A4B20"/>
    <w:rsid w:val="003A4CA6"/>
    <w:rsid w:val="003A4D8B"/>
    <w:rsid w:val="003A4EAF"/>
    <w:rsid w:val="003A53CB"/>
    <w:rsid w:val="003A5D4E"/>
    <w:rsid w:val="003A5E2B"/>
    <w:rsid w:val="003A5ED6"/>
    <w:rsid w:val="003A638D"/>
    <w:rsid w:val="003A6D6C"/>
    <w:rsid w:val="003A713C"/>
    <w:rsid w:val="003A75A8"/>
    <w:rsid w:val="003A7A0F"/>
    <w:rsid w:val="003A7E9D"/>
    <w:rsid w:val="003B012A"/>
    <w:rsid w:val="003B0C34"/>
    <w:rsid w:val="003B10CC"/>
    <w:rsid w:val="003B13B2"/>
    <w:rsid w:val="003B1962"/>
    <w:rsid w:val="003B1994"/>
    <w:rsid w:val="003B1DD1"/>
    <w:rsid w:val="003B1F77"/>
    <w:rsid w:val="003B2607"/>
    <w:rsid w:val="003B2E71"/>
    <w:rsid w:val="003B34A6"/>
    <w:rsid w:val="003B3841"/>
    <w:rsid w:val="003B386D"/>
    <w:rsid w:val="003B3E8D"/>
    <w:rsid w:val="003B3F11"/>
    <w:rsid w:val="003B40D1"/>
    <w:rsid w:val="003B422B"/>
    <w:rsid w:val="003B44E4"/>
    <w:rsid w:val="003B45F3"/>
    <w:rsid w:val="003B477F"/>
    <w:rsid w:val="003B4A84"/>
    <w:rsid w:val="003B4E96"/>
    <w:rsid w:val="003B5190"/>
    <w:rsid w:val="003B538A"/>
    <w:rsid w:val="003B5598"/>
    <w:rsid w:val="003B58D8"/>
    <w:rsid w:val="003B5B5C"/>
    <w:rsid w:val="003B63DD"/>
    <w:rsid w:val="003B654B"/>
    <w:rsid w:val="003B7522"/>
    <w:rsid w:val="003B7687"/>
    <w:rsid w:val="003B7BA7"/>
    <w:rsid w:val="003C04A3"/>
    <w:rsid w:val="003C0A53"/>
    <w:rsid w:val="003C0A87"/>
    <w:rsid w:val="003C0CEE"/>
    <w:rsid w:val="003C16FD"/>
    <w:rsid w:val="003C1978"/>
    <w:rsid w:val="003C19E7"/>
    <w:rsid w:val="003C1C54"/>
    <w:rsid w:val="003C2A4B"/>
    <w:rsid w:val="003C30CC"/>
    <w:rsid w:val="003C31F1"/>
    <w:rsid w:val="003C3233"/>
    <w:rsid w:val="003C361F"/>
    <w:rsid w:val="003C3663"/>
    <w:rsid w:val="003C372F"/>
    <w:rsid w:val="003C3840"/>
    <w:rsid w:val="003C3A45"/>
    <w:rsid w:val="003C3F7F"/>
    <w:rsid w:val="003C402A"/>
    <w:rsid w:val="003C40A2"/>
    <w:rsid w:val="003C4351"/>
    <w:rsid w:val="003C499B"/>
    <w:rsid w:val="003C4A2E"/>
    <w:rsid w:val="003C4B8E"/>
    <w:rsid w:val="003C4C23"/>
    <w:rsid w:val="003C5343"/>
    <w:rsid w:val="003C573F"/>
    <w:rsid w:val="003C5BE7"/>
    <w:rsid w:val="003C6B10"/>
    <w:rsid w:val="003C735D"/>
    <w:rsid w:val="003C73D2"/>
    <w:rsid w:val="003C7958"/>
    <w:rsid w:val="003C7F33"/>
    <w:rsid w:val="003C7F7D"/>
    <w:rsid w:val="003D072C"/>
    <w:rsid w:val="003D0AD8"/>
    <w:rsid w:val="003D0C4B"/>
    <w:rsid w:val="003D0FDE"/>
    <w:rsid w:val="003D11DE"/>
    <w:rsid w:val="003D1419"/>
    <w:rsid w:val="003D15B8"/>
    <w:rsid w:val="003D2026"/>
    <w:rsid w:val="003D20D3"/>
    <w:rsid w:val="003D2119"/>
    <w:rsid w:val="003D21DB"/>
    <w:rsid w:val="003D21E8"/>
    <w:rsid w:val="003D29BF"/>
    <w:rsid w:val="003D2A8D"/>
    <w:rsid w:val="003D2B48"/>
    <w:rsid w:val="003D2C65"/>
    <w:rsid w:val="003D35C4"/>
    <w:rsid w:val="003D376D"/>
    <w:rsid w:val="003D4794"/>
    <w:rsid w:val="003D47DC"/>
    <w:rsid w:val="003D4D9B"/>
    <w:rsid w:val="003D5222"/>
    <w:rsid w:val="003D55EB"/>
    <w:rsid w:val="003D56B9"/>
    <w:rsid w:val="003D5884"/>
    <w:rsid w:val="003D593C"/>
    <w:rsid w:val="003D5A7F"/>
    <w:rsid w:val="003D5BE4"/>
    <w:rsid w:val="003D6C33"/>
    <w:rsid w:val="003D7658"/>
    <w:rsid w:val="003D7905"/>
    <w:rsid w:val="003D7ADC"/>
    <w:rsid w:val="003D7B70"/>
    <w:rsid w:val="003E06E7"/>
    <w:rsid w:val="003E081B"/>
    <w:rsid w:val="003E0B62"/>
    <w:rsid w:val="003E0DF7"/>
    <w:rsid w:val="003E1707"/>
    <w:rsid w:val="003E18C1"/>
    <w:rsid w:val="003E1940"/>
    <w:rsid w:val="003E218E"/>
    <w:rsid w:val="003E2E57"/>
    <w:rsid w:val="003E3254"/>
    <w:rsid w:val="003E353E"/>
    <w:rsid w:val="003E3C10"/>
    <w:rsid w:val="003E421D"/>
    <w:rsid w:val="003E429E"/>
    <w:rsid w:val="003E4A63"/>
    <w:rsid w:val="003E4B55"/>
    <w:rsid w:val="003E5192"/>
    <w:rsid w:val="003E53DC"/>
    <w:rsid w:val="003E5407"/>
    <w:rsid w:val="003E5669"/>
    <w:rsid w:val="003E593A"/>
    <w:rsid w:val="003E59D5"/>
    <w:rsid w:val="003E5B92"/>
    <w:rsid w:val="003E5E7B"/>
    <w:rsid w:val="003E5ED6"/>
    <w:rsid w:val="003E61AB"/>
    <w:rsid w:val="003E6A2E"/>
    <w:rsid w:val="003E6E5B"/>
    <w:rsid w:val="003E7458"/>
    <w:rsid w:val="003E77E8"/>
    <w:rsid w:val="003E7998"/>
    <w:rsid w:val="003E7F4A"/>
    <w:rsid w:val="003F0598"/>
    <w:rsid w:val="003F079F"/>
    <w:rsid w:val="003F0BD4"/>
    <w:rsid w:val="003F1055"/>
    <w:rsid w:val="003F1471"/>
    <w:rsid w:val="003F14CE"/>
    <w:rsid w:val="003F170A"/>
    <w:rsid w:val="003F1855"/>
    <w:rsid w:val="003F1FA3"/>
    <w:rsid w:val="003F29B7"/>
    <w:rsid w:val="003F2D8B"/>
    <w:rsid w:val="003F2E77"/>
    <w:rsid w:val="003F358D"/>
    <w:rsid w:val="003F3A63"/>
    <w:rsid w:val="003F4176"/>
    <w:rsid w:val="003F4343"/>
    <w:rsid w:val="003F45EC"/>
    <w:rsid w:val="003F4949"/>
    <w:rsid w:val="003F494F"/>
    <w:rsid w:val="003F4EF0"/>
    <w:rsid w:val="003F4F03"/>
    <w:rsid w:val="003F567D"/>
    <w:rsid w:val="003F600C"/>
    <w:rsid w:val="003F6146"/>
    <w:rsid w:val="003F6DF7"/>
    <w:rsid w:val="003F75E7"/>
    <w:rsid w:val="003F75EF"/>
    <w:rsid w:val="003F7836"/>
    <w:rsid w:val="003F7970"/>
    <w:rsid w:val="00400466"/>
    <w:rsid w:val="004005EC"/>
    <w:rsid w:val="00400776"/>
    <w:rsid w:val="00400D21"/>
    <w:rsid w:val="00400E89"/>
    <w:rsid w:val="00401078"/>
    <w:rsid w:val="004011B5"/>
    <w:rsid w:val="00401411"/>
    <w:rsid w:val="004016D9"/>
    <w:rsid w:val="00401789"/>
    <w:rsid w:val="004017C7"/>
    <w:rsid w:val="00401C48"/>
    <w:rsid w:val="00401EEE"/>
    <w:rsid w:val="00401F78"/>
    <w:rsid w:val="004023CE"/>
    <w:rsid w:val="00402512"/>
    <w:rsid w:val="0040270A"/>
    <w:rsid w:val="00402E55"/>
    <w:rsid w:val="00403367"/>
    <w:rsid w:val="00403E8F"/>
    <w:rsid w:val="00404455"/>
    <w:rsid w:val="0040466F"/>
    <w:rsid w:val="004047D8"/>
    <w:rsid w:val="00404D83"/>
    <w:rsid w:val="00405985"/>
    <w:rsid w:val="00405F40"/>
    <w:rsid w:val="00405FB0"/>
    <w:rsid w:val="00406591"/>
    <w:rsid w:val="004074C7"/>
    <w:rsid w:val="004074E0"/>
    <w:rsid w:val="0040762D"/>
    <w:rsid w:val="00410092"/>
    <w:rsid w:val="00410459"/>
    <w:rsid w:val="004104E7"/>
    <w:rsid w:val="0041083A"/>
    <w:rsid w:val="00410B31"/>
    <w:rsid w:val="00410CEE"/>
    <w:rsid w:val="00410E96"/>
    <w:rsid w:val="004110E2"/>
    <w:rsid w:val="004111AB"/>
    <w:rsid w:val="004114C8"/>
    <w:rsid w:val="004116F8"/>
    <w:rsid w:val="00411726"/>
    <w:rsid w:val="0041193D"/>
    <w:rsid w:val="00411C87"/>
    <w:rsid w:val="00412015"/>
    <w:rsid w:val="004120D6"/>
    <w:rsid w:val="00412486"/>
    <w:rsid w:val="004125E4"/>
    <w:rsid w:val="0041283A"/>
    <w:rsid w:val="00412962"/>
    <w:rsid w:val="00412A03"/>
    <w:rsid w:val="0041311A"/>
    <w:rsid w:val="00413245"/>
    <w:rsid w:val="00413C47"/>
    <w:rsid w:val="00413F52"/>
    <w:rsid w:val="004147E3"/>
    <w:rsid w:val="00414E8B"/>
    <w:rsid w:val="00414EEA"/>
    <w:rsid w:val="00415B0A"/>
    <w:rsid w:val="00415C11"/>
    <w:rsid w:val="00416282"/>
    <w:rsid w:val="00416DA5"/>
    <w:rsid w:val="0041706F"/>
    <w:rsid w:val="00417240"/>
    <w:rsid w:val="0041725E"/>
    <w:rsid w:val="00417489"/>
    <w:rsid w:val="00417794"/>
    <w:rsid w:val="00417B58"/>
    <w:rsid w:val="00417D63"/>
    <w:rsid w:val="004201C2"/>
    <w:rsid w:val="0042052C"/>
    <w:rsid w:val="00420812"/>
    <w:rsid w:val="004208F0"/>
    <w:rsid w:val="00420A8B"/>
    <w:rsid w:val="00420B12"/>
    <w:rsid w:val="0042109A"/>
    <w:rsid w:val="004214B7"/>
    <w:rsid w:val="0042153F"/>
    <w:rsid w:val="004217BD"/>
    <w:rsid w:val="00421878"/>
    <w:rsid w:val="004218F9"/>
    <w:rsid w:val="00421E70"/>
    <w:rsid w:val="00421F92"/>
    <w:rsid w:val="00422CC3"/>
    <w:rsid w:val="00422E5C"/>
    <w:rsid w:val="00423107"/>
    <w:rsid w:val="00423149"/>
    <w:rsid w:val="00423334"/>
    <w:rsid w:val="004238B3"/>
    <w:rsid w:val="004238EA"/>
    <w:rsid w:val="00423A62"/>
    <w:rsid w:val="00423C6D"/>
    <w:rsid w:val="004247AF"/>
    <w:rsid w:val="00426428"/>
    <w:rsid w:val="00426597"/>
    <w:rsid w:val="0042671F"/>
    <w:rsid w:val="00426845"/>
    <w:rsid w:val="004268EE"/>
    <w:rsid w:val="00426BA3"/>
    <w:rsid w:val="0042717D"/>
    <w:rsid w:val="00427192"/>
    <w:rsid w:val="004273A8"/>
    <w:rsid w:val="00427454"/>
    <w:rsid w:val="0042747F"/>
    <w:rsid w:val="00427896"/>
    <w:rsid w:val="00427958"/>
    <w:rsid w:val="0043002C"/>
    <w:rsid w:val="004300DC"/>
    <w:rsid w:val="00430219"/>
    <w:rsid w:val="00430422"/>
    <w:rsid w:val="0043061A"/>
    <w:rsid w:val="00430654"/>
    <w:rsid w:val="00430687"/>
    <w:rsid w:val="004307B3"/>
    <w:rsid w:val="004308A8"/>
    <w:rsid w:val="00430C13"/>
    <w:rsid w:val="00430E19"/>
    <w:rsid w:val="00430F25"/>
    <w:rsid w:val="00431401"/>
    <w:rsid w:val="00431675"/>
    <w:rsid w:val="004317D6"/>
    <w:rsid w:val="004320DB"/>
    <w:rsid w:val="004325B2"/>
    <w:rsid w:val="0043290A"/>
    <w:rsid w:val="00432AC2"/>
    <w:rsid w:val="00432B54"/>
    <w:rsid w:val="00432DD3"/>
    <w:rsid w:val="004330A5"/>
    <w:rsid w:val="004337EE"/>
    <w:rsid w:val="0043389A"/>
    <w:rsid w:val="004338A9"/>
    <w:rsid w:val="004339FD"/>
    <w:rsid w:val="00433AAA"/>
    <w:rsid w:val="00433E5E"/>
    <w:rsid w:val="0043414B"/>
    <w:rsid w:val="00435271"/>
    <w:rsid w:val="004353FD"/>
    <w:rsid w:val="004354B3"/>
    <w:rsid w:val="004358E5"/>
    <w:rsid w:val="00435C47"/>
    <w:rsid w:val="00435CF2"/>
    <w:rsid w:val="00436479"/>
    <w:rsid w:val="004369FB"/>
    <w:rsid w:val="00436AD0"/>
    <w:rsid w:val="00436E45"/>
    <w:rsid w:val="0043705A"/>
    <w:rsid w:val="004372C7"/>
    <w:rsid w:val="00437473"/>
    <w:rsid w:val="0043793A"/>
    <w:rsid w:val="00440227"/>
    <w:rsid w:val="00440910"/>
    <w:rsid w:val="00440A1F"/>
    <w:rsid w:val="00440F76"/>
    <w:rsid w:val="0044126F"/>
    <w:rsid w:val="00441549"/>
    <w:rsid w:val="0044165A"/>
    <w:rsid w:val="00441821"/>
    <w:rsid w:val="004420EA"/>
    <w:rsid w:val="00442CA4"/>
    <w:rsid w:val="0044341A"/>
    <w:rsid w:val="00443AE9"/>
    <w:rsid w:val="0044422D"/>
    <w:rsid w:val="00444851"/>
    <w:rsid w:val="00445D3D"/>
    <w:rsid w:val="00446149"/>
    <w:rsid w:val="00447547"/>
    <w:rsid w:val="0044783F"/>
    <w:rsid w:val="00450040"/>
    <w:rsid w:val="0045013E"/>
    <w:rsid w:val="004502BD"/>
    <w:rsid w:val="00450B57"/>
    <w:rsid w:val="00450D76"/>
    <w:rsid w:val="00451473"/>
    <w:rsid w:val="00451C26"/>
    <w:rsid w:val="0045215E"/>
    <w:rsid w:val="0045242F"/>
    <w:rsid w:val="00452E35"/>
    <w:rsid w:val="00453087"/>
    <w:rsid w:val="00453176"/>
    <w:rsid w:val="004531DF"/>
    <w:rsid w:val="004539CD"/>
    <w:rsid w:val="004542C4"/>
    <w:rsid w:val="00454865"/>
    <w:rsid w:val="004554F1"/>
    <w:rsid w:val="004556DB"/>
    <w:rsid w:val="00455926"/>
    <w:rsid w:val="00455AF1"/>
    <w:rsid w:val="00455CBD"/>
    <w:rsid w:val="00456049"/>
    <w:rsid w:val="0045671A"/>
    <w:rsid w:val="00456D61"/>
    <w:rsid w:val="00456D79"/>
    <w:rsid w:val="00456D92"/>
    <w:rsid w:val="00456E1B"/>
    <w:rsid w:val="0045716B"/>
    <w:rsid w:val="004600C8"/>
    <w:rsid w:val="00460C95"/>
    <w:rsid w:val="00460FCE"/>
    <w:rsid w:val="004610F0"/>
    <w:rsid w:val="00461415"/>
    <w:rsid w:val="00461808"/>
    <w:rsid w:val="00461ED3"/>
    <w:rsid w:val="00461FED"/>
    <w:rsid w:val="00462035"/>
    <w:rsid w:val="00462050"/>
    <w:rsid w:val="0046279E"/>
    <w:rsid w:val="0046291F"/>
    <w:rsid w:val="00462A11"/>
    <w:rsid w:val="00462C83"/>
    <w:rsid w:val="00462D03"/>
    <w:rsid w:val="00463801"/>
    <w:rsid w:val="004639F6"/>
    <w:rsid w:val="00464438"/>
    <w:rsid w:val="00464784"/>
    <w:rsid w:val="00464EF4"/>
    <w:rsid w:val="00464F14"/>
    <w:rsid w:val="0046590D"/>
    <w:rsid w:val="004659C6"/>
    <w:rsid w:val="00465A2D"/>
    <w:rsid w:val="00465B77"/>
    <w:rsid w:val="004663C1"/>
    <w:rsid w:val="00466C69"/>
    <w:rsid w:val="00466D5A"/>
    <w:rsid w:val="00466EFC"/>
    <w:rsid w:val="00467160"/>
    <w:rsid w:val="0046750E"/>
    <w:rsid w:val="004677A9"/>
    <w:rsid w:val="00467810"/>
    <w:rsid w:val="00467B27"/>
    <w:rsid w:val="00470A97"/>
    <w:rsid w:val="004710D5"/>
    <w:rsid w:val="004711E9"/>
    <w:rsid w:val="00471648"/>
    <w:rsid w:val="00472B65"/>
    <w:rsid w:val="00472E72"/>
    <w:rsid w:val="00473040"/>
    <w:rsid w:val="00473143"/>
    <w:rsid w:val="00473299"/>
    <w:rsid w:val="004732EF"/>
    <w:rsid w:val="00473ED8"/>
    <w:rsid w:val="00473FC5"/>
    <w:rsid w:val="004740DB"/>
    <w:rsid w:val="00474A15"/>
    <w:rsid w:val="00474D90"/>
    <w:rsid w:val="00475069"/>
    <w:rsid w:val="004754CD"/>
    <w:rsid w:val="00475529"/>
    <w:rsid w:val="00475992"/>
    <w:rsid w:val="00475B08"/>
    <w:rsid w:val="0047621C"/>
    <w:rsid w:val="0047676A"/>
    <w:rsid w:val="004769AC"/>
    <w:rsid w:val="004769E3"/>
    <w:rsid w:val="00476AB7"/>
    <w:rsid w:val="00477397"/>
    <w:rsid w:val="00477454"/>
    <w:rsid w:val="00477856"/>
    <w:rsid w:val="004778C4"/>
    <w:rsid w:val="00477998"/>
    <w:rsid w:val="00477FDE"/>
    <w:rsid w:val="004803EA"/>
    <w:rsid w:val="00480472"/>
    <w:rsid w:val="004807BC"/>
    <w:rsid w:val="004809FE"/>
    <w:rsid w:val="00480A89"/>
    <w:rsid w:val="00480DB2"/>
    <w:rsid w:val="00481480"/>
    <w:rsid w:val="00481988"/>
    <w:rsid w:val="00481CAF"/>
    <w:rsid w:val="004826C5"/>
    <w:rsid w:val="00482ABD"/>
    <w:rsid w:val="00482D22"/>
    <w:rsid w:val="00482EDC"/>
    <w:rsid w:val="00483013"/>
    <w:rsid w:val="0048302D"/>
    <w:rsid w:val="004841D1"/>
    <w:rsid w:val="00484556"/>
    <w:rsid w:val="00484ED1"/>
    <w:rsid w:val="00484F66"/>
    <w:rsid w:val="00485048"/>
    <w:rsid w:val="004850F6"/>
    <w:rsid w:val="004857DB"/>
    <w:rsid w:val="0048586E"/>
    <w:rsid w:val="00485BEF"/>
    <w:rsid w:val="00485E94"/>
    <w:rsid w:val="00486450"/>
    <w:rsid w:val="00486FF5"/>
    <w:rsid w:val="00487322"/>
    <w:rsid w:val="0048732A"/>
    <w:rsid w:val="0048786B"/>
    <w:rsid w:val="00487DEB"/>
    <w:rsid w:val="00487DED"/>
    <w:rsid w:val="004903C4"/>
    <w:rsid w:val="00490BBB"/>
    <w:rsid w:val="00490F04"/>
    <w:rsid w:val="00491024"/>
    <w:rsid w:val="00491068"/>
    <w:rsid w:val="004911B4"/>
    <w:rsid w:val="00492039"/>
    <w:rsid w:val="004923D3"/>
    <w:rsid w:val="0049293E"/>
    <w:rsid w:val="004934A5"/>
    <w:rsid w:val="00493750"/>
    <w:rsid w:val="0049383D"/>
    <w:rsid w:val="00493942"/>
    <w:rsid w:val="00493E70"/>
    <w:rsid w:val="0049409D"/>
    <w:rsid w:val="004940AC"/>
    <w:rsid w:val="0049486C"/>
    <w:rsid w:val="00494979"/>
    <w:rsid w:val="00494D58"/>
    <w:rsid w:val="0049534A"/>
    <w:rsid w:val="00495357"/>
    <w:rsid w:val="004955B7"/>
    <w:rsid w:val="0049567F"/>
    <w:rsid w:val="0049581F"/>
    <w:rsid w:val="00495A75"/>
    <w:rsid w:val="00495DC8"/>
    <w:rsid w:val="00496239"/>
    <w:rsid w:val="0049695D"/>
    <w:rsid w:val="0049698F"/>
    <w:rsid w:val="00496F26"/>
    <w:rsid w:val="00496FAC"/>
    <w:rsid w:val="0049715B"/>
    <w:rsid w:val="00497693"/>
    <w:rsid w:val="00497C55"/>
    <w:rsid w:val="004A00EE"/>
    <w:rsid w:val="004A0176"/>
    <w:rsid w:val="004A0742"/>
    <w:rsid w:val="004A0771"/>
    <w:rsid w:val="004A096A"/>
    <w:rsid w:val="004A12FC"/>
    <w:rsid w:val="004A1336"/>
    <w:rsid w:val="004A1E78"/>
    <w:rsid w:val="004A2599"/>
    <w:rsid w:val="004A265A"/>
    <w:rsid w:val="004A28B4"/>
    <w:rsid w:val="004A28CB"/>
    <w:rsid w:val="004A3914"/>
    <w:rsid w:val="004A397A"/>
    <w:rsid w:val="004A42B8"/>
    <w:rsid w:val="004A4313"/>
    <w:rsid w:val="004A46B7"/>
    <w:rsid w:val="004A4A38"/>
    <w:rsid w:val="004A4F56"/>
    <w:rsid w:val="004A5062"/>
    <w:rsid w:val="004A56CF"/>
    <w:rsid w:val="004A59B3"/>
    <w:rsid w:val="004A5B6B"/>
    <w:rsid w:val="004A5EB3"/>
    <w:rsid w:val="004A5F26"/>
    <w:rsid w:val="004A6939"/>
    <w:rsid w:val="004A6C41"/>
    <w:rsid w:val="004A6FCA"/>
    <w:rsid w:val="004A73E3"/>
    <w:rsid w:val="004A770F"/>
    <w:rsid w:val="004A77F9"/>
    <w:rsid w:val="004A7B38"/>
    <w:rsid w:val="004A7C44"/>
    <w:rsid w:val="004A7F79"/>
    <w:rsid w:val="004B0055"/>
    <w:rsid w:val="004B01B1"/>
    <w:rsid w:val="004B02E9"/>
    <w:rsid w:val="004B030F"/>
    <w:rsid w:val="004B03E3"/>
    <w:rsid w:val="004B0573"/>
    <w:rsid w:val="004B0735"/>
    <w:rsid w:val="004B0A04"/>
    <w:rsid w:val="004B0D72"/>
    <w:rsid w:val="004B115C"/>
    <w:rsid w:val="004B1673"/>
    <w:rsid w:val="004B175F"/>
    <w:rsid w:val="004B18B7"/>
    <w:rsid w:val="004B19C7"/>
    <w:rsid w:val="004B1A66"/>
    <w:rsid w:val="004B1AB4"/>
    <w:rsid w:val="004B1D68"/>
    <w:rsid w:val="004B1E35"/>
    <w:rsid w:val="004B1FC7"/>
    <w:rsid w:val="004B2625"/>
    <w:rsid w:val="004B282E"/>
    <w:rsid w:val="004B2865"/>
    <w:rsid w:val="004B2925"/>
    <w:rsid w:val="004B2DFC"/>
    <w:rsid w:val="004B3369"/>
    <w:rsid w:val="004B34C5"/>
    <w:rsid w:val="004B4440"/>
    <w:rsid w:val="004B457E"/>
    <w:rsid w:val="004B4714"/>
    <w:rsid w:val="004B4C8E"/>
    <w:rsid w:val="004B53D9"/>
    <w:rsid w:val="004B5877"/>
    <w:rsid w:val="004B5BB1"/>
    <w:rsid w:val="004B5C51"/>
    <w:rsid w:val="004B6062"/>
    <w:rsid w:val="004B6071"/>
    <w:rsid w:val="004B6149"/>
    <w:rsid w:val="004B6472"/>
    <w:rsid w:val="004B6C0F"/>
    <w:rsid w:val="004B7037"/>
    <w:rsid w:val="004B7894"/>
    <w:rsid w:val="004B7A0A"/>
    <w:rsid w:val="004B7AFD"/>
    <w:rsid w:val="004B7BBC"/>
    <w:rsid w:val="004C0152"/>
    <w:rsid w:val="004C099A"/>
    <w:rsid w:val="004C1179"/>
    <w:rsid w:val="004C12D1"/>
    <w:rsid w:val="004C1370"/>
    <w:rsid w:val="004C168E"/>
    <w:rsid w:val="004C192D"/>
    <w:rsid w:val="004C19B9"/>
    <w:rsid w:val="004C1B7A"/>
    <w:rsid w:val="004C208A"/>
    <w:rsid w:val="004C25D9"/>
    <w:rsid w:val="004C34A0"/>
    <w:rsid w:val="004C34F3"/>
    <w:rsid w:val="004C35BB"/>
    <w:rsid w:val="004C3D79"/>
    <w:rsid w:val="004C420E"/>
    <w:rsid w:val="004C456D"/>
    <w:rsid w:val="004C477C"/>
    <w:rsid w:val="004C4E6E"/>
    <w:rsid w:val="004C515F"/>
    <w:rsid w:val="004C61D3"/>
    <w:rsid w:val="004C6634"/>
    <w:rsid w:val="004C67B8"/>
    <w:rsid w:val="004C6836"/>
    <w:rsid w:val="004C6B8A"/>
    <w:rsid w:val="004C719B"/>
    <w:rsid w:val="004C77F0"/>
    <w:rsid w:val="004C7B95"/>
    <w:rsid w:val="004D00B2"/>
    <w:rsid w:val="004D02A4"/>
    <w:rsid w:val="004D058D"/>
    <w:rsid w:val="004D0C0C"/>
    <w:rsid w:val="004D1083"/>
    <w:rsid w:val="004D1179"/>
    <w:rsid w:val="004D121F"/>
    <w:rsid w:val="004D16D4"/>
    <w:rsid w:val="004D174F"/>
    <w:rsid w:val="004D1930"/>
    <w:rsid w:val="004D193F"/>
    <w:rsid w:val="004D1CD5"/>
    <w:rsid w:val="004D24DE"/>
    <w:rsid w:val="004D254C"/>
    <w:rsid w:val="004D281E"/>
    <w:rsid w:val="004D2D3F"/>
    <w:rsid w:val="004D333E"/>
    <w:rsid w:val="004D38E7"/>
    <w:rsid w:val="004D3980"/>
    <w:rsid w:val="004D3EAD"/>
    <w:rsid w:val="004D483E"/>
    <w:rsid w:val="004D4B55"/>
    <w:rsid w:val="004D526C"/>
    <w:rsid w:val="004D625A"/>
    <w:rsid w:val="004D71DF"/>
    <w:rsid w:val="004D789E"/>
    <w:rsid w:val="004D7F97"/>
    <w:rsid w:val="004E02EF"/>
    <w:rsid w:val="004E06F0"/>
    <w:rsid w:val="004E0F92"/>
    <w:rsid w:val="004E11BE"/>
    <w:rsid w:val="004E1646"/>
    <w:rsid w:val="004E17B2"/>
    <w:rsid w:val="004E2091"/>
    <w:rsid w:val="004E2BC9"/>
    <w:rsid w:val="004E2C3B"/>
    <w:rsid w:val="004E323D"/>
    <w:rsid w:val="004E37F0"/>
    <w:rsid w:val="004E3914"/>
    <w:rsid w:val="004E3A8F"/>
    <w:rsid w:val="004E3CC1"/>
    <w:rsid w:val="004E42FB"/>
    <w:rsid w:val="004E461E"/>
    <w:rsid w:val="004E46B7"/>
    <w:rsid w:val="004E4B58"/>
    <w:rsid w:val="004E4F1F"/>
    <w:rsid w:val="004E51D8"/>
    <w:rsid w:val="004E5814"/>
    <w:rsid w:val="004E61BD"/>
    <w:rsid w:val="004E64AD"/>
    <w:rsid w:val="004E6B3E"/>
    <w:rsid w:val="004E6B62"/>
    <w:rsid w:val="004E6CE3"/>
    <w:rsid w:val="004E6CF2"/>
    <w:rsid w:val="004E7545"/>
    <w:rsid w:val="004E7563"/>
    <w:rsid w:val="004E7641"/>
    <w:rsid w:val="004E7A2D"/>
    <w:rsid w:val="004E7AC8"/>
    <w:rsid w:val="004E7BE8"/>
    <w:rsid w:val="004E7DB8"/>
    <w:rsid w:val="004E7EDC"/>
    <w:rsid w:val="004F003B"/>
    <w:rsid w:val="004F0889"/>
    <w:rsid w:val="004F09D9"/>
    <w:rsid w:val="004F0FFE"/>
    <w:rsid w:val="004F1A1C"/>
    <w:rsid w:val="004F1AE8"/>
    <w:rsid w:val="004F2314"/>
    <w:rsid w:val="004F2477"/>
    <w:rsid w:val="004F289A"/>
    <w:rsid w:val="004F296E"/>
    <w:rsid w:val="004F2AA4"/>
    <w:rsid w:val="004F2D55"/>
    <w:rsid w:val="004F2DFE"/>
    <w:rsid w:val="004F3915"/>
    <w:rsid w:val="004F3940"/>
    <w:rsid w:val="004F43CE"/>
    <w:rsid w:val="004F455F"/>
    <w:rsid w:val="004F45B5"/>
    <w:rsid w:val="004F489A"/>
    <w:rsid w:val="004F4B72"/>
    <w:rsid w:val="004F4D70"/>
    <w:rsid w:val="004F50A7"/>
    <w:rsid w:val="004F59B6"/>
    <w:rsid w:val="004F6BA7"/>
    <w:rsid w:val="004F6C03"/>
    <w:rsid w:val="004F7A2E"/>
    <w:rsid w:val="004F7B44"/>
    <w:rsid w:val="004F7F58"/>
    <w:rsid w:val="0050051D"/>
    <w:rsid w:val="00500B19"/>
    <w:rsid w:val="00501124"/>
    <w:rsid w:val="0050115A"/>
    <w:rsid w:val="00501166"/>
    <w:rsid w:val="00501649"/>
    <w:rsid w:val="005017B6"/>
    <w:rsid w:val="0050186C"/>
    <w:rsid w:val="0050188B"/>
    <w:rsid w:val="0050189E"/>
    <w:rsid w:val="00501A24"/>
    <w:rsid w:val="00501B7E"/>
    <w:rsid w:val="00501DA0"/>
    <w:rsid w:val="00502943"/>
    <w:rsid w:val="00502C6A"/>
    <w:rsid w:val="00503192"/>
    <w:rsid w:val="005033BB"/>
    <w:rsid w:val="005038F6"/>
    <w:rsid w:val="00503C83"/>
    <w:rsid w:val="0050407E"/>
    <w:rsid w:val="00504CAF"/>
    <w:rsid w:val="005052E2"/>
    <w:rsid w:val="005053B1"/>
    <w:rsid w:val="005055DC"/>
    <w:rsid w:val="0050563D"/>
    <w:rsid w:val="00505C94"/>
    <w:rsid w:val="00505D32"/>
    <w:rsid w:val="00505D7E"/>
    <w:rsid w:val="005063FD"/>
    <w:rsid w:val="0050674A"/>
    <w:rsid w:val="00506750"/>
    <w:rsid w:val="00507373"/>
    <w:rsid w:val="00507610"/>
    <w:rsid w:val="00507648"/>
    <w:rsid w:val="00507A74"/>
    <w:rsid w:val="00507AB8"/>
    <w:rsid w:val="00507C39"/>
    <w:rsid w:val="00507E15"/>
    <w:rsid w:val="00507F4D"/>
    <w:rsid w:val="005105DE"/>
    <w:rsid w:val="005107D9"/>
    <w:rsid w:val="00511210"/>
    <w:rsid w:val="005114D5"/>
    <w:rsid w:val="005123F0"/>
    <w:rsid w:val="005127FA"/>
    <w:rsid w:val="0051319E"/>
    <w:rsid w:val="005134E9"/>
    <w:rsid w:val="005136EB"/>
    <w:rsid w:val="005141DE"/>
    <w:rsid w:val="0051456D"/>
    <w:rsid w:val="005153BC"/>
    <w:rsid w:val="00515684"/>
    <w:rsid w:val="0051605E"/>
    <w:rsid w:val="00516AFE"/>
    <w:rsid w:val="00516D36"/>
    <w:rsid w:val="00516F68"/>
    <w:rsid w:val="00516FC6"/>
    <w:rsid w:val="00517276"/>
    <w:rsid w:val="0051773D"/>
    <w:rsid w:val="005177D4"/>
    <w:rsid w:val="0052053A"/>
    <w:rsid w:val="00520882"/>
    <w:rsid w:val="00520B45"/>
    <w:rsid w:val="00520BC5"/>
    <w:rsid w:val="005210B0"/>
    <w:rsid w:val="005210FE"/>
    <w:rsid w:val="00521AE1"/>
    <w:rsid w:val="00521C1B"/>
    <w:rsid w:val="00521D13"/>
    <w:rsid w:val="00521EF7"/>
    <w:rsid w:val="005222DD"/>
    <w:rsid w:val="00522370"/>
    <w:rsid w:val="005228BB"/>
    <w:rsid w:val="0052291D"/>
    <w:rsid w:val="00522A53"/>
    <w:rsid w:val="00522CB6"/>
    <w:rsid w:val="00523150"/>
    <w:rsid w:val="00523842"/>
    <w:rsid w:val="00523BCD"/>
    <w:rsid w:val="00523CA7"/>
    <w:rsid w:val="00524091"/>
    <w:rsid w:val="0052482E"/>
    <w:rsid w:val="0052488E"/>
    <w:rsid w:val="005248BC"/>
    <w:rsid w:val="00524AA2"/>
    <w:rsid w:val="00524ACD"/>
    <w:rsid w:val="00524BBE"/>
    <w:rsid w:val="005253FC"/>
    <w:rsid w:val="00525448"/>
    <w:rsid w:val="005256C8"/>
    <w:rsid w:val="00525827"/>
    <w:rsid w:val="00525849"/>
    <w:rsid w:val="00525A57"/>
    <w:rsid w:val="00525C01"/>
    <w:rsid w:val="00525F0A"/>
    <w:rsid w:val="00526BEA"/>
    <w:rsid w:val="00526CF5"/>
    <w:rsid w:val="005270E0"/>
    <w:rsid w:val="0052739A"/>
    <w:rsid w:val="0052762E"/>
    <w:rsid w:val="005277BF"/>
    <w:rsid w:val="005277F1"/>
    <w:rsid w:val="00527A1E"/>
    <w:rsid w:val="00527BE6"/>
    <w:rsid w:val="00527C81"/>
    <w:rsid w:val="00527F00"/>
    <w:rsid w:val="00530270"/>
    <w:rsid w:val="005302F2"/>
    <w:rsid w:val="00530C54"/>
    <w:rsid w:val="00531112"/>
    <w:rsid w:val="00532393"/>
    <w:rsid w:val="00532E7B"/>
    <w:rsid w:val="00533139"/>
    <w:rsid w:val="005334A5"/>
    <w:rsid w:val="005335C1"/>
    <w:rsid w:val="00533E19"/>
    <w:rsid w:val="00534D4E"/>
    <w:rsid w:val="00534FB8"/>
    <w:rsid w:val="005350D3"/>
    <w:rsid w:val="00535118"/>
    <w:rsid w:val="00535218"/>
    <w:rsid w:val="00535C9C"/>
    <w:rsid w:val="0053601F"/>
    <w:rsid w:val="0053610A"/>
    <w:rsid w:val="0053615E"/>
    <w:rsid w:val="005363DE"/>
    <w:rsid w:val="00536F19"/>
    <w:rsid w:val="005375ED"/>
    <w:rsid w:val="00537B6A"/>
    <w:rsid w:val="00537C19"/>
    <w:rsid w:val="00537C8E"/>
    <w:rsid w:val="00537CD2"/>
    <w:rsid w:val="00540176"/>
    <w:rsid w:val="00540242"/>
    <w:rsid w:val="00540438"/>
    <w:rsid w:val="00540947"/>
    <w:rsid w:val="00540AC6"/>
    <w:rsid w:val="00540F54"/>
    <w:rsid w:val="0054102D"/>
    <w:rsid w:val="00541283"/>
    <w:rsid w:val="00541701"/>
    <w:rsid w:val="00541B39"/>
    <w:rsid w:val="00541CF7"/>
    <w:rsid w:val="00541D36"/>
    <w:rsid w:val="00542130"/>
    <w:rsid w:val="00542892"/>
    <w:rsid w:val="00542932"/>
    <w:rsid w:val="00542A8B"/>
    <w:rsid w:val="00542C8A"/>
    <w:rsid w:val="00542DDA"/>
    <w:rsid w:val="00542E42"/>
    <w:rsid w:val="005433AE"/>
    <w:rsid w:val="005433BD"/>
    <w:rsid w:val="0054378D"/>
    <w:rsid w:val="005438E8"/>
    <w:rsid w:val="00543A0C"/>
    <w:rsid w:val="00543DCF"/>
    <w:rsid w:val="0054413E"/>
    <w:rsid w:val="0054492E"/>
    <w:rsid w:val="005449D1"/>
    <w:rsid w:val="00544BFC"/>
    <w:rsid w:val="00545283"/>
    <w:rsid w:val="005454C3"/>
    <w:rsid w:val="00545542"/>
    <w:rsid w:val="00545CC3"/>
    <w:rsid w:val="00546C22"/>
    <w:rsid w:val="00546C71"/>
    <w:rsid w:val="00546C99"/>
    <w:rsid w:val="00546F12"/>
    <w:rsid w:val="00547410"/>
    <w:rsid w:val="00547B26"/>
    <w:rsid w:val="00547B39"/>
    <w:rsid w:val="00547E59"/>
    <w:rsid w:val="00550405"/>
    <w:rsid w:val="005508AA"/>
    <w:rsid w:val="00550B1C"/>
    <w:rsid w:val="00550D77"/>
    <w:rsid w:val="00551404"/>
    <w:rsid w:val="0055149C"/>
    <w:rsid w:val="0055182B"/>
    <w:rsid w:val="005520FD"/>
    <w:rsid w:val="00552324"/>
    <w:rsid w:val="00552595"/>
    <w:rsid w:val="005525B2"/>
    <w:rsid w:val="005529F5"/>
    <w:rsid w:val="00552D10"/>
    <w:rsid w:val="00553002"/>
    <w:rsid w:val="00553057"/>
    <w:rsid w:val="0055314D"/>
    <w:rsid w:val="0055375F"/>
    <w:rsid w:val="0055491F"/>
    <w:rsid w:val="005549E4"/>
    <w:rsid w:val="00554BE4"/>
    <w:rsid w:val="00554C96"/>
    <w:rsid w:val="00554EEE"/>
    <w:rsid w:val="005554A0"/>
    <w:rsid w:val="005554A1"/>
    <w:rsid w:val="00555D28"/>
    <w:rsid w:val="00556381"/>
    <w:rsid w:val="005565C1"/>
    <w:rsid w:val="005566A3"/>
    <w:rsid w:val="005568CB"/>
    <w:rsid w:val="005571E9"/>
    <w:rsid w:val="00557489"/>
    <w:rsid w:val="0055757C"/>
    <w:rsid w:val="005575C7"/>
    <w:rsid w:val="0055763E"/>
    <w:rsid w:val="005577BF"/>
    <w:rsid w:val="00557AB6"/>
    <w:rsid w:val="00557D5F"/>
    <w:rsid w:val="005600AE"/>
    <w:rsid w:val="00560640"/>
    <w:rsid w:val="0056073B"/>
    <w:rsid w:val="005607CD"/>
    <w:rsid w:val="00560D01"/>
    <w:rsid w:val="00560E34"/>
    <w:rsid w:val="00560F12"/>
    <w:rsid w:val="00561155"/>
    <w:rsid w:val="005618F1"/>
    <w:rsid w:val="00561A27"/>
    <w:rsid w:val="00561CF6"/>
    <w:rsid w:val="00561E7A"/>
    <w:rsid w:val="0056200B"/>
    <w:rsid w:val="0056296C"/>
    <w:rsid w:val="00562C83"/>
    <w:rsid w:val="00562E6A"/>
    <w:rsid w:val="0056304D"/>
    <w:rsid w:val="00563386"/>
    <w:rsid w:val="005634C4"/>
    <w:rsid w:val="005637F8"/>
    <w:rsid w:val="00563C07"/>
    <w:rsid w:val="00563CC1"/>
    <w:rsid w:val="00563D5B"/>
    <w:rsid w:val="00564176"/>
    <w:rsid w:val="00564360"/>
    <w:rsid w:val="005647E2"/>
    <w:rsid w:val="00564890"/>
    <w:rsid w:val="00564ACF"/>
    <w:rsid w:val="00564F2B"/>
    <w:rsid w:val="00565919"/>
    <w:rsid w:val="00565F6C"/>
    <w:rsid w:val="0056605E"/>
    <w:rsid w:val="005669FD"/>
    <w:rsid w:val="00566A5E"/>
    <w:rsid w:val="00566A6E"/>
    <w:rsid w:val="00567242"/>
    <w:rsid w:val="00567513"/>
    <w:rsid w:val="005677B8"/>
    <w:rsid w:val="00567C70"/>
    <w:rsid w:val="00570402"/>
    <w:rsid w:val="00570732"/>
    <w:rsid w:val="00570D11"/>
    <w:rsid w:val="005713C3"/>
    <w:rsid w:val="005719AB"/>
    <w:rsid w:val="005719F5"/>
    <w:rsid w:val="00571DF5"/>
    <w:rsid w:val="00571F9E"/>
    <w:rsid w:val="00571FA3"/>
    <w:rsid w:val="00572535"/>
    <w:rsid w:val="00572878"/>
    <w:rsid w:val="0057292B"/>
    <w:rsid w:val="00572A7C"/>
    <w:rsid w:val="00572C1E"/>
    <w:rsid w:val="00574171"/>
    <w:rsid w:val="00574175"/>
    <w:rsid w:val="00574552"/>
    <w:rsid w:val="005748CE"/>
    <w:rsid w:val="00574DF3"/>
    <w:rsid w:val="00574FD3"/>
    <w:rsid w:val="0057512E"/>
    <w:rsid w:val="005758B2"/>
    <w:rsid w:val="005759F9"/>
    <w:rsid w:val="0057655C"/>
    <w:rsid w:val="0057684A"/>
    <w:rsid w:val="00576DA7"/>
    <w:rsid w:val="00576E94"/>
    <w:rsid w:val="00576FE0"/>
    <w:rsid w:val="005777FD"/>
    <w:rsid w:val="0057780A"/>
    <w:rsid w:val="00577965"/>
    <w:rsid w:val="00577C41"/>
    <w:rsid w:val="00577DBF"/>
    <w:rsid w:val="00577E52"/>
    <w:rsid w:val="00577E77"/>
    <w:rsid w:val="00580996"/>
    <w:rsid w:val="00580F23"/>
    <w:rsid w:val="00581399"/>
    <w:rsid w:val="0058169E"/>
    <w:rsid w:val="0058186A"/>
    <w:rsid w:val="00582B60"/>
    <w:rsid w:val="00582DAE"/>
    <w:rsid w:val="00582E34"/>
    <w:rsid w:val="00583039"/>
    <w:rsid w:val="00583245"/>
    <w:rsid w:val="00583DC9"/>
    <w:rsid w:val="00583E7A"/>
    <w:rsid w:val="00584132"/>
    <w:rsid w:val="005845A2"/>
    <w:rsid w:val="005846D2"/>
    <w:rsid w:val="005847D9"/>
    <w:rsid w:val="00584A7E"/>
    <w:rsid w:val="00584B02"/>
    <w:rsid w:val="00584CB2"/>
    <w:rsid w:val="00584F4F"/>
    <w:rsid w:val="005857F3"/>
    <w:rsid w:val="00585859"/>
    <w:rsid w:val="0058613A"/>
    <w:rsid w:val="0058688F"/>
    <w:rsid w:val="00586CB6"/>
    <w:rsid w:val="005870C3"/>
    <w:rsid w:val="005876F6"/>
    <w:rsid w:val="005879E3"/>
    <w:rsid w:val="00587FDF"/>
    <w:rsid w:val="0059021B"/>
    <w:rsid w:val="00590B16"/>
    <w:rsid w:val="00590E20"/>
    <w:rsid w:val="00591401"/>
    <w:rsid w:val="00591829"/>
    <w:rsid w:val="00591D24"/>
    <w:rsid w:val="00591F3A"/>
    <w:rsid w:val="0059302D"/>
    <w:rsid w:val="00593C25"/>
    <w:rsid w:val="00593C2C"/>
    <w:rsid w:val="00593E03"/>
    <w:rsid w:val="00594500"/>
    <w:rsid w:val="00594590"/>
    <w:rsid w:val="00594596"/>
    <w:rsid w:val="00594E7E"/>
    <w:rsid w:val="0059518A"/>
    <w:rsid w:val="005955F3"/>
    <w:rsid w:val="00595985"/>
    <w:rsid w:val="00595A9A"/>
    <w:rsid w:val="0059608A"/>
    <w:rsid w:val="0059616A"/>
    <w:rsid w:val="00596311"/>
    <w:rsid w:val="005965DC"/>
    <w:rsid w:val="00596A51"/>
    <w:rsid w:val="00596E52"/>
    <w:rsid w:val="00597C6F"/>
    <w:rsid w:val="00597DA8"/>
    <w:rsid w:val="00597E78"/>
    <w:rsid w:val="005A060F"/>
    <w:rsid w:val="005A0D02"/>
    <w:rsid w:val="005A1099"/>
    <w:rsid w:val="005A1649"/>
    <w:rsid w:val="005A16C2"/>
    <w:rsid w:val="005A19A7"/>
    <w:rsid w:val="005A1C49"/>
    <w:rsid w:val="005A1D4A"/>
    <w:rsid w:val="005A1F73"/>
    <w:rsid w:val="005A1FA4"/>
    <w:rsid w:val="005A231D"/>
    <w:rsid w:val="005A23E7"/>
    <w:rsid w:val="005A250C"/>
    <w:rsid w:val="005A2758"/>
    <w:rsid w:val="005A2D51"/>
    <w:rsid w:val="005A2E1C"/>
    <w:rsid w:val="005A349E"/>
    <w:rsid w:val="005A37B6"/>
    <w:rsid w:val="005A3A30"/>
    <w:rsid w:val="005A3F6E"/>
    <w:rsid w:val="005A4341"/>
    <w:rsid w:val="005A49C8"/>
    <w:rsid w:val="005A4DEE"/>
    <w:rsid w:val="005A5009"/>
    <w:rsid w:val="005A5225"/>
    <w:rsid w:val="005A5783"/>
    <w:rsid w:val="005A5829"/>
    <w:rsid w:val="005A5CF5"/>
    <w:rsid w:val="005A60CB"/>
    <w:rsid w:val="005A611F"/>
    <w:rsid w:val="005A67CC"/>
    <w:rsid w:val="005A7A0D"/>
    <w:rsid w:val="005A7FA3"/>
    <w:rsid w:val="005B079E"/>
    <w:rsid w:val="005B1B44"/>
    <w:rsid w:val="005B1E0D"/>
    <w:rsid w:val="005B2176"/>
    <w:rsid w:val="005B2399"/>
    <w:rsid w:val="005B2E6D"/>
    <w:rsid w:val="005B31A0"/>
    <w:rsid w:val="005B31CD"/>
    <w:rsid w:val="005B31F3"/>
    <w:rsid w:val="005B32CF"/>
    <w:rsid w:val="005B39BA"/>
    <w:rsid w:val="005B40D2"/>
    <w:rsid w:val="005B4A4C"/>
    <w:rsid w:val="005B4FCE"/>
    <w:rsid w:val="005B4FD5"/>
    <w:rsid w:val="005B5EC8"/>
    <w:rsid w:val="005B660B"/>
    <w:rsid w:val="005B712C"/>
    <w:rsid w:val="005B7395"/>
    <w:rsid w:val="005B7889"/>
    <w:rsid w:val="005B7C5B"/>
    <w:rsid w:val="005B7DC6"/>
    <w:rsid w:val="005C081C"/>
    <w:rsid w:val="005C0F82"/>
    <w:rsid w:val="005C10BD"/>
    <w:rsid w:val="005C13B7"/>
    <w:rsid w:val="005C1475"/>
    <w:rsid w:val="005C19CE"/>
    <w:rsid w:val="005C201A"/>
    <w:rsid w:val="005C28A8"/>
    <w:rsid w:val="005C2B71"/>
    <w:rsid w:val="005C2E4D"/>
    <w:rsid w:val="005C3179"/>
    <w:rsid w:val="005C3423"/>
    <w:rsid w:val="005C38AF"/>
    <w:rsid w:val="005C3979"/>
    <w:rsid w:val="005C4C85"/>
    <w:rsid w:val="005C4C99"/>
    <w:rsid w:val="005C4F05"/>
    <w:rsid w:val="005C545E"/>
    <w:rsid w:val="005C5642"/>
    <w:rsid w:val="005C59F0"/>
    <w:rsid w:val="005C5B84"/>
    <w:rsid w:val="005C6094"/>
    <w:rsid w:val="005C6A09"/>
    <w:rsid w:val="005C6E2C"/>
    <w:rsid w:val="005C7078"/>
    <w:rsid w:val="005C7450"/>
    <w:rsid w:val="005C7491"/>
    <w:rsid w:val="005C76C8"/>
    <w:rsid w:val="005C7B91"/>
    <w:rsid w:val="005D0228"/>
    <w:rsid w:val="005D048C"/>
    <w:rsid w:val="005D0791"/>
    <w:rsid w:val="005D08EE"/>
    <w:rsid w:val="005D0CD8"/>
    <w:rsid w:val="005D1E00"/>
    <w:rsid w:val="005D1E51"/>
    <w:rsid w:val="005D226B"/>
    <w:rsid w:val="005D2659"/>
    <w:rsid w:val="005D2B70"/>
    <w:rsid w:val="005D35FC"/>
    <w:rsid w:val="005D38CC"/>
    <w:rsid w:val="005D41AA"/>
    <w:rsid w:val="005D41BF"/>
    <w:rsid w:val="005D535E"/>
    <w:rsid w:val="005D5A92"/>
    <w:rsid w:val="005D5C17"/>
    <w:rsid w:val="005D5ECC"/>
    <w:rsid w:val="005D60B0"/>
    <w:rsid w:val="005D665F"/>
    <w:rsid w:val="005D6734"/>
    <w:rsid w:val="005D6CA9"/>
    <w:rsid w:val="005D6E87"/>
    <w:rsid w:val="005D7AFF"/>
    <w:rsid w:val="005D7C9C"/>
    <w:rsid w:val="005D7D5F"/>
    <w:rsid w:val="005E0347"/>
    <w:rsid w:val="005E07F2"/>
    <w:rsid w:val="005E0AB6"/>
    <w:rsid w:val="005E0F56"/>
    <w:rsid w:val="005E14A6"/>
    <w:rsid w:val="005E1C25"/>
    <w:rsid w:val="005E1CE8"/>
    <w:rsid w:val="005E1FFB"/>
    <w:rsid w:val="005E215A"/>
    <w:rsid w:val="005E25D3"/>
    <w:rsid w:val="005E263B"/>
    <w:rsid w:val="005E297B"/>
    <w:rsid w:val="005E2A0D"/>
    <w:rsid w:val="005E3BFC"/>
    <w:rsid w:val="005E3D1A"/>
    <w:rsid w:val="005E3EAC"/>
    <w:rsid w:val="005E40FB"/>
    <w:rsid w:val="005E4750"/>
    <w:rsid w:val="005E49A8"/>
    <w:rsid w:val="005E4F28"/>
    <w:rsid w:val="005E4F2C"/>
    <w:rsid w:val="005E50B1"/>
    <w:rsid w:val="005E51DC"/>
    <w:rsid w:val="005E52AE"/>
    <w:rsid w:val="005E583B"/>
    <w:rsid w:val="005E59EC"/>
    <w:rsid w:val="005E60A4"/>
    <w:rsid w:val="005E6550"/>
    <w:rsid w:val="005E6559"/>
    <w:rsid w:val="005E6590"/>
    <w:rsid w:val="005E6693"/>
    <w:rsid w:val="005E6BBA"/>
    <w:rsid w:val="005E7332"/>
    <w:rsid w:val="005E7A9F"/>
    <w:rsid w:val="005F0316"/>
    <w:rsid w:val="005F03FA"/>
    <w:rsid w:val="005F04A1"/>
    <w:rsid w:val="005F0598"/>
    <w:rsid w:val="005F068C"/>
    <w:rsid w:val="005F0B86"/>
    <w:rsid w:val="005F0C45"/>
    <w:rsid w:val="005F0C6B"/>
    <w:rsid w:val="005F0C75"/>
    <w:rsid w:val="005F0DB1"/>
    <w:rsid w:val="005F1614"/>
    <w:rsid w:val="005F192C"/>
    <w:rsid w:val="005F1A7D"/>
    <w:rsid w:val="005F1D86"/>
    <w:rsid w:val="005F1DB3"/>
    <w:rsid w:val="005F24AC"/>
    <w:rsid w:val="005F276D"/>
    <w:rsid w:val="005F2DDF"/>
    <w:rsid w:val="005F3010"/>
    <w:rsid w:val="005F3130"/>
    <w:rsid w:val="005F321C"/>
    <w:rsid w:val="005F3670"/>
    <w:rsid w:val="005F387B"/>
    <w:rsid w:val="005F3FAF"/>
    <w:rsid w:val="005F4431"/>
    <w:rsid w:val="005F4693"/>
    <w:rsid w:val="005F5314"/>
    <w:rsid w:val="005F597D"/>
    <w:rsid w:val="005F5C11"/>
    <w:rsid w:val="005F63E5"/>
    <w:rsid w:val="005F6459"/>
    <w:rsid w:val="005F64C8"/>
    <w:rsid w:val="005F64E9"/>
    <w:rsid w:val="005F6533"/>
    <w:rsid w:val="005F6A6E"/>
    <w:rsid w:val="005F6DB5"/>
    <w:rsid w:val="005F729B"/>
    <w:rsid w:val="005F7613"/>
    <w:rsid w:val="005F7903"/>
    <w:rsid w:val="005F796D"/>
    <w:rsid w:val="005F7B91"/>
    <w:rsid w:val="005F7D58"/>
    <w:rsid w:val="005F7D80"/>
    <w:rsid w:val="005F7FBF"/>
    <w:rsid w:val="006004E6"/>
    <w:rsid w:val="006009DD"/>
    <w:rsid w:val="006010D2"/>
    <w:rsid w:val="00601166"/>
    <w:rsid w:val="006012AE"/>
    <w:rsid w:val="006013A8"/>
    <w:rsid w:val="00601402"/>
    <w:rsid w:val="006014F6"/>
    <w:rsid w:val="006016B9"/>
    <w:rsid w:val="00601936"/>
    <w:rsid w:val="006019D3"/>
    <w:rsid w:val="00602144"/>
    <w:rsid w:val="0060281A"/>
    <w:rsid w:val="00602FAD"/>
    <w:rsid w:val="0060318E"/>
    <w:rsid w:val="0060386C"/>
    <w:rsid w:val="00604850"/>
    <w:rsid w:val="006048FB"/>
    <w:rsid w:val="00605446"/>
    <w:rsid w:val="0060640E"/>
    <w:rsid w:val="006069FC"/>
    <w:rsid w:val="00606B69"/>
    <w:rsid w:val="00606D6A"/>
    <w:rsid w:val="006077B5"/>
    <w:rsid w:val="00607A8A"/>
    <w:rsid w:val="0061059B"/>
    <w:rsid w:val="00610794"/>
    <w:rsid w:val="00610F63"/>
    <w:rsid w:val="0061110B"/>
    <w:rsid w:val="006111A8"/>
    <w:rsid w:val="006111BA"/>
    <w:rsid w:val="006116CA"/>
    <w:rsid w:val="006117EB"/>
    <w:rsid w:val="00611910"/>
    <w:rsid w:val="00611B8F"/>
    <w:rsid w:val="00611C8F"/>
    <w:rsid w:val="00611D6B"/>
    <w:rsid w:val="00611E17"/>
    <w:rsid w:val="00612163"/>
    <w:rsid w:val="00612351"/>
    <w:rsid w:val="0061319B"/>
    <w:rsid w:val="00613585"/>
    <w:rsid w:val="00613965"/>
    <w:rsid w:val="006139B8"/>
    <w:rsid w:val="00613A1C"/>
    <w:rsid w:val="006147A3"/>
    <w:rsid w:val="00614878"/>
    <w:rsid w:val="00614EE2"/>
    <w:rsid w:val="00614FF3"/>
    <w:rsid w:val="00615AEF"/>
    <w:rsid w:val="00615C02"/>
    <w:rsid w:val="00616934"/>
    <w:rsid w:val="00616940"/>
    <w:rsid w:val="00616BD3"/>
    <w:rsid w:val="00617603"/>
    <w:rsid w:val="00617886"/>
    <w:rsid w:val="00617CED"/>
    <w:rsid w:val="00617EDB"/>
    <w:rsid w:val="00620337"/>
    <w:rsid w:val="00620DA4"/>
    <w:rsid w:val="006213A3"/>
    <w:rsid w:val="006216E2"/>
    <w:rsid w:val="006217CB"/>
    <w:rsid w:val="00621F35"/>
    <w:rsid w:val="006221D0"/>
    <w:rsid w:val="00622945"/>
    <w:rsid w:val="00622964"/>
    <w:rsid w:val="00622B1A"/>
    <w:rsid w:val="006232E3"/>
    <w:rsid w:val="0062334A"/>
    <w:rsid w:val="006235F3"/>
    <w:rsid w:val="006237B3"/>
    <w:rsid w:val="00623FEB"/>
    <w:rsid w:val="006241BF"/>
    <w:rsid w:val="00624557"/>
    <w:rsid w:val="00624740"/>
    <w:rsid w:val="00624B32"/>
    <w:rsid w:val="00624D5A"/>
    <w:rsid w:val="00625108"/>
    <w:rsid w:val="0062510D"/>
    <w:rsid w:val="0062538A"/>
    <w:rsid w:val="006255AB"/>
    <w:rsid w:val="0062591A"/>
    <w:rsid w:val="00625AF3"/>
    <w:rsid w:val="00625EBE"/>
    <w:rsid w:val="00625FAB"/>
    <w:rsid w:val="00626048"/>
    <w:rsid w:val="00626212"/>
    <w:rsid w:val="00626548"/>
    <w:rsid w:val="006268ED"/>
    <w:rsid w:val="00626D17"/>
    <w:rsid w:val="00626F13"/>
    <w:rsid w:val="00626FCA"/>
    <w:rsid w:val="00626FF4"/>
    <w:rsid w:val="0062722C"/>
    <w:rsid w:val="00627BAF"/>
    <w:rsid w:val="0063018A"/>
    <w:rsid w:val="00630952"/>
    <w:rsid w:val="00630C33"/>
    <w:rsid w:val="00630C50"/>
    <w:rsid w:val="006312B6"/>
    <w:rsid w:val="0063181D"/>
    <w:rsid w:val="00631958"/>
    <w:rsid w:val="006322A2"/>
    <w:rsid w:val="00632480"/>
    <w:rsid w:val="00632941"/>
    <w:rsid w:val="00632BE7"/>
    <w:rsid w:val="00632C9D"/>
    <w:rsid w:val="00632CBF"/>
    <w:rsid w:val="00632E32"/>
    <w:rsid w:val="00633102"/>
    <w:rsid w:val="006338F6"/>
    <w:rsid w:val="00633985"/>
    <w:rsid w:val="00633B6F"/>
    <w:rsid w:val="00633CCC"/>
    <w:rsid w:val="00633E4A"/>
    <w:rsid w:val="00634423"/>
    <w:rsid w:val="00634CAE"/>
    <w:rsid w:val="00634ECB"/>
    <w:rsid w:val="0063501C"/>
    <w:rsid w:val="006354D4"/>
    <w:rsid w:val="00635678"/>
    <w:rsid w:val="00635774"/>
    <w:rsid w:val="006361DF"/>
    <w:rsid w:val="006366FE"/>
    <w:rsid w:val="006367FD"/>
    <w:rsid w:val="00637005"/>
    <w:rsid w:val="0063754C"/>
    <w:rsid w:val="00637FB4"/>
    <w:rsid w:val="0064010D"/>
    <w:rsid w:val="00640946"/>
    <w:rsid w:val="00640B5B"/>
    <w:rsid w:val="0064102F"/>
    <w:rsid w:val="006413AA"/>
    <w:rsid w:val="006414A4"/>
    <w:rsid w:val="006414B1"/>
    <w:rsid w:val="00641794"/>
    <w:rsid w:val="006419CD"/>
    <w:rsid w:val="00642096"/>
    <w:rsid w:val="0064286C"/>
    <w:rsid w:val="00642954"/>
    <w:rsid w:val="00643378"/>
    <w:rsid w:val="00643DAF"/>
    <w:rsid w:val="00643EDA"/>
    <w:rsid w:val="00644072"/>
    <w:rsid w:val="00644807"/>
    <w:rsid w:val="00644903"/>
    <w:rsid w:val="00644AB6"/>
    <w:rsid w:val="00644B92"/>
    <w:rsid w:val="006450DE"/>
    <w:rsid w:val="00645706"/>
    <w:rsid w:val="00645752"/>
    <w:rsid w:val="00645797"/>
    <w:rsid w:val="00645F11"/>
    <w:rsid w:val="00646992"/>
    <w:rsid w:val="00647193"/>
    <w:rsid w:val="00647CAB"/>
    <w:rsid w:val="00647EE4"/>
    <w:rsid w:val="006500D2"/>
    <w:rsid w:val="00650150"/>
    <w:rsid w:val="006502CE"/>
    <w:rsid w:val="006506C5"/>
    <w:rsid w:val="00650757"/>
    <w:rsid w:val="006509CF"/>
    <w:rsid w:val="00650CD1"/>
    <w:rsid w:val="006517E3"/>
    <w:rsid w:val="00651A5A"/>
    <w:rsid w:val="00651B35"/>
    <w:rsid w:val="00651D8F"/>
    <w:rsid w:val="00651F0D"/>
    <w:rsid w:val="00651F18"/>
    <w:rsid w:val="00652130"/>
    <w:rsid w:val="006527AC"/>
    <w:rsid w:val="006527CF"/>
    <w:rsid w:val="006532C3"/>
    <w:rsid w:val="0065390C"/>
    <w:rsid w:val="00653F22"/>
    <w:rsid w:val="006541FA"/>
    <w:rsid w:val="0065431F"/>
    <w:rsid w:val="00654544"/>
    <w:rsid w:val="0065482C"/>
    <w:rsid w:val="006548A7"/>
    <w:rsid w:val="00654B28"/>
    <w:rsid w:val="00654DC0"/>
    <w:rsid w:val="00654E6C"/>
    <w:rsid w:val="00654F2F"/>
    <w:rsid w:val="00654FA5"/>
    <w:rsid w:val="00655B6F"/>
    <w:rsid w:val="00655B78"/>
    <w:rsid w:val="006560B9"/>
    <w:rsid w:val="006569DF"/>
    <w:rsid w:val="00656EAB"/>
    <w:rsid w:val="00657398"/>
    <w:rsid w:val="0065768E"/>
    <w:rsid w:val="00657CB4"/>
    <w:rsid w:val="00657F49"/>
    <w:rsid w:val="00660129"/>
    <w:rsid w:val="0066015C"/>
    <w:rsid w:val="00660220"/>
    <w:rsid w:val="006605C9"/>
    <w:rsid w:val="0066097D"/>
    <w:rsid w:val="00660AA9"/>
    <w:rsid w:val="00660ED5"/>
    <w:rsid w:val="0066156E"/>
    <w:rsid w:val="00661934"/>
    <w:rsid w:val="00661B8D"/>
    <w:rsid w:val="00661F63"/>
    <w:rsid w:val="006624F1"/>
    <w:rsid w:val="006632FA"/>
    <w:rsid w:val="0066335F"/>
    <w:rsid w:val="00663414"/>
    <w:rsid w:val="00663424"/>
    <w:rsid w:val="006635F3"/>
    <w:rsid w:val="00663D39"/>
    <w:rsid w:val="00664698"/>
    <w:rsid w:val="00664F24"/>
    <w:rsid w:val="00664F2C"/>
    <w:rsid w:val="0066510A"/>
    <w:rsid w:val="00665515"/>
    <w:rsid w:val="0066575E"/>
    <w:rsid w:val="00665BBD"/>
    <w:rsid w:val="00665BD6"/>
    <w:rsid w:val="00666070"/>
    <w:rsid w:val="00666209"/>
    <w:rsid w:val="006662AE"/>
    <w:rsid w:val="00666A10"/>
    <w:rsid w:val="006673B4"/>
    <w:rsid w:val="006674F4"/>
    <w:rsid w:val="0066773B"/>
    <w:rsid w:val="00670279"/>
    <w:rsid w:val="006702E1"/>
    <w:rsid w:val="006705AA"/>
    <w:rsid w:val="0067092E"/>
    <w:rsid w:val="00670D50"/>
    <w:rsid w:val="00671432"/>
    <w:rsid w:val="00671F7F"/>
    <w:rsid w:val="00671FD6"/>
    <w:rsid w:val="0067202E"/>
    <w:rsid w:val="006723A6"/>
    <w:rsid w:val="00672F7B"/>
    <w:rsid w:val="0067345D"/>
    <w:rsid w:val="00673792"/>
    <w:rsid w:val="00673821"/>
    <w:rsid w:val="00673E02"/>
    <w:rsid w:val="00673FD7"/>
    <w:rsid w:val="00674268"/>
    <w:rsid w:val="006745D6"/>
    <w:rsid w:val="00674726"/>
    <w:rsid w:val="00674738"/>
    <w:rsid w:val="006749E2"/>
    <w:rsid w:val="00674BA6"/>
    <w:rsid w:val="00674C7D"/>
    <w:rsid w:val="006751A6"/>
    <w:rsid w:val="0067542E"/>
    <w:rsid w:val="0067572C"/>
    <w:rsid w:val="00675A31"/>
    <w:rsid w:val="006760A5"/>
    <w:rsid w:val="006760FC"/>
    <w:rsid w:val="006775BE"/>
    <w:rsid w:val="006779ED"/>
    <w:rsid w:val="00677A4C"/>
    <w:rsid w:val="00677B15"/>
    <w:rsid w:val="00677BBC"/>
    <w:rsid w:val="00677ED7"/>
    <w:rsid w:val="00677F18"/>
    <w:rsid w:val="006805FC"/>
    <w:rsid w:val="0068081F"/>
    <w:rsid w:val="00680AA3"/>
    <w:rsid w:val="006824BE"/>
    <w:rsid w:val="00682580"/>
    <w:rsid w:val="006830F9"/>
    <w:rsid w:val="00683AEA"/>
    <w:rsid w:val="00683BCF"/>
    <w:rsid w:val="00683DB0"/>
    <w:rsid w:val="00683DC3"/>
    <w:rsid w:val="0068485B"/>
    <w:rsid w:val="00685713"/>
    <w:rsid w:val="00685CA4"/>
    <w:rsid w:val="00685CAB"/>
    <w:rsid w:val="00685DE5"/>
    <w:rsid w:val="006864BF"/>
    <w:rsid w:val="0068665A"/>
    <w:rsid w:val="00687277"/>
    <w:rsid w:val="0068770B"/>
    <w:rsid w:val="00687B15"/>
    <w:rsid w:val="00687D7F"/>
    <w:rsid w:val="00687E6E"/>
    <w:rsid w:val="00690494"/>
    <w:rsid w:val="00690665"/>
    <w:rsid w:val="00690780"/>
    <w:rsid w:val="00690870"/>
    <w:rsid w:val="00690D9B"/>
    <w:rsid w:val="00691483"/>
    <w:rsid w:val="0069159B"/>
    <w:rsid w:val="00691B2B"/>
    <w:rsid w:val="00691D5F"/>
    <w:rsid w:val="00691E4D"/>
    <w:rsid w:val="00691E59"/>
    <w:rsid w:val="00691E96"/>
    <w:rsid w:val="006929F2"/>
    <w:rsid w:val="006930A6"/>
    <w:rsid w:val="00693179"/>
    <w:rsid w:val="00693452"/>
    <w:rsid w:val="006937DA"/>
    <w:rsid w:val="0069393E"/>
    <w:rsid w:val="00693B1D"/>
    <w:rsid w:val="00693BC5"/>
    <w:rsid w:val="00693F1F"/>
    <w:rsid w:val="00693F43"/>
    <w:rsid w:val="0069473F"/>
    <w:rsid w:val="00694749"/>
    <w:rsid w:val="006949A5"/>
    <w:rsid w:val="00694D5A"/>
    <w:rsid w:val="006959E1"/>
    <w:rsid w:val="00695E03"/>
    <w:rsid w:val="00695F0B"/>
    <w:rsid w:val="00696423"/>
    <w:rsid w:val="00696842"/>
    <w:rsid w:val="0069705E"/>
    <w:rsid w:val="00697536"/>
    <w:rsid w:val="006A0082"/>
    <w:rsid w:val="006A01D6"/>
    <w:rsid w:val="006A0452"/>
    <w:rsid w:val="006A056E"/>
    <w:rsid w:val="006A0A77"/>
    <w:rsid w:val="006A0E0F"/>
    <w:rsid w:val="006A1452"/>
    <w:rsid w:val="006A17EF"/>
    <w:rsid w:val="006A19B5"/>
    <w:rsid w:val="006A23DD"/>
    <w:rsid w:val="006A241C"/>
    <w:rsid w:val="006A27D8"/>
    <w:rsid w:val="006A2B5C"/>
    <w:rsid w:val="006A30A6"/>
    <w:rsid w:val="006A369D"/>
    <w:rsid w:val="006A3BF2"/>
    <w:rsid w:val="006A3E32"/>
    <w:rsid w:val="006A4058"/>
    <w:rsid w:val="006A4514"/>
    <w:rsid w:val="006A461E"/>
    <w:rsid w:val="006A4EB9"/>
    <w:rsid w:val="006A5206"/>
    <w:rsid w:val="006A527C"/>
    <w:rsid w:val="006A52C0"/>
    <w:rsid w:val="006A53AF"/>
    <w:rsid w:val="006A55F8"/>
    <w:rsid w:val="006A5D08"/>
    <w:rsid w:val="006A627F"/>
    <w:rsid w:val="006A62D1"/>
    <w:rsid w:val="006A66FA"/>
    <w:rsid w:val="006A6A4C"/>
    <w:rsid w:val="006A6CBA"/>
    <w:rsid w:val="006A6EC0"/>
    <w:rsid w:val="006A6EFB"/>
    <w:rsid w:val="006A6F98"/>
    <w:rsid w:val="006A72B5"/>
    <w:rsid w:val="006A7470"/>
    <w:rsid w:val="006A7471"/>
    <w:rsid w:val="006A7499"/>
    <w:rsid w:val="006A76E2"/>
    <w:rsid w:val="006A7AEE"/>
    <w:rsid w:val="006B03C3"/>
    <w:rsid w:val="006B06BD"/>
    <w:rsid w:val="006B0A55"/>
    <w:rsid w:val="006B0DE2"/>
    <w:rsid w:val="006B100F"/>
    <w:rsid w:val="006B16EB"/>
    <w:rsid w:val="006B16FD"/>
    <w:rsid w:val="006B1885"/>
    <w:rsid w:val="006B2A9D"/>
    <w:rsid w:val="006B2D33"/>
    <w:rsid w:val="006B30D4"/>
    <w:rsid w:val="006B38FA"/>
    <w:rsid w:val="006B4332"/>
    <w:rsid w:val="006B4539"/>
    <w:rsid w:val="006B4EC8"/>
    <w:rsid w:val="006B50BD"/>
    <w:rsid w:val="006B59E8"/>
    <w:rsid w:val="006B5CDA"/>
    <w:rsid w:val="006B5F29"/>
    <w:rsid w:val="006B643F"/>
    <w:rsid w:val="006B6545"/>
    <w:rsid w:val="006B6961"/>
    <w:rsid w:val="006B7352"/>
    <w:rsid w:val="006B75FA"/>
    <w:rsid w:val="006C046D"/>
    <w:rsid w:val="006C0B35"/>
    <w:rsid w:val="006C0FB0"/>
    <w:rsid w:val="006C0FC6"/>
    <w:rsid w:val="006C1020"/>
    <w:rsid w:val="006C134B"/>
    <w:rsid w:val="006C173B"/>
    <w:rsid w:val="006C1947"/>
    <w:rsid w:val="006C1FE9"/>
    <w:rsid w:val="006C226E"/>
    <w:rsid w:val="006C232E"/>
    <w:rsid w:val="006C2494"/>
    <w:rsid w:val="006C27A5"/>
    <w:rsid w:val="006C3210"/>
    <w:rsid w:val="006C415F"/>
    <w:rsid w:val="006C48C5"/>
    <w:rsid w:val="006C4C07"/>
    <w:rsid w:val="006C57F0"/>
    <w:rsid w:val="006C5903"/>
    <w:rsid w:val="006C6732"/>
    <w:rsid w:val="006C68F4"/>
    <w:rsid w:val="006C6AA1"/>
    <w:rsid w:val="006C6C79"/>
    <w:rsid w:val="006C700C"/>
    <w:rsid w:val="006C707D"/>
    <w:rsid w:val="006C7E92"/>
    <w:rsid w:val="006C7FD7"/>
    <w:rsid w:val="006D0097"/>
    <w:rsid w:val="006D030A"/>
    <w:rsid w:val="006D073F"/>
    <w:rsid w:val="006D0E6B"/>
    <w:rsid w:val="006D1103"/>
    <w:rsid w:val="006D11A8"/>
    <w:rsid w:val="006D13D1"/>
    <w:rsid w:val="006D1D41"/>
    <w:rsid w:val="006D27C9"/>
    <w:rsid w:val="006D286F"/>
    <w:rsid w:val="006D2B3D"/>
    <w:rsid w:val="006D2FE1"/>
    <w:rsid w:val="006D3314"/>
    <w:rsid w:val="006D36C5"/>
    <w:rsid w:val="006D41DD"/>
    <w:rsid w:val="006D46E0"/>
    <w:rsid w:val="006D4BE2"/>
    <w:rsid w:val="006D4DE9"/>
    <w:rsid w:val="006D509E"/>
    <w:rsid w:val="006D53CD"/>
    <w:rsid w:val="006D5554"/>
    <w:rsid w:val="006D5717"/>
    <w:rsid w:val="006D57B1"/>
    <w:rsid w:val="006D5803"/>
    <w:rsid w:val="006D5B3E"/>
    <w:rsid w:val="006D5E15"/>
    <w:rsid w:val="006D5E88"/>
    <w:rsid w:val="006D5FFC"/>
    <w:rsid w:val="006D6830"/>
    <w:rsid w:val="006D6DCE"/>
    <w:rsid w:val="006D75DB"/>
    <w:rsid w:val="006D76A6"/>
    <w:rsid w:val="006D78E4"/>
    <w:rsid w:val="006D79CF"/>
    <w:rsid w:val="006D7EE4"/>
    <w:rsid w:val="006D7FDC"/>
    <w:rsid w:val="006E05CD"/>
    <w:rsid w:val="006E075B"/>
    <w:rsid w:val="006E0852"/>
    <w:rsid w:val="006E0C19"/>
    <w:rsid w:val="006E0C9B"/>
    <w:rsid w:val="006E0D37"/>
    <w:rsid w:val="006E101B"/>
    <w:rsid w:val="006E1181"/>
    <w:rsid w:val="006E1428"/>
    <w:rsid w:val="006E1ED8"/>
    <w:rsid w:val="006E2307"/>
    <w:rsid w:val="006E2682"/>
    <w:rsid w:val="006E277F"/>
    <w:rsid w:val="006E3084"/>
    <w:rsid w:val="006E345B"/>
    <w:rsid w:val="006E352B"/>
    <w:rsid w:val="006E3B92"/>
    <w:rsid w:val="006E41E4"/>
    <w:rsid w:val="006E4518"/>
    <w:rsid w:val="006E45F6"/>
    <w:rsid w:val="006E4A95"/>
    <w:rsid w:val="006E4B53"/>
    <w:rsid w:val="006E4C7E"/>
    <w:rsid w:val="006E4DDC"/>
    <w:rsid w:val="006E5079"/>
    <w:rsid w:val="006E5E11"/>
    <w:rsid w:val="006E6233"/>
    <w:rsid w:val="006E6618"/>
    <w:rsid w:val="006E6871"/>
    <w:rsid w:val="006E6FC0"/>
    <w:rsid w:val="006E7258"/>
    <w:rsid w:val="006E73D4"/>
    <w:rsid w:val="006E75D3"/>
    <w:rsid w:val="006E75E4"/>
    <w:rsid w:val="006E7663"/>
    <w:rsid w:val="006E7751"/>
    <w:rsid w:val="006E7810"/>
    <w:rsid w:val="006E7A27"/>
    <w:rsid w:val="006E7CF0"/>
    <w:rsid w:val="006E7D0F"/>
    <w:rsid w:val="006E7EA0"/>
    <w:rsid w:val="006E7F8E"/>
    <w:rsid w:val="006F0130"/>
    <w:rsid w:val="006F10FC"/>
    <w:rsid w:val="006F11EE"/>
    <w:rsid w:val="006F1255"/>
    <w:rsid w:val="006F15D4"/>
    <w:rsid w:val="006F1731"/>
    <w:rsid w:val="006F194F"/>
    <w:rsid w:val="006F1A96"/>
    <w:rsid w:val="006F1AB1"/>
    <w:rsid w:val="006F1B72"/>
    <w:rsid w:val="006F1DB6"/>
    <w:rsid w:val="006F1F97"/>
    <w:rsid w:val="006F2244"/>
    <w:rsid w:val="006F28B0"/>
    <w:rsid w:val="006F28E2"/>
    <w:rsid w:val="006F384D"/>
    <w:rsid w:val="006F3ABB"/>
    <w:rsid w:val="006F4924"/>
    <w:rsid w:val="006F4CC8"/>
    <w:rsid w:val="006F4E9C"/>
    <w:rsid w:val="006F516F"/>
    <w:rsid w:val="006F5752"/>
    <w:rsid w:val="006F58EE"/>
    <w:rsid w:val="006F5BB1"/>
    <w:rsid w:val="006F5E06"/>
    <w:rsid w:val="006F5E13"/>
    <w:rsid w:val="006F6229"/>
    <w:rsid w:val="006F6350"/>
    <w:rsid w:val="006F6CF6"/>
    <w:rsid w:val="006F6FF0"/>
    <w:rsid w:val="006F7DF8"/>
    <w:rsid w:val="006F7E9E"/>
    <w:rsid w:val="006F7F74"/>
    <w:rsid w:val="00700427"/>
    <w:rsid w:val="0070064D"/>
    <w:rsid w:val="00700917"/>
    <w:rsid w:val="00700A8C"/>
    <w:rsid w:val="00700AC6"/>
    <w:rsid w:val="00700BF1"/>
    <w:rsid w:val="007012A4"/>
    <w:rsid w:val="007012F0"/>
    <w:rsid w:val="00701A13"/>
    <w:rsid w:val="00701BB3"/>
    <w:rsid w:val="00701D9C"/>
    <w:rsid w:val="007020C8"/>
    <w:rsid w:val="007021AD"/>
    <w:rsid w:val="007026CC"/>
    <w:rsid w:val="00702779"/>
    <w:rsid w:val="00702A79"/>
    <w:rsid w:val="0070380F"/>
    <w:rsid w:val="00704372"/>
    <w:rsid w:val="00704377"/>
    <w:rsid w:val="0070464B"/>
    <w:rsid w:val="00704672"/>
    <w:rsid w:val="00704CAB"/>
    <w:rsid w:val="00704F3D"/>
    <w:rsid w:val="00704F49"/>
    <w:rsid w:val="00705209"/>
    <w:rsid w:val="007052A3"/>
    <w:rsid w:val="007052C7"/>
    <w:rsid w:val="007053B2"/>
    <w:rsid w:val="0070543A"/>
    <w:rsid w:val="007056BC"/>
    <w:rsid w:val="007057FA"/>
    <w:rsid w:val="00705B86"/>
    <w:rsid w:val="00705BA5"/>
    <w:rsid w:val="00705FB4"/>
    <w:rsid w:val="0070610D"/>
    <w:rsid w:val="0070654D"/>
    <w:rsid w:val="0070686D"/>
    <w:rsid w:val="00706AD7"/>
    <w:rsid w:val="00706D02"/>
    <w:rsid w:val="00706D85"/>
    <w:rsid w:val="00706EF0"/>
    <w:rsid w:val="00707550"/>
    <w:rsid w:val="0070793A"/>
    <w:rsid w:val="00707A5D"/>
    <w:rsid w:val="00707D41"/>
    <w:rsid w:val="007102D6"/>
    <w:rsid w:val="00710388"/>
    <w:rsid w:val="0071040A"/>
    <w:rsid w:val="0071049A"/>
    <w:rsid w:val="00710561"/>
    <w:rsid w:val="00710769"/>
    <w:rsid w:val="00710FC2"/>
    <w:rsid w:val="007113EC"/>
    <w:rsid w:val="007114FF"/>
    <w:rsid w:val="00711530"/>
    <w:rsid w:val="0071160C"/>
    <w:rsid w:val="0071176E"/>
    <w:rsid w:val="0071198F"/>
    <w:rsid w:val="00712029"/>
    <w:rsid w:val="0071293A"/>
    <w:rsid w:val="0071298C"/>
    <w:rsid w:val="0071318C"/>
    <w:rsid w:val="0071318E"/>
    <w:rsid w:val="00713479"/>
    <w:rsid w:val="00713D62"/>
    <w:rsid w:val="00713EB5"/>
    <w:rsid w:val="00713FE4"/>
    <w:rsid w:val="00714609"/>
    <w:rsid w:val="007146A4"/>
    <w:rsid w:val="00714817"/>
    <w:rsid w:val="00714B19"/>
    <w:rsid w:val="00714B1E"/>
    <w:rsid w:val="00714D1E"/>
    <w:rsid w:val="00714F3E"/>
    <w:rsid w:val="007154A8"/>
    <w:rsid w:val="00715EFB"/>
    <w:rsid w:val="007161EF"/>
    <w:rsid w:val="00716836"/>
    <w:rsid w:val="007172DE"/>
    <w:rsid w:val="00717601"/>
    <w:rsid w:val="00717C1C"/>
    <w:rsid w:val="00720035"/>
    <w:rsid w:val="00720B78"/>
    <w:rsid w:val="00720DD3"/>
    <w:rsid w:val="007211BA"/>
    <w:rsid w:val="00721552"/>
    <w:rsid w:val="00722139"/>
    <w:rsid w:val="0072250F"/>
    <w:rsid w:val="007225D2"/>
    <w:rsid w:val="00722887"/>
    <w:rsid w:val="00722E9C"/>
    <w:rsid w:val="00723250"/>
    <w:rsid w:val="00723322"/>
    <w:rsid w:val="00723440"/>
    <w:rsid w:val="007238D1"/>
    <w:rsid w:val="00723A8A"/>
    <w:rsid w:val="007241BB"/>
    <w:rsid w:val="00724461"/>
    <w:rsid w:val="00724492"/>
    <w:rsid w:val="00724888"/>
    <w:rsid w:val="007249A5"/>
    <w:rsid w:val="00724D42"/>
    <w:rsid w:val="00724D82"/>
    <w:rsid w:val="0072545C"/>
    <w:rsid w:val="00725CB4"/>
    <w:rsid w:val="007260EA"/>
    <w:rsid w:val="0072623D"/>
    <w:rsid w:val="0072652E"/>
    <w:rsid w:val="00726718"/>
    <w:rsid w:val="0072690E"/>
    <w:rsid w:val="00726BB1"/>
    <w:rsid w:val="00726C99"/>
    <w:rsid w:val="007276C8"/>
    <w:rsid w:val="00727F50"/>
    <w:rsid w:val="00727F9F"/>
    <w:rsid w:val="007301BE"/>
    <w:rsid w:val="00730345"/>
    <w:rsid w:val="007306FC"/>
    <w:rsid w:val="00730E76"/>
    <w:rsid w:val="007310BB"/>
    <w:rsid w:val="0073113A"/>
    <w:rsid w:val="00731867"/>
    <w:rsid w:val="0073214B"/>
    <w:rsid w:val="007321D5"/>
    <w:rsid w:val="007325EF"/>
    <w:rsid w:val="00732BEC"/>
    <w:rsid w:val="00732CAC"/>
    <w:rsid w:val="00732D2C"/>
    <w:rsid w:val="00732DCE"/>
    <w:rsid w:val="00733411"/>
    <w:rsid w:val="00733430"/>
    <w:rsid w:val="0073361D"/>
    <w:rsid w:val="007339CB"/>
    <w:rsid w:val="007339E9"/>
    <w:rsid w:val="00733CDE"/>
    <w:rsid w:val="00734102"/>
    <w:rsid w:val="007348D7"/>
    <w:rsid w:val="00734900"/>
    <w:rsid w:val="00735742"/>
    <w:rsid w:val="00735A1C"/>
    <w:rsid w:val="00735F2B"/>
    <w:rsid w:val="007361BD"/>
    <w:rsid w:val="00736829"/>
    <w:rsid w:val="00737B3F"/>
    <w:rsid w:val="00737C65"/>
    <w:rsid w:val="00737DC7"/>
    <w:rsid w:val="00740122"/>
    <w:rsid w:val="00740348"/>
    <w:rsid w:val="0074078A"/>
    <w:rsid w:val="007408A8"/>
    <w:rsid w:val="00740BB0"/>
    <w:rsid w:val="00741814"/>
    <w:rsid w:val="00742047"/>
    <w:rsid w:val="0074235F"/>
    <w:rsid w:val="0074248C"/>
    <w:rsid w:val="00742C60"/>
    <w:rsid w:val="00742D16"/>
    <w:rsid w:val="00742F87"/>
    <w:rsid w:val="00742FDF"/>
    <w:rsid w:val="007433AA"/>
    <w:rsid w:val="007433C5"/>
    <w:rsid w:val="007436C3"/>
    <w:rsid w:val="00743782"/>
    <w:rsid w:val="007441BF"/>
    <w:rsid w:val="0074468B"/>
    <w:rsid w:val="0074527A"/>
    <w:rsid w:val="00745291"/>
    <w:rsid w:val="0074566D"/>
    <w:rsid w:val="00745C1A"/>
    <w:rsid w:val="00745C9C"/>
    <w:rsid w:val="00745D42"/>
    <w:rsid w:val="00745F58"/>
    <w:rsid w:val="007464E8"/>
    <w:rsid w:val="00746669"/>
    <w:rsid w:val="0074678B"/>
    <w:rsid w:val="007469BC"/>
    <w:rsid w:val="00746A6E"/>
    <w:rsid w:val="00746DC3"/>
    <w:rsid w:val="007470AA"/>
    <w:rsid w:val="007470CA"/>
    <w:rsid w:val="00747191"/>
    <w:rsid w:val="00747680"/>
    <w:rsid w:val="0075046E"/>
    <w:rsid w:val="007504E4"/>
    <w:rsid w:val="00750909"/>
    <w:rsid w:val="00750F27"/>
    <w:rsid w:val="00751D46"/>
    <w:rsid w:val="00751DF9"/>
    <w:rsid w:val="00752034"/>
    <w:rsid w:val="00752514"/>
    <w:rsid w:val="007527DD"/>
    <w:rsid w:val="007529AE"/>
    <w:rsid w:val="00752AF6"/>
    <w:rsid w:val="00752BDE"/>
    <w:rsid w:val="00752D09"/>
    <w:rsid w:val="00752EB6"/>
    <w:rsid w:val="0075363A"/>
    <w:rsid w:val="007538D6"/>
    <w:rsid w:val="00753C35"/>
    <w:rsid w:val="00753E27"/>
    <w:rsid w:val="00754448"/>
    <w:rsid w:val="00754894"/>
    <w:rsid w:val="00754F55"/>
    <w:rsid w:val="007551F9"/>
    <w:rsid w:val="007554C7"/>
    <w:rsid w:val="00755914"/>
    <w:rsid w:val="00755A47"/>
    <w:rsid w:val="0075678A"/>
    <w:rsid w:val="0075688D"/>
    <w:rsid w:val="00756A69"/>
    <w:rsid w:val="00756C58"/>
    <w:rsid w:val="00757C7B"/>
    <w:rsid w:val="007601FC"/>
    <w:rsid w:val="00760EE5"/>
    <w:rsid w:val="00761258"/>
    <w:rsid w:val="007613E0"/>
    <w:rsid w:val="0076197F"/>
    <w:rsid w:val="00761A7F"/>
    <w:rsid w:val="00761EDA"/>
    <w:rsid w:val="0076298C"/>
    <w:rsid w:val="00762C16"/>
    <w:rsid w:val="0076319C"/>
    <w:rsid w:val="0076323F"/>
    <w:rsid w:val="00763904"/>
    <w:rsid w:val="007639FA"/>
    <w:rsid w:val="00763F3B"/>
    <w:rsid w:val="007640F4"/>
    <w:rsid w:val="00764106"/>
    <w:rsid w:val="00764D53"/>
    <w:rsid w:val="00764D8A"/>
    <w:rsid w:val="007653CE"/>
    <w:rsid w:val="00765427"/>
    <w:rsid w:val="007656FF"/>
    <w:rsid w:val="00765B67"/>
    <w:rsid w:val="00765C0C"/>
    <w:rsid w:val="00765F95"/>
    <w:rsid w:val="007665A2"/>
    <w:rsid w:val="00766F13"/>
    <w:rsid w:val="0076700A"/>
    <w:rsid w:val="007677CE"/>
    <w:rsid w:val="007677F3"/>
    <w:rsid w:val="00767CBF"/>
    <w:rsid w:val="00770203"/>
    <w:rsid w:val="007707D8"/>
    <w:rsid w:val="007707DB"/>
    <w:rsid w:val="007707E6"/>
    <w:rsid w:val="00770D6F"/>
    <w:rsid w:val="00770E11"/>
    <w:rsid w:val="00771155"/>
    <w:rsid w:val="007711AF"/>
    <w:rsid w:val="00771548"/>
    <w:rsid w:val="00771552"/>
    <w:rsid w:val="00771772"/>
    <w:rsid w:val="00771F99"/>
    <w:rsid w:val="00772001"/>
    <w:rsid w:val="007724DD"/>
    <w:rsid w:val="00772972"/>
    <w:rsid w:val="007729CB"/>
    <w:rsid w:val="00772B9B"/>
    <w:rsid w:val="00772D02"/>
    <w:rsid w:val="00772F94"/>
    <w:rsid w:val="00773098"/>
    <w:rsid w:val="0077351D"/>
    <w:rsid w:val="00773778"/>
    <w:rsid w:val="00773BAA"/>
    <w:rsid w:val="00773E0E"/>
    <w:rsid w:val="00773E55"/>
    <w:rsid w:val="0077406A"/>
    <w:rsid w:val="00774204"/>
    <w:rsid w:val="00774977"/>
    <w:rsid w:val="00774FDD"/>
    <w:rsid w:val="007751BD"/>
    <w:rsid w:val="0077525C"/>
    <w:rsid w:val="00775B82"/>
    <w:rsid w:val="00776655"/>
    <w:rsid w:val="007768D4"/>
    <w:rsid w:val="0077699D"/>
    <w:rsid w:val="00776BD7"/>
    <w:rsid w:val="00776BFA"/>
    <w:rsid w:val="007770F3"/>
    <w:rsid w:val="0077723B"/>
    <w:rsid w:val="007779CD"/>
    <w:rsid w:val="00777D5F"/>
    <w:rsid w:val="007802C4"/>
    <w:rsid w:val="0078056B"/>
    <w:rsid w:val="00780BEA"/>
    <w:rsid w:val="00780F83"/>
    <w:rsid w:val="00781538"/>
    <w:rsid w:val="00781CAB"/>
    <w:rsid w:val="00781F71"/>
    <w:rsid w:val="00782001"/>
    <w:rsid w:val="00782097"/>
    <w:rsid w:val="0078217A"/>
    <w:rsid w:val="0078295E"/>
    <w:rsid w:val="00783065"/>
    <w:rsid w:val="007831DE"/>
    <w:rsid w:val="007834E1"/>
    <w:rsid w:val="00783872"/>
    <w:rsid w:val="00783D1D"/>
    <w:rsid w:val="00783EE1"/>
    <w:rsid w:val="0078408C"/>
    <w:rsid w:val="007842D4"/>
    <w:rsid w:val="0078491E"/>
    <w:rsid w:val="00784BEB"/>
    <w:rsid w:val="00784C23"/>
    <w:rsid w:val="00784DEB"/>
    <w:rsid w:val="0078569B"/>
    <w:rsid w:val="00785797"/>
    <w:rsid w:val="00785A02"/>
    <w:rsid w:val="00785D34"/>
    <w:rsid w:val="00785D41"/>
    <w:rsid w:val="00786322"/>
    <w:rsid w:val="007863ED"/>
    <w:rsid w:val="00786691"/>
    <w:rsid w:val="007866CC"/>
    <w:rsid w:val="00786DD2"/>
    <w:rsid w:val="00786F13"/>
    <w:rsid w:val="007877BC"/>
    <w:rsid w:val="007903FD"/>
    <w:rsid w:val="00790929"/>
    <w:rsid w:val="00790E3C"/>
    <w:rsid w:val="00791A82"/>
    <w:rsid w:val="00791AD9"/>
    <w:rsid w:val="00791B5B"/>
    <w:rsid w:val="00791F8F"/>
    <w:rsid w:val="00792000"/>
    <w:rsid w:val="0079201F"/>
    <w:rsid w:val="00792074"/>
    <w:rsid w:val="00792344"/>
    <w:rsid w:val="00792365"/>
    <w:rsid w:val="007924FC"/>
    <w:rsid w:val="0079289D"/>
    <w:rsid w:val="0079297C"/>
    <w:rsid w:val="00792F41"/>
    <w:rsid w:val="00792FE1"/>
    <w:rsid w:val="0079300A"/>
    <w:rsid w:val="007933DF"/>
    <w:rsid w:val="0079388B"/>
    <w:rsid w:val="00793A07"/>
    <w:rsid w:val="00793EB6"/>
    <w:rsid w:val="00794070"/>
    <w:rsid w:val="007940BB"/>
    <w:rsid w:val="00794466"/>
    <w:rsid w:val="00794905"/>
    <w:rsid w:val="00794C29"/>
    <w:rsid w:val="00794FBE"/>
    <w:rsid w:val="0079529C"/>
    <w:rsid w:val="007957A1"/>
    <w:rsid w:val="00795858"/>
    <w:rsid w:val="00795C90"/>
    <w:rsid w:val="00795E2B"/>
    <w:rsid w:val="00796506"/>
    <w:rsid w:val="00796A84"/>
    <w:rsid w:val="0079790D"/>
    <w:rsid w:val="007979A1"/>
    <w:rsid w:val="00797DBE"/>
    <w:rsid w:val="00797F74"/>
    <w:rsid w:val="007A0300"/>
    <w:rsid w:val="007A0868"/>
    <w:rsid w:val="007A1040"/>
    <w:rsid w:val="007A11D3"/>
    <w:rsid w:val="007A1234"/>
    <w:rsid w:val="007A1244"/>
    <w:rsid w:val="007A19BF"/>
    <w:rsid w:val="007A1CBC"/>
    <w:rsid w:val="007A1EA0"/>
    <w:rsid w:val="007A2896"/>
    <w:rsid w:val="007A2C3B"/>
    <w:rsid w:val="007A2C47"/>
    <w:rsid w:val="007A2E72"/>
    <w:rsid w:val="007A38F9"/>
    <w:rsid w:val="007A3EE3"/>
    <w:rsid w:val="007A3F07"/>
    <w:rsid w:val="007A4151"/>
    <w:rsid w:val="007A4A3C"/>
    <w:rsid w:val="007A4BBD"/>
    <w:rsid w:val="007A4C33"/>
    <w:rsid w:val="007A5008"/>
    <w:rsid w:val="007A6062"/>
    <w:rsid w:val="007A6136"/>
    <w:rsid w:val="007A623A"/>
    <w:rsid w:val="007A6338"/>
    <w:rsid w:val="007A6A29"/>
    <w:rsid w:val="007A6C36"/>
    <w:rsid w:val="007A6C86"/>
    <w:rsid w:val="007A6FF5"/>
    <w:rsid w:val="007A7D40"/>
    <w:rsid w:val="007A7D8B"/>
    <w:rsid w:val="007A7DC4"/>
    <w:rsid w:val="007B003D"/>
    <w:rsid w:val="007B08A1"/>
    <w:rsid w:val="007B0CEA"/>
    <w:rsid w:val="007B0ECA"/>
    <w:rsid w:val="007B0FDD"/>
    <w:rsid w:val="007B1375"/>
    <w:rsid w:val="007B166F"/>
    <w:rsid w:val="007B1AEB"/>
    <w:rsid w:val="007B1DD0"/>
    <w:rsid w:val="007B2059"/>
    <w:rsid w:val="007B2207"/>
    <w:rsid w:val="007B24FE"/>
    <w:rsid w:val="007B253F"/>
    <w:rsid w:val="007B2872"/>
    <w:rsid w:val="007B4588"/>
    <w:rsid w:val="007B487B"/>
    <w:rsid w:val="007B4C4C"/>
    <w:rsid w:val="007B55E7"/>
    <w:rsid w:val="007B5895"/>
    <w:rsid w:val="007B592F"/>
    <w:rsid w:val="007B5D0D"/>
    <w:rsid w:val="007B5D49"/>
    <w:rsid w:val="007B5F1C"/>
    <w:rsid w:val="007B60ED"/>
    <w:rsid w:val="007B617D"/>
    <w:rsid w:val="007B617F"/>
    <w:rsid w:val="007B623B"/>
    <w:rsid w:val="007B7377"/>
    <w:rsid w:val="007B76A9"/>
    <w:rsid w:val="007B76E7"/>
    <w:rsid w:val="007B7938"/>
    <w:rsid w:val="007B7AC5"/>
    <w:rsid w:val="007B7D86"/>
    <w:rsid w:val="007B7E13"/>
    <w:rsid w:val="007B7FB9"/>
    <w:rsid w:val="007B7FEB"/>
    <w:rsid w:val="007C06AE"/>
    <w:rsid w:val="007C06C5"/>
    <w:rsid w:val="007C07A4"/>
    <w:rsid w:val="007C0B91"/>
    <w:rsid w:val="007C0D1E"/>
    <w:rsid w:val="007C0E5C"/>
    <w:rsid w:val="007C0E98"/>
    <w:rsid w:val="007C1142"/>
    <w:rsid w:val="007C145A"/>
    <w:rsid w:val="007C14BE"/>
    <w:rsid w:val="007C167B"/>
    <w:rsid w:val="007C1C07"/>
    <w:rsid w:val="007C1EF3"/>
    <w:rsid w:val="007C1F7C"/>
    <w:rsid w:val="007C2EEE"/>
    <w:rsid w:val="007C3145"/>
    <w:rsid w:val="007C3247"/>
    <w:rsid w:val="007C33E0"/>
    <w:rsid w:val="007C3506"/>
    <w:rsid w:val="007C36CD"/>
    <w:rsid w:val="007C3727"/>
    <w:rsid w:val="007C421E"/>
    <w:rsid w:val="007C4D32"/>
    <w:rsid w:val="007C503A"/>
    <w:rsid w:val="007C514A"/>
    <w:rsid w:val="007C5523"/>
    <w:rsid w:val="007C560F"/>
    <w:rsid w:val="007C5A29"/>
    <w:rsid w:val="007C64AF"/>
    <w:rsid w:val="007C654D"/>
    <w:rsid w:val="007C66EC"/>
    <w:rsid w:val="007C7094"/>
    <w:rsid w:val="007C70D0"/>
    <w:rsid w:val="007C73E6"/>
    <w:rsid w:val="007C748F"/>
    <w:rsid w:val="007C7906"/>
    <w:rsid w:val="007C7D34"/>
    <w:rsid w:val="007C7E9A"/>
    <w:rsid w:val="007D08EA"/>
    <w:rsid w:val="007D09E7"/>
    <w:rsid w:val="007D0B71"/>
    <w:rsid w:val="007D0C9A"/>
    <w:rsid w:val="007D12CD"/>
    <w:rsid w:val="007D1361"/>
    <w:rsid w:val="007D15B7"/>
    <w:rsid w:val="007D165F"/>
    <w:rsid w:val="007D1853"/>
    <w:rsid w:val="007D1FB5"/>
    <w:rsid w:val="007D2064"/>
    <w:rsid w:val="007D2C53"/>
    <w:rsid w:val="007D2F7A"/>
    <w:rsid w:val="007D358B"/>
    <w:rsid w:val="007D3E81"/>
    <w:rsid w:val="007D491D"/>
    <w:rsid w:val="007D4DB0"/>
    <w:rsid w:val="007D5770"/>
    <w:rsid w:val="007D5DA1"/>
    <w:rsid w:val="007D5DFF"/>
    <w:rsid w:val="007D6221"/>
    <w:rsid w:val="007D6431"/>
    <w:rsid w:val="007D6DCC"/>
    <w:rsid w:val="007D7071"/>
    <w:rsid w:val="007D73B5"/>
    <w:rsid w:val="007D7839"/>
    <w:rsid w:val="007D7B60"/>
    <w:rsid w:val="007D7B92"/>
    <w:rsid w:val="007D7C22"/>
    <w:rsid w:val="007D7D8C"/>
    <w:rsid w:val="007E0212"/>
    <w:rsid w:val="007E0410"/>
    <w:rsid w:val="007E0469"/>
    <w:rsid w:val="007E0471"/>
    <w:rsid w:val="007E07E5"/>
    <w:rsid w:val="007E0B3A"/>
    <w:rsid w:val="007E0DA5"/>
    <w:rsid w:val="007E0F8D"/>
    <w:rsid w:val="007E10B6"/>
    <w:rsid w:val="007E16C0"/>
    <w:rsid w:val="007E1A24"/>
    <w:rsid w:val="007E2379"/>
    <w:rsid w:val="007E2843"/>
    <w:rsid w:val="007E2A34"/>
    <w:rsid w:val="007E2B2D"/>
    <w:rsid w:val="007E2DA2"/>
    <w:rsid w:val="007E2E39"/>
    <w:rsid w:val="007E2F9F"/>
    <w:rsid w:val="007E2FFB"/>
    <w:rsid w:val="007E3081"/>
    <w:rsid w:val="007E3B2C"/>
    <w:rsid w:val="007E3B4D"/>
    <w:rsid w:val="007E3BC4"/>
    <w:rsid w:val="007E3D17"/>
    <w:rsid w:val="007E3F75"/>
    <w:rsid w:val="007E41E7"/>
    <w:rsid w:val="007E497C"/>
    <w:rsid w:val="007E4E15"/>
    <w:rsid w:val="007E50E8"/>
    <w:rsid w:val="007E5671"/>
    <w:rsid w:val="007E56AB"/>
    <w:rsid w:val="007E5D30"/>
    <w:rsid w:val="007E615B"/>
    <w:rsid w:val="007E61C4"/>
    <w:rsid w:val="007E696C"/>
    <w:rsid w:val="007F08C9"/>
    <w:rsid w:val="007F0A33"/>
    <w:rsid w:val="007F0A44"/>
    <w:rsid w:val="007F12B0"/>
    <w:rsid w:val="007F161B"/>
    <w:rsid w:val="007F1794"/>
    <w:rsid w:val="007F2018"/>
    <w:rsid w:val="007F217B"/>
    <w:rsid w:val="007F2335"/>
    <w:rsid w:val="007F25A0"/>
    <w:rsid w:val="007F2A10"/>
    <w:rsid w:val="007F2B93"/>
    <w:rsid w:val="007F2F89"/>
    <w:rsid w:val="007F3110"/>
    <w:rsid w:val="007F39BC"/>
    <w:rsid w:val="007F3AD9"/>
    <w:rsid w:val="007F3CD6"/>
    <w:rsid w:val="007F3D50"/>
    <w:rsid w:val="007F4B05"/>
    <w:rsid w:val="007F4FFD"/>
    <w:rsid w:val="007F51CD"/>
    <w:rsid w:val="007F5405"/>
    <w:rsid w:val="007F5648"/>
    <w:rsid w:val="007F662D"/>
    <w:rsid w:val="007F6741"/>
    <w:rsid w:val="007F67C2"/>
    <w:rsid w:val="007F6AC1"/>
    <w:rsid w:val="007F6B31"/>
    <w:rsid w:val="007F7071"/>
    <w:rsid w:val="007F7205"/>
    <w:rsid w:val="007F75F1"/>
    <w:rsid w:val="007F7619"/>
    <w:rsid w:val="007F78E9"/>
    <w:rsid w:val="00800183"/>
    <w:rsid w:val="0080044B"/>
    <w:rsid w:val="0080049A"/>
    <w:rsid w:val="00800BBA"/>
    <w:rsid w:val="00800C6C"/>
    <w:rsid w:val="008011F1"/>
    <w:rsid w:val="00801A76"/>
    <w:rsid w:val="00801A9C"/>
    <w:rsid w:val="00801C9D"/>
    <w:rsid w:val="00801CD2"/>
    <w:rsid w:val="00801EF6"/>
    <w:rsid w:val="0080235F"/>
    <w:rsid w:val="008023E0"/>
    <w:rsid w:val="00802713"/>
    <w:rsid w:val="008028BF"/>
    <w:rsid w:val="00802918"/>
    <w:rsid w:val="00802F05"/>
    <w:rsid w:val="008035A0"/>
    <w:rsid w:val="00803855"/>
    <w:rsid w:val="00803A75"/>
    <w:rsid w:val="00803BE4"/>
    <w:rsid w:val="008041FE"/>
    <w:rsid w:val="008043F2"/>
    <w:rsid w:val="008045AD"/>
    <w:rsid w:val="00804736"/>
    <w:rsid w:val="0080491B"/>
    <w:rsid w:val="00804D69"/>
    <w:rsid w:val="0080539F"/>
    <w:rsid w:val="00805546"/>
    <w:rsid w:val="00805640"/>
    <w:rsid w:val="008056D2"/>
    <w:rsid w:val="008058DE"/>
    <w:rsid w:val="00805E8E"/>
    <w:rsid w:val="00806AE3"/>
    <w:rsid w:val="00807269"/>
    <w:rsid w:val="0080749F"/>
    <w:rsid w:val="00807765"/>
    <w:rsid w:val="00807C81"/>
    <w:rsid w:val="00810117"/>
    <w:rsid w:val="008104B2"/>
    <w:rsid w:val="00810931"/>
    <w:rsid w:val="0081126A"/>
    <w:rsid w:val="00811A8D"/>
    <w:rsid w:val="00811E0F"/>
    <w:rsid w:val="00811E71"/>
    <w:rsid w:val="008121AB"/>
    <w:rsid w:val="008125BC"/>
    <w:rsid w:val="00812BDB"/>
    <w:rsid w:val="00812FF7"/>
    <w:rsid w:val="00813057"/>
    <w:rsid w:val="00813D77"/>
    <w:rsid w:val="0081424C"/>
    <w:rsid w:val="00814335"/>
    <w:rsid w:val="0081474B"/>
    <w:rsid w:val="00814762"/>
    <w:rsid w:val="00814A44"/>
    <w:rsid w:val="00814A76"/>
    <w:rsid w:val="00814D6C"/>
    <w:rsid w:val="0081584F"/>
    <w:rsid w:val="00815ABD"/>
    <w:rsid w:val="00815C9B"/>
    <w:rsid w:val="00816093"/>
    <w:rsid w:val="0081615F"/>
    <w:rsid w:val="00816344"/>
    <w:rsid w:val="008166AF"/>
    <w:rsid w:val="0081679A"/>
    <w:rsid w:val="00817032"/>
    <w:rsid w:val="0081770B"/>
    <w:rsid w:val="00817B4C"/>
    <w:rsid w:val="00817C96"/>
    <w:rsid w:val="008200EA"/>
    <w:rsid w:val="00820197"/>
    <w:rsid w:val="00820309"/>
    <w:rsid w:val="008203A8"/>
    <w:rsid w:val="0082049B"/>
    <w:rsid w:val="0082052A"/>
    <w:rsid w:val="00821025"/>
    <w:rsid w:val="0082126A"/>
    <w:rsid w:val="0082141F"/>
    <w:rsid w:val="0082143A"/>
    <w:rsid w:val="00821C45"/>
    <w:rsid w:val="00821E3C"/>
    <w:rsid w:val="00822086"/>
    <w:rsid w:val="008223A0"/>
    <w:rsid w:val="00822F1E"/>
    <w:rsid w:val="00823081"/>
    <w:rsid w:val="008231EE"/>
    <w:rsid w:val="00823344"/>
    <w:rsid w:val="00823927"/>
    <w:rsid w:val="00823960"/>
    <w:rsid w:val="00823A0A"/>
    <w:rsid w:val="00823BC8"/>
    <w:rsid w:val="00823E1B"/>
    <w:rsid w:val="008247A9"/>
    <w:rsid w:val="008256B7"/>
    <w:rsid w:val="00826267"/>
    <w:rsid w:val="008263EB"/>
    <w:rsid w:val="0082678B"/>
    <w:rsid w:val="00826CD4"/>
    <w:rsid w:val="00826E0F"/>
    <w:rsid w:val="00826E77"/>
    <w:rsid w:val="0082710E"/>
    <w:rsid w:val="008272F7"/>
    <w:rsid w:val="00827806"/>
    <w:rsid w:val="00827AFD"/>
    <w:rsid w:val="0083030D"/>
    <w:rsid w:val="0083066D"/>
    <w:rsid w:val="008306E7"/>
    <w:rsid w:val="00831087"/>
    <w:rsid w:val="008310E0"/>
    <w:rsid w:val="00831203"/>
    <w:rsid w:val="008314A8"/>
    <w:rsid w:val="00831829"/>
    <w:rsid w:val="008319D5"/>
    <w:rsid w:val="00831A0D"/>
    <w:rsid w:val="00831A3D"/>
    <w:rsid w:val="00831BCB"/>
    <w:rsid w:val="00831DDA"/>
    <w:rsid w:val="008320F9"/>
    <w:rsid w:val="00832123"/>
    <w:rsid w:val="00832172"/>
    <w:rsid w:val="008324D8"/>
    <w:rsid w:val="00832586"/>
    <w:rsid w:val="00832670"/>
    <w:rsid w:val="00832B92"/>
    <w:rsid w:val="0083346C"/>
    <w:rsid w:val="0083390F"/>
    <w:rsid w:val="00833C6B"/>
    <w:rsid w:val="00833C91"/>
    <w:rsid w:val="008340FB"/>
    <w:rsid w:val="00834682"/>
    <w:rsid w:val="00834B5E"/>
    <w:rsid w:val="00834DAA"/>
    <w:rsid w:val="008350D7"/>
    <w:rsid w:val="00835302"/>
    <w:rsid w:val="00836404"/>
    <w:rsid w:val="008369C3"/>
    <w:rsid w:val="00837010"/>
    <w:rsid w:val="00837109"/>
    <w:rsid w:val="0083729B"/>
    <w:rsid w:val="00840359"/>
    <w:rsid w:val="00840B27"/>
    <w:rsid w:val="00840E73"/>
    <w:rsid w:val="00840FE4"/>
    <w:rsid w:val="0084103F"/>
    <w:rsid w:val="0084185B"/>
    <w:rsid w:val="00841A79"/>
    <w:rsid w:val="00841BEF"/>
    <w:rsid w:val="00841D54"/>
    <w:rsid w:val="00841E19"/>
    <w:rsid w:val="0084268F"/>
    <w:rsid w:val="0084273B"/>
    <w:rsid w:val="0084277D"/>
    <w:rsid w:val="00842CAB"/>
    <w:rsid w:val="008430A5"/>
    <w:rsid w:val="00843FFF"/>
    <w:rsid w:val="0084403A"/>
    <w:rsid w:val="008449F8"/>
    <w:rsid w:val="00845590"/>
    <w:rsid w:val="0084578B"/>
    <w:rsid w:val="00845994"/>
    <w:rsid w:val="00845A95"/>
    <w:rsid w:val="00845D6B"/>
    <w:rsid w:val="00845EB1"/>
    <w:rsid w:val="00845EB2"/>
    <w:rsid w:val="0084645F"/>
    <w:rsid w:val="00846C08"/>
    <w:rsid w:val="00846C4B"/>
    <w:rsid w:val="00846EE0"/>
    <w:rsid w:val="00846FA5"/>
    <w:rsid w:val="00847844"/>
    <w:rsid w:val="00847A92"/>
    <w:rsid w:val="00847DBB"/>
    <w:rsid w:val="0085020C"/>
    <w:rsid w:val="008504CE"/>
    <w:rsid w:val="00850E1C"/>
    <w:rsid w:val="008512EC"/>
    <w:rsid w:val="00851991"/>
    <w:rsid w:val="00851B71"/>
    <w:rsid w:val="00851C7A"/>
    <w:rsid w:val="00851D13"/>
    <w:rsid w:val="00851EEF"/>
    <w:rsid w:val="00851F4D"/>
    <w:rsid w:val="0085239C"/>
    <w:rsid w:val="00852473"/>
    <w:rsid w:val="0085278F"/>
    <w:rsid w:val="008529D3"/>
    <w:rsid w:val="00852C3B"/>
    <w:rsid w:val="00852DAE"/>
    <w:rsid w:val="00853340"/>
    <w:rsid w:val="0085394C"/>
    <w:rsid w:val="00853BFA"/>
    <w:rsid w:val="00853F99"/>
    <w:rsid w:val="00854149"/>
    <w:rsid w:val="0085483D"/>
    <w:rsid w:val="00854A5C"/>
    <w:rsid w:val="008553CB"/>
    <w:rsid w:val="008557E6"/>
    <w:rsid w:val="00855B04"/>
    <w:rsid w:val="00855B6B"/>
    <w:rsid w:val="008569D6"/>
    <w:rsid w:val="00856B74"/>
    <w:rsid w:val="00856D32"/>
    <w:rsid w:val="00856FE5"/>
    <w:rsid w:val="00857332"/>
    <w:rsid w:val="0085753D"/>
    <w:rsid w:val="008576FE"/>
    <w:rsid w:val="00857916"/>
    <w:rsid w:val="00860443"/>
    <w:rsid w:val="00860759"/>
    <w:rsid w:val="00860882"/>
    <w:rsid w:val="008608F9"/>
    <w:rsid w:val="00860F0F"/>
    <w:rsid w:val="00861988"/>
    <w:rsid w:val="008619A7"/>
    <w:rsid w:val="00861D94"/>
    <w:rsid w:val="00862621"/>
    <w:rsid w:val="00862DB1"/>
    <w:rsid w:val="00863240"/>
    <w:rsid w:val="00863B1E"/>
    <w:rsid w:val="00863B53"/>
    <w:rsid w:val="00863E91"/>
    <w:rsid w:val="0086467E"/>
    <w:rsid w:val="00865020"/>
    <w:rsid w:val="00865AA6"/>
    <w:rsid w:val="00865DAD"/>
    <w:rsid w:val="00866018"/>
    <w:rsid w:val="008672F0"/>
    <w:rsid w:val="0086740F"/>
    <w:rsid w:val="008704DD"/>
    <w:rsid w:val="0087070A"/>
    <w:rsid w:val="008707DD"/>
    <w:rsid w:val="00870BD2"/>
    <w:rsid w:val="00870CF1"/>
    <w:rsid w:val="0087168B"/>
    <w:rsid w:val="00871A75"/>
    <w:rsid w:val="00871E24"/>
    <w:rsid w:val="00872079"/>
    <w:rsid w:val="0087242C"/>
    <w:rsid w:val="00872744"/>
    <w:rsid w:val="00872FC5"/>
    <w:rsid w:val="00873986"/>
    <w:rsid w:val="00873A0B"/>
    <w:rsid w:val="00873A54"/>
    <w:rsid w:val="00873A6D"/>
    <w:rsid w:val="00873B6E"/>
    <w:rsid w:val="0087400E"/>
    <w:rsid w:val="008748AA"/>
    <w:rsid w:val="00874CC7"/>
    <w:rsid w:val="00874DF5"/>
    <w:rsid w:val="00874E34"/>
    <w:rsid w:val="00874F5A"/>
    <w:rsid w:val="00875A8C"/>
    <w:rsid w:val="00875AAA"/>
    <w:rsid w:val="00875E44"/>
    <w:rsid w:val="00875E76"/>
    <w:rsid w:val="00875EE4"/>
    <w:rsid w:val="00875F1E"/>
    <w:rsid w:val="00875F2E"/>
    <w:rsid w:val="008760A5"/>
    <w:rsid w:val="00876739"/>
    <w:rsid w:val="00876A13"/>
    <w:rsid w:val="00876E18"/>
    <w:rsid w:val="00877370"/>
    <w:rsid w:val="008773D0"/>
    <w:rsid w:val="00877439"/>
    <w:rsid w:val="008775D7"/>
    <w:rsid w:val="00877A2F"/>
    <w:rsid w:val="0088003B"/>
    <w:rsid w:val="00880075"/>
    <w:rsid w:val="008804D3"/>
    <w:rsid w:val="00880667"/>
    <w:rsid w:val="00880850"/>
    <w:rsid w:val="00880857"/>
    <w:rsid w:val="00880DDF"/>
    <w:rsid w:val="00880F09"/>
    <w:rsid w:val="0088134D"/>
    <w:rsid w:val="00881593"/>
    <w:rsid w:val="008815FC"/>
    <w:rsid w:val="00881F04"/>
    <w:rsid w:val="008820D3"/>
    <w:rsid w:val="0088229F"/>
    <w:rsid w:val="00882500"/>
    <w:rsid w:val="00882503"/>
    <w:rsid w:val="00882BC7"/>
    <w:rsid w:val="00882E3F"/>
    <w:rsid w:val="00882E98"/>
    <w:rsid w:val="00882FA8"/>
    <w:rsid w:val="00883238"/>
    <w:rsid w:val="00883459"/>
    <w:rsid w:val="0088393C"/>
    <w:rsid w:val="00883999"/>
    <w:rsid w:val="00883E35"/>
    <w:rsid w:val="00883F0C"/>
    <w:rsid w:val="008847C1"/>
    <w:rsid w:val="00884A80"/>
    <w:rsid w:val="00884C86"/>
    <w:rsid w:val="00884F28"/>
    <w:rsid w:val="00884F5E"/>
    <w:rsid w:val="00885038"/>
    <w:rsid w:val="00885A25"/>
    <w:rsid w:val="00885A58"/>
    <w:rsid w:val="00885DAF"/>
    <w:rsid w:val="00886043"/>
    <w:rsid w:val="00886353"/>
    <w:rsid w:val="008864DE"/>
    <w:rsid w:val="00887A5E"/>
    <w:rsid w:val="008902BF"/>
    <w:rsid w:val="00890C84"/>
    <w:rsid w:val="00891013"/>
    <w:rsid w:val="00891158"/>
    <w:rsid w:val="00891691"/>
    <w:rsid w:val="0089198E"/>
    <w:rsid w:val="00892BF5"/>
    <w:rsid w:val="00892C3F"/>
    <w:rsid w:val="008934FD"/>
    <w:rsid w:val="00893898"/>
    <w:rsid w:val="00893EA8"/>
    <w:rsid w:val="00893FEC"/>
    <w:rsid w:val="008943BF"/>
    <w:rsid w:val="0089458A"/>
    <w:rsid w:val="00894CFE"/>
    <w:rsid w:val="008955D3"/>
    <w:rsid w:val="008956A5"/>
    <w:rsid w:val="008957AC"/>
    <w:rsid w:val="00895857"/>
    <w:rsid w:val="00896414"/>
    <w:rsid w:val="00896C6B"/>
    <w:rsid w:val="00896E66"/>
    <w:rsid w:val="00896FCB"/>
    <w:rsid w:val="00897341"/>
    <w:rsid w:val="008974CE"/>
    <w:rsid w:val="008975C3"/>
    <w:rsid w:val="008976F1"/>
    <w:rsid w:val="00897A35"/>
    <w:rsid w:val="00897B59"/>
    <w:rsid w:val="00897C51"/>
    <w:rsid w:val="008A009D"/>
    <w:rsid w:val="008A0CD2"/>
    <w:rsid w:val="008A0DF4"/>
    <w:rsid w:val="008A1082"/>
    <w:rsid w:val="008A11B9"/>
    <w:rsid w:val="008A14C0"/>
    <w:rsid w:val="008A159E"/>
    <w:rsid w:val="008A1C99"/>
    <w:rsid w:val="008A1CCB"/>
    <w:rsid w:val="008A2067"/>
    <w:rsid w:val="008A2913"/>
    <w:rsid w:val="008A2B65"/>
    <w:rsid w:val="008A2D9E"/>
    <w:rsid w:val="008A34C9"/>
    <w:rsid w:val="008A364B"/>
    <w:rsid w:val="008A446D"/>
    <w:rsid w:val="008A4488"/>
    <w:rsid w:val="008A45F0"/>
    <w:rsid w:val="008A462B"/>
    <w:rsid w:val="008A48D3"/>
    <w:rsid w:val="008A48F5"/>
    <w:rsid w:val="008A4AF2"/>
    <w:rsid w:val="008A4C52"/>
    <w:rsid w:val="008A4FC4"/>
    <w:rsid w:val="008A5164"/>
    <w:rsid w:val="008A52FA"/>
    <w:rsid w:val="008A5682"/>
    <w:rsid w:val="008A607F"/>
    <w:rsid w:val="008A6875"/>
    <w:rsid w:val="008A68DB"/>
    <w:rsid w:val="008A6B8E"/>
    <w:rsid w:val="008A70BB"/>
    <w:rsid w:val="008A7B34"/>
    <w:rsid w:val="008A7CC8"/>
    <w:rsid w:val="008A7E91"/>
    <w:rsid w:val="008A7F46"/>
    <w:rsid w:val="008B0157"/>
    <w:rsid w:val="008B0896"/>
    <w:rsid w:val="008B11B1"/>
    <w:rsid w:val="008B11B5"/>
    <w:rsid w:val="008B12D6"/>
    <w:rsid w:val="008B15D7"/>
    <w:rsid w:val="008B1781"/>
    <w:rsid w:val="008B18B5"/>
    <w:rsid w:val="008B1BE0"/>
    <w:rsid w:val="008B1CE4"/>
    <w:rsid w:val="008B22F2"/>
    <w:rsid w:val="008B304A"/>
    <w:rsid w:val="008B315E"/>
    <w:rsid w:val="008B3375"/>
    <w:rsid w:val="008B34DF"/>
    <w:rsid w:val="008B39CA"/>
    <w:rsid w:val="008B3C03"/>
    <w:rsid w:val="008B3F58"/>
    <w:rsid w:val="008B4219"/>
    <w:rsid w:val="008B4905"/>
    <w:rsid w:val="008B4F97"/>
    <w:rsid w:val="008B5019"/>
    <w:rsid w:val="008B5049"/>
    <w:rsid w:val="008B5436"/>
    <w:rsid w:val="008B5995"/>
    <w:rsid w:val="008B5A83"/>
    <w:rsid w:val="008B5AA0"/>
    <w:rsid w:val="008B60C3"/>
    <w:rsid w:val="008B65AA"/>
    <w:rsid w:val="008B682F"/>
    <w:rsid w:val="008B6D1C"/>
    <w:rsid w:val="008B6DE3"/>
    <w:rsid w:val="008B6E38"/>
    <w:rsid w:val="008B72F4"/>
    <w:rsid w:val="008B77E9"/>
    <w:rsid w:val="008B787E"/>
    <w:rsid w:val="008C0044"/>
    <w:rsid w:val="008C007E"/>
    <w:rsid w:val="008C0473"/>
    <w:rsid w:val="008C0644"/>
    <w:rsid w:val="008C0678"/>
    <w:rsid w:val="008C071C"/>
    <w:rsid w:val="008C082B"/>
    <w:rsid w:val="008C09DA"/>
    <w:rsid w:val="008C0A12"/>
    <w:rsid w:val="008C0DE5"/>
    <w:rsid w:val="008C1051"/>
    <w:rsid w:val="008C11B9"/>
    <w:rsid w:val="008C126A"/>
    <w:rsid w:val="008C17E7"/>
    <w:rsid w:val="008C1948"/>
    <w:rsid w:val="008C1B17"/>
    <w:rsid w:val="008C1CAE"/>
    <w:rsid w:val="008C1D0F"/>
    <w:rsid w:val="008C1E87"/>
    <w:rsid w:val="008C2218"/>
    <w:rsid w:val="008C2368"/>
    <w:rsid w:val="008C2576"/>
    <w:rsid w:val="008C26FE"/>
    <w:rsid w:val="008C2842"/>
    <w:rsid w:val="008C2965"/>
    <w:rsid w:val="008C2B6B"/>
    <w:rsid w:val="008C304F"/>
    <w:rsid w:val="008C34CC"/>
    <w:rsid w:val="008C34F3"/>
    <w:rsid w:val="008C37AB"/>
    <w:rsid w:val="008C3945"/>
    <w:rsid w:val="008C420F"/>
    <w:rsid w:val="008C4535"/>
    <w:rsid w:val="008C46A7"/>
    <w:rsid w:val="008C4BF4"/>
    <w:rsid w:val="008C4ECE"/>
    <w:rsid w:val="008C4F3C"/>
    <w:rsid w:val="008C51AE"/>
    <w:rsid w:val="008C5258"/>
    <w:rsid w:val="008C5527"/>
    <w:rsid w:val="008C5872"/>
    <w:rsid w:val="008C5D09"/>
    <w:rsid w:val="008C5D5B"/>
    <w:rsid w:val="008C5DB2"/>
    <w:rsid w:val="008C619A"/>
    <w:rsid w:val="008C67DD"/>
    <w:rsid w:val="008C75C0"/>
    <w:rsid w:val="008C778C"/>
    <w:rsid w:val="008C7E5B"/>
    <w:rsid w:val="008D03A1"/>
    <w:rsid w:val="008D0A08"/>
    <w:rsid w:val="008D0BD4"/>
    <w:rsid w:val="008D0DF1"/>
    <w:rsid w:val="008D1040"/>
    <w:rsid w:val="008D121E"/>
    <w:rsid w:val="008D155C"/>
    <w:rsid w:val="008D2519"/>
    <w:rsid w:val="008D29AF"/>
    <w:rsid w:val="008D2FF2"/>
    <w:rsid w:val="008D313E"/>
    <w:rsid w:val="008D35B7"/>
    <w:rsid w:val="008D3D0A"/>
    <w:rsid w:val="008D3F73"/>
    <w:rsid w:val="008D3FD4"/>
    <w:rsid w:val="008D46A5"/>
    <w:rsid w:val="008D4A5F"/>
    <w:rsid w:val="008D4AD9"/>
    <w:rsid w:val="008D5057"/>
    <w:rsid w:val="008D52D6"/>
    <w:rsid w:val="008D579C"/>
    <w:rsid w:val="008D580C"/>
    <w:rsid w:val="008D5AD0"/>
    <w:rsid w:val="008D5B80"/>
    <w:rsid w:val="008D5C2D"/>
    <w:rsid w:val="008D5CAD"/>
    <w:rsid w:val="008D609C"/>
    <w:rsid w:val="008D67FD"/>
    <w:rsid w:val="008D693B"/>
    <w:rsid w:val="008D6A10"/>
    <w:rsid w:val="008D7470"/>
    <w:rsid w:val="008D7678"/>
    <w:rsid w:val="008E060B"/>
    <w:rsid w:val="008E0FA4"/>
    <w:rsid w:val="008E1C20"/>
    <w:rsid w:val="008E25B6"/>
    <w:rsid w:val="008E27CB"/>
    <w:rsid w:val="008E33FC"/>
    <w:rsid w:val="008E3AB5"/>
    <w:rsid w:val="008E402D"/>
    <w:rsid w:val="008E4034"/>
    <w:rsid w:val="008E4152"/>
    <w:rsid w:val="008E4A43"/>
    <w:rsid w:val="008E4B14"/>
    <w:rsid w:val="008E5382"/>
    <w:rsid w:val="008E5512"/>
    <w:rsid w:val="008E5874"/>
    <w:rsid w:val="008E5D44"/>
    <w:rsid w:val="008E5D5D"/>
    <w:rsid w:val="008E65A8"/>
    <w:rsid w:val="008E6AC6"/>
    <w:rsid w:val="008E6BAF"/>
    <w:rsid w:val="008E7144"/>
    <w:rsid w:val="008E75A2"/>
    <w:rsid w:val="008E7958"/>
    <w:rsid w:val="008E7E43"/>
    <w:rsid w:val="008F02AF"/>
    <w:rsid w:val="008F051F"/>
    <w:rsid w:val="008F082B"/>
    <w:rsid w:val="008F0AD5"/>
    <w:rsid w:val="008F0D4B"/>
    <w:rsid w:val="008F1FE6"/>
    <w:rsid w:val="008F2F45"/>
    <w:rsid w:val="008F3BB9"/>
    <w:rsid w:val="008F3FA9"/>
    <w:rsid w:val="008F4293"/>
    <w:rsid w:val="008F4459"/>
    <w:rsid w:val="008F4EF8"/>
    <w:rsid w:val="008F557F"/>
    <w:rsid w:val="008F5655"/>
    <w:rsid w:val="008F5741"/>
    <w:rsid w:val="008F5744"/>
    <w:rsid w:val="008F57C1"/>
    <w:rsid w:val="008F582E"/>
    <w:rsid w:val="008F5A28"/>
    <w:rsid w:val="008F5B19"/>
    <w:rsid w:val="008F6068"/>
    <w:rsid w:val="008F6314"/>
    <w:rsid w:val="008F63B0"/>
    <w:rsid w:val="008F64D8"/>
    <w:rsid w:val="008F67A2"/>
    <w:rsid w:val="008F6AAE"/>
    <w:rsid w:val="008F6B46"/>
    <w:rsid w:val="008F6D67"/>
    <w:rsid w:val="008F6DCD"/>
    <w:rsid w:val="008F7087"/>
    <w:rsid w:val="008F7420"/>
    <w:rsid w:val="008F762E"/>
    <w:rsid w:val="008F7695"/>
    <w:rsid w:val="008F7D22"/>
    <w:rsid w:val="008F7D9D"/>
    <w:rsid w:val="008F7F2F"/>
    <w:rsid w:val="0090019F"/>
    <w:rsid w:val="00900460"/>
    <w:rsid w:val="00900BC3"/>
    <w:rsid w:val="00900EAC"/>
    <w:rsid w:val="00900EF3"/>
    <w:rsid w:val="00900FF4"/>
    <w:rsid w:val="00901003"/>
    <w:rsid w:val="009014B6"/>
    <w:rsid w:val="0090187E"/>
    <w:rsid w:val="009018AA"/>
    <w:rsid w:val="009019AD"/>
    <w:rsid w:val="00901E52"/>
    <w:rsid w:val="0090250A"/>
    <w:rsid w:val="00902682"/>
    <w:rsid w:val="009029B5"/>
    <w:rsid w:val="00902F50"/>
    <w:rsid w:val="0090304D"/>
    <w:rsid w:val="0090346F"/>
    <w:rsid w:val="009035DA"/>
    <w:rsid w:val="00904411"/>
    <w:rsid w:val="009047BA"/>
    <w:rsid w:val="00904930"/>
    <w:rsid w:val="00904D11"/>
    <w:rsid w:val="009050F6"/>
    <w:rsid w:val="00905463"/>
    <w:rsid w:val="00905726"/>
    <w:rsid w:val="009057ED"/>
    <w:rsid w:val="009058D7"/>
    <w:rsid w:val="00905AB3"/>
    <w:rsid w:val="00905B56"/>
    <w:rsid w:val="00905D78"/>
    <w:rsid w:val="00905F26"/>
    <w:rsid w:val="00906088"/>
    <w:rsid w:val="009066D7"/>
    <w:rsid w:val="00906A58"/>
    <w:rsid w:val="00907314"/>
    <w:rsid w:val="009074D7"/>
    <w:rsid w:val="00907A1F"/>
    <w:rsid w:val="0091006A"/>
    <w:rsid w:val="00910434"/>
    <w:rsid w:val="009104D1"/>
    <w:rsid w:val="00910CB8"/>
    <w:rsid w:val="00910D76"/>
    <w:rsid w:val="0091101B"/>
    <w:rsid w:val="0091105A"/>
    <w:rsid w:val="009114B8"/>
    <w:rsid w:val="0091226D"/>
    <w:rsid w:val="009124E4"/>
    <w:rsid w:val="009129AB"/>
    <w:rsid w:val="00912A45"/>
    <w:rsid w:val="00912F35"/>
    <w:rsid w:val="009130EF"/>
    <w:rsid w:val="009131DA"/>
    <w:rsid w:val="00913208"/>
    <w:rsid w:val="0091392C"/>
    <w:rsid w:val="00913C8A"/>
    <w:rsid w:val="00914582"/>
    <w:rsid w:val="00915288"/>
    <w:rsid w:val="00915338"/>
    <w:rsid w:val="00915925"/>
    <w:rsid w:val="009162BA"/>
    <w:rsid w:val="0091648C"/>
    <w:rsid w:val="00916674"/>
    <w:rsid w:val="00916B69"/>
    <w:rsid w:val="00916CE4"/>
    <w:rsid w:val="00916DDE"/>
    <w:rsid w:val="009172B1"/>
    <w:rsid w:val="009172B8"/>
    <w:rsid w:val="00917611"/>
    <w:rsid w:val="00917989"/>
    <w:rsid w:val="00917A10"/>
    <w:rsid w:val="00917DCC"/>
    <w:rsid w:val="009200B4"/>
    <w:rsid w:val="009201CD"/>
    <w:rsid w:val="00920426"/>
    <w:rsid w:val="0092074C"/>
    <w:rsid w:val="00920E22"/>
    <w:rsid w:val="00921330"/>
    <w:rsid w:val="0092139A"/>
    <w:rsid w:val="009216AE"/>
    <w:rsid w:val="00921B61"/>
    <w:rsid w:val="00921D70"/>
    <w:rsid w:val="00922598"/>
    <w:rsid w:val="00922748"/>
    <w:rsid w:val="00922B11"/>
    <w:rsid w:val="00923009"/>
    <w:rsid w:val="0092308D"/>
    <w:rsid w:val="00923260"/>
    <w:rsid w:val="0092339C"/>
    <w:rsid w:val="0092389E"/>
    <w:rsid w:val="009238AE"/>
    <w:rsid w:val="00923BA3"/>
    <w:rsid w:val="009242C3"/>
    <w:rsid w:val="009243E5"/>
    <w:rsid w:val="009247E2"/>
    <w:rsid w:val="009248C8"/>
    <w:rsid w:val="00924C3B"/>
    <w:rsid w:val="0092530E"/>
    <w:rsid w:val="009254B2"/>
    <w:rsid w:val="009254FE"/>
    <w:rsid w:val="00926253"/>
    <w:rsid w:val="00926497"/>
    <w:rsid w:val="0092692C"/>
    <w:rsid w:val="00926DDD"/>
    <w:rsid w:val="0092744A"/>
    <w:rsid w:val="00927D7E"/>
    <w:rsid w:val="009302A6"/>
    <w:rsid w:val="00930324"/>
    <w:rsid w:val="00930340"/>
    <w:rsid w:val="0093043C"/>
    <w:rsid w:val="009305C7"/>
    <w:rsid w:val="00930B67"/>
    <w:rsid w:val="0093123D"/>
    <w:rsid w:val="00931502"/>
    <w:rsid w:val="009317B0"/>
    <w:rsid w:val="00931BFA"/>
    <w:rsid w:val="00931C27"/>
    <w:rsid w:val="0093202C"/>
    <w:rsid w:val="00932288"/>
    <w:rsid w:val="009328BC"/>
    <w:rsid w:val="009330DB"/>
    <w:rsid w:val="00933224"/>
    <w:rsid w:val="0093334F"/>
    <w:rsid w:val="0093343E"/>
    <w:rsid w:val="009345B5"/>
    <w:rsid w:val="00934E37"/>
    <w:rsid w:val="00935C29"/>
    <w:rsid w:val="00935CCD"/>
    <w:rsid w:val="00935D3A"/>
    <w:rsid w:val="009361BA"/>
    <w:rsid w:val="0093640C"/>
    <w:rsid w:val="009364A1"/>
    <w:rsid w:val="009367ED"/>
    <w:rsid w:val="00936A17"/>
    <w:rsid w:val="00936BD3"/>
    <w:rsid w:val="00936C0C"/>
    <w:rsid w:val="00936D7F"/>
    <w:rsid w:val="00936ED2"/>
    <w:rsid w:val="00937035"/>
    <w:rsid w:val="00937192"/>
    <w:rsid w:val="009371C3"/>
    <w:rsid w:val="009371D6"/>
    <w:rsid w:val="009374F2"/>
    <w:rsid w:val="00937761"/>
    <w:rsid w:val="009378B5"/>
    <w:rsid w:val="00940572"/>
    <w:rsid w:val="00940A8A"/>
    <w:rsid w:val="00941321"/>
    <w:rsid w:val="00941414"/>
    <w:rsid w:val="00941A3B"/>
    <w:rsid w:val="00941ABD"/>
    <w:rsid w:val="009422F3"/>
    <w:rsid w:val="00942388"/>
    <w:rsid w:val="0094254D"/>
    <w:rsid w:val="0094374E"/>
    <w:rsid w:val="0094384C"/>
    <w:rsid w:val="00943FCF"/>
    <w:rsid w:val="00944338"/>
    <w:rsid w:val="0094498F"/>
    <w:rsid w:val="00944A8B"/>
    <w:rsid w:val="00945010"/>
    <w:rsid w:val="0094503A"/>
    <w:rsid w:val="00946057"/>
    <w:rsid w:val="0094625C"/>
    <w:rsid w:val="00946409"/>
    <w:rsid w:val="009466AB"/>
    <w:rsid w:val="009466FE"/>
    <w:rsid w:val="00947116"/>
    <w:rsid w:val="00947AED"/>
    <w:rsid w:val="00947B5A"/>
    <w:rsid w:val="00947F9E"/>
    <w:rsid w:val="009503B2"/>
    <w:rsid w:val="009505DA"/>
    <w:rsid w:val="009507D6"/>
    <w:rsid w:val="00950A0E"/>
    <w:rsid w:val="00950A5A"/>
    <w:rsid w:val="00950CDA"/>
    <w:rsid w:val="0095194A"/>
    <w:rsid w:val="00951D5C"/>
    <w:rsid w:val="009520E1"/>
    <w:rsid w:val="009523FD"/>
    <w:rsid w:val="0095261D"/>
    <w:rsid w:val="00952959"/>
    <w:rsid w:val="00952AEB"/>
    <w:rsid w:val="00952C37"/>
    <w:rsid w:val="009531DA"/>
    <w:rsid w:val="00953679"/>
    <w:rsid w:val="009536E6"/>
    <w:rsid w:val="00953A7D"/>
    <w:rsid w:val="00953C8F"/>
    <w:rsid w:val="009542F4"/>
    <w:rsid w:val="00954317"/>
    <w:rsid w:val="009543C2"/>
    <w:rsid w:val="00954569"/>
    <w:rsid w:val="009547D4"/>
    <w:rsid w:val="009548A8"/>
    <w:rsid w:val="00955D53"/>
    <w:rsid w:val="00955DE1"/>
    <w:rsid w:val="009561C9"/>
    <w:rsid w:val="00956BD7"/>
    <w:rsid w:val="00956CCF"/>
    <w:rsid w:val="00957302"/>
    <w:rsid w:val="00957727"/>
    <w:rsid w:val="00957827"/>
    <w:rsid w:val="00957A9C"/>
    <w:rsid w:val="00960266"/>
    <w:rsid w:val="0096026E"/>
    <w:rsid w:val="0096050B"/>
    <w:rsid w:val="00960F20"/>
    <w:rsid w:val="00961140"/>
    <w:rsid w:val="00961199"/>
    <w:rsid w:val="009611C3"/>
    <w:rsid w:val="0096166F"/>
    <w:rsid w:val="00961C4D"/>
    <w:rsid w:val="00961DFC"/>
    <w:rsid w:val="00962898"/>
    <w:rsid w:val="00962971"/>
    <w:rsid w:val="00962A69"/>
    <w:rsid w:val="00962AF3"/>
    <w:rsid w:val="00962D4B"/>
    <w:rsid w:val="00963088"/>
    <w:rsid w:val="0096342C"/>
    <w:rsid w:val="009638A9"/>
    <w:rsid w:val="0096396B"/>
    <w:rsid w:val="00964112"/>
    <w:rsid w:val="00964EFE"/>
    <w:rsid w:val="00965B45"/>
    <w:rsid w:val="00965F4A"/>
    <w:rsid w:val="00966638"/>
    <w:rsid w:val="00966B48"/>
    <w:rsid w:val="00966E41"/>
    <w:rsid w:val="0096709D"/>
    <w:rsid w:val="0096748D"/>
    <w:rsid w:val="00967543"/>
    <w:rsid w:val="009675DF"/>
    <w:rsid w:val="0096790B"/>
    <w:rsid w:val="00967BC9"/>
    <w:rsid w:val="00967DA1"/>
    <w:rsid w:val="00967F2B"/>
    <w:rsid w:val="00967F48"/>
    <w:rsid w:val="00970182"/>
    <w:rsid w:val="00970264"/>
    <w:rsid w:val="00970347"/>
    <w:rsid w:val="009705DC"/>
    <w:rsid w:val="009706CE"/>
    <w:rsid w:val="00970818"/>
    <w:rsid w:val="00970B15"/>
    <w:rsid w:val="00970C12"/>
    <w:rsid w:val="009711D3"/>
    <w:rsid w:val="00971C85"/>
    <w:rsid w:val="00971F52"/>
    <w:rsid w:val="0097226E"/>
    <w:rsid w:val="00972C7D"/>
    <w:rsid w:val="00972D2F"/>
    <w:rsid w:val="009735CF"/>
    <w:rsid w:val="00973E72"/>
    <w:rsid w:val="00973FA9"/>
    <w:rsid w:val="009741AB"/>
    <w:rsid w:val="00974202"/>
    <w:rsid w:val="00974594"/>
    <w:rsid w:val="00974775"/>
    <w:rsid w:val="00974DEC"/>
    <w:rsid w:val="00975998"/>
    <w:rsid w:val="00975E0D"/>
    <w:rsid w:val="00975E1E"/>
    <w:rsid w:val="00975EB3"/>
    <w:rsid w:val="00975FFA"/>
    <w:rsid w:val="00976061"/>
    <w:rsid w:val="00976266"/>
    <w:rsid w:val="009763B8"/>
    <w:rsid w:val="009764EF"/>
    <w:rsid w:val="009767A9"/>
    <w:rsid w:val="00976A4B"/>
    <w:rsid w:val="00976C3C"/>
    <w:rsid w:val="0097749F"/>
    <w:rsid w:val="00977A24"/>
    <w:rsid w:val="00977A2D"/>
    <w:rsid w:val="00977E5E"/>
    <w:rsid w:val="00980086"/>
    <w:rsid w:val="0098022A"/>
    <w:rsid w:val="00980314"/>
    <w:rsid w:val="0098037B"/>
    <w:rsid w:val="00980BA1"/>
    <w:rsid w:val="0098109A"/>
    <w:rsid w:val="00981446"/>
    <w:rsid w:val="0098157F"/>
    <w:rsid w:val="00981599"/>
    <w:rsid w:val="00981778"/>
    <w:rsid w:val="00981A0E"/>
    <w:rsid w:val="00981DF6"/>
    <w:rsid w:val="00981EAC"/>
    <w:rsid w:val="00981EDB"/>
    <w:rsid w:val="00982098"/>
    <w:rsid w:val="009820C4"/>
    <w:rsid w:val="009823DC"/>
    <w:rsid w:val="00982D91"/>
    <w:rsid w:val="00983C03"/>
    <w:rsid w:val="00983DD1"/>
    <w:rsid w:val="00984335"/>
    <w:rsid w:val="00984603"/>
    <w:rsid w:val="00984795"/>
    <w:rsid w:val="00984BF2"/>
    <w:rsid w:val="00985441"/>
    <w:rsid w:val="0098578D"/>
    <w:rsid w:val="0098585C"/>
    <w:rsid w:val="00985AAF"/>
    <w:rsid w:val="00985BCA"/>
    <w:rsid w:val="00986728"/>
    <w:rsid w:val="00986AC1"/>
    <w:rsid w:val="00986BB9"/>
    <w:rsid w:val="00987093"/>
    <w:rsid w:val="00987187"/>
    <w:rsid w:val="0098799B"/>
    <w:rsid w:val="009879F6"/>
    <w:rsid w:val="00987A49"/>
    <w:rsid w:val="00987F00"/>
    <w:rsid w:val="00987F6F"/>
    <w:rsid w:val="009901FE"/>
    <w:rsid w:val="0099043C"/>
    <w:rsid w:val="009907ED"/>
    <w:rsid w:val="009908CD"/>
    <w:rsid w:val="00990B6D"/>
    <w:rsid w:val="00990FEA"/>
    <w:rsid w:val="00991581"/>
    <w:rsid w:val="009918C0"/>
    <w:rsid w:val="00991DAD"/>
    <w:rsid w:val="00991EE7"/>
    <w:rsid w:val="009923DD"/>
    <w:rsid w:val="0099259C"/>
    <w:rsid w:val="00992871"/>
    <w:rsid w:val="009928B4"/>
    <w:rsid w:val="00992C81"/>
    <w:rsid w:val="00993B24"/>
    <w:rsid w:val="00993BF4"/>
    <w:rsid w:val="00993C01"/>
    <w:rsid w:val="00993DF7"/>
    <w:rsid w:val="00993EF6"/>
    <w:rsid w:val="0099407E"/>
    <w:rsid w:val="009943DE"/>
    <w:rsid w:val="00994660"/>
    <w:rsid w:val="0099467E"/>
    <w:rsid w:val="009947D8"/>
    <w:rsid w:val="00994833"/>
    <w:rsid w:val="009948EE"/>
    <w:rsid w:val="00995194"/>
    <w:rsid w:val="0099531E"/>
    <w:rsid w:val="00995679"/>
    <w:rsid w:val="009956E1"/>
    <w:rsid w:val="0099579A"/>
    <w:rsid w:val="00995912"/>
    <w:rsid w:val="0099593E"/>
    <w:rsid w:val="00995B77"/>
    <w:rsid w:val="00995B7D"/>
    <w:rsid w:val="00995E4E"/>
    <w:rsid w:val="00995F2E"/>
    <w:rsid w:val="00995F39"/>
    <w:rsid w:val="00996185"/>
    <w:rsid w:val="009967CE"/>
    <w:rsid w:val="00996A59"/>
    <w:rsid w:val="00996DD1"/>
    <w:rsid w:val="00997018"/>
    <w:rsid w:val="00997244"/>
    <w:rsid w:val="009972A2"/>
    <w:rsid w:val="009972A9"/>
    <w:rsid w:val="00997471"/>
    <w:rsid w:val="0099787B"/>
    <w:rsid w:val="0099792D"/>
    <w:rsid w:val="00997977"/>
    <w:rsid w:val="00997A27"/>
    <w:rsid w:val="009A01FA"/>
    <w:rsid w:val="009A0221"/>
    <w:rsid w:val="009A0228"/>
    <w:rsid w:val="009A02AF"/>
    <w:rsid w:val="009A04A0"/>
    <w:rsid w:val="009A051D"/>
    <w:rsid w:val="009A1A7E"/>
    <w:rsid w:val="009A2B79"/>
    <w:rsid w:val="009A2CF5"/>
    <w:rsid w:val="009A3287"/>
    <w:rsid w:val="009A34DA"/>
    <w:rsid w:val="009A39C8"/>
    <w:rsid w:val="009A40A1"/>
    <w:rsid w:val="009A418C"/>
    <w:rsid w:val="009A46B9"/>
    <w:rsid w:val="009A478A"/>
    <w:rsid w:val="009A4DF4"/>
    <w:rsid w:val="009A5925"/>
    <w:rsid w:val="009A5C51"/>
    <w:rsid w:val="009A5F01"/>
    <w:rsid w:val="009A62E1"/>
    <w:rsid w:val="009A6AEC"/>
    <w:rsid w:val="009A6F1E"/>
    <w:rsid w:val="009A7172"/>
    <w:rsid w:val="009A72DF"/>
    <w:rsid w:val="009A77D7"/>
    <w:rsid w:val="009A77E6"/>
    <w:rsid w:val="009A77EE"/>
    <w:rsid w:val="009A7C5C"/>
    <w:rsid w:val="009B03A7"/>
    <w:rsid w:val="009B0CAA"/>
    <w:rsid w:val="009B125E"/>
    <w:rsid w:val="009B13AA"/>
    <w:rsid w:val="009B17E7"/>
    <w:rsid w:val="009B1DA8"/>
    <w:rsid w:val="009B22D2"/>
    <w:rsid w:val="009B2398"/>
    <w:rsid w:val="009B240C"/>
    <w:rsid w:val="009B2457"/>
    <w:rsid w:val="009B2988"/>
    <w:rsid w:val="009B3273"/>
    <w:rsid w:val="009B376A"/>
    <w:rsid w:val="009B37E5"/>
    <w:rsid w:val="009B3A80"/>
    <w:rsid w:val="009B3C9C"/>
    <w:rsid w:val="009B3F9D"/>
    <w:rsid w:val="009B49C4"/>
    <w:rsid w:val="009B4AF8"/>
    <w:rsid w:val="009B4E0E"/>
    <w:rsid w:val="009B4FEF"/>
    <w:rsid w:val="009B518E"/>
    <w:rsid w:val="009B5301"/>
    <w:rsid w:val="009B54B4"/>
    <w:rsid w:val="009B5713"/>
    <w:rsid w:val="009B57B8"/>
    <w:rsid w:val="009B5D0E"/>
    <w:rsid w:val="009B6440"/>
    <w:rsid w:val="009B6A74"/>
    <w:rsid w:val="009B6B48"/>
    <w:rsid w:val="009B6BEB"/>
    <w:rsid w:val="009B6E4C"/>
    <w:rsid w:val="009B73DF"/>
    <w:rsid w:val="009B74A3"/>
    <w:rsid w:val="009B756A"/>
    <w:rsid w:val="009B760E"/>
    <w:rsid w:val="009B785C"/>
    <w:rsid w:val="009B793A"/>
    <w:rsid w:val="009B7F2A"/>
    <w:rsid w:val="009C061D"/>
    <w:rsid w:val="009C064A"/>
    <w:rsid w:val="009C07D6"/>
    <w:rsid w:val="009C0E34"/>
    <w:rsid w:val="009C19A2"/>
    <w:rsid w:val="009C1A5D"/>
    <w:rsid w:val="009C1BEB"/>
    <w:rsid w:val="009C1FF9"/>
    <w:rsid w:val="009C2283"/>
    <w:rsid w:val="009C276F"/>
    <w:rsid w:val="009C28C4"/>
    <w:rsid w:val="009C3334"/>
    <w:rsid w:val="009C33CD"/>
    <w:rsid w:val="009C35E8"/>
    <w:rsid w:val="009C3934"/>
    <w:rsid w:val="009C4627"/>
    <w:rsid w:val="009C4870"/>
    <w:rsid w:val="009C4EDB"/>
    <w:rsid w:val="009C54EA"/>
    <w:rsid w:val="009C581E"/>
    <w:rsid w:val="009C5F6A"/>
    <w:rsid w:val="009C6054"/>
    <w:rsid w:val="009C61A8"/>
    <w:rsid w:val="009C61F1"/>
    <w:rsid w:val="009C62DC"/>
    <w:rsid w:val="009C6C4E"/>
    <w:rsid w:val="009C6D42"/>
    <w:rsid w:val="009C7047"/>
    <w:rsid w:val="009C7433"/>
    <w:rsid w:val="009C780B"/>
    <w:rsid w:val="009C7AC5"/>
    <w:rsid w:val="009C7BA6"/>
    <w:rsid w:val="009D0395"/>
    <w:rsid w:val="009D09F0"/>
    <w:rsid w:val="009D0C95"/>
    <w:rsid w:val="009D10DA"/>
    <w:rsid w:val="009D1265"/>
    <w:rsid w:val="009D12C0"/>
    <w:rsid w:val="009D1550"/>
    <w:rsid w:val="009D1966"/>
    <w:rsid w:val="009D1E07"/>
    <w:rsid w:val="009D1E3C"/>
    <w:rsid w:val="009D2243"/>
    <w:rsid w:val="009D2354"/>
    <w:rsid w:val="009D24B7"/>
    <w:rsid w:val="009D2681"/>
    <w:rsid w:val="009D2BF3"/>
    <w:rsid w:val="009D304D"/>
    <w:rsid w:val="009D313E"/>
    <w:rsid w:val="009D3379"/>
    <w:rsid w:val="009D3430"/>
    <w:rsid w:val="009D39C9"/>
    <w:rsid w:val="009D3A6C"/>
    <w:rsid w:val="009D3E88"/>
    <w:rsid w:val="009D3FAE"/>
    <w:rsid w:val="009D4C25"/>
    <w:rsid w:val="009D4D81"/>
    <w:rsid w:val="009D4EA3"/>
    <w:rsid w:val="009D4EF2"/>
    <w:rsid w:val="009D5080"/>
    <w:rsid w:val="009D58B4"/>
    <w:rsid w:val="009D5D96"/>
    <w:rsid w:val="009D611E"/>
    <w:rsid w:val="009D6330"/>
    <w:rsid w:val="009D642F"/>
    <w:rsid w:val="009D6707"/>
    <w:rsid w:val="009D6725"/>
    <w:rsid w:val="009D6954"/>
    <w:rsid w:val="009D6B84"/>
    <w:rsid w:val="009D7125"/>
    <w:rsid w:val="009D732D"/>
    <w:rsid w:val="009D739F"/>
    <w:rsid w:val="009D7763"/>
    <w:rsid w:val="009D7C35"/>
    <w:rsid w:val="009D7F19"/>
    <w:rsid w:val="009E12B5"/>
    <w:rsid w:val="009E194D"/>
    <w:rsid w:val="009E1AC6"/>
    <w:rsid w:val="009E1BDF"/>
    <w:rsid w:val="009E1D22"/>
    <w:rsid w:val="009E1EF9"/>
    <w:rsid w:val="009E1FA9"/>
    <w:rsid w:val="009E20FA"/>
    <w:rsid w:val="009E24CC"/>
    <w:rsid w:val="009E317B"/>
    <w:rsid w:val="009E349C"/>
    <w:rsid w:val="009E36B4"/>
    <w:rsid w:val="009E3745"/>
    <w:rsid w:val="009E3A19"/>
    <w:rsid w:val="009E3FBB"/>
    <w:rsid w:val="009E40F7"/>
    <w:rsid w:val="009E43D0"/>
    <w:rsid w:val="009E4CF2"/>
    <w:rsid w:val="009E4DE3"/>
    <w:rsid w:val="009E4F57"/>
    <w:rsid w:val="009E5188"/>
    <w:rsid w:val="009E549F"/>
    <w:rsid w:val="009E5667"/>
    <w:rsid w:val="009E5BD3"/>
    <w:rsid w:val="009E5C6B"/>
    <w:rsid w:val="009E5F40"/>
    <w:rsid w:val="009E615F"/>
    <w:rsid w:val="009E620C"/>
    <w:rsid w:val="009E6279"/>
    <w:rsid w:val="009E63AB"/>
    <w:rsid w:val="009E6AAF"/>
    <w:rsid w:val="009E70F1"/>
    <w:rsid w:val="009E72FC"/>
    <w:rsid w:val="009E781B"/>
    <w:rsid w:val="009E789F"/>
    <w:rsid w:val="009F033D"/>
    <w:rsid w:val="009F0B52"/>
    <w:rsid w:val="009F13C3"/>
    <w:rsid w:val="009F1C57"/>
    <w:rsid w:val="009F1F00"/>
    <w:rsid w:val="009F2009"/>
    <w:rsid w:val="009F2069"/>
    <w:rsid w:val="009F21FC"/>
    <w:rsid w:val="009F2D3D"/>
    <w:rsid w:val="009F31B7"/>
    <w:rsid w:val="009F3D69"/>
    <w:rsid w:val="009F3E2E"/>
    <w:rsid w:val="009F3F40"/>
    <w:rsid w:val="009F4188"/>
    <w:rsid w:val="009F42FB"/>
    <w:rsid w:val="009F4341"/>
    <w:rsid w:val="009F43C2"/>
    <w:rsid w:val="009F4EE4"/>
    <w:rsid w:val="009F573D"/>
    <w:rsid w:val="009F5860"/>
    <w:rsid w:val="009F5AEC"/>
    <w:rsid w:val="009F6014"/>
    <w:rsid w:val="009F6183"/>
    <w:rsid w:val="009F61C0"/>
    <w:rsid w:val="009F61F9"/>
    <w:rsid w:val="009F66B5"/>
    <w:rsid w:val="009F67FB"/>
    <w:rsid w:val="009F6816"/>
    <w:rsid w:val="009F6A80"/>
    <w:rsid w:val="009F70DA"/>
    <w:rsid w:val="009F7726"/>
    <w:rsid w:val="00A00177"/>
    <w:rsid w:val="00A00955"/>
    <w:rsid w:val="00A01526"/>
    <w:rsid w:val="00A01C2A"/>
    <w:rsid w:val="00A01FC8"/>
    <w:rsid w:val="00A023B3"/>
    <w:rsid w:val="00A02629"/>
    <w:rsid w:val="00A02ACE"/>
    <w:rsid w:val="00A03260"/>
    <w:rsid w:val="00A032B0"/>
    <w:rsid w:val="00A048AE"/>
    <w:rsid w:val="00A04B1E"/>
    <w:rsid w:val="00A04B61"/>
    <w:rsid w:val="00A04BAE"/>
    <w:rsid w:val="00A05364"/>
    <w:rsid w:val="00A05CAE"/>
    <w:rsid w:val="00A05CFB"/>
    <w:rsid w:val="00A06454"/>
    <w:rsid w:val="00A0690B"/>
    <w:rsid w:val="00A069A9"/>
    <w:rsid w:val="00A06B58"/>
    <w:rsid w:val="00A07AB5"/>
    <w:rsid w:val="00A07CB8"/>
    <w:rsid w:val="00A07D08"/>
    <w:rsid w:val="00A108C7"/>
    <w:rsid w:val="00A10D39"/>
    <w:rsid w:val="00A1117F"/>
    <w:rsid w:val="00A119A9"/>
    <w:rsid w:val="00A11A7A"/>
    <w:rsid w:val="00A11E72"/>
    <w:rsid w:val="00A12018"/>
    <w:rsid w:val="00A1234E"/>
    <w:rsid w:val="00A12BE8"/>
    <w:rsid w:val="00A12C25"/>
    <w:rsid w:val="00A12F59"/>
    <w:rsid w:val="00A13477"/>
    <w:rsid w:val="00A13503"/>
    <w:rsid w:val="00A13C49"/>
    <w:rsid w:val="00A13CF6"/>
    <w:rsid w:val="00A143B7"/>
    <w:rsid w:val="00A149D8"/>
    <w:rsid w:val="00A14C7E"/>
    <w:rsid w:val="00A15037"/>
    <w:rsid w:val="00A15290"/>
    <w:rsid w:val="00A1566E"/>
    <w:rsid w:val="00A156C7"/>
    <w:rsid w:val="00A159CE"/>
    <w:rsid w:val="00A16112"/>
    <w:rsid w:val="00A16422"/>
    <w:rsid w:val="00A16450"/>
    <w:rsid w:val="00A1669E"/>
    <w:rsid w:val="00A16FDE"/>
    <w:rsid w:val="00A1729D"/>
    <w:rsid w:val="00A173B7"/>
    <w:rsid w:val="00A174F4"/>
    <w:rsid w:val="00A176BB"/>
    <w:rsid w:val="00A17DA0"/>
    <w:rsid w:val="00A17DF9"/>
    <w:rsid w:val="00A17FF1"/>
    <w:rsid w:val="00A20078"/>
    <w:rsid w:val="00A200CD"/>
    <w:rsid w:val="00A2074F"/>
    <w:rsid w:val="00A2095B"/>
    <w:rsid w:val="00A21441"/>
    <w:rsid w:val="00A21561"/>
    <w:rsid w:val="00A21E6A"/>
    <w:rsid w:val="00A2231A"/>
    <w:rsid w:val="00A22803"/>
    <w:rsid w:val="00A228AC"/>
    <w:rsid w:val="00A22949"/>
    <w:rsid w:val="00A2295A"/>
    <w:rsid w:val="00A22AE0"/>
    <w:rsid w:val="00A22B61"/>
    <w:rsid w:val="00A22CE2"/>
    <w:rsid w:val="00A2310F"/>
    <w:rsid w:val="00A23194"/>
    <w:rsid w:val="00A2344C"/>
    <w:rsid w:val="00A235B0"/>
    <w:rsid w:val="00A239E3"/>
    <w:rsid w:val="00A23C79"/>
    <w:rsid w:val="00A24A78"/>
    <w:rsid w:val="00A24E69"/>
    <w:rsid w:val="00A24FCC"/>
    <w:rsid w:val="00A2507B"/>
    <w:rsid w:val="00A25907"/>
    <w:rsid w:val="00A26351"/>
    <w:rsid w:val="00A263C2"/>
    <w:rsid w:val="00A26F1C"/>
    <w:rsid w:val="00A27028"/>
    <w:rsid w:val="00A27108"/>
    <w:rsid w:val="00A27651"/>
    <w:rsid w:val="00A2776B"/>
    <w:rsid w:val="00A27CCC"/>
    <w:rsid w:val="00A30407"/>
    <w:rsid w:val="00A3069C"/>
    <w:rsid w:val="00A3093C"/>
    <w:rsid w:val="00A30E9B"/>
    <w:rsid w:val="00A31133"/>
    <w:rsid w:val="00A3122C"/>
    <w:rsid w:val="00A31330"/>
    <w:rsid w:val="00A3151D"/>
    <w:rsid w:val="00A31975"/>
    <w:rsid w:val="00A31BCA"/>
    <w:rsid w:val="00A31EF2"/>
    <w:rsid w:val="00A321F3"/>
    <w:rsid w:val="00A3234E"/>
    <w:rsid w:val="00A3266D"/>
    <w:rsid w:val="00A327BF"/>
    <w:rsid w:val="00A32801"/>
    <w:rsid w:val="00A3318F"/>
    <w:rsid w:val="00A33856"/>
    <w:rsid w:val="00A33893"/>
    <w:rsid w:val="00A33B4B"/>
    <w:rsid w:val="00A33CE2"/>
    <w:rsid w:val="00A33E42"/>
    <w:rsid w:val="00A35126"/>
    <w:rsid w:val="00A35640"/>
    <w:rsid w:val="00A3572C"/>
    <w:rsid w:val="00A35D0F"/>
    <w:rsid w:val="00A35F7F"/>
    <w:rsid w:val="00A3657A"/>
    <w:rsid w:val="00A3664D"/>
    <w:rsid w:val="00A36791"/>
    <w:rsid w:val="00A369A0"/>
    <w:rsid w:val="00A36B30"/>
    <w:rsid w:val="00A37098"/>
    <w:rsid w:val="00A373E8"/>
    <w:rsid w:val="00A37982"/>
    <w:rsid w:val="00A406A2"/>
    <w:rsid w:val="00A41658"/>
    <w:rsid w:val="00A41810"/>
    <w:rsid w:val="00A41855"/>
    <w:rsid w:val="00A41945"/>
    <w:rsid w:val="00A41B6B"/>
    <w:rsid w:val="00A41DA6"/>
    <w:rsid w:val="00A42552"/>
    <w:rsid w:val="00A42921"/>
    <w:rsid w:val="00A42A84"/>
    <w:rsid w:val="00A42EE9"/>
    <w:rsid w:val="00A42FD6"/>
    <w:rsid w:val="00A4421F"/>
    <w:rsid w:val="00A44795"/>
    <w:rsid w:val="00A447F8"/>
    <w:rsid w:val="00A44859"/>
    <w:rsid w:val="00A45EE2"/>
    <w:rsid w:val="00A4676F"/>
    <w:rsid w:val="00A478F0"/>
    <w:rsid w:val="00A47F7A"/>
    <w:rsid w:val="00A50380"/>
    <w:rsid w:val="00A508FF"/>
    <w:rsid w:val="00A50FE6"/>
    <w:rsid w:val="00A511EB"/>
    <w:rsid w:val="00A512A4"/>
    <w:rsid w:val="00A514D8"/>
    <w:rsid w:val="00A518EF"/>
    <w:rsid w:val="00A51D29"/>
    <w:rsid w:val="00A51EC6"/>
    <w:rsid w:val="00A52181"/>
    <w:rsid w:val="00A522BC"/>
    <w:rsid w:val="00A526F2"/>
    <w:rsid w:val="00A52844"/>
    <w:rsid w:val="00A52A39"/>
    <w:rsid w:val="00A52A7F"/>
    <w:rsid w:val="00A52C02"/>
    <w:rsid w:val="00A532BA"/>
    <w:rsid w:val="00A5347B"/>
    <w:rsid w:val="00A539D3"/>
    <w:rsid w:val="00A53C51"/>
    <w:rsid w:val="00A5417D"/>
    <w:rsid w:val="00A54344"/>
    <w:rsid w:val="00A54465"/>
    <w:rsid w:val="00A5448F"/>
    <w:rsid w:val="00A54622"/>
    <w:rsid w:val="00A54701"/>
    <w:rsid w:val="00A54A3C"/>
    <w:rsid w:val="00A55507"/>
    <w:rsid w:val="00A55B2B"/>
    <w:rsid w:val="00A568BE"/>
    <w:rsid w:val="00A56F06"/>
    <w:rsid w:val="00A571DA"/>
    <w:rsid w:val="00A57272"/>
    <w:rsid w:val="00A57322"/>
    <w:rsid w:val="00A577FD"/>
    <w:rsid w:val="00A5788F"/>
    <w:rsid w:val="00A57C7A"/>
    <w:rsid w:val="00A601D8"/>
    <w:rsid w:val="00A60B7A"/>
    <w:rsid w:val="00A60C2F"/>
    <w:rsid w:val="00A60CD3"/>
    <w:rsid w:val="00A60CDB"/>
    <w:rsid w:val="00A612E2"/>
    <w:rsid w:val="00A61320"/>
    <w:rsid w:val="00A616E8"/>
    <w:rsid w:val="00A617C8"/>
    <w:rsid w:val="00A6197E"/>
    <w:rsid w:val="00A61C93"/>
    <w:rsid w:val="00A62191"/>
    <w:rsid w:val="00A62296"/>
    <w:rsid w:val="00A62705"/>
    <w:rsid w:val="00A63521"/>
    <w:rsid w:val="00A63597"/>
    <w:rsid w:val="00A63BE0"/>
    <w:rsid w:val="00A6401E"/>
    <w:rsid w:val="00A641D6"/>
    <w:rsid w:val="00A64B34"/>
    <w:rsid w:val="00A64B9B"/>
    <w:rsid w:val="00A64BE1"/>
    <w:rsid w:val="00A64D12"/>
    <w:rsid w:val="00A64EA7"/>
    <w:rsid w:val="00A650D7"/>
    <w:rsid w:val="00A65123"/>
    <w:rsid w:val="00A65EF0"/>
    <w:rsid w:val="00A65FB3"/>
    <w:rsid w:val="00A665DB"/>
    <w:rsid w:val="00A6672B"/>
    <w:rsid w:val="00A66981"/>
    <w:rsid w:val="00A66B00"/>
    <w:rsid w:val="00A67116"/>
    <w:rsid w:val="00A67181"/>
    <w:rsid w:val="00A673B8"/>
    <w:rsid w:val="00A67847"/>
    <w:rsid w:val="00A67DE2"/>
    <w:rsid w:val="00A703DD"/>
    <w:rsid w:val="00A7144B"/>
    <w:rsid w:val="00A714FC"/>
    <w:rsid w:val="00A7167B"/>
    <w:rsid w:val="00A71724"/>
    <w:rsid w:val="00A71BC2"/>
    <w:rsid w:val="00A71E60"/>
    <w:rsid w:val="00A722BA"/>
    <w:rsid w:val="00A72A2F"/>
    <w:rsid w:val="00A72F87"/>
    <w:rsid w:val="00A733D0"/>
    <w:rsid w:val="00A73D60"/>
    <w:rsid w:val="00A73F87"/>
    <w:rsid w:val="00A740B7"/>
    <w:rsid w:val="00A74427"/>
    <w:rsid w:val="00A748CE"/>
    <w:rsid w:val="00A74E2D"/>
    <w:rsid w:val="00A755B6"/>
    <w:rsid w:val="00A75B2E"/>
    <w:rsid w:val="00A76307"/>
    <w:rsid w:val="00A763EF"/>
    <w:rsid w:val="00A76AD2"/>
    <w:rsid w:val="00A76C3F"/>
    <w:rsid w:val="00A772F9"/>
    <w:rsid w:val="00A77528"/>
    <w:rsid w:val="00A77AC6"/>
    <w:rsid w:val="00A77EFE"/>
    <w:rsid w:val="00A80155"/>
    <w:rsid w:val="00A808B1"/>
    <w:rsid w:val="00A811AD"/>
    <w:rsid w:val="00A818BE"/>
    <w:rsid w:val="00A81A91"/>
    <w:rsid w:val="00A81B33"/>
    <w:rsid w:val="00A81BEC"/>
    <w:rsid w:val="00A81DD8"/>
    <w:rsid w:val="00A825CC"/>
    <w:rsid w:val="00A826AB"/>
    <w:rsid w:val="00A8286E"/>
    <w:rsid w:val="00A82B9B"/>
    <w:rsid w:val="00A82D73"/>
    <w:rsid w:val="00A82DFC"/>
    <w:rsid w:val="00A83156"/>
    <w:rsid w:val="00A840E6"/>
    <w:rsid w:val="00A84244"/>
    <w:rsid w:val="00A8439A"/>
    <w:rsid w:val="00A844AA"/>
    <w:rsid w:val="00A84800"/>
    <w:rsid w:val="00A8486D"/>
    <w:rsid w:val="00A84B58"/>
    <w:rsid w:val="00A84BFA"/>
    <w:rsid w:val="00A84C81"/>
    <w:rsid w:val="00A85509"/>
    <w:rsid w:val="00A8582C"/>
    <w:rsid w:val="00A85ADB"/>
    <w:rsid w:val="00A86965"/>
    <w:rsid w:val="00A869D2"/>
    <w:rsid w:val="00A86AE0"/>
    <w:rsid w:val="00A86F2D"/>
    <w:rsid w:val="00A87110"/>
    <w:rsid w:val="00A87195"/>
    <w:rsid w:val="00A8796C"/>
    <w:rsid w:val="00A87BEB"/>
    <w:rsid w:val="00A90597"/>
    <w:rsid w:val="00A905AC"/>
    <w:rsid w:val="00A90D8A"/>
    <w:rsid w:val="00A911D4"/>
    <w:rsid w:val="00A9129A"/>
    <w:rsid w:val="00A913C7"/>
    <w:rsid w:val="00A920BC"/>
    <w:rsid w:val="00A9240E"/>
    <w:rsid w:val="00A92752"/>
    <w:rsid w:val="00A9291A"/>
    <w:rsid w:val="00A92BB4"/>
    <w:rsid w:val="00A93913"/>
    <w:rsid w:val="00A93C48"/>
    <w:rsid w:val="00A9409D"/>
    <w:rsid w:val="00A9415A"/>
    <w:rsid w:val="00A94448"/>
    <w:rsid w:val="00A94B43"/>
    <w:rsid w:val="00A9513F"/>
    <w:rsid w:val="00A9543E"/>
    <w:rsid w:val="00A957E8"/>
    <w:rsid w:val="00A95BDF"/>
    <w:rsid w:val="00A95E5D"/>
    <w:rsid w:val="00A9612F"/>
    <w:rsid w:val="00A96326"/>
    <w:rsid w:val="00A966BD"/>
    <w:rsid w:val="00A9674F"/>
    <w:rsid w:val="00A96B79"/>
    <w:rsid w:val="00A96D8C"/>
    <w:rsid w:val="00A97420"/>
    <w:rsid w:val="00A97576"/>
    <w:rsid w:val="00A977C8"/>
    <w:rsid w:val="00A9789A"/>
    <w:rsid w:val="00AA0118"/>
    <w:rsid w:val="00AA0126"/>
    <w:rsid w:val="00AA027F"/>
    <w:rsid w:val="00AA073E"/>
    <w:rsid w:val="00AA08A4"/>
    <w:rsid w:val="00AA0B7F"/>
    <w:rsid w:val="00AA0E5A"/>
    <w:rsid w:val="00AA1855"/>
    <w:rsid w:val="00AA198C"/>
    <w:rsid w:val="00AA1BA6"/>
    <w:rsid w:val="00AA1C91"/>
    <w:rsid w:val="00AA218A"/>
    <w:rsid w:val="00AA2522"/>
    <w:rsid w:val="00AA25F2"/>
    <w:rsid w:val="00AA3E2C"/>
    <w:rsid w:val="00AA4635"/>
    <w:rsid w:val="00AA4B43"/>
    <w:rsid w:val="00AA4CBA"/>
    <w:rsid w:val="00AA4F37"/>
    <w:rsid w:val="00AA521F"/>
    <w:rsid w:val="00AA57BB"/>
    <w:rsid w:val="00AA5C0F"/>
    <w:rsid w:val="00AA5E9C"/>
    <w:rsid w:val="00AA600B"/>
    <w:rsid w:val="00AA6063"/>
    <w:rsid w:val="00AA640B"/>
    <w:rsid w:val="00AA6705"/>
    <w:rsid w:val="00AA68BD"/>
    <w:rsid w:val="00AA6F05"/>
    <w:rsid w:val="00AA7BD4"/>
    <w:rsid w:val="00AA7E0F"/>
    <w:rsid w:val="00AB0499"/>
    <w:rsid w:val="00AB08DE"/>
    <w:rsid w:val="00AB0C85"/>
    <w:rsid w:val="00AB0E64"/>
    <w:rsid w:val="00AB0F36"/>
    <w:rsid w:val="00AB10BE"/>
    <w:rsid w:val="00AB1368"/>
    <w:rsid w:val="00AB1600"/>
    <w:rsid w:val="00AB215E"/>
    <w:rsid w:val="00AB25B6"/>
    <w:rsid w:val="00AB2826"/>
    <w:rsid w:val="00AB2C1C"/>
    <w:rsid w:val="00AB2D5F"/>
    <w:rsid w:val="00AB3098"/>
    <w:rsid w:val="00AB340B"/>
    <w:rsid w:val="00AB3B87"/>
    <w:rsid w:val="00AB4119"/>
    <w:rsid w:val="00AB4607"/>
    <w:rsid w:val="00AB463D"/>
    <w:rsid w:val="00AB48A0"/>
    <w:rsid w:val="00AB4BA6"/>
    <w:rsid w:val="00AB52BA"/>
    <w:rsid w:val="00AB535A"/>
    <w:rsid w:val="00AB6DC0"/>
    <w:rsid w:val="00AB6ECB"/>
    <w:rsid w:val="00AB6F1E"/>
    <w:rsid w:val="00AB6F2A"/>
    <w:rsid w:val="00AB70F0"/>
    <w:rsid w:val="00AB755A"/>
    <w:rsid w:val="00AB77C9"/>
    <w:rsid w:val="00AB7E44"/>
    <w:rsid w:val="00AB7EB1"/>
    <w:rsid w:val="00AC0E54"/>
    <w:rsid w:val="00AC11F6"/>
    <w:rsid w:val="00AC16C9"/>
    <w:rsid w:val="00AC17A7"/>
    <w:rsid w:val="00AC17EA"/>
    <w:rsid w:val="00AC22E6"/>
    <w:rsid w:val="00AC27F0"/>
    <w:rsid w:val="00AC2F66"/>
    <w:rsid w:val="00AC30AF"/>
    <w:rsid w:val="00AC30F7"/>
    <w:rsid w:val="00AC3A7B"/>
    <w:rsid w:val="00AC4341"/>
    <w:rsid w:val="00AC4B54"/>
    <w:rsid w:val="00AC5251"/>
    <w:rsid w:val="00AC529B"/>
    <w:rsid w:val="00AC54AA"/>
    <w:rsid w:val="00AC5909"/>
    <w:rsid w:val="00AC59D5"/>
    <w:rsid w:val="00AC5E54"/>
    <w:rsid w:val="00AC604A"/>
    <w:rsid w:val="00AC634A"/>
    <w:rsid w:val="00AC6772"/>
    <w:rsid w:val="00AC6919"/>
    <w:rsid w:val="00AC6A11"/>
    <w:rsid w:val="00AC6EFD"/>
    <w:rsid w:val="00AC6F89"/>
    <w:rsid w:val="00AC6FB7"/>
    <w:rsid w:val="00AC74AD"/>
    <w:rsid w:val="00AC7986"/>
    <w:rsid w:val="00AC7E73"/>
    <w:rsid w:val="00AD049B"/>
    <w:rsid w:val="00AD0BCD"/>
    <w:rsid w:val="00AD126E"/>
    <w:rsid w:val="00AD1434"/>
    <w:rsid w:val="00AD1876"/>
    <w:rsid w:val="00AD1909"/>
    <w:rsid w:val="00AD1BF2"/>
    <w:rsid w:val="00AD23FE"/>
    <w:rsid w:val="00AD2682"/>
    <w:rsid w:val="00AD2A05"/>
    <w:rsid w:val="00AD3287"/>
    <w:rsid w:val="00AD32D6"/>
    <w:rsid w:val="00AD33C3"/>
    <w:rsid w:val="00AD3EEA"/>
    <w:rsid w:val="00AD4169"/>
    <w:rsid w:val="00AD424A"/>
    <w:rsid w:val="00AD46A2"/>
    <w:rsid w:val="00AD4C1C"/>
    <w:rsid w:val="00AD4FB0"/>
    <w:rsid w:val="00AD54A9"/>
    <w:rsid w:val="00AD5D1C"/>
    <w:rsid w:val="00AD5D92"/>
    <w:rsid w:val="00AD5FA0"/>
    <w:rsid w:val="00AD612D"/>
    <w:rsid w:val="00AD62A7"/>
    <w:rsid w:val="00AD669B"/>
    <w:rsid w:val="00AD6E8C"/>
    <w:rsid w:val="00AD71D4"/>
    <w:rsid w:val="00AD7556"/>
    <w:rsid w:val="00AD7E51"/>
    <w:rsid w:val="00AE0281"/>
    <w:rsid w:val="00AE08C5"/>
    <w:rsid w:val="00AE0A71"/>
    <w:rsid w:val="00AE0D96"/>
    <w:rsid w:val="00AE0DEC"/>
    <w:rsid w:val="00AE1064"/>
    <w:rsid w:val="00AE11F5"/>
    <w:rsid w:val="00AE131E"/>
    <w:rsid w:val="00AE15F1"/>
    <w:rsid w:val="00AE2210"/>
    <w:rsid w:val="00AE23BF"/>
    <w:rsid w:val="00AE2656"/>
    <w:rsid w:val="00AE276C"/>
    <w:rsid w:val="00AE3059"/>
    <w:rsid w:val="00AE31A4"/>
    <w:rsid w:val="00AE3415"/>
    <w:rsid w:val="00AE3552"/>
    <w:rsid w:val="00AE38D1"/>
    <w:rsid w:val="00AE3DF6"/>
    <w:rsid w:val="00AE40E9"/>
    <w:rsid w:val="00AE40F7"/>
    <w:rsid w:val="00AE4227"/>
    <w:rsid w:val="00AE4A52"/>
    <w:rsid w:val="00AE4EED"/>
    <w:rsid w:val="00AE5170"/>
    <w:rsid w:val="00AE517A"/>
    <w:rsid w:val="00AE53A8"/>
    <w:rsid w:val="00AE5FB6"/>
    <w:rsid w:val="00AE5FF8"/>
    <w:rsid w:val="00AE62B2"/>
    <w:rsid w:val="00AE6435"/>
    <w:rsid w:val="00AE6902"/>
    <w:rsid w:val="00AE6D08"/>
    <w:rsid w:val="00AE774C"/>
    <w:rsid w:val="00AE782E"/>
    <w:rsid w:val="00AE7BD6"/>
    <w:rsid w:val="00AF0BA9"/>
    <w:rsid w:val="00AF1171"/>
    <w:rsid w:val="00AF154A"/>
    <w:rsid w:val="00AF171B"/>
    <w:rsid w:val="00AF182A"/>
    <w:rsid w:val="00AF18CD"/>
    <w:rsid w:val="00AF18E2"/>
    <w:rsid w:val="00AF1BA1"/>
    <w:rsid w:val="00AF22A4"/>
    <w:rsid w:val="00AF2806"/>
    <w:rsid w:val="00AF28F0"/>
    <w:rsid w:val="00AF2925"/>
    <w:rsid w:val="00AF2B3D"/>
    <w:rsid w:val="00AF2C91"/>
    <w:rsid w:val="00AF2CA4"/>
    <w:rsid w:val="00AF3154"/>
    <w:rsid w:val="00AF36D7"/>
    <w:rsid w:val="00AF3F9F"/>
    <w:rsid w:val="00AF3FDF"/>
    <w:rsid w:val="00AF4112"/>
    <w:rsid w:val="00AF479B"/>
    <w:rsid w:val="00AF486B"/>
    <w:rsid w:val="00AF4D02"/>
    <w:rsid w:val="00AF54D5"/>
    <w:rsid w:val="00AF5F9B"/>
    <w:rsid w:val="00AF6310"/>
    <w:rsid w:val="00AF76B0"/>
    <w:rsid w:val="00AF771C"/>
    <w:rsid w:val="00AF7A59"/>
    <w:rsid w:val="00AF7B42"/>
    <w:rsid w:val="00B003FB"/>
    <w:rsid w:val="00B00534"/>
    <w:rsid w:val="00B00A27"/>
    <w:rsid w:val="00B00C2C"/>
    <w:rsid w:val="00B01026"/>
    <w:rsid w:val="00B015B5"/>
    <w:rsid w:val="00B01E33"/>
    <w:rsid w:val="00B01E61"/>
    <w:rsid w:val="00B02D7E"/>
    <w:rsid w:val="00B031ED"/>
    <w:rsid w:val="00B032F2"/>
    <w:rsid w:val="00B03649"/>
    <w:rsid w:val="00B037EA"/>
    <w:rsid w:val="00B039A6"/>
    <w:rsid w:val="00B03BA9"/>
    <w:rsid w:val="00B04193"/>
    <w:rsid w:val="00B04533"/>
    <w:rsid w:val="00B04557"/>
    <w:rsid w:val="00B05109"/>
    <w:rsid w:val="00B053A5"/>
    <w:rsid w:val="00B0597C"/>
    <w:rsid w:val="00B059A8"/>
    <w:rsid w:val="00B05D93"/>
    <w:rsid w:val="00B06212"/>
    <w:rsid w:val="00B062D6"/>
    <w:rsid w:val="00B0639A"/>
    <w:rsid w:val="00B0666D"/>
    <w:rsid w:val="00B0674D"/>
    <w:rsid w:val="00B067A7"/>
    <w:rsid w:val="00B069BC"/>
    <w:rsid w:val="00B06E41"/>
    <w:rsid w:val="00B073BC"/>
    <w:rsid w:val="00B07468"/>
    <w:rsid w:val="00B07B2F"/>
    <w:rsid w:val="00B101BB"/>
    <w:rsid w:val="00B1027E"/>
    <w:rsid w:val="00B102A7"/>
    <w:rsid w:val="00B10D6E"/>
    <w:rsid w:val="00B11691"/>
    <w:rsid w:val="00B11A20"/>
    <w:rsid w:val="00B121B7"/>
    <w:rsid w:val="00B1298A"/>
    <w:rsid w:val="00B12EA3"/>
    <w:rsid w:val="00B12ECD"/>
    <w:rsid w:val="00B12FC9"/>
    <w:rsid w:val="00B1404A"/>
    <w:rsid w:val="00B1411B"/>
    <w:rsid w:val="00B14340"/>
    <w:rsid w:val="00B15392"/>
    <w:rsid w:val="00B157A1"/>
    <w:rsid w:val="00B15BF6"/>
    <w:rsid w:val="00B1600D"/>
    <w:rsid w:val="00B161E1"/>
    <w:rsid w:val="00B16AC0"/>
    <w:rsid w:val="00B16AD4"/>
    <w:rsid w:val="00B16DA4"/>
    <w:rsid w:val="00B1707B"/>
    <w:rsid w:val="00B17122"/>
    <w:rsid w:val="00B174ED"/>
    <w:rsid w:val="00B177C2"/>
    <w:rsid w:val="00B17C45"/>
    <w:rsid w:val="00B17EA8"/>
    <w:rsid w:val="00B17F60"/>
    <w:rsid w:val="00B2022A"/>
    <w:rsid w:val="00B202E8"/>
    <w:rsid w:val="00B205EF"/>
    <w:rsid w:val="00B206CF"/>
    <w:rsid w:val="00B207F6"/>
    <w:rsid w:val="00B20B98"/>
    <w:rsid w:val="00B20E81"/>
    <w:rsid w:val="00B21154"/>
    <w:rsid w:val="00B2139E"/>
    <w:rsid w:val="00B21614"/>
    <w:rsid w:val="00B21991"/>
    <w:rsid w:val="00B21B82"/>
    <w:rsid w:val="00B22202"/>
    <w:rsid w:val="00B2228F"/>
    <w:rsid w:val="00B22F15"/>
    <w:rsid w:val="00B230F1"/>
    <w:rsid w:val="00B233FB"/>
    <w:rsid w:val="00B23464"/>
    <w:rsid w:val="00B2388E"/>
    <w:rsid w:val="00B23EF9"/>
    <w:rsid w:val="00B24016"/>
    <w:rsid w:val="00B24023"/>
    <w:rsid w:val="00B2408C"/>
    <w:rsid w:val="00B2461A"/>
    <w:rsid w:val="00B24BE0"/>
    <w:rsid w:val="00B24FF4"/>
    <w:rsid w:val="00B255EE"/>
    <w:rsid w:val="00B25A33"/>
    <w:rsid w:val="00B25AB6"/>
    <w:rsid w:val="00B25EE4"/>
    <w:rsid w:val="00B26C63"/>
    <w:rsid w:val="00B27193"/>
    <w:rsid w:val="00B27CAC"/>
    <w:rsid w:val="00B3000B"/>
    <w:rsid w:val="00B30479"/>
    <w:rsid w:val="00B306DB"/>
    <w:rsid w:val="00B311B4"/>
    <w:rsid w:val="00B311CE"/>
    <w:rsid w:val="00B3144D"/>
    <w:rsid w:val="00B320DD"/>
    <w:rsid w:val="00B32447"/>
    <w:rsid w:val="00B32C3C"/>
    <w:rsid w:val="00B32C54"/>
    <w:rsid w:val="00B32D2D"/>
    <w:rsid w:val="00B32E99"/>
    <w:rsid w:val="00B33C8E"/>
    <w:rsid w:val="00B33F49"/>
    <w:rsid w:val="00B33F84"/>
    <w:rsid w:val="00B34459"/>
    <w:rsid w:val="00B34F4D"/>
    <w:rsid w:val="00B35272"/>
    <w:rsid w:val="00B35845"/>
    <w:rsid w:val="00B35A0F"/>
    <w:rsid w:val="00B35B57"/>
    <w:rsid w:val="00B36178"/>
    <w:rsid w:val="00B36744"/>
    <w:rsid w:val="00B36812"/>
    <w:rsid w:val="00B37973"/>
    <w:rsid w:val="00B37AE7"/>
    <w:rsid w:val="00B40346"/>
    <w:rsid w:val="00B41A60"/>
    <w:rsid w:val="00B41AFA"/>
    <w:rsid w:val="00B42394"/>
    <w:rsid w:val="00B424DD"/>
    <w:rsid w:val="00B42A77"/>
    <w:rsid w:val="00B42C7D"/>
    <w:rsid w:val="00B42CC2"/>
    <w:rsid w:val="00B433BF"/>
    <w:rsid w:val="00B436B3"/>
    <w:rsid w:val="00B43F21"/>
    <w:rsid w:val="00B43F39"/>
    <w:rsid w:val="00B441EC"/>
    <w:rsid w:val="00B4449C"/>
    <w:rsid w:val="00B445B8"/>
    <w:rsid w:val="00B44E78"/>
    <w:rsid w:val="00B44EFF"/>
    <w:rsid w:val="00B44F0E"/>
    <w:rsid w:val="00B451A0"/>
    <w:rsid w:val="00B45297"/>
    <w:rsid w:val="00B4538F"/>
    <w:rsid w:val="00B4548B"/>
    <w:rsid w:val="00B4614A"/>
    <w:rsid w:val="00B46A92"/>
    <w:rsid w:val="00B46D67"/>
    <w:rsid w:val="00B4701B"/>
    <w:rsid w:val="00B4723D"/>
    <w:rsid w:val="00B4764D"/>
    <w:rsid w:val="00B4794B"/>
    <w:rsid w:val="00B47EB8"/>
    <w:rsid w:val="00B50203"/>
    <w:rsid w:val="00B50A5A"/>
    <w:rsid w:val="00B518B6"/>
    <w:rsid w:val="00B51AF3"/>
    <w:rsid w:val="00B52311"/>
    <w:rsid w:val="00B52378"/>
    <w:rsid w:val="00B526E8"/>
    <w:rsid w:val="00B52F17"/>
    <w:rsid w:val="00B53328"/>
    <w:rsid w:val="00B53370"/>
    <w:rsid w:val="00B53755"/>
    <w:rsid w:val="00B538E5"/>
    <w:rsid w:val="00B539D9"/>
    <w:rsid w:val="00B53AA8"/>
    <w:rsid w:val="00B53C60"/>
    <w:rsid w:val="00B54147"/>
    <w:rsid w:val="00B542B7"/>
    <w:rsid w:val="00B54E9F"/>
    <w:rsid w:val="00B55156"/>
    <w:rsid w:val="00B5535E"/>
    <w:rsid w:val="00B55711"/>
    <w:rsid w:val="00B55744"/>
    <w:rsid w:val="00B55DD4"/>
    <w:rsid w:val="00B56D98"/>
    <w:rsid w:val="00B56DEB"/>
    <w:rsid w:val="00B57EB0"/>
    <w:rsid w:val="00B57F7A"/>
    <w:rsid w:val="00B60408"/>
    <w:rsid w:val="00B60A9D"/>
    <w:rsid w:val="00B60ADA"/>
    <w:rsid w:val="00B60CB4"/>
    <w:rsid w:val="00B61397"/>
    <w:rsid w:val="00B619A3"/>
    <w:rsid w:val="00B61AE6"/>
    <w:rsid w:val="00B61BD0"/>
    <w:rsid w:val="00B61D3B"/>
    <w:rsid w:val="00B61D76"/>
    <w:rsid w:val="00B622C2"/>
    <w:rsid w:val="00B62370"/>
    <w:rsid w:val="00B62817"/>
    <w:rsid w:val="00B62F63"/>
    <w:rsid w:val="00B63352"/>
    <w:rsid w:val="00B6364B"/>
    <w:rsid w:val="00B63F39"/>
    <w:rsid w:val="00B6400A"/>
    <w:rsid w:val="00B6411F"/>
    <w:rsid w:val="00B64154"/>
    <w:rsid w:val="00B64294"/>
    <w:rsid w:val="00B64FF1"/>
    <w:rsid w:val="00B651BE"/>
    <w:rsid w:val="00B65827"/>
    <w:rsid w:val="00B658E1"/>
    <w:rsid w:val="00B6594F"/>
    <w:rsid w:val="00B65CCD"/>
    <w:rsid w:val="00B65DA3"/>
    <w:rsid w:val="00B65E60"/>
    <w:rsid w:val="00B66948"/>
    <w:rsid w:val="00B671B0"/>
    <w:rsid w:val="00B67332"/>
    <w:rsid w:val="00B674B9"/>
    <w:rsid w:val="00B679D0"/>
    <w:rsid w:val="00B67A7C"/>
    <w:rsid w:val="00B67C00"/>
    <w:rsid w:val="00B7033C"/>
    <w:rsid w:val="00B707D7"/>
    <w:rsid w:val="00B710F4"/>
    <w:rsid w:val="00B7159E"/>
    <w:rsid w:val="00B71D70"/>
    <w:rsid w:val="00B71EB7"/>
    <w:rsid w:val="00B7223F"/>
    <w:rsid w:val="00B723A8"/>
    <w:rsid w:val="00B72540"/>
    <w:rsid w:val="00B72B69"/>
    <w:rsid w:val="00B72CA0"/>
    <w:rsid w:val="00B72DE5"/>
    <w:rsid w:val="00B72F35"/>
    <w:rsid w:val="00B730ED"/>
    <w:rsid w:val="00B73EE7"/>
    <w:rsid w:val="00B74385"/>
    <w:rsid w:val="00B7440D"/>
    <w:rsid w:val="00B74780"/>
    <w:rsid w:val="00B75214"/>
    <w:rsid w:val="00B75A65"/>
    <w:rsid w:val="00B75BCE"/>
    <w:rsid w:val="00B75E00"/>
    <w:rsid w:val="00B75F14"/>
    <w:rsid w:val="00B76136"/>
    <w:rsid w:val="00B7631C"/>
    <w:rsid w:val="00B76860"/>
    <w:rsid w:val="00B76966"/>
    <w:rsid w:val="00B76CC4"/>
    <w:rsid w:val="00B76F44"/>
    <w:rsid w:val="00B771F3"/>
    <w:rsid w:val="00B7787D"/>
    <w:rsid w:val="00B77AAE"/>
    <w:rsid w:val="00B77D81"/>
    <w:rsid w:val="00B77E19"/>
    <w:rsid w:val="00B801BD"/>
    <w:rsid w:val="00B80857"/>
    <w:rsid w:val="00B808E9"/>
    <w:rsid w:val="00B80B10"/>
    <w:rsid w:val="00B81034"/>
    <w:rsid w:val="00B8157B"/>
    <w:rsid w:val="00B81BA2"/>
    <w:rsid w:val="00B81DD2"/>
    <w:rsid w:val="00B8226B"/>
    <w:rsid w:val="00B822F0"/>
    <w:rsid w:val="00B82819"/>
    <w:rsid w:val="00B828E8"/>
    <w:rsid w:val="00B82FAB"/>
    <w:rsid w:val="00B83485"/>
    <w:rsid w:val="00B83671"/>
    <w:rsid w:val="00B836D7"/>
    <w:rsid w:val="00B83B3E"/>
    <w:rsid w:val="00B83BC2"/>
    <w:rsid w:val="00B83C5B"/>
    <w:rsid w:val="00B83EC4"/>
    <w:rsid w:val="00B8402A"/>
    <w:rsid w:val="00B8414C"/>
    <w:rsid w:val="00B8427D"/>
    <w:rsid w:val="00B857ED"/>
    <w:rsid w:val="00B86108"/>
    <w:rsid w:val="00B8610D"/>
    <w:rsid w:val="00B86582"/>
    <w:rsid w:val="00B86997"/>
    <w:rsid w:val="00B86A36"/>
    <w:rsid w:val="00B86D81"/>
    <w:rsid w:val="00B8704E"/>
    <w:rsid w:val="00B870FA"/>
    <w:rsid w:val="00B8758F"/>
    <w:rsid w:val="00B875EB"/>
    <w:rsid w:val="00B90390"/>
    <w:rsid w:val="00B90AD4"/>
    <w:rsid w:val="00B90B35"/>
    <w:rsid w:val="00B90BAA"/>
    <w:rsid w:val="00B90E3F"/>
    <w:rsid w:val="00B90F83"/>
    <w:rsid w:val="00B90FE9"/>
    <w:rsid w:val="00B910F7"/>
    <w:rsid w:val="00B91A48"/>
    <w:rsid w:val="00B91AB7"/>
    <w:rsid w:val="00B92099"/>
    <w:rsid w:val="00B9242B"/>
    <w:rsid w:val="00B9259E"/>
    <w:rsid w:val="00B927D8"/>
    <w:rsid w:val="00B92D86"/>
    <w:rsid w:val="00B93075"/>
    <w:rsid w:val="00B9323E"/>
    <w:rsid w:val="00B932CB"/>
    <w:rsid w:val="00B93475"/>
    <w:rsid w:val="00B9393A"/>
    <w:rsid w:val="00B93CA4"/>
    <w:rsid w:val="00B941EF"/>
    <w:rsid w:val="00B94203"/>
    <w:rsid w:val="00B94401"/>
    <w:rsid w:val="00B9465A"/>
    <w:rsid w:val="00B948A0"/>
    <w:rsid w:val="00B949A2"/>
    <w:rsid w:val="00B94E83"/>
    <w:rsid w:val="00B9503C"/>
    <w:rsid w:val="00B951A3"/>
    <w:rsid w:val="00B95A2F"/>
    <w:rsid w:val="00B95AC7"/>
    <w:rsid w:val="00B95B28"/>
    <w:rsid w:val="00B961F8"/>
    <w:rsid w:val="00B962C2"/>
    <w:rsid w:val="00B96774"/>
    <w:rsid w:val="00B9766E"/>
    <w:rsid w:val="00B97749"/>
    <w:rsid w:val="00B978D5"/>
    <w:rsid w:val="00B97AC3"/>
    <w:rsid w:val="00B97C9F"/>
    <w:rsid w:val="00B97D81"/>
    <w:rsid w:val="00BA11D4"/>
    <w:rsid w:val="00BA13DB"/>
    <w:rsid w:val="00BA1AC7"/>
    <w:rsid w:val="00BA1BE5"/>
    <w:rsid w:val="00BA1C2D"/>
    <w:rsid w:val="00BA26FF"/>
    <w:rsid w:val="00BA2D7C"/>
    <w:rsid w:val="00BA3C82"/>
    <w:rsid w:val="00BA4165"/>
    <w:rsid w:val="00BA4307"/>
    <w:rsid w:val="00BA477F"/>
    <w:rsid w:val="00BA543F"/>
    <w:rsid w:val="00BA5470"/>
    <w:rsid w:val="00BA579E"/>
    <w:rsid w:val="00BA5B7C"/>
    <w:rsid w:val="00BA6205"/>
    <w:rsid w:val="00BA6524"/>
    <w:rsid w:val="00BA6761"/>
    <w:rsid w:val="00BA6B7E"/>
    <w:rsid w:val="00BA6E9D"/>
    <w:rsid w:val="00BA7484"/>
    <w:rsid w:val="00BA7F76"/>
    <w:rsid w:val="00BB004D"/>
    <w:rsid w:val="00BB1399"/>
    <w:rsid w:val="00BB1788"/>
    <w:rsid w:val="00BB1AF4"/>
    <w:rsid w:val="00BB23A1"/>
    <w:rsid w:val="00BB24FF"/>
    <w:rsid w:val="00BB25C2"/>
    <w:rsid w:val="00BB25DF"/>
    <w:rsid w:val="00BB2742"/>
    <w:rsid w:val="00BB283D"/>
    <w:rsid w:val="00BB2879"/>
    <w:rsid w:val="00BB2B9B"/>
    <w:rsid w:val="00BB3021"/>
    <w:rsid w:val="00BB30B0"/>
    <w:rsid w:val="00BB3699"/>
    <w:rsid w:val="00BB3F5E"/>
    <w:rsid w:val="00BB3FD0"/>
    <w:rsid w:val="00BB41DE"/>
    <w:rsid w:val="00BB4401"/>
    <w:rsid w:val="00BB4832"/>
    <w:rsid w:val="00BB490B"/>
    <w:rsid w:val="00BB4E3D"/>
    <w:rsid w:val="00BB4EFB"/>
    <w:rsid w:val="00BB4F7F"/>
    <w:rsid w:val="00BB547D"/>
    <w:rsid w:val="00BB5938"/>
    <w:rsid w:val="00BB5A4F"/>
    <w:rsid w:val="00BB62D3"/>
    <w:rsid w:val="00BB62EE"/>
    <w:rsid w:val="00BB7851"/>
    <w:rsid w:val="00BB7B1B"/>
    <w:rsid w:val="00BB7C67"/>
    <w:rsid w:val="00BC02A5"/>
    <w:rsid w:val="00BC084C"/>
    <w:rsid w:val="00BC12C5"/>
    <w:rsid w:val="00BC17E6"/>
    <w:rsid w:val="00BC1F22"/>
    <w:rsid w:val="00BC23BB"/>
    <w:rsid w:val="00BC26B7"/>
    <w:rsid w:val="00BC294C"/>
    <w:rsid w:val="00BC3742"/>
    <w:rsid w:val="00BC4018"/>
    <w:rsid w:val="00BC4067"/>
    <w:rsid w:val="00BC424D"/>
    <w:rsid w:val="00BC4734"/>
    <w:rsid w:val="00BC4762"/>
    <w:rsid w:val="00BC524C"/>
    <w:rsid w:val="00BC5B5C"/>
    <w:rsid w:val="00BC70C0"/>
    <w:rsid w:val="00BC7AAB"/>
    <w:rsid w:val="00BC7C5E"/>
    <w:rsid w:val="00BD0016"/>
    <w:rsid w:val="00BD005E"/>
    <w:rsid w:val="00BD0442"/>
    <w:rsid w:val="00BD105C"/>
    <w:rsid w:val="00BD1FFD"/>
    <w:rsid w:val="00BD2329"/>
    <w:rsid w:val="00BD262E"/>
    <w:rsid w:val="00BD31DA"/>
    <w:rsid w:val="00BD3371"/>
    <w:rsid w:val="00BD3650"/>
    <w:rsid w:val="00BD37F9"/>
    <w:rsid w:val="00BD3D14"/>
    <w:rsid w:val="00BD3F30"/>
    <w:rsid w:val="00BD3FC9"/>
    <w:rsid w:val="00BD41D6"/>
    <w:rsid w:val="00BD43E0"/>
    <w:rsid w:val="00BD4700"/>
    <w:rsid w:val="00BD4825"/>
    <w:rsid w:val="00BD4A5E"/>
    <w:rsid w:val="00BD5B0D"/>
    <w:rsid w:val="00BD5C7A"/>
    <w:rsid w:val="00BD6482"/>
    <w:rsid w:val="00BD6872"/>
    <w:rsid w:val="00BD6A9C"/>
    <w:rsid w:val="00BD73D2"/>
    <w:rsid w:val="00BD7543"/>
    <w:rsid w:val="00BD78AC"/>
    <w:rsid w:val="00BD7B01"/>
    <w:rsid w:val="00BD7BF9"/>
    <w:rsid w:val="00BD7C99"/>
    <w:rsid w:val="00BE006C"/>
    <w:rsid w:val="00BE042D"/>
    <w:rsid w:val="00BE0447"/>
    <w:rsid w:val="00BE04DE"/>
    <w:rsid w:val="00BE08E4"/>
    <w:rsid w:val="00BE0D93"/>
    <w:rsid w:val="00BE108C"/>
    <w:rsid w:val="00BE129B"/>
    <w:rsid w:val="00BE1531"/>
    <w:rsid w:val="00BE1548"/>
    <w:rsid w:val="00BE1C16"/>
    <w:rsid w:val="00BE1CE7"/>
    <w:rsid w:val="00BE22A7"/>
    <w:rsid w:val="00BE251C"/>
    <w:rsid w:val="00BE2760"/>
    <w:rsid w:val="00BE2C93"/>
    <w:rsid w:val="00BE32E7"/>
    <w:rsid w:val="00BE36C6"/>
    <w:rsid w:val="00BE379D"/>
    <w:rsid w:val="00BE3C65"/>
    <w:rsid w:val="00BE4570"/>
    <w:rsid w:val="00BE47A3"/>
    <w:rsid w:val="00BE4AFA"/>
    <w:rsid w:val="00BE518A"/>
    <w:rsid w:val="00BE57EF"/>
    <w:rsid w:val="00BE5A15"/>
    <w:rsid w:val="00BE6574"/>
    <w:rsid w:val="00BE6758"/>
    <w:rsid w:val="00BE6EEB"/>
    <w:rsid w:val="00BE7167"/>
    <w:rsid w:val="00BE78D3"/>
    <w:rsid w:val="00BE79FB"/>
    <w:rsid w:val="00BE7AE8"/>
    <w:rsid w:val="00BE7FA3"/>
    <w:rsid w:val="00BE7FED"/>
    <w:rsid w:val="00BF16C1"/>
    <w:rsid w:val="00BF16DE"/>
    <w:rsid w:val="00BF17C4"/>
    <w:rsid w:val="00BF189E"/>
    <w:rsid w:val="00BF1953"/>
    <w:rsid w:val="00BF2830"/>
    <w:rsid w:val="00BF29FF"/>
    <w:rsid w:val="00BF2B15"/>
    <w:rsid w:val="00BF2CD2"/>
    <w:rsid w:val="00BF2E35"/>
    <w:rsid w:val="00BF2F1F"/>
    <w:rsid w:val="00BF3004"/>
    <w:rsid w:val="00BF33C1"/>
    <w:rsid w:val="00BF34E7"/>
    <w:rsid w:val="00BF376F"/>
    <w:rsid w:val="00BF37E0"/>
    <w:rsid w:val="00BF4130"/>
    <w:rsid w:val="00BF428C"/>
    <w:rsid w:val="00BF42A8"/>
    <w:rsid w:val="00BF46A1"/>
    <w:rsid w:val="00BF4B3D"/>
    <w:rsid w:val="00BF4F43"/>
    <w:rsid w:val="00BF503B"/>
    <w:rsid w:val="00BF52C8"/>
    <w:rsid w:val="00BF66C0"/>
    <w:rsid w:val="00BF66D1"/>
    <w:rsid w:val="00BF6765"/>
    <w:rsid w:val="00BF6DDE"/>
    <w:rsid w:val="00BF76A5"/>
    <w:rsid w:val="00BF771A"/>
    <w:rsid w:val="00BF77D3"/>
    <w:rsid w:val="00BF78B5"/>
    <w:rsid w:val="00C00235"/>
    <w:rsid w:val="00C00FAF"/>
    <w:rsid w:val="00C01289"/>
    <w:rsid w:val="00C01312"/>
    <w:rsid w:val="00C0186B"/>
    <w:rsid w:val="00C01D6B"/>
    <w:rsid w:val="00C01DD9"/>
    <w:rsid w:val="00C02008"/>
    <w:rsid w:val="00C0200B"/>
    <w:rsid w:val="00C0222F"/>
    <w:rsid w:val="00C0226A"/>
    <w:rsid w:val="00C02294"/>
    <w:rsid w:val="00C024B1"/>
    <w:rsid w:val="00C0251A"/>
    <w:rsid w:val="00C02EC3"/>
    <w:rsid w:val="00C03689"/>
    <w:rsid w:val="00C03B47"/>
    <w:rsid w:val="00C03DCA"/>
    <w:rsid w:val="00C03EF3"/>
    <w:rsid w:val="00C042D7"/>
    <w:rsid w:val="00C0453C"/>
    <w:rsid w:val="00C050CF"/>
    <w:rsid w:val="00C0511D"/>
    <w:rsid w:val="00C052FB"/>
    <w:rsid w:val="00C05340"/>
    <w:rsid w:val="00C054AF"/>
    <w:rsid w:val="00C0592A"/>
    <w:rsid w:val="00C05CB5"/>
    <w:rsid w:val="00C05F19"/>
    <w:rsid w:val="00C06288"/>
    <w:rsid w:val="00C064BD"/>
    <w:rsid w:val="00C06767"/>
    <w:rsid w:val="00C06AC2"/>
    <w:rsid w:val="00C06E0E"/>
    <w:rsid w:val="00C07690"/>
    <w:rsid w:val="00C07933"/>
    <w:rsid w:val="00C07B05"/>
    <w:rsid w:val="00C07BB5"/>
    <w:rsid w:val="00C07E88"/>
    <w:rsid w:val="00C1038C"/>
    <w:rsid w:val="00C10561"/>
    <w:rsid w:val="00C10A87"/>
    <w:rsid w:val="00C10DBC"/>
    <w:rsid w:val="00C11548"/>
    <w:rsid w:val="00C11A7C"/>
    <w:rsid w:val="00C11C6A"/>
    <w:rsid w:val="00C11CDC"/>
    <w:rsid w:val="00C122AB"/>
    <w:rsid w:val="00C127A2"/>
    <w:rsid w:val="00C12BBB"/>
    <w:rsid w:val="00C12C78"/>
    <w:rsid w:val="00C12CFB"/>
    <w:rsid w:val="00C131C7"/>
    <w:rsid w:val="00C1345D"/>
    <w:rsid w:val="00C13523"/>
    <w:rsid w:val="00C1355F"/>
    <w:rsid w:val="00C13561"/>
    <w:rsid w:val="00C14204"/>
    <w:rsid w:val="00C14239"/>
    <w:rsid w:val="00C149E9"/>
    <w:rsid w:val="00C14C86"/>
    <w:rsid w:val="00C14D4A"/>
    <w:rsid w:val="00C14ED4"/>
    <w:rsid w:val="00C14F99"/>
    <w:rsid w:val="00C1536C"/>
    <w:rsid w:val="00C15432"/>
    <w:rsid w:val="00C155E9"/>
    <w:rsid w:val="00C15759"/>
    <w:rsid w:val="00C16439"/>
    <w:rsid w:val="00C1649C"/>
    <w:rsid w:val="00C1662E"/>
    <w:rsid w:val="00C166C4"/>
    <w:rsid w:val="00C16C8D"/>
    <w:rsid w:val="00C16E90"/>
    <w:rsid w:val="00C16EAC"/>
    <w:rsid w:val="00C1729C"/>
    <w:rsid w:val="00C172EF"/>
    <w:rsid w:val="00C20C70"/>
    <w:rsid w:val="00C20E59"/>
    <w:rsid w:val="00C21208"/>
    <w:rsid w:val="00C21221"/>
    <w:rsid w:val="00C2129C"/>
    <w:rsid w:val="00C2193E"/>
    <w:rsid w:val="00C21C44"/>
    <w:rsid w:val="00C21F0C"/>
    <w:rsid w:val="00C22729"/>
    <w:rsid w:val="00C227F4"/>
    <w:rsid w:val="00C22A05"/>
    <w:rsid w:val="00C22AA1"/>
    <w:rsid w:val="00C2385E"/>
    <w:rsid w:val="00C23D5E"/>
    <w:rsid w:val="00C23F5C"/>
    <w:rsid w:val="00C23F6B"/>
    <w:rsid w:val="00C240BF"/>
    <w:rsid w:val="00C2411D"/>
    <w:rsid w:val="00C2435B"/>
    <w:rsid w:val="00C244EE"/>
    <w:rsid w:val="00C25154"/>
    <w:rsid w:val="00C255FB"/>
    <w:rsid w:val="00C257DA"/>
    <w:rsid w:val="00C2581D"/>
    <w:rsid w:val="00C259CE"/>
    <w:rsid w:val="00C25A11"/>
    <w:rsid w:val="00C25C2B"/>
    <w:rsid w:val="00C25E2A"/>
    <w:rsid w:val="00C26193"/>
    <w:rsid w:val="00C261F4"/>
    <w:rsid w:val="00C26518"/>
    <w:rsid w:val="00C26869"/>
    <w:rsid w:val="00C26880"/>
    <w:rsid w:val="00C26884"/>
    <w:rsid w:val="00C26AF4"/>
    <w:rsid w:val="00C26BD5"/>
    <w:rsid w:val="00C26CE3"/>
    <w:rsid w:val="00C26E9A"/>
    <w:rsid w:val="00C26EB8"/>
    <w:rsid w:val="00C274EC"/>
    <w:rsid w:val="00C2761B"/>
    <w:rsid w:val="00C27787"/>
    <w:rsid w:val="00C27952"/>
    <w:rsid w:val="00C3001B"/>
    <w:rsid w:val="00C305C3"/>
    <w:rsid w:val="00C30A15"/>
    <w:rsid w:val="00C31521"/>
    <w:rsid w:val="00C315FC"/>
    <w:rsid w:val="00C3180E"/>
    <w:rsid w:val="00C318E1"/>
    <w:rsid w:val="00C319E4"/>
    <w:rsid w:val="00C31D08"/>
    <w:rsid w:val="00C31E75"/>
    <w:rsid w:val="00C323AB"/>
    <w:rsid w:val="00C325D0"/>
    <w:rsid w:val="00C3264E"/>
    <w:rsid w:val="00C3265F"/>
    <w:rsid w:val="00C326D1"/>
    <w:rsid w:val="00C32B30"/>
    <w:rsid w:val="00C32D10"/>
    <w:rsid w:val="00C32DCC"/>
    <w:rsid w:val="00C33348"/>
    <w:rsid w:val="00C33C4E"/>
    <w:rsid w:val="00C33CD5"/>
    <w:rsid w:val="00C33FB3"/>
    <w:rsid w:val="00C34189"/>
    <w:rsid w:val="00C34262"/>
    <w:rsid w:val="00C345F7"/>
    <w:rsid w:val="00C34612"/>
    <w:rsid w:val="00C34AD1"/>
    <w:rsid w:val="00C353FE"/>
    <w:rsid w:val="00C3557F"/>
    <w:rsid w:val="00C3559A"/>
    <w:rsid w:val="00C356A3"/>
    <w:rsid w:val="00C35814"/>
    <w:rsid w:val="00C37417"/>
    <w:rsid w:val="00C3774D"/>
    <w:rsid w:val="00C37912"/>
    <w:rsid w:val="00C37957"/>
    <w:rsid w:val="00C37C4F"/>
    <w:rsid w:val="00C40113"/>
    <w:rsid w:val="00C40AB8"/>
    <w:rsid w:val="00C40E8A"/>
    <w:rsid w:val="00C410BE"/>
    <w:rsid w:val="00C41AE3"/>
    <w:rsid w:val="00C41FBD"/>
    <w:rsid w:val="00C420B0"/>
    <w:rsid w:val="00C42E7A"/>
    <w:rsid w:val="00C43F0A"/>
    <w:rsid w:val="00C440AA"/>
    <w:rsid w:val="00C44122"/>
    <w:rsid w:val="00C441B6"/>
    <w:rsid w:val="00C444FD"/>
    <w:rsid w:val="00C44564"/>
    <w:rsid w:val="00C44CD2"/>
    <w:rsid w:val="00C44CD6"/>
    <w:rsid w:val="00C44F9B"/>
    <w:rsid w:val="00C44FA1"/>
    <w:rsid w:val="00C45247"/>
    <w:rsid w:val="00C45399"/>
    <w:rsid w:val="00C45ED4"/>
    <w:rsid w:val="00C45FE6"/>
    <w:rsid w:val="00C464CC"/>
    <w:rsid w:val="00C46846"/>
    <w:rsid w:val="00C46BB9"/>
    <w:rsid w:val="00C46D91"/>
    <w:rsid w:val="00C46F57"/>
    <w:rsid w:val="00C475D0"/>
    <w:rsid w:val="00C476EB"/>
    <w:rsid w:val="00C478A6"/>
    <w:rsid w:val="00C47A7A"/>
    <w:rsid w:val="00C47AC7"/>
    <w:rsid w:val="00C5035E"/>
    <w:rsid w:val="00C50B11"/>
    <w:rsid w:val="00C50D3F"/>
    <w:rsid w:val="00C510CA"/>
    <w:rsid w:val="00C5131E"/>
    <w:rsid w:val="00C51371"/>
    <w:rsid w:val="00C5190F"/>
    <w:rsid w:val="00C51AEE"/>
    <w:rsid w:val="00C51B78"/>
    <w:rsid w:val="00C51F33"/>
    <w:rsid w:val="00C521F1"/>
    <w:rsid w:val="00C5282D"/>
    <w:rsid w:val="00C5292F"/>
    <w:rsid w:val="00C52B7F"/>
    <w:rsid w:val="00C532CE"/>
    <w:rsid w:val="00C535FA"/>
    <w:rsid w:val="00C53C61"/>
    <w:rsid w:val="00C53F8B"/>
    <w:rsid w:val="00C54071"/>
    <w:rsid w:val="00C54B0D"/>
    <w:rsid w:val="00C54DE0"/>
    <w:rsid w:val="00C55204"/>
    <w:rsid w:val="00C555E5"/>
    <w:rsid w:val="00C55CC0"/>
    <w:rsid w:val="00C55E9E"/>
    <w:rsid w:val="00C55FE2"/>
    <w:rsid w:val="00C563EB"/>
    <w:rsid w:val="00C564B3"/>
    <w:rsid w:val="00C56635"/>
    <w:rsid w:val="00C56FB2"/>
    <w:rsid w:val="00C57608"/>
    <w:rsid w:val="00C57713"/>
    <w:rsid w:val="00C601DF"/>
    <w:rsid w:val="00C60642"/>
    <w:rsid w:val="00C60813"/>
    <w:rsid w:val="00C61782"/>
    <w:rsid w:val="00C6178C"/>
    <w:rsid w:val="00C61D10"/>
    <w:rsid w:val="00C62210"/>
    <w:rsid w:val="00C628D6"/>
    <w:rsid w:val="00C62945"/>
    <w:rsid w:val="00C62C41"/>
    <w:rsid w:val="00C62C94"/>
    <w:rsid w:val="00C63158"/>
    <w:rsid w:val="00C633C1"/>
    <w:rsid w:val="00C634D2"/>
    <w:rsid w:val="00C63518"/>
    <w:rsid w:val="00C63773"/>
    <w:rsid w:val="00C641BE"/>
    <w:rsid w:val="00C645A9"/>
    <w:rsid w:val="00C6499C"/>
    <w:rsid w:val="00C64B7D"/>
    <w:rsid w:val="00C64DD3"/>
    <w:rsid w:val="00C6502C"/>
    <w:rsid w:val="00C6530D"/>
    <w:rsid w:val="00C65373"/>
    <w:rsid w:val="00C6569F"/>
    <w:rsid w:val="00C658AC"/>
    <w:rsid w:val="00C658D1"/>
    <w:rsid w:val="00C65B92"/>
    <w:rsid w:val="00C65C75"/>
    <w:rsid w:val="00C65F2F"/>
    <w:rsid w:val="00C6615D"/>
    <w:rsid w:val="00C662B9"/>
    <w:rsid w:val="00C66D5A"/>
    <w:rsid w:val="00C67273"/>
    <w:rsid w:val="00C67945"/>
    <w:rsid w:val="00C67A05"/>
    <w:rsid w:val="00C67E56"/>
    <w:rsid w:val="00C70037"/>
    <w:rsid w:val="00C70174"/>
    <w:rsid w:val="00C70496"/>
    <w:rsid w:val="00C70923"/>
    <w:rsid w:val="00C70A8E"/>
    <w:rsid w:val="00C70D9C"/>
    <w:rsid w:val="00C70F67"/>
    <w:rsid w:val="00C711AC"/>
    <w:rsid w:val="00C7149B"/>
    <w:rsid w:val="00C716FC"/>
    <w:rsid w:val="00C71C77"/>
    <w:rsid w:val="00C71CD9"/>
    <w:rsid w:val="00C71DC3"/>
    <w:rsid w:val="00C72515"/>
    <w:rsid w:val="00C729FE"/>
    <w:rsid w:val="00C72A1D"/>
    <w:rsid w:val="00C72F7C"/>
    <w:rsid w:val="00C7341C"/>
    <w:rsid w:val="00C73CFE"/>
    <w:rsid w:val="00C73D49"/>
    <w:rsid w:val="00C74092"/>
    <w:rsid w:val="00C7480E"/>
    <w:rsid w:val="00C74931"/>
    <w:rsid w:val="00C74A52"/>
    <w:rsid w:val="00C74BB2"/>
    <w:rsid w:val="00C74BFD"/>
    <w:rsid w:val="00C755C8"/>
    <w:rsid w:val="00C76555"/>
    <w:rsid w:val="00C76660"/>
    <w:rsid w:val="00C769A0"/>
    <w:rsid w:val="00C76AF8"/>
    <w:rsid w:val="00C76D5C"/>
    <w:rsid w:val="00C76FA2"/>
    <w:rsid w:val="00C772E4"/>
    <w:rsid w:val="00C77367"/>
    <w:rsid w:val="00C775A4"/>
    <w:rsid w:val="00C7766A"/>
    <w:rsid w:val="00C7795A"/>
    <w:rsid w:val="00C77A64"/>
    <w:rsid w:val="00C77F39"/>
    <w:rsid w:val="00C77FC5"/>
    <w:rsid w:val="00C8030C"/>
    <w:rsid w:val="00C8060A"/>
    <w:rsid w:val="00C80DEE"/>
    <w:rsid w:val="00C81137"/>
    <w:rsid w:val="00C811DF"/>
    <w:rsid w:val="00C8131E"/>
    <w:rsid w:val="00C81843"/>
    <w:rsid w:val="00C81944"/>
    <w:rsid w:val="00C8256E"/>
    <w:rsid w:val="00C82C05"/>
    <w:rsid w:val="00C82D3F"/>
    <w:rsid w:val="00C8339F"/>
    <w:rsid w:val="00C834F8"/>
    <w:rsid w:val="00C8376C"/>
    <w:rsid w:val="00C84101"/>
    <w:rsid w:val="00C8485F"/>
    <w:rsid w:val="00C84CF0"/>
    <w:rsid w:val="00C8503E"/>
    <w:rsid w:val="00C8568F"/>
    <w:rsid w:val="00C85D32"/>
    <w:rsid w:val="00C8643E"/>
    <w:rsid w:val="00C86674"/>
    <w:rsid w:val="00C86A04"/>
    <w:rsid w:val="00C8730F"/>
    <w:rsid w:val="00C8773A"/>
    <w:rsid w:val="00C877C9"/>
    <w:rsid w:val="00C87AAA"/>
    <w:rsid w:val="00C87B40"/>
    <w:rsid w:val="00C87E60"/>
    <w:rsid w:val="00C90654"/>
    <w:rsid w:val="00C909A3"/>
    <w:rsid w:val="00C90ED4"/>
    <w:rsid w:val="00C9111A"/>
    <w:rsid w:val="00C911C5"/>
    <w:rsid w:val="00C91267"/>
    <w:rsid w:val="00C9172B"/>
    <w:rsid w:val="00C918E5"/>
    <w:rsid w:val="00C91B99"/>
    <w:rsid w:val="00C91E9E"/>
    <w:rsid w:val="00C92201"/>
    <w:rsid w:val="00C92AF0"/>
    <w:rsid w:val="00C92B6A"/>
    <w:rsid w:val="00C931CD"/>
    <w:rsid w:val="00C93489"/>
    <w:rsid w:val="00C934DB"/>
    <w:rsid w:val="00C936F6"/>
    <w:rsid w:val="00C93E70"/>
    <w:rsid w:val="00C93EE0"/>
    <w:rsid w:val="00C943DA"/>
    <w:rsid w:val="00C9482F"/>
    <w:rsid w:val="00C94C8F"/>
    <w:rsid w:val="00C9580E"/>
    <w:rsid w:val="00C9581B"/>
    <w:rsid w:val="00C95B6A"/>
    <w:rsid w:val="00C96356"/>
    <w:rsid w:val="00C96C8E"/>
    <w:rsid w:val="00C96C9C"/>
    <w:rsid w:val="00C9726D"/>
    <w:rsid w:val="00C97502"/>
    <w:rsid w:val="00C97CDC"/>
    <w:rsid w:val="00CA0085"/>
    <w:rsid w:val="00CA01CA"/>
    <w:rsid w:val="00CA154A"/>
    <w:rsid w:val="00CA1877"/>
    <w:rsid w:val="00CA1B32"/>
    <w:rsid w:val="00CA1D94"/>
    <w:rsid w:val="00CA1F11"/>
    <w:rsid w:val="00CA2274"/>
    <w:rsid w:val="00CA22B8"/>
    <w:rsid w:val="00CA22ED"/>
    <w:rsid w:val="00CA2305"/>
    <w:rsid w:val="00CA310B"/>
    <w:rsid w:val="00CA3312"/>
    <w:rsid w:val="00CA3493"/>
    <w:rsid w:val="00CA362D"/>
    <w:rsid w:val="00CA38FC"/>
    <w:rsid w:val="00CA3F76"/>
    <w:rsid w:val="00CA433E"/>
    <w:rsid w:val="00CA444E"/>
    <w:rsid w:val="00CA478A"/>
    <w:rsid w:val="00CA4933"/>
    <w:rsid w:val="00CA5494"/>
    <w:rsid w:val="00CA5831"/>
    <w:rsid w:val="00CA5ACF"/>
    <w:rsid w:val="00CA5E5F"/>
    <w:rsid w:val="00CA5E7F"/>
    <w:rsid w:val="00CA5F0B"/>
    <w:rsid w:val="00CA6538"/>
    <w:rsid w:val="00CA68CF"/>
    <w:rsid w:val="00CA697F"/>
    <w:rsid w:val="00CA6D13"/>
    <w:rsid w:val="00CA7522"/>
    <w:rsid w:val="00CA7A7B"/>
    <w:rsid w:val="00CA7D23"/>
    <w:rsid w:val="00CA7F0B"/>
    <w:rsid w:val="00CB02BA"/>
    <w:rsid w:val="00CB07F3"/>
    <w:rsid w:val="00CB089D"/>
    <w:rsid w:val="00CB0A40"/>
    <w:rsid w:val="00CB0CC6"/>
    <w:rsid w:val="00CB0D20"/>
    <w:rsid w:val="00CB0EA8"/>
    <w:rsid w:val="00CB10B5"/>
    <w:rsid w:val="00CB12D1"/>
    <w:rsid w:val="00CB20D2"/>
    <w:rsid w:val="00CB353D"/>
    <w:rsid w:val="00CB3620"/>
    <w:rsid w:val="00CB365F"/>
    <w:rsid w:val="00CB376C"/>
    <w:rsid w:val="00CB40B1"/>
    <w:rsid w:val="00CB428C"/>
    <w:rsid w:val="00CB4343"/>
    <w:rsid w:val="00CB4B1A"/>
    <w:rsid w:val="00CB4BB6"/>
    <w:rsid w:val="00CB4D47"/>
    <w:rsid w:val="00CB58AA"/>
    <w:rsid w:val="00CB58BF"/>
    <w:rsid w:val="00CB58D0"/>
    <w:rsid w:val="00CB5C43"/>
    <w:rsid w:val="00CB5F9A"/>
    <w:rsid w:val="00CB61FD"/>
    <w:rsid w:val="00CB6498"/>
    <w:rsid w:val="00CB70E3"/>
    <w:rsid w:val="00CB7327"/>
    <w:rsid w:val="00CB74E5"/>
    <w:rsid w:val="00CB751B"/>
    <w:rsid w:val="00CB7537"/>
    <w:rsid w:val="00CB7D39"/>
    <w:rsid w:val="00CB7FE2"/>
    <w:rsid w:val="00CC00D2"/>
    <w:rsid w:val="00CC0873"/>
    <w:rsid w:val="00CC0F89"/>
    <w:rsid w:val="00CC1212"/>
    <w:rsid w:val="00CC124F"/>
    <w:rsid w:val="00CC1298"/>
    <w:rsid w:val="00CC16EC"/>
    <w:rsid w:val="00CC3248"/>
    <w:rsid w:val="00CC330B"/>
    <w:rsid w:val="00CC3670"/>
    <w:rsid w:val="00CC3987"/>
    <w:rsid w:val="00CC3E37"/>
    <w:rsid w:val="00CC41FF"/>
    <w:rsid w:val="00CC4464"/>
    <w:rsid w:val="00CC48FA"/>
    <w:rsid w:val="00CC4B0B"/>
    <w:rsid w:val="00CC5096"/>
    <w:rsid w:val="00CC5116"/>
    <w:rsid w:val="00CC5787"/>
    <w:rsid w:val="00CC5B83"/>
    <w:rsid w:val="00CC6193"/>
    <w:rsid w:val="00CC63C9"/>
    <w:rsid w:val="00CC646D"/>
    <w:rsid w:val="00CC6C25"/>
    <w:rsid w:val="00CC6F73"/>
    <w:rsid w:val="00CC7152"/>
    <w:rsid w:val="00CC71F9"/>
    <w:rsid w:val="00CC73A0"/>
    <w:rsid w:val="00CC76A8"/>
    <w:rsid w:val="00CC77E0"/>
    <w:rsid w:val="00CC7921"/>
    <w:rsid w:val="00CC7A20"/>
    <w:rsid w:val="00CC7A9E"/>
    <w:rsid w:val="00CC7B22"/>
    <w:rsid w:val="00CD08F1"/>
    <w:rsid w:val="00CD19CE"/>
    <w:rsid w:val="00CD19FC"/>
    <w:rsid w:val="00CD1A32"/>
    <w:rsid w:val="00CD1B03"/>
    <w:rsid w:val="00CD2161"/>
    <w:rsid w:val="00CD23A3"/>
    <w:rsid w:val="00CD29CE"/>
    <w:rsid w:val="00CD2DF0"/>
    <w:rsid w:val="00CD3697"/>
    <w:rsid w:val="00CD3707"/>
    <w:rsid w:val="00CD39FE"/>
    <w:rsid w:val="00CD3EEC"/>
    <w:rsid w:val="00CD4166"/>
    <w:rsid w:val="00CD4671"/>
    <w:rsid w:val="00CD470F"/>
    <w:rsid w:val="00CD5BC3"/>
    <w:rsid w:val="00CD5F7E"/>
    <w:rsid w:val="00CD5FD3"/>
    <w:rsid w:val="00CD600D"/>
    <w:rsid w:val="00CD6087"/>
    <w:rsid w:val="00CD61A7"/>
    <w:rsid w:val="00CD6445"/>
    <w:rsid w:val="00CD69CE"/>
    <w:rsid w:val="00CD6A07"/>
    <w:rsid w:val="00CD704E"/>
    <w:rsid w:val="00CD7439"/>
    <w:rsid w:val="00CD78C8"/>
    <w:rsid w:val="00CD7CFC"/>
    <w:rsid w:val="00CE0119"/>
    <w:rsid w:val="00CE057D"/>
    <w:rsid w:val="00CE0796"/>
    <w:rsid w:val="00CE0E1F"/>
    <w:rsid w:val="00CE115B"/>
    <w:rsid w:val="00CE11E4"/>
    <w:rsid w:val="00CE138B"/>
    <w:rsid w:val="00CE1420"/>
    <w:rsid w:val="00CE15D5"/>
    <w:rsid w:val="00CE16CE"/>
    <w:rsid w:val="00CE1CA7"/>
    <w:rsid w:val="00CE1D7C"/>
    <w:rsid w:val="00CE2222"/>
    <w:rsid w:val="00CE253A"/>
    <w:rsid w:val="00CE345C"/>
    <w:rsid w:val="00CE3982"/>
    <w:rsid w:val="00CE3DDF"/>
    <w:rsid w:val="00CE4209"/>
    <w:rsid w:val="00CE47A4"/>
    <w:rsid w:val="00CE482A"/>
    <w:rsid w:val="00CE49C3"/>
    <w:rsid w:val="00CE54FF"/>
    <w:rsid w:val="00CE5ADB"/>
    <w:rsid w:val="00CE5C5A"/>
    <w:rsid w:val="00CE5D28"/>
    <w:rsid w:val="00CE61C2"/>
    <w:rsid w:val="00CE6586"/>
    <w:rsid w:val="00CE6588"/>
    <w:rsid w:val="00CE6B24"/>
    <w:rsid w:val="00CE6DB6"/>
    <w:rsid w:val="00CE72DB"/>
    <w:rsid w:val="00CE730B"/>
    <w:rsid w:val="00CE7932"/>
    <w:rsid w:val="00CE7D25"/>
    <w:rsid w:val="00CF000C"/>
    <w:rsid w:val="00CF00C1"/>
    <w:rsid w:val="00CF0178"/>
    <w:rsid w:val="00CF0370"/>
    <w:rsid w:val="00CF06C1"/>
    <w:rsid w:val="00CF0895"/>
    <w:rsid w:val="00CF0BCA"/>
    <w:rsid w:val="00CF0EAF"/>
    <w:rsid w:val="00CF1533"/>
    <w:rsid w:val="00CF2112"/>
    <w:rsid w:val="00CF255F"/>
    <w:rsid w:val="00CF28C0"/>
    <w:rsid w:val="00CF2AF8"/>
    <w:rsid w:val="00CF2BFB"/>
    <w:rsid w:val="00CF2C03"/>
    <w:rsid w:val="00CF2F1E"/>
    <w:rsid w:val="00CF32BF"/>
    <w:rsid w:val="00CF3F5B"/>
    <w:rsid w:val="00CF4B04"/>
    <w:rsid w:val="00CF4CE7"/>
    <w:rsid w:val="00CF4E75"/>
    <w:rsid w:val="00CF4FDE"/>
    <w:rsid w:val="00CF502A"/>
    <w:rsid w:val="00CF517A"/>
    <w:rsid w:val="00CF5D58"/>
    <w:rsid w:val="00CF67FA"/>
    <w:rsid w:val="00CF6AA6"/>
    <w:rsid w:val="00CF6BFB"/>
    <w:rsid w:val="00CF6C1D"/>
    <w:rsid w:val="00CF725E"/>
    <w:rsid w:val="00CF7529"/>
    <w:rsid w:val="00CF7538"/>
    <w:rsid w:val="00CF7593"/>
    <w:rsid w:val="00CF7A1F"/>
    <w:rsid w:val="00CF7D67"/>
    <w:rsid w:val="00D00DD3"/>
    <w:rsid w:val="00D01310"/>
    <w:rsid w:val="00D016B3"/>
    <w:rsid w:val="00D0209F"/>
    <w:rsid w:val="00D024BE"/>
    <w:rsid w:val="00D0282D"/>
    <w:rsid w:val="00D028E5"/>
    <w:rsid w:val="00D02B77"/>
    <w:rsid w:val="00D03005"/>
    <w:rsid w:val="00D03080"/>
    <w:rsid w:val="00D031B7"/>
    <w:rsid w:val="00D03539"/>
    <w:rsid w:val="00D037DE"/>
    <w:rsid w:val="00D03C2A"/>
    <w:rsid w:val="00D0407E"/>
    <w:rsid w:val="00D04618"/>
    <w:rsid w:val="00D0472D"/>
    <w:rsid w:val="00D04AB5"/>
    <w:rsid w:val="00D04B52"/>
    <w:rsid w:val="00D04EA7"/>
    <w:rsid w:val="00D05700"/>
    <w:rsid w:val="00D05A86"/>
    <w:rsid w:val="00D05D5F"/>
    <w:rsid w:val="00D05F51"/>
    <w:rsid w:val="00D060FE"/>
    <w:rsid w:val="00D0654F"/>
    <w:rsid w:val="00D066B5"/>
    <w:rsid w:val="00D06867"/>
    <w:rsid w:val="00D06B36"/>
    <w:rsid w:val="00D06EE9"/>
    <w:rsid w:val="00D07535"/>
    <w:rsid w:val="00D075E0"/>
    <w:rsid w:val="00D075F7"/>
    <w:rsid w:val="00D07A14"/>
    <w:rsid w:val="00D07B4F"/>
    <w:rsid w:val="00D07C0E"/>
    <w:rsid w:val="00D07C65"/>
    <w:rsid w:val="00D10384"/>
    <w:rsid w:val="00D1072B"/>
    <w:rsid w:val="00D10A7E"/>
    <w:rsid w:val="00D1137C"/>
    <w:rsid w:val="00D1138B"/>
    <w:rsid w:val="00D113D1"/>
    <w:rsid w:val="00D11B53"/>
    <w:rsid w:val="00D12077"/>
    <w:rsid w:val="00D124B2"/>
    <w:rsid w:val="00D12802"/>
    <w:rsid w:val="00D12FE9"/>
    <w:rsid w:val="00D1306D"/>
    <w:rsid w:val="00D1320D"/>
    <w:rsid w:val="00D13301"/>
    <w:rsid w:val="00D1349A"/>
    <w:rsid w:val="00D13A9D"/>
    <w:rsid w:val="00D14273"/>
    <w:rsid w:val="00D14467"/>
    <w:rsid w:val="00D144AE"/>
    <w:rsid w:val="00D14B5D"/>
    <w:rsid w:val="00D14C25"/>
    <w:rsid w:val="00D14CB4"/>
    <w:rsid w:val="00D14E17"/>
    <w:rsid w:val="00D14FA5"/>
    <w:rsid w:val="00D1545E"/>
    <w:rsid w:val="00D156A2"/>
    <w:rsid w:val="00D15714"/>
    <w:rsid w:val="00D15E25"/>
    <w:rsid w:val="00D15F94"/>
    <w:rsid w:val="00D163D5"/>
    <w:rsid w:val="00D166B9"/>
    <w:rsid w:val="00D1679F"/>
    <w:rsid w:val="00D1705E"/>
    <w:rsid w:val="00D1773E"/>
    <w:rsid w:val="00D17DE8"/>
    <w:rsid w:val="00D17FFC"/>
    <w:rsid w:val="00D20135"/>
    <w:rsid w:val="00D203FE"/>
    <w:rsid w:val="00D20A03"/>
    <w:rsid w:val="00D20BBD"/>
    <w:rsid w:val="00D214F1"/>
    <w:rsid w:val="00D2170A"/>
    <w:rsid w:val="00D219C6"/>
    <w:rsid w:val="00D21F88"/>
    <w:rsid w:val="00D225F6"/>
    <w:rsid w:val="00D23066"/>
    <w:rsid w:val="00D2387E"/>
    <w:rsid w:val="00D243C1"/>
    <w:rsid w:val="00D2445E"/>
    <w:rsid w:val="00D245BD"/>
    <w:rsid w:val="00D246BB"/>
    <w:rsid w:val="00D25032"/>
    <w:rsid w:val="00D25091"/>
    <w:rsid w:val="00D254A8"/>
    <w:rsid w:val="00D25AA3"/>
    <w:rsid w:val="00D25BBC"/>
    <w:rsid w:val="00D25D3D"/>
    <w:rsid w:val="00D25DAF"/>
    <w:rsid w:val="00D25DD7"/>
    <w:rsid w:val="00D2604C"/>
    <w:rsid w:val="00D26521"/>
    <w:rsid w:val="00D26A91"/>
    <w:rsid w:val="00D26FC0"/>
    <w:rsid w:val="00D27052"/>
    <w:rsid w:val="00D2738C"/>
    <w:rsid w:val="00D27595"/>
    <w:rsid w:val="00D27950"/>
    <w:rsid w:val="00D27B37"/>
    <w:rsid w:val="00D27DDC"/>
    <w:rsid w:val="00D30148"/>
    <w:rsid w:val="00D3086C"/>
    <w:rsid w:val="00D31295"/>
    <w:rsid w:val="00D319DA"/>
    <w:rsid w:val="00D31D0F"/>
    <w:rsid w:val="00D31DD0"/>
    <w:rsid w:val="00D32063"/>
    <w:rsid w:val="00D3239D"/>
    <w:rsid w:val="00D325A4"/>
    <w:rsid w:val="00D328B2"/>
    <w:rsid w:val="00D32941"/>
    <w:rsid w:val="00D32A07"/>
    <w:rsid w:val="00D32C2D"/>
    <w:rsid w:val="00D32D05"/>
    <w:rsid w:val="00D330EB"/>
    <w:rsid w:val="00D33368"/>
    <w:rsid w:val="00D3348D"/>
    <w:rsid w:val="00D337C5"/>
    <w:rsid w:val="00D33C13"/>
    <w:rsid w:val="00D33D2A"/>
    <w:rsid w:val="00D33F76"/>
    <w:rsid w:val="00D340B0"/>
    <w:rsid w:val="00D34239"/>
    <w:rsid w:val="00D3485B"/>
    <w:rsid w:val="00D351D6"/>
    <w:rsid w:val="00D3520B"/>
    <w:rsid w:val="00D35B57"/>
    <w:rsid w:val="00D35F47"/>
    <w:rsid w:val="00D363EC"/>
    <w:rsid w:val="00D36A65"/>
    <w:rsid w:val="00D36E95"/>
    <w:rsid w:val="00D36EA8"/>
    <w:rsid w:val="00D36F4B"/>
    <w:rsid w:val="00D37063"/>
    <w:rsid w:val="00D3728F"/>
    <w:rsid w:val="00D37566"/>
    <w:rsid w:val="00D376D9"/>
    <w:rsid w:val="00D3791F"/>
    <w:rsid w:val="00D37DFC"/>
    <w:rsid w:val="00D37EFC"/>
    <w:rsid w:val="00D40361"/>
    <w:rsid w:val="00D40B5A"/>
    <w:rsid w:val="00D40F56"/>
    <w:rsid w:val="00D410BC"/>
    <w:rsid w:val="00D410E9"/>
    <w:rsid w:val="00D41CCB"/>
    <w:rsid w:val="00D41DE6"/>
    <w:rsid w:val="00D42AB7"/>
    <w:rsid w:val="00D42D49"/>
    <w:rsid w:val="00D4368F"/>
    <w:rsid w:val="00D43896"/>
    <w:rsid w:val="00D43C03"/>
    <w:rsid w:val="00D44E54"/>
    <w:rsid w:val="00D452A3"/>
    <w:rsid w:val="00D455CE"/>
    <w:rsid w:val="00D4566E"/>
    <w:rsid w:val="00D464B1"/>
    <w:rsid w:val="00D46613"/>
    <w:rsid w:val="00D4668B"/>
    <w:rsid w:val="00D473F0"/>
    <w:rsid w:val="00D47925"/>
    <w:rsid w:val="00D47D2B"/>
    <w:rsid w:val="00D5007D"/>
    <w:rsid w:val="00D50101"/>
    <w:rsid w:val="00D50346"/>
    <w:rsid w:val="00D50475"/>
    <w:rsid w:val="00D50CFD"/>
    <w:rsid w:val="00D50D56"/>
    <w:rsid w:val="00D51201"/>
    <w:rsid w:val="00D51581"/>
    <w:rsid w:val="00D516BB"/>
    <w:rsid w:val="00D51BBE"/>
    <w:rsid w:val="00D51CA3"/>
    <w:rsid w:val="00D51FED"/>
    <w:rsid w:val="00D52478"/>
    <w:rsid w:val="00D52C5C"/>
    <w:rsid w:val="00D52C93"/>
    <w:rsid w:val="00D52D49"/>
    <w:rsid w:val="00D5312E"/>
    <w:rsid w:val="00D533C3"/>
    <w:rsid w:val="00D53403"/>
    <w:rsid w:val="00D5372F"/>
    <w:rsid w:val="00D53B29"/>
    <w:rsid w:val="00D53D4B"/>
    <w:rsid w:val="00D55573"/>
    <w:rsid w:val="00D55645"/>
    <w:rsid w:val="00D56CA2"/>
    <w:rsid w:val="00D56DDA"/>
    <w:rsid w:val="00D56ECD"/>
    <w:rsid w:val="00D57566"/>
    <w:rsid w:val="00D57762"/>
    <w:rsid w:val="00D5779A"/>
    <w:rsid w:val="00D5785A"/>
    <w:rsid w:val="00D57F01"/>
    <w:rsid w:val="00D57F13"/>
    <w:rsid w:val="00D57FAA"/>
    <w:rsid w:val="00D604FD"/>
    <w:rsid w:val="00D6079D"/>
    <w:rsid w:val="00D60838"/>
    <w:rsid w:val="00D6093C"/>
    <w:rsid w:val="00D60E0B"/>
    <w:rsid w:val="00D6101D"/>
    <w:rsid w:val="00D614BB"/>
    <w:rsid w:val="00D62018"/>
    <w:rsid w:val="00D62299"/>
    <w:rsid w:val="00D63298"/>
    <w:rsid w:val="00D63487"/>
    <w:rsid w:val="00D63F2A"/>
    <w:rsid w:val="00D64698"/>
    <w:rsid w:val="00D64781"/>
    <w:rsid w:val="00D65F1D"/>
    <w:rsid w:val="00D6629A"/>
    <w:rsid w:val="00D6684E"/>
    <w:rsid w:val="00D66C8E"/>
    <w:rsid w:val="00D66D92"/>
    <w:rsid w:val="00D66E09"/>
    <w:rsid w:val="00D67308"/>
    <w:rsid w:val="00D67A89"/>
    <w:rsid w:val="00D67C7F"/>
    <w:rsid w:val="00D705ED"/>
    <w:rsid w:val="00D70FCA"/>
    <w:rsid w:val="00D712E1"/>
    <w:rsid w:val="00D71659"/>
    <w:rsid w:val="00D72219"/>
    <w:rsid w:val="00D72BD4"/>
    <w:rsid w:val="00D72C1E"/>
    <w:rsid w:val="00D7302E"/>
    <w:rsid w:val="00D73180"/>
    <w:rsid w:val="00D7320D"/>
    <w:rsid w:val="00D734A3"/>
    <w:rsid w:val="00D7357A"/>
    <w:rsid w:val="00D73649"/>
    <w:rsid w:val="00D73BE7"/>
    <w:rsid w:val="00D73D1A"/>
    <w:rsid w:val="00D74FBA"/>
    <w:rsid w:val="00D755C8"/>
    <w:rsid w:val="00D75610"/>
    <w:rsid w:val="00D756A5"/>
    <w:rsid w:val="00D76483"/>
    <w:rsid w:val="00D76CD7"/>
    <w:rsid w:val="00D76CEC"/>
    <w:rsid w:val="00D76D61"/>
    <w:rsid w:val="00D771D6"/>
    <w:rsid w:val="00D77538"/>
    <w:rsid w:val="00D778AA"/>
    <w:rsid w:val="00D8011E"/>
    <w:rsid w:val="00D80261"/>
    <w:rsid w:val="00D809EC"/>
    <w:rsid w:val="00D80A61"/>
    <w:rsid w:val="00D81279"/>
    <w:rsid w:val="00D813E2"/>
    <w:rsid w:val="00D816A4"/>
    <w:rsid w:val="00D81844"/>
    <w:rsid w:val="00D81B4C"/>
    <w:rsid w:val="00D834F3"/>
    <w:rsid w:val="00D836C4"/>
    <w:rsid w:val="00D83712"/>
    <w:rsid w:val="00D83A0A"/>
    <w:rsid w:val="00D83CDF"/>
    <w:rsid w:val="00D83E5F"/>
    <w:rsid w:val="00D8450B"/>
    <w:rsid w:val="00D845B4"/>
    <w:rsid w:val="00D847AA"/>
    <w:rsid w:val="00D84A00"/>
    <w:rsid w:val="00D84AAC"/>
    <w:rsid w:val="00D84ED8"/>
    <w:rsid w:val="00D850CB"/>
    <w:rsid w:val="00D855D9"/>
    <w:rsid w:val="00D859D5"/>
    <w:rsid w:val="00D85B3D"/>
    <w:rsid w:val="00D85C3A"/>
    <w:rsid w:val="00D86198"/>
    <w:rsid w:val="00D86538"/>
    <w:rsid w:val="00D86731"/>
    <w:rsid w:val="00D86C06"/>
    <w:rsid w:val="00D86F9D"/>
    <w:rsid w:val="00D8722D"/>
    <w:rsid w:val="00D87543"/>
    <w:rsid w:val="00D876E3"/>
    <w:rsid w:val="00D8786A"/>
    <w:rsid w:val="00D87D77"/>
    <w:rsid w:val="00D90285"/>
    <w:rsid w:val="00D90316"/>
    <w:rsid w:val="00D9080A"/>
    <w:rsid w:val="00D90FE6"/>
    <w:rsid w:val="00D910C4"/>
    <w:rsid w:val="00D91607"/>
    <w:rsid w:val="00D916E3"/>
    <w:rsid w:val="00D91784"/>
    <w:rsid w:val="00D92AA7"/>
    <w:rsid w:val="00D92D78"/>
    <w:rsid w:val="00D92F74"/>
    <w:rsid w:val="00D9319F"/>
    <w:rsid w:val="00D936DA"/>
    <w:rsid w:val="00D93D66"/>
    <w:rsid w:val="00D9435A"/>
    <w:rsid w:val="00D945DB"/>
    <w:rsid w:val="00D949B1"/>
    <w:rsid w:val="00D95B14"/>
    <w:rsid w:val="00D95C81"/>
    <w:rsid w:val="00D96168"/>
    <w:rsid w:val="00D961B5"/>
    <w:rsid w:val="00D97433"/>
    <w:rsid w:val="00DA0053"/>
    <w:rsid w:val="00DA00ED"/>
    <w:rsid w:val="00DA02EB"/>
    <w:rsid w:val="00DA03CE"/>
    <w:rsid w:val="00DA0A7D"/>
    <w:rsid w:val="00DA0E24"/>
    <w:rsid w:val="00DA148C"/>
    <w:rsid w:val="00DA1CAE"/>
    <w:rsid w:val="00DA1E25"/>
    <w:rsid w:val="00DA2906"/>
    <w:rsid w:val="00DA2964"/>
    <w:rsid w:val="00DA2EF0"/>
    <w:rsid w:val="00DA3908"/>
    <w:rsid w:val="00DA45FE"/>
    <w:rsid w:val="00DA46B2"/>
    <w:rsid w:val="00DA4762"/>
    <w:rsid w:val="00DA4EE8"/>
    <w:rsid w:val="00DA5068"/>
    <w:rsid w:val="00DA50EE"/>
    <w:rsid w:val="00DA5713"/>
    <w:rsid w:val="00DA5748"/>
    <w:rsid w:val="00DA5897"/>
    <w:rsid w:val="00DA5950"/>
    <w:rsid w:val="00DA59B9"/>
    <w:rsid w:val="00DA5C4D"/>
    <w:rsid w:val="00DA5C53"/>
    <w:rsid w:val="00DA5D31"/>
    <w:rsid w:val="00DA5DC2"/>
    <w:rsid w:val="00DA65F2"/>
    <w:rsid w:val="00DA667F"/>
    <w:rsid w:val="00DA6864"/>
    <w:rsid w:val="00DA7426"/>
    <w:rsid w:val="00DA7A50"/>
    <w:rsid w:val="00DA7AAA"/>
    <w:rsid w:val="00DB01EB"/>
    <w:rsid w:val="00DB0287"/>
    <w:rsid w:val="00DB0B8E"/>
    <w:rsid w:val="00DB0C9C"/>
    <w:rsid w:val="00DB0FBD"/>
    <w:rsid w:val="00DB1284"/>
    <w:rsid w:val="00DB12B2"/>
    <w:rsid w:val="00DB1770"/>
    <w:rsid w:val="00DB1B2D"/>
    <w:rsid w:val="00DB1CB6"/>
    <w:rsid w:val="00DB23AC"/>
    <w:rsid w:val="00DB288E"/>
    <w:rsid w:val="00DB2A06"/>
    <w:rsid w:val="00DB31CF"/>
    <w:rsid w:val="00DB3BA5"/>
    <w:rsid w:val="00DB3D17"/>
    <w:rsid w:val="00DB3EA1"/>
    <w:rsid w:val="00DB3EDA"/>
    <w:rsid w:val="00DB4549"/>
    <w:rsid w:val="00DB46FC"/>
    <w:rsid w:val="00DB49FB"/>
    <w:rsid w:val="00DB4B28"/>
    <w:rsid w:val="00DB4D85"/>
    <w:rsid w:val="00DB53E2"/>
    <w:rsid w:val="00DB5BD1"/>
    <w:rsid w:val="00DB5E31"/>
    <w:rsid w:val="00DB5E58"/>
    <w:rsid w:val="00DB637F"/>
    <w:rsid w:val="00DB6F3B"/>
    <w:rsid w:val="00DB7612"/>
    <w:rsid w:val="00DB76D3"/>
    <w:rsid w:val="00DB796C"/>
    <w:rsid w:val="00DB7DCD"/>
    <w:rsid w:val="00DC01CE"/>
    <w:rsid w:val="00DC028A"/>
    <w:rsid w:val="00DC034B"/>
    <w:rsid w:val="00DC049B"/>
    <w:rsid w:val="00DC0CBA"/>
    <w:rsid w:val="00DC0DBD"/>
    <w:rsid w:val="00DC1636"/>
    <w:rsid w:val="00DC1A2D"/>
    <w:rsid w:val="00DC1F0D"/>
    <w:rsid w:val="00DC217A"/>
    <w:rsid w:val="00DC2189"/>
    <w:rsid w:val="00DC2708"/>
    <w:rsid w:val="00DC2781"/>
    <w:rsid w:val="00DC2ABF"/>
    <w:rsid w:val="00DC2ACB"/>
    <w:rsid w:val="00DC2F01"/>
    <w:rsid w:val="00DC2F38"/>
    <w:rsid w:val="00DC2FDF"/>
    <w:rsid w:val="00DC3CFA"/>
    <w:rsid w:val="00DC3F11"/>
    <w:rsid w:val="00DC4433"/>
    <w:rsid w:val="00DC4514"/>
    <w:rsid w:val="00DC4789"/>
    <w:rsid w:val="00DC4A61"/>
    <w:rsid w:val="00DC4EF7"/>
    <w:rsid w:val="00DC5236"/>
    <w:rsid w:val="00DC58F9"/>
    <w:rsid w:val="00DC5CAA"/>
    <w:rsid w:val="00DC629F"/>
    <w:rsid w:val="00DC64B4"/>
    <w:rsid w:val="00DC66B1"/>
    <w:rsid w:val="00DC678B"/>
    <w:rsid w:val="00DC696E"/>
    <w:rsid w:val="00DC6DD5"/>
    <w:rsid w:val="00DC6EB2"/>
    <w:rsid w:val="00DC7155"/>
    <w:rsid w:val="00DD01D3"/>
    <w:rsid w:val="00DD0776"/>
    <w:rsid w:val="00DD0F18"/>
    <w:rsid w:val="00DD0F46"/>
    <w:rsid w:val="00DD0FFF"/>
    <w:rsid w:val="00DD179F"/>
    <w:rsid w:val="00DD1914"/>
    <w:rsid w:val="00DD1A35"/>
    <w:rsid w:val="00DD1BC5"/>
    <w:rsid w:val="00DD26ED"/>
    <w:rsid w:val="00DD28BB"/>
    <w:rsid w:val="00DD2A46"/>
    <w:rsid w:val="00DD2AF3"/>
    <w:rsid w:val="00DD2CC1"/>
    <w:rsid w:val="00DD415E"/>
    <w:rsid w:val="00DD4252"/>
    <w:rsid w:val="00DD510F"/>
    <w:rsid w:val="00DD5244"/>
    <w:rsid w:val="00DD52A1"/>
    <w:rsid w:val="00DD559C"/>
    <w:rsid w:val="00DD580F"/>
    <w:rsid w:val="00DD5819"/>
    <w:rsid w:val="00DD5899"/>
    <w:rsid w:val="00DD58EC"/>
    <w:rsid w:val="00DD59AC"/>
    <w:rsid w:val="00DD64A8"/>
    <w:rsid w:val="00DD66DF"/>
    <w:rsid w:val="00DD6DE0"/>
    <w:rsid w:val="00DD6F72"/>
    <w:rsid w:val="00DD73D4"/>
    <w:rsid w:val="00DD7E1B"/>
    <w:rsid w:val="00DE0415"/>
    <w:rsid w:val="00DE0A17"/>
    <w:rsid w:val="00DE0B8D"/>
    <w:rsid w:val="00DE0F1E"/>
    <w:rsid w:val="00DE10BF"/>
    <w:rsid w:val="00DE1317"/>
    <w:rsid w:val="00DE1471"/>
    <w:rsid w:val="00DE1A4C"/>
    <w:rsid w:val="00DE1CE8"/>
    <w:rsid w:val="00DE2686"/>
    <w:rsid w:val="00DE28E5"/>
    <w:rsid w:val="00DE2C1F"/>
    <w:rsid w:val="00DE2F96"/>
    <w:rsid w:val="00DE2FB4"/>
    <w:rsid w:val="00DE3CB4"/>
    <w:rsid w:val="00DE53A8"/>
    <w:rsid w:val="00DE58F7"/>
    <w:rsid w:val="00DE5C7E"/>
    <w:rsid w:val="00DE5CB4"/>
    <w:rsid w:val="00DE5D9A"/>
    <w:rsid w:val="00DE6041"/>
    <w:rsid w:val="00DE606D"/>
    <w:rsid w:val="00DE6441"/>
    <w:rsid w:val="00DE656F"/>
    <w:rsid w:val="00DE65A5"/>
    <w:rsid w:val="00DE6711"/>
    <w:rsid w:val="00DE68C4"/>
    <w:rsid w:val="00DE6A57"/>
    <w:rsid w:val="00DE6CFF"/>
    <w:rsid w:val="00DE70C9"/>
    <w:rsid w:val="00DE76C1"/>
    <w:rsid w:val="00DE7821"/>
    <w:rsid w:val="00DE7DAA"/>
    <w:rsid w:val="00DE7E32"/>
    <w:rsid w:val="00DE7F62"/>
    <w:rsid w:val="00DF002E"/>
    <w:rsid w:val="00DF01F5"/>
    <w:rsid w:val="00DF05D5"/>
    <w:rsid w:val="00DF0F8E"/>
    <w:rsid w:val="00DF1412"/>
    <w:rsid w:val="00DF1CE6"/>
    <w:rsid w:val="00DF1D0D"/>
    <w:rsid w:val="00DF1E6F"/>
    <w:rsid w:val="00DF1EC7"/>
    <w:rsid w:val="00DF1F2D"/>
    <w:rsid w:val="00DF2A7D"/>
    <w:rsid w:val="00DF3208"/>
    <w:rsid w:val="00DF3B41"/>
    <w:rsid w:val="00DF3C2A"/>
    <w:rsid w:val="00DF45F1"/>
    <w:rsid w:val="00DF4AB3"/>
    <w:rsid w:val="00DF4E9E"/>
    <w:rsid w:val="00DF5022"/>
    <w:rsid w:val="00DF52F4"/>
    <w:rsid w:val="00DF5498"/>
    <w:rsid w:val="00DF607E"/>
    <w:rsid w:val="00DF63F5"/>
    <w:rsid w:val="00DF6496"/>
    <w:rsid w:val="00DF69D4"/>
    <w:rsid w:val="00DF6C56"/>
    <w:rsid w:val="00DF6E3A"/>
    <w:rsid w:val="00DF6F35"/>
    <w:rsid w:val="00DF7054"/>
    <w:rsid w:val="00DF71BF"/>
    <w:rsid w:val="00DF720B"/>
    <w:rsid w:val="00DF76E9"/>
    <w:rsid w:val="00DF7B23"/>
    <w:rsid w:val="00DF7DC4"/>
    <w:rsid w:val="00DF7E8B"/>
    <w:rsid w:val="00E001E2"/>
    <w:rsid w:val="00E0033E"/>
    <w:rsid w:val="00E0050A"/>
    <w:rsid w:val="00E00849"/>
    <w:rsid w:val="00E00A0C"/>
    <w:rsid w:val="00E0124F"/>
    <w:rsid w:val="00E01B96"/>
    <w:rsid w:val="00E01D77"/>
    <w:rsid w:val="00E01E6A"/>
    <w:rsid w:val="00E0217D"/>
    <w:rsid w:val="00E023AA"/>
    <w:rsid w:val="00E02672"/>
    <w:rsid w:val="00E02E6E"/>
    <w:rsid w:val="00E033D1"/>
    <w:rsid w:val="00E03590"/>
    <w:rsid w:val="00E03996"/>
    <w:rsid w:val="00E040F6"/>
    <w:rsid w:val="00E04E4C"/>
    <w:rsid w:val="00E051C8"/>
    <w:rsid w:val="00E051E7"/>
    <w:rsid w:val="00E0543A"/>
    <w:rsid w:val="00E054BD"/>
    <w:rsid w:val="00E058E6"/>
    <w:rsid w:val="00E06045"/>
    <w:rsid w:val="00E06069"/>
    <w:rsid w:val="00E060F1"/>
    <w:rsid w:val="00E0642D"/>
    <w:rsid w:val="00E068E5"/>
    <w:rsid w:val="00E06B21"/>
    <w:rsid w:val="00E06F09"/>
    <w:rsid w:val="00E073CC"/>
    <w:rsid w:val="00E07413"/>
    <w:rsid w:val="00E0752C"/>
    <w:rsid w:val="00E07650"/>
    <w:rsid w:val="00E077F2"/>
    <w:rsid w:val="00E07819"/>
    <w:rsid w:val="00E07A46"/>
    <w:rsid w:val="00E1020C"/>
    <w:rsid w:val="00E1055C"/>
    <w:rsid w:val="00E10827"/>
    <w:rsid w:val="00E10CC0"/>
    <w:rsid w:val="00E11015"/>
    <w:rsid w:val="00E11405"/>
    <w:rsid w:val="00E1151B"/>
    <w:rsid w:val="00E11C08"/>
    <w:rsid w:val="00E11D7C"/>
    <w:rsid w:val="00E11E02"/>
    <w:rsid w:val="00E12119"/>
    <w:rsid w:val="00E126DF"/>
    <w:rsid w:val="00E12EB4"/>
    <w:rsid w:val="00E13216"/>
    <w:rsid w:val="00E13C97"/>
    <w:rsid w:val="00E13E16"/>
    <w:rsid w:val="00E13E4F"/>
    <w:rsid w:val="00E1461A"/>
    <w:rsid w:val="00E147DE"/>
    <w:rsid w:val="00E14907"/>
    <w:rsid w:val="00E1493B"/>
    <w:rsid w:val="00E149F1"/>
    <w:rsid w:val="00E14E20"/>
    <w:rsid w:val="00E151E6"/>
    <w:rsid w:val="00E152A9"/>
    <w:rsid w:val="00E1536C"/>
    <w:rsid w:val="00E16133"/>
    <w:rsid w:val="00E162E3"/>
    <w:rsid w:val="00E163D0"/>
    <w:rsid w:val="00E16436"/>
    <w:rsid w:val="00E164EB"/>
    <w:rsid w:val="00E1665B"/>
    <w:rsid w:val="00E16D13"/>
    <w:rsid w:val="00E16D32"/>
    <w:rsid w:val="00E176F6"/>
    <w:rsid w:val="00E17AD1"/>
    <w:rsid w:val="00E17B68"/>
    <w:rsid w:val="00E17C85"/>
    <w:rsid w:val="00E20318"/>
    <w:rsid w:val="00E20A4C"/>
    <w:rsid w:val="00E20AF0"/>
    <w:rsid w:val="00E20DC0"/>
    <w:rsid w:val="00E2104C"/>
    <w:rsid w:val="00E210CD"/>
    <w:rsid w:val="00E21426"/>
    <w:rsid w:val="00E2144F"/>
    <w:rsid w:val="00E2159F"/>
    <w:rsid w:val="00E21A89"/>
    <w:rsid w:val="00E21BC3"/>
    <w:rsid w:val="00E21FFC"/>
    <w:rsid w:val="00E220CE"/>
    <w:rsid w:val="00E22709"/>
    <w:rsid w:val="00E227A7"/>
    <w:rsid w:val="00E22895"/>
    <w:rsid w:val="00E22A2E"/>
    <w:rsid w:val="00E22DA2"/>
    <w:rsid w:val="00E2374A"/>
    <w:rsid w:val="00E239AB"/>
    <w:rsid w:val="00E23B94"/>
    <w:rsid w:val="00E23CB5"/>
    <w:rsid w:val="00E23F34"/>
    <w:rsid w:val="00E24BEE"/>
    <w:rsid w:val="00E24D24"/>
    <w:rsid w:val="00E251F3"/>
    <w:rsid w:val="00E25AB7"/>
    <w:rsid w:val="00E25C5F"/>
    <w:rsid w:val="00E266F6"/>
    <w:rsid w:val="00E27083"/>
    <w:rsid w:val="00E2714A"/>
    <w:rsid w:val="00E2764F"/>
    <w:rsid w:val="00E27885"/>
    <w:rsid w:val="00E278D4"/>
    <w:rsid w:val="00E278F9"/>
    <w:rsid w:val="00E27A4C"/>
    <w:rsid w:val="00E27A54"/>
    <w:rsid w:val="00E303B1"/>
    <w:rsid w:val="00E30A89"/>
    <w:rsid w:val="00E30BA9"/>
    <w:rsid w:val="00E30E98"/>
    <w:rsid w:val="00E3126A"/>
    <w:rsid w:val="00E319FB"/>
    <w:rsid w:val="00E31CC1"/>
    <w:rsid w:val="00E31D64"/>
    <w:rsid w:val="00E31E5C"/>
    <w:rsid w:val="00E31E93"/>
    <w:rsid w:val="00E33129"/>
    <w:rsid w:val="00E34598"/>
    <w:rsid w:val="00E3483B"/>
    <w:rsid w:val="00E35051"/>
    <w:rsid w:val="00E35060"/>
    <w:rsid w:val="00E35A28"/>
    <w:rsid w:val="00E36AB8"/>
    <w:rsid w:val="00E370B7"/>
    <w:rsid w:val="00E371A8"/>
    <w:rsid w:val="00E37454"/>
    <w:rsid w:val="00E375A6"/>
    <w:rsid w:val="00E37679"/>
    <w:rsid w:val="00E379BE"/>
    <w:rsid w:val="00E37F76"/>
    <w:rsid w:val="00E40412"/>
    <w:rsid w:val="00E40724"/>
    <w:rsid w:val="00E40A4E"/>
    <w:rsid w:val="00E40CD2"/>
    <w:rsid w:val="00E41554"/>
    <w:rsid w:val="00E416F1"/>
    <w:rsid w:val="00E41C58"/>
    <w:rsid w:val="00E41C97"/>
    <w:rsid w:val="00E41D4F"/>
    <w:rsid w:val="00E42226"/>
    <w:rsid w:val="00E42386"/>
    <w:rsid w:val="00E42DA8"/>
    <w:rsid w:val="00E43055"/>
    <w:rsid w:val="00E43306"/>
    <w:rsid w:val="00E4378A"/>
    <w:rsid w:val="00E43960"/>
    <w:rsid w:val="00E4397B"/>
    <w:rsid w:val="00E439E7"/>
    <w:rsid w:val="00E43C1C"/>
    <w:rsid w:val="00E43C62"/>
    <w:rsid w:val="00E43E55"/>
    <w:rsid w:val="00E43E90"/>
    <w:rsid w:val="00E440F8"/>
    <w:rsid w:val="00E44217"/>
    <w:rsid w:val="00E444FE"/>
    <w:rsid w:val="00E448B1"/>
    <w:rsid w:val="00E44E2D"/>
    <w:rsid w:val="00E45084"/>
    <w:rsid w:val="00E4511F"/>
    <w:rsid w:val="00E4537B"/>
    <w:rsid w:val="00E4548D"/>
    <w:rsid w:val="00E45D04"/>
    <w:rsid w:val="00E46158"/>
    <w:rsid w:val="00E46489"/>
    <w:rsid w:val="00E464FE"/>
    <w:rsid w:val="00E4684B"/>
    <w:rsid w:val="00E46E54"/>
    <w:rsid w:val="00E46ED3"/>
    <w:rsid w:val="00E47420"/>
    <w:rsid w:val="00E4743E"/>
    <w:rsid w:val="00E475F9"/>
    <w:rsid w:val="00E47794"/>
    <w:rsid w:val="00E479EA"/>
    <w:rsid w:val="00E47B9D"/>
    <w:rsid w:val="00E47D40"/>
    <w:rsid w:val="00E47D7E"/>
    <w:rsid w:val="00E47EC7"/>
    <w:rsid w:val="00E501C7"/>
    <w:rsid w:val="00E50319"/>
    <w:rsid w:val="00E50532"/>
    <w:rsid w:val="00E505E0"/>
    <w:rsid w:val="00E5066F"/>
    <w:rsid w:val="00E5179D"/>
    <w:rsid w:val="00E518BD"/>
    <w:rsid w:val="00E51CAB"/>
    <w:rsid w:val="00E52028"/>
    <w:rsid w:val="00E52197"/>
    <w:rsid w:val="00E5264E"/>
    <w:rsid w:val="00E52679"/>
    <w:rsid w:val="00E52C67"/>
    <w:rsid w:val="00E52E80"/>
    <w:rsid w:val="00E5312B"/>
    <w:rsid w:val="00E536D8"/>
    <w:rsid w:val="00E5393D"/>
    <w:rsid w:val="00E53A02"/>
    <w:rsid w:val="00E53CD3"/>
    <w:rsid w:val="00E53F21"/>
    <w:rsid w:val="00E540D1"/>
    <w:rsid w:val="00E54805"/>
    <w:rsid w:val="00E5511F"/>
    <w:rsid w:val="00E55321"/>
    <w:rsid w:val="00E553C0"/>
    <w:rsid w:val="00E554AA"/>
    <w:rsid w:val="00E555AB"/>
    <w:rsid w:val="00E55AEF"/>
    <w:rsid w:val="00E55E32"/>
    <w:rsid w:val="00E55E77"/>
    <w:rsid w:val="00E56261"/>
    <w:rsid w:val="00E565BF"/>
    <w:rsid w:val="00E56609"/>
    <w:rsid w:val="00E566C3"/>
    <w:rsid w:val="00E56818"/>
    <w:rsid w:val="00E568FC"/>
    <w:rsid w:val="00E56CC7"/>
    <w:rsid w:val="00E56F4D"/>
    <w:rsid w:val="00E5700A"/>
    <w:rsid w:val="00E574B3"/>
    <w:rsid w:val="00E57547"/>
    <w:rsid w:val="00E575F1"/>
    <w:rsid w:val="00E578AA"/>
    <w:rsid w:val="00E57A28"/>
    <w:rsid w:val="00E57F95"/>
    <w:rsid w:val="00E60141"/>
    <w:rsid w:val="00E60186"/>
    <w:rsid w:val="00E60595"/>
    <w:rsid w:val="00E60838"/>
    <w:rsid w:val="00E60A5B"/>
    <w:rsid w:val="00E60E0F"/>
    <w:rsid w:val="00E60ED5"/>
    <w:rsid w:val="00E622EE"/>
    <w:rsid w:val="00E62C2A"/>
    <w:rsid w:val="00E62C34"/>
    <w:rsid w:val="00E62C62"/>
    <w:rsid w:val="00E6309B"/>
    <w:rsid w:val="00E630A2"/>
    <w:rsid w:val="00E6327A"/>
    <w:rsid w:val="00E6350F"/>
    <w:rsid w:val="00E63B6F"/>
    <w:rsid w:val="00E6416A"/>
    <w:rsid w:val="00E64267"/>
    <w:rsid w:val="00E648F0"/>
    <w:rsid w:val="00E64C2E"/>
    <w:rsid w:val="00E64F45"/>
    <w:rsid w:val="00E64FC4"/>
    <w:rsid w:val="00E65464"/>
    <w:rsid w:val="00E656A2"/>
    <w:rsid w:val="00E656FA"/>
    <w:rsid w:val="00E65914"/>
    <w:rsid w:val="00E65B1C"/>
    <w:rsid w:val="00E65F58"/>
    <w:rsid w:val="00E6614B"/>
    <w:rsid w:val="00E6618A"/>
    <w:rsid w:val="00E66994"/>
    <w:rsid w:val="00E66B92"/>
    <w:rsid w:val="00E66BCF"/>
    <w:rsid w:val="00E66DAD"/>
    <w:rsid w:val="00E66E7F"/>
    <w:rsid w:val="00E67194"/>
    <w:rsid w:val="00E67E5E"/>
    <w:rsid w:val="00E67E95"/>
    <w:rsid w:val="00E70419"/>
    <w:rsid w:val="00E70963"/>
    <w:rsid w:val="00E709E0"/>
    <w:rsid w:val="00E70A62"/>
    <w:rsid w:val="00E70ADE"/>
    <w:rsid w:val="00E70C46"/>
    <w:rsid w:val="00E70D39"/>
    <w:rsid w:val="00E70DD7"/>
    <w:rsid w:val="00E7109A"/>
    <w:rsid w:val="00E713BD"/>
    <w:rsid w:val="00E71625"/>
    <w:rsid w:val="00E7199F"/>
    <w:rsid w:val="00E71E69"/>
    <w:rsid w:val="00E723A5"/>
    <w:rsid w:val="00E726D3"/>
    <w:rsid w:val="00E727FE"/>
    <w:rsid w:val="00E72F85"/>
    <w:rsid w:val="00E734D1"/>
    <w:rsid w:val="00E734F7"/>
    <w:rsid w:val="00E736C7"/>
    <w:rsid w:val="00E73BC0"/>
    <w:rsid w:val="00E73E2F"/>
    <w:rsid w:val="00E74278"/>
    <w:rsid w:val="00E742B5"/>
    <w:rsid w:val="00E744AB"/>
    <w:rsid w:val="00E74630"/>
    <w:rsid w:val="00E746C3"/>
    <w:rsid w:val="00E74782"/>
    <w:rsid w:val="00E74D7C"/>
    <w:rsid w:val="00E7503F"/>
    <w:rsid w:val="00E755F7"/>
    <w:rsid w:val="00E758DE"/>
    <w:rsid w:val="00E768E3"/>
    <w:rsid w:val="00E77C10"/>
    <w:rsid w:val="00E77F87"/>
    <w:rsid w:val="00E8074F"/>
    <w:rsid w:val="00E80EE6"/>
    <w:rsid w:val="00E81202"/>
    <w:rsid w:val="00E8163D"/>
    <w:rsid w:val="00E8181B"/>
    <w:rsid w:val="00E81F92"/>
    <w:rsid w:val="00E8253F"/>
    <w:rsid w:val="00E82D7A"/>
    <w:rsid w:val="00E8318F"/>
    <w:rsid w:val="00E835B8"/>
    <w:rsid w:val="00E838A4"/>
    <w:rsid w:val="00E83A11"/>
    <w:rsid w:val="00E83F43"/>
    <w:rsid w:val="00E85864"/>
    <w:rsid w:val="00E85EB5"/>
    <w:rsid w:val="00E861FB"/>
    <w:rsid w:val="00E8663D"/>
    <w:rsid w:val="00E867E9"/>
    <w:rsid w:val="00E87197"/>
    <w:rsid w:val="00E872FA"/>
    <w:rsid w:val="00E87AB3"/>
    <w:rsid w:val="00E90876"/>
    <w:rsid w:val="00E90B64"/>
    <w:rsid w:val="00E90C4B"/>
    <w:rsid w:val="00E90CC3"/>
    <w:rsid w:val="00E910F4"/>
    <w:rsid w:val="00E914BC"/>
    <w:rsid w:val="00E91517"/>
    <w:rsid w:val="00E923B0"/>
    <w:rsid w:val="00E9251E"/>
    <w:rsid w:val="00E92AD8"/>
    <w:rsid w:val="00E930BB"/>
    <w:rsid w:val="00E933A5"/>
    <w:rsid w:val="00E93DC0"/>
    <w:rsid w:val="00E9460F"/>
    <w:rsid w:val="00E94CF2"/>
    <w:rsid w:val="00E951B1"/>
    <w:rsid w:val="00E95327"/>
    <w:rsid w:val="00E9563E"/>
    <w:rsid w:val="00E95925"/>
    <w:rsid w:val="00E95AB5"/>
    <w:rsid w:val="00E95FF3"/>
    <w:rsid w:val="00E96220"/>
    <w:rsid w:val="00E962BC"/>
    <w:rsid w:val="00E962EF"/>
    <w:rsid w:val="00E965A2"/>
    <w:rsid w:val="00E966C1"/>
    <w:rsid w:val="00E96E27"/>
    <w:rsid w:val="00E971A2"/>
    <w:rsid w:val="00E974CB"/>
    <w:rsid w:val="00E97B67"/>
    <w:rsid w:val="00E97F4A"/>
    <w:rsid w:val="00E97FAE"/>
    <w:rsid w:val="00EA001A"/>
    <w:rsid w:val="00EA0406"/>
    <w:rsid w:val="00EA05D4"/>
    <w:rsid w:val="00EA0C80"/>
    <w:rsid w:val="00EA0D68"/>
    <w:rsid w:val="00EA0EA0"/>
    <w:rsid w:val="00EA1318"/>
    <w:rsid w:val="00EA13DE"/>
    <w:rsid w:val="00EA1929"/>
    <w:rsid w:val="00EA1B21"/>
    <w:rsid w:val="00EA2F33"/>
    <w:rsid w:val="00EA2F9F"/>
    <w:rsid w:val="00EA3154"/>
    <w:rsid w:val="00EA364C"/>
    <w:rsid w:val="00EA38CA"/>
    <w:rsid w:val="00EA3B6D"/>
    <w:rsid w:val="00EA486E"/>
    <w:rsid w:val="00EA5451"/>
    <w:rsid w:val="00EA55C7"/>
    <w:rsid w:val="00EA604A"/>
    <w:rsid w:val="00EA62B0"/>
    <w:rsid w:val="00EA63E9"/>
    <w:rsid w:val="00EA6503"/>
    <w:rsid w:val="00EA65A4"/>
    <w:rsid w:val="00EA69F1"/>
    <w:rsid w:val="00EA6ADC"/>
    <w:rsid w:val="00EA6B90"/>
    <w:rsid w:val="00EA6C1B"/>
    <w:rsid w:val="00EA6F07"/>
    <w:rsid w:val="00EA7866"/>
    <w:rsid w:val="00EA7DB6"/>
    <w:rsid w:val="00EB02F0"/>
    <w:rsid w:val="00EB0705"/>
    <w:rsid w:val="00EB0D7F"/>
    <w:rsid w:val="00EB0FF2"/>
    <w:rsid w:val="00EB11F2"/>
    <w:rsid w:val="00EB17EC"/>
    <w:rsid w:val="00EB199B"/>
    <w:rsid w:val="00EB1AFD"/>
    <w:rsid w:val="00EB1FD4"/>
    <w:rsid w:val="00EB2497"/>
    <w:rsid w:val="00EB2AD4"/>
    <w:rsid w:val="00EB31F5"/>
    <w:rsid w:val="00EB3531"/>
    <w:rsid w:val="00EB362B"/>
    <w:rsid w:val="00EB3E21"/>
    <w:rsid w:val="00EB3FC5"/>
    <w:rsid w:val="00EB40E0"/>
    <w:rsid w:val="00EB40F3"/>
    <w:rsid w:val="00EB4D80"/>
    <w:rsid w:val="00EB5035"/>
    <w:rsid w:val="00EB5576"/>
    <w:rsid w:val="00EB56CD"/>
    <w:rsid w:val="00EB57BC"/>
    <w:rsid w:val="00EB5F27"/>
    <w:rsid w:val="00EB61BC"/>
    <w:rsid w:val="00EB630D"/>
    <w:rsid w:val="00EB67FD"/>
    <w:rsid w:val="00EB6A4E"/>
    <w:rsid w:val="00EB6BF5"/>
    <w:rsid w:val="00EB6CC7"/>
    <w:rsid w:val="00EB6EC9"/>
    <w:rsid w:val="00EB7104"/>
    <w:rsid w:val="00EB76BD"/>
    <w:rsid w:val="00EB77C9"/>
    <w:rsid w:val="00EB7BF1"/>
    <w:rsid w:val="00EB7ED0"/>
    <w:rsid w:val="00EC06EB"/>
    <w:rsid w:val="00EC0B5D"/>
    <w:rsid w:val="00EC0DE1"/>
    <w:rsid w:val="00EC1222"/>
    <w:rsid w:val="00EC1F7F"/>
    <w:rsid w:val="00EC22F5"/>
    <w:rsid w:val="00EC29BB"/>
    <w:rsid w:val="00EC29F4"/>
    <w:rsid w:val="00EC312F"/>
    <w:rsid w:val="00EC3384"/>
    <w:rsid w:val="00EC3490"/>
    <w:rsid w:val="00EC3600"/>
    <w:rsid w:val="00EC3B3F"/>
    <w:rsid w:val="00EC419C"/>
    <w:rsid w:val="00EC4981"/>
    <w:rsid w:val="00EC4BC9"/>
    <w:rsid w:val="00EC4F99"/>
    <w:rsid w:val="00EC5762"/>
    <w:rsid w:val="00EC5AF4"/>
    <w:rsid w:val="00EC5B3B"/>
    <w:rsid w:val="00EC5BFE"/>
    <w:rsid w:val="00EC65D9"/>
    <w:rsid w:val="00EC693C"/>
    <w:rsid w:val="00EC6EA5"/>
    <w:rsid w:val="00EC77F1"/>
    <w:rsid w:val="00EC79BF"/>
    <w:rsid w:val="00EC7A5D"/>
    <w:rsid w:val="00EC7C16"/>
    <w:rsid w:val="00ED00AF"/>
    <w:rsid w:val="00ED040F"/>
    <w:rsid w:val="00ED0497"/>
    <w:rsid w:val="00ED0C3F"/>
    <w:rsid w:val="00ED0E6A"/>
    <w:rsid w:val="00ED0E74"/>
    <w:rsid w:val="00ED1016"/>
    <w:rsid w:val="00ED149E"/>
    <w:rsid w:val="00ED1522"/>
    <w:rsid w:val="00ED159E"/>
    <w:rsid w:val="00ED213A"/>
    <w:rsid w:val="00ED2328"/>
    <w:rsid w:val="00ED24C1"/>
    <w:rsid w:val="00ED271D"/>
    <w:rsid w:val="00ED277F"/>
    <w:rsid w:val="00ED2AAE"/>
    <w:rsid w:val="00ED2C0F"/>
    <w:rsid w:val="00ED2E7E"/>
    <w:rsid w:val="00ED3A31"/>
    <w:rsid w:val="00ED4830"/>
    <w:rsid w:val="00ED495C"/>
    <w:rsid w:val="00ED4BDE"/>
    <w:rsid w:val="00ED4CF9"/>
    <w:rsid w:val="00ED5412"/>
    <w:rsid w:val="00ED55E8"/>
    <w:rsid w:val="00ED5A00"/>
    <w:rsid w:val="00ED6631"/>
    <w:rsid w:val="00ED6CFB"/>
    <w:rsid w:val="00ED6D02"/>
    <w:rsid w:val="00ED6D1D"/>
    <w:rsid w:val="00ED7439"/>
    <w:rsid w:val="00ED7764"/>
    <w:rsid w:val="00ED7869"/>
    <w:rsid w:val="00ED7B5A"/>
    <w:rsid w:val="00ED7F18"/>
    <w:rsid w:val="00EE00D5"/>
    <w:rsid w:val="00EE0500"/>
    <w:rsid w:val="00EE0DDF"/>
    <w:rsid w:val="00EE0F14"/>
    <w:rsid w:val="00EE1173"/>
    <w:rsid w:val="00EE12A4"/>
    <w:rsid w:val="00EE169C"/>
    <w:rsid w:val="00EE1722"/>
    <w:rsid w:val="00EE199A"/>
    <w:rsid w:val="00EE19E1"/>
    <w:rsid w:val="00EE1D54"/>
    <w:rsid w:val="00EE1D7F"/>
    <w:rsid w:val="00EE1F18"/>
    <w:rsid w:val="00EE213C"/>
    <w:rsid w:val="00EE28AB"/>
    <w:rsid w:val="00EE2BDA"/>
    <w:rsid w:val="00EE365A"/>
    <w:rsid w:val="00EE3664"/>
    <w:rsid w:val="00EE3F85"/>
    <w:rsid w:val="00EE4EF6"/>
    <w:rsid w:val="00EE510D"/>
    <w:rsid w:val="00EE56D4"/>
    <w:rsid w:val="00EE5BEE"/>
    <w:rsid w:val="00EE5FB8"/>
    <w:rsid w:val="00EE60FF"/>
    <w:rsid w:val="00EE6231"/>
    <w:rsid w:val="00EE6C71"/>
    <w:rsid w:val="00EE6CB5"/>
    <w:rsid w:val="00EF01C4"/>
    <w:rsid w:val="00EF026B"/>
    <w:rsid w:val="00EF0480"/>
    <w:rsid w:val="00EF066A"/>
    <w:rsid w:val="00EF0993"/>
    <w:rsid w:val="00EF0B6F"/>
    <w:rsid w:val="00EF103D"/>
    <w:rsid w:val="00EF1CB4"/>
    <w:rsid w:val="00EF2222"/>
    <w:rsid w:val="00EF2409"/>
    <w:rsid w:val="00EF2450"/>
    <w:rsid w:val="00EF2A80"/>
    <w:rsid w:val="00EF2AAA"/>
    <w:rsid w:val="00EF2AC3"/>
    <w:rsid w:val="00EF2FCE"/>
    <w:rsid w:val="00EF308C"/>
    <w:rsid w:val="00EF326B"/>
    <w:rsid w:val="00EF38D6"/>
    <w:rsid w:val="00EF3B4F"/>
    <w:rsid w:val="00EF412A"/>
    <w:rsid w:val="00EF438B"/>
    <w:rsid w:val="00EF4B4A"/>
    <w:rsid w:val="00EF5303"/>
    <w:rsid w:val="00EF5C12"/>
    <w:rsid w:val="00EF5FFC"/>
    <w:rsid w:val="00EF6030"/>
    <w:rsid w:val="00EF61CB"/>
    <w:rsid w:val="00EF6383"/>
    <w:rsid w:val="00EF647B"/>
    <w:rsid w:val="00EF6531"/>
    <w:rsid w:val="00EF68A6"/>
    <w:rsid w:val="00EF6CE1"/>
    <w:rsid w:val="00EF6D95"/>
    <w:rsid w:val="00EF6F43"/>
    <w:rsid w:val="00EF6FC1"/>
    <w:rsid w:val="00EF7778"/>
    <w:rsid w:val="00EF7C84"/>
    <w:rsid w:val="00EF7E08"/>
    <w:rsid w:val="00F00264"/>
    <w:rsid w:val="00F0054C"/>
    <w:rsid w:val="00F0066B"/>
    <w:rsid w:val="00F00672"/>
    <w:rsid w:val="00F009A8"/>
    <w:rsid w:val="00F00E50"/>
    <w:rsid w:val="00F00F06"/>
    <w:rsid w:val="00F01038"/>
    <w:rsid w:val="00F01244"/>
    <w:rsid w:val="00F01383"/>
    <w:rsid w:val="00F01674"/>
    <w:rsid w:val="00F0172D"/>
    <w:rsid w:val="00F01950"/>
    <w:rsid w:val="00F01D9B"/>
    <w:rsid w:val="00F021C5"/>
    <w:rsid w:val="00F02228"/>
    <w:rsid w:val="00F023D6"/>
    <w:rsid w:val="00F02EBE"/>
    <w:rsid w:val="00F03556"/>
    <w:rsid w:val="00F03FEC"/>
    <w:rsid w:val="00F04202"/>
    <w:rsid w:val="00F047AB"/>
    <w:rsid w:val="00F0482A"/>
    <w:rsid w:val="00F049B5"/>
    <w:rsid w:val="00F056EA"/>
    <w:rsid w:val="00F05D27"/>
    <w:rsid w:val="00F06022"/>
    <w:rsid w:val="00F068E4"/>
    <w:rsid w:val="00F06AE7"/>
    <w:rsid w:val="00F06D45"/>
    <w:rsid w:val="00F06F88"/>
    <w:rsid w:val="00F07577"/>
    <w:rsid w:val="00F0763F"/>
    <w:rsid w:val="00F07752"/>
    <w:rsid w:val="00F07BF6"/>
    <w:rsid w:val="00F100C5"/>
    <w:rsid w:val="00F10425"/>
    <w:rsid w:val="00F109EC"/>
    <w:rsid w:val="00F10C0C"/>
    <w:rsid w:val="00F10C87"/>
    <w:rsid w:val="00F10D45"/>
    <w:rsid w:val="00F11470"/>
    <w:rsid w:val="00F115B8"/>
    <w:rsid w:val="00F1161B"/>
    <w:rsid w:val="00F11656"/>
    <w:rsid w:val="00F11885"/>
    <w:rsid w:val="00F11F3A"/>
    <w:rsid w:val="00F1201A"/>
    <w:rsid w:val="00F1251A"/>
    <w:rsid w:val="00F1272E"/>
    <w:rsid w:val="00F12914"/>
    <w:rsid w:val="00F12A6B"/>
    <w:rsid w:val="00F131C5"/>
    <w:rsid w:val="00F13427"/>
    <w:rsid w:val="00F137F7"/>
    <w:rsid w:val="00F14256"/>
    <w:rsid w:val="00F147C2"/>
    <w:rsid w:val="00F1483D"/>
    <w:rsid w:val="00F14BA1"/>
    <w:rsid w:val="00F15191"/>
    <w:rsid w:val="00F1531E"/>
    <w:rsid w:val="00F154D5"/>
    <w:rsid w:val="00F15690"/>
    <w:rsid w:val="00F1586F"/>
    <w:rsid w:val="00F158C3"/>
    <w:rsid w:val="00F15B43"/>
    <w:rsid w:val="00F15B64"/>
    <w:rsid w:val="00F15BFC"/>
    <w:rsid w:val="00F15CAD"/>
    <w:rsid w:val="00F161F6"/>
    <w:rsid w:val="00F16431"/>
    <w:rsid w:val="00F16653"/>
    <w:rsid w:val="00F16E1B"/>
    <w:rsid w:val="00F17344"/>
    <w:rsid w:val="00F1775D"/>
    <w:rsid w:val="00F17872"/>
    <w:rsid w:val="00F203C0"/>
    <w:rsid w:val="00F205B6"/>
    <w:rsid w:val="00F20F4F"/>
    <w:rsid w:val="00F210DE"/>
    <w:rsid w:val="00F21577"/>
    <w:rsid w:val="00F216C4"/>
    <w:rsid w:val="00F218BA"/>
    <w:rsid w:val="00F21B81"/>
    <w:rsid w:val="00F21E02"/>
    <w:rsid w:val="00F2236E"/>
    <w:rsid w:val="00F22684"/>
    <w:rsid w:val="00F226D1"/>
    <w:rsid w:val="00F22891"/>
    <w:rsid w:val="00F22B40"/>
    <w:rsid w:val="00F231E6"/>
    <w:rsid w:val="00F23297"/>
    <w:rsid w:val="00F235A1"/>
    <w:rsid w:val="00F23A24"/>
    <w:rsid w:val="00F242BC"/>
    <w:rsid w:val="00F24351"/>
    <w:rsid w:val="00F24A7E"/>
    <w:rsid w:val="00F24B17"/>
    <w:rsid w:val="00F24C0C"/>
    <w:rsid w:val="00F25162"/>
    <w:rsid w:val="00F25B30"/>
    <w:rsid w:val="00F25BE7"/>
    <w:rsid w:val="00F25D4A"/>
    <w:rsid w:val="00F25F20"/>
    <w:rsid w:val="00F26BC6"/>
    <w:rsid w:val="00F270B9"/>
    <w:rsid w:val="00F27231"/>
    <w:rsid w:val="00F2743C"/>
    <w:rsid w:val="00F27461"/>
    <w:rsid w:val="00F276DE"/>
    <w:rsid w:val="00F27EB3"/>
    <w:rsid w:val="00F27F15"/>
    <w:rsid w:val="00F3018E"/>
    <w:rsid w:val="00F30375"/>
    <w:rsid w:val="00F30594"/>
    <w:rsid w:val="00F305DF"/>
    <w:rsid w:val="00F30821"/>
    <w:rsid w:val="00F309E4"/>
    <w:rsid w:val="00F30B7E"/>
    <w:rsid w:val="00F30C6C"/>
    <w:rsid w:val="00F31C9A"/>
    <w:rsid w:val="00F31D9C"/>
    <w:rsid w:val="00F3213E"/>
    <w:rsid w:val="00F32345"/>
    <w:rsid w:val="00F3271B"/>
    <w:rsid w:val="00F3275C"/>
    <w:rsid w:val="00F32CBB"/>
    <w:rsid w:val="00F33027"/>
    <w:rsid w:val="00F3307B"/>
    <w:rsid w:val="00F3326D"/>
    <w:rsid w:val="00F332F2"/>
    <w:rsid w:val="00F33586"/>
    <w:rsid w:val="00F33C93"/>
    <w:rsid w:val="00F33E18"/>
    <w:rsid w:val="00F3478F"/>
    <w:rsid w:val="00F34C08"/>
    <w:rsid w:val="00F34D13"/>
    <w:rsid w:val="00F34E11"/>
    <w:rsid w:val="00F35046"/>
    <w:rsid w:val="00F3539E"/>
    <w:rsid w:val="00F358A1"/>
    <w:rsid w:val="00F36766"/>
    <w:rsid w:val="00F37109"/>
    <w:rsid w:val="00F37866"/>
    <w:rsid w:val="00F37BE4"/>
    <w:rsid w:val="00F37C3B"/>
    <w:rsid w:val="00F4011E"/>
    <w:rsid w:val="00F4031D"/>
    <w:rsid w:val="00F408D1"/>
    <w:rsid w:val="00F40D55"/>
    <w:rsid w:val="00F4133B"/>
    <w:rsid w:val="00F41380"/>
    <w:rsid w:val="00F41A96"/>
    <w:rsid w:val="00F41DB3"/>
    <w:rsid w:val="00F41DBE"/>
    <w:rsid w:val="00F41E5C"/>
    <w:rsid w:val="00F420FD"/>
    <w:rsid w:val="00F422DB"/>
    <w:rsid w:val="00F423C9"/>
    <w:rsid w:val="00F425A5"/>
    <w:rsid w:val="00F425FE"/>
    <w:rsid w:val="00F42887"/>
    <w:rsid w:val="00F428F7"/>
    <w:rsid w:val="00F44943"/>
    <w:rsid w:val="00F44A6F"/>
    <w:rsid w:val="00F453B0"/>
    <w:rsid w:val="00F454F1"/>
    <w:rsid w:val="00F45A98"/>
    <w:rsid w:val="00F45E31"/>
    <w:rsid w:val="00F45EEC"/>
    <w:rsid w:val="00F464F3"/>
    <w:rsid w:val="00F4681B"/>
    <w:rsid w:val="00F469DF"/>
    <w:rsid w:val="00F4781B"/>
    <w:rsid w:val="00F4792F"/>
    <w:rsid w:val="00F47C65"/>
    <w:rsid w:val="00F50124"/>
    <w:rsid w:val="00F508C1"/>
    <w:rsid w:val="00F50E1A"/>
    <w:rsid w:val="00F5116E"/>
    <w:rsid w:val="00F512D9"/>
    <w:rsid w:val="00F51855"/>
    <w:rsid w:val="00F51BB3"/>
    <w:rsid w:val="00F51D70"/>
    <w:rsid w:val="00F51E6E"/>
    <w:rsid w:val="00F51F16"/>
    <w:rsid w:val="00F520C0"/>
    <w:rsid w:val="00F52ACC"/>
    <w:rsid w:val="00F52E1E"/>
    <w:rsid w:val="00F5347B"/>
    <w:rsid w:val="00F537F8"/>
    <w:rsid w:val="00F53B3D"/>
    <w:rsid w:val="00F53E1A"/>
    <w:rsid w:val="00F53FC3"/>
    <w:rsid w:val="00F54A31"/>
    <w:rsid w:val="00F5610C"/>
    <w:rsid w:val="00F5677A"/>
    <w:rsid w:val="00F56814"/>
    <w:rsid w:val="00F568F5"/>
    <w:rsid w:val="00F56F60"/>
    <w:rsid w:val="00F57526"/>
    <w:rsid w:val="00F5768A"/>
    <w:rsid w:val="00F57ABD"/>
    <w:rsid w:val="00F57C2D"/>
    <w:rsid w:val="00F57C92"/>
    <w:rsid w:val="00F600B8"/>
    <w:rsid w:val="00F600DE"/>
    <w:rsid w:val="00F60245"/>
    <w:rsid w:val="00F6087F"/>
    <w:rsid w:val="00F6095A"/>
    <w:rsid w:val="00F60996"/>
    <w:rsid w:val="00F60AB9"/>
    <w:rsid w:val="00F60C49"/>
    <w:rsid w:val="00F60F84"/>
    <w:rsid w:val="00F61488"/>
    <w:rsid w:val="00F615A3"/>
    <w:rsid w:val="00F6208B"/>
    <w:rsid w:val="00F62890"/>
    <w:rsid w:val="00F62956"/>
    <w:rsid w:val="00F62AED"/>
    <w:rsid w:val="00F62B0F"/>
    <w:rsid w:val="00F62DD7"/>
    <w:rsid w:val="00F62E8A"/>
    <w:rsid w:val="00F632CB"/>
    <w:rsid w:val="00F63538"/>
    <w:rsid w:val="00F63740"/>
    <w:rsid w:val="00F63ACE"/>
    <w:rsid w:val="00F6422A"/>
    <w:rsid w:val="00F642FD"/>
    <w:rsid w:val="00F64AC5"/>
    <w:rsid w:val="00F64AFA"/>
    <w:rsid w:val="00F64C6B"/>
    <w:rsid w:val="00F65176"/>
    <w:rsid w:val="00F651A3"/>
    <w:rsid w:val="00F6548F"/>
    <w:rsid w:val="00F661C2"/>
    <w:rsid w:val="00F6640B"/>
    <w:rsid w:val="00F67310"/>
    <w:rsid w:val="00F6742A"/>
    <w:rsid w:val="00F6761D"/>
    <w:rsid w:val="00F678DF"/>
    <w:rsid w:val="00F67915"/>
    <w:rsid w:val="00F67C2E"/>
    <w:rsid w:val="00F67D9F"/>
    <w:rsid w:val="00F703F7"/>
    <w:rsid w:val="00F7040E"/>
    <w:rsid w:val="00F7056E"/>
    <w:rsid w:val="00F7067D"/>
    <w:rsid w:val="00F7092D"/>
    <w:rsid w:val="00F70B25"/>
    <w:rsid w:val="00F70BE8"/>
    <w:rsid w:val="00F70C44"/>
    <w:rsid w:val="00F70C84"/>
    <w:rsid w:val="00F70CB2"/>
    <w:rsid w:val="00F70F30"/>
    <w:rsid w:val="00F70F34"/>
    <w:rsid w:val="00F71B29"/>
    <w:rsid w:val="00F71D4A"/>
    <w:rsid w:val="00F7215A"/>
    <w:rsid w:val="00F729EA"/>
    <w:rsid w:val="00F72A7F"/>
    <w:rsid w:val="00F72C96"/>
    <w:rsid w:val="00F730DC"/>
    <w:rsid w:val="00F730F0"/>
    <w:rsid w:val="00F73492"/>
    <w:rsid w:val="00F73509"/>
    <w:rsid w:val="00F73543"/>
    <w:rsid w:val="00F73C08"/>
    <w:rsid w:val="00F73C71"/>
    <w:rsid w:val="00F741F4"/>
    <w:rsid w:val="00F74369"/>
    <w:rsid w:val="00F743C1"/>
    <w:rsid w:val="00F74762"/>
    <w:rsid w:val="00F747D6"/>
    <w:rsid w:val="00F75927"/>
    <w:rsid w:val="00F759F7"/>
    <w:rsid w:val="00F75A25"/>
    <w:rsid w:val="00F75FF6"/>
    <w:rsid w:val="00F76102"/>
    <w:rsid w:val="00F76BBF"/>
    <w:rsid w:val="00F7705C"/>
    <w:rsid w:val="00F77391"/>
    <w:rsid w:val="00F77500"/>
    <w:rsid w:val="00F77B39"/>
    <w:rsid w:val="00F77CAD"/>
    <w:rsid w:val="00F80206"/>
    <w:rsid w:val="00F80576"/>
    <w:rsid w:val="00F8060F"/>
    <w:rsid w:val="00F80930"/>
    <w:rsid w:val="00F80B4D"/>
    <w:rsid w:val="00F80C9F"/>
    <w:rsid w:val="00F80E1D"/>
    <w:rsid w:val="00F818CF"/>
    <w:rsid w:val="00F81AE2"/>
    <w:rsid w:val="00F81BE0"/>
    <w:rsid w:val="00F81D72"/>
    <w:rsid w:val="00F827A7"/>
    <w:rsid w:val="00F82B8B"/>
    <w:rsid w:val="00F83820"/>
    <w:rsid w:val="00F83A5E"/>
    <w:rsid w:val="00F84098"/>
    <w:rsid w:val="00F8444D"/>
    <w:rsid w:val="00F848FA"/>
    <w:rsid w:val="00F84910"/>
    <w:rsid w:val="00F849F5"/>
    <w:rsid w:val="00F84A8B"/>
    <w:rsid w:val="00F84C21"/>
    <w:rsid w:val="00F84C8E"/>
    <w:rsid w:val="00F85041"/>
    <w:rsid w:val="00F8517D"/>
    <w:rsid w:val="00F8636E"/>
    <w:rsid w:val="00F869CD"/>
    <w:rsid w:val="00F86B79"/>
    <w:rsid w:val="00F872D5"/>
    <w:rsid w:val="00F87372"/>
    <w:rsid w:val="00F876D3"/>
    <w:rsid w:val="00F87A55"/>
    <w:rsid w:val="00F87C77"/>
    <w:rsid w:val="00F87CAA"/>
    <w:rsid w:val="00F90CA8"/>
    <w:rsid w:val="00F912D6"/>
    <w:rsid w:val="00F913CE"/>
    <w:rsid w:val="00F9143E"/>
    <w:rsid w:val="00F91DFD"/>
    <w:rsid w:val="00F92551"/>
    <w:rsid w:val="00F9272E"/>
    <w:rsid w:val="00F92BA3"/>
    <w:rsid w:val="00F93209"/>
    <w:rsid w:val="00F9369D"/>
    <w:rsid w:val="00F936C4"/>
    <w:rsid w:val="00F936EC"/>
    <w:rsid w:val="00F93A9F"/>
    <w:rsid w:val="00F93E75"/>
    <w:rsid w:val="00F93FCE"/>
    <w:rsid w:val="00F94234"/>
    <w:rsid w:val="00F953E2"/>
    <w:rsid w:val="00F9589C"/>
    <w:rsid w:val="00F958D4"/>
    <w:rsid w:val="00F95968"/>
    <w:rsid w:val="00F96562"/>
    <w:rsid w:val="00F96619"/>
    <w:rsid w:val="00F9667F"/>
    <w:rsid w:val="00F9675E"/>
    <w:rsid w:val="00F96781"/>
    <w:rsid w:val="00F96BBB"/>
    <w:rsid w:val="00F96D00"/>
    <w:rsid w:val="00F96ED9"/>
    <w:rsid w:val="00F97085"/>
    <w:rsid w:val="00F972B7"/>
    <w:rsid w:val="00F9734C"/>
    <w:rsid w:val="00F97593"/>
    <w:rsid w:val="00F97A0E"/>
    <w:rsid w:val="00FA0552"/>
    <w:rsid w:val="00FA0949"/>
    <w:rsid w:val="00FA09BD"/>
    <w:rsid w:val="00FA10B4"/>
    <w:rsid w:val="00FA1B19"/>
    <w:rsid w:val="00FA1DD5"/>
    <w:rsid w:val="00FA22F7"/>
    <w:rsid w:val="00FA2424"/>
    <w:rsid w:val="00FA2A7B"/>
    <w:rsid w:val="00FA3044"/>
    <w:rsid w:val="00FA3219"/>
    <w:rsid w:val="00FA32F8"/>
    <w:rsid w:val="00FA38BB"/>
    <w:rsid w:val="00FA38E8"/>
    <w:rsid w:val="00FA3BF0"/>
    <w:rsid w:val="00FA3ED9"/>
    <w:rsid w:val="00FA42C8"/>
    <w:rsid w:val="00FA44A0"/>
    <w:rsid w:val="00FA4679"/>
    <w:rsid w:val="00FA48D5"/>
    <w:rsid w:val="00FA4B85"/>
    <w:rsid w:val="00FA4C7F"/>
    <w:rsid w:val="00FA4EC5"/>
    <w:rsid w:val="00FA54BC"/>
    <w:rsid w:val="00FA568B"/>
    <w:rsid w:val="00FA56FE"/>
    <w:rsid w:val="00FA5FE4"/>
    <w:rsid w:val="00FA60C8"/>
    <w:rsid w:val="00FA621F"/>
    <w:rsid w:val="00FA622B"/>
    <w:rsid w:val="00FA65E9"/>
    <w:rsid w:val="00FA6A0B"/>
    <w:rsid w:val="00FA6B66"/>
    <w:rsid w:val="00FA6C67"/>
    <w:rsid w:val="00FA6C9A"/>
    <w:rsid w:val="00FA6DAB"/>
    <w:rsid w:val="00FA6EA4"/>
    <w:rsid w:val="00FA6F7B"/>
    <w:rsid w:val="00FA7009"/>
    <w:rsid w:val="00FA7CB7"/>
    <w:rsid w:val="00FB03D9"/>
    <w:rsid w:val="00FB06F6"/>
    <w:rsid w:val="00FB0CE8"/>
    <w:rsid w:val="00FB0FD5"/>
    <w:rsid w:val="00FB14C3"/>
    <w:rsid w:val="00FB17CE"/>
    <w:rsid w:val="00FB18F9"/>
    <w:rsid w:val="00FB1AEE"/>
    <w:rsid w:val="00FB1C79"/>
    <w:rsid w:val="00FB1CC2"/>
    <w:rsid w:val="00FB26BB"/>
    <w:rsid w:val="00FB281D"/>
    <w:rsid w:val="00FB29A8"/>
    <w:rsid w:val="00FB2AFB"/>
    <w:rsid w:val="00FB2BB5"/>
    <w:rsid w:val="00FB3306"/>
    <w:rsid w:val="00FB3A71"/>
    <w:rsid w:val="00FB3C15"/>
    <w:rsid w:val="00FB3CC3"/>
    <w:rsid w:val="00FB4231"/>
    <w:rsid w:val="00FB4474"/>
    <w:rsid w:val="00FB4628"/>
    <w:rsid w:val="00FB52D2"/>
    <w:rsid w:val="00FB5AD4"/>
    <w:rsid w:val="00FB62F7"/>
    <w:rsid w:val="00FB741C"/>
    <w:rsid w:val="00FB767D"/>
    <w:rsid w:val="00FC04DF"/>
    <w:rsid w:val="00FC05FD"/>
    <w:rsid w:val="00FC08B8"/>
    <w:rsid w:val="00FC0931"/>
    <w:rsid w:val="00FC0959"/>
    <w:rsid w:val="00FC1279"/>
    <w:rsid w:val="00FC13C8"/>
    <w:rsid w:val="00FC1695"/>
    <w:rsid w:val="00FC17DA"/>
    <w:rsid w:val="00FC1BCB"/>
    <w:rsid w:val="00FC218B"/>
    <w:rsid w:val="00FC2BEB"/>
    <w:rsid w:val="00FC3353"/>
    <w:rsid w:val="00FC398C"/>
    <w:rsid w:val="00FC3A3D"/>
    <w:rsid w:val="00FC3C08"/>
    <w:rsid w:val="00FC3E14"/>
    <w:rsid w:val="00FC3E47"/>
    <w:rsid w:val="00FC410F"/>
    <w:rsid w:val="00FC42EE"/>
    <w:rsid w:val="00FC4330"/>
    <w:rsid w:val="00FC472B"/>
    <w:rsid w:val="00FC483A"/>
    <w:rsid w:val="00FC48F0"/>
    <w:rsid w:val="00FC4B2C"/>
    <w:rsid w:val="00FC520D"/>
    <w:rsid w:val="00FC588A"/>
    <w:rsid w:val="00FC62A2"/>
    <w:rsid w:val="00FC64A3"/>
    <w:rsid w:val="00FC66A4"/>
    <w:rsid w:val="00FC695D"/>
    <w:rsid w:val="00FC7274"/>
    <w:rsid w:val="00FC72D8"/>
    <w:rsid w:val="00FC7715"/>
    <w:rsid w:val="00FC771F"/>
    <w:rsid w:val="00FC7B02"/>
    <w:rsid w:val="00FC7C65"/>
    <w:rsid w:val="00FC7CA0"/>
    <w:rsid w:val="00FD02E4"/>
    <w:rsid w:val="00FD0BB8"/>
    <w:rsid w:val="00FD0E2E"/>
    <w:rsid w:val="00FD0E99"/>
    <w:rsid w:val="00FD0F5F"/>
    <w:rsid w:val="00FD1B71"/>
    <w:rsid w:val="00FD1CF7"/>
    <w:rsid w:val="00FD1DD3"/>
    <w:rsid w:val="00FD220F"/>
    <w:rsid w:val="00FD2BA2"/>
    <w:rsid w:val="00FD32AA"/>
    <w:rsid w:val="00FD33AF"/>
    <w:rsid w:val="00FD3472"/>
    <w:rsid w:val="00FD3629"/>
    <w:rsid w:val="00FD38A2"/>
    <w:rsid w:val="00FD3B15"/>
    <w:rsid w:val="00FD3C95"/>
    <w:rsid w:val="00FD3E56"/>
    <w:rsid w:val="00FD414B"/>
    <w:rsid w:val="00FD4987"/>
    <w:rsid w:val="00FD4E73"/>
    <w:rsid w:val="00FD5325"/>
    <w:rsid w:val="00FD53F8"/>
    <w:rsid w:val="00FD58DB"/>
    <w:rsid w:val="00FD597D"/>
    <w:rsid w:val="00FD5B66"/>
    <w:rsid w:val="00FD62B8"/>
    <w:rsid w:val="00FD6435"/>
    <w:rsid w:val="00FD66A0"/>
    <w:rsid w:val="00FD6A98"/>
    <w:rsid w:val="00FD6FE4"/>
    <w:rsid w:val="00FD760A"/>
    <w:rsid w:val="00FD77A2"/>
    <w:rsid w:val="00FD782B"/>
    <w:rsid w:val="00FE0535"/>
    <w:rsid w:val="00FE0B8D"/>
    <w:rsid w:val="00FE0CB2"/>
    <w:rsid w:val="00FE0CDA"/>
    <w:rsid w:val="00FE0E65"/>
    <w:rsid w:val="00FE1132"/>
    <w:rsid w:val="00FE19F9"/>
    <w:rsid w:val="00FE2008"/>
    <w:rsid w:val="00FE2A22"/>
    <w:rsid w:val="00FE2A44"/>
    <w:rsid w:val="00FE30EA"/>
    <w:rsid w:val="00FE348F"/>
    <w:rsid w:val="00FE3798"/>
    <w:rsid w:val="00FE37E3"/>
    <w:rsid w:val="00FE401A"/>
    <w:rsid w:val="00FE43C3"/>
    <w:rsid w:val="00FE454B"/>
    <w:rsid w:val="00FE4A42"/>
    <w:rsid w:val="00FE5244"/>
    <w:rsid w:val="00FE5667"/>
    <w:rsid w:val="00FE56B2"/>
    <w:rsid w:val="00FE5763"/>
    <w:rsid w:val="00FE5A2E"/>
    <w:rsid w:val="00FE5C87"/>
    <w:rsid w:val="00FE5D53"/>
    <w:rsid w:val="00FE60A4"/>
    <w:rsid w:val="00FE6479"/>
    <w:rsid w:val="00FE66AF"/>
    <w:rsid w:val="00FE6C25"/>
    <w:rsid w:val="00FE6D58"/>
    <w:rsid w:val="00FE6F8E"/>
    <w:rsid w:val="00FE7092"/>
    <w:rsid w:val="00FE7F3B"/>
    <w:rsid w:val="00FF034E"/>
    <w:rsid w:val="00FF0350"/>
    <w:rsid w:val="00FF0756"/>
    <w:rsid w:val="00FF0EF1"/>
    <w:rsid w:val="00FF105A"/>
    <w:rsid w:val="00FF1124"/>
    <w:rsid w:val="00FF128E"/>
    <w:rsid w:val="00FF15C6"/>
    <w:rsid w:val="00FF15DB"/>
    <w:rsid w:val="00FF1780"/>
    <w:rsid w:val="00FF1C0D"/>
    <w:rsid w:val="00FF1E4C"/>
    <w:rsid w:val="00FF287F"/>
    <w:rsid w:val="00FF3511"/>
    <w:rsid w:val="00FF3A30"/>
    <w:rsid w:val="00FF412F"/>
    <w:rsid w:val="00FF4644"/>
    <w:rsid w:val="00FF47D8"/>
    <w:rsid w:val="00FF4A4E"/>
    <w:rsid w:val="00FF4ABC"/>
    <w:rsid w:val="00FF4C3A"/>
    <w:rsid w:val="00FF4D04"/>
    <w:rsid w:val="00FF4D15"/>
    <w:rsid w:val="00FF566C"/>
    <w:rsid w:val="00FF5814"/>
    <w:rsid w:val="00FF5CDF"/>
    <w:rsid w:val="00FF5DA9"/>
    <w:rsid w:val="00FF5F7F"/>
    <w:rsid w:val="00FF6C1D"/>
    <w:rsid w:val="00FF7349"/>
    <w:rsid w:val="00FF7A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478A"/>
  <w15:docId w15:val="{8810ADE8-747E-49EE-848C-DA940C13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1C1C1C" w:themeColor="text1"/>
        <w:sz w:val="22"/>
        <w:szCs w:val="22"/>
        <w:lang w:val="nb-NO" w:eastAsia="zh-CN" w:bidi="ar-SA"/>
      </w:rPr>
    </w:rPrDefault>
    <w:pPrDefault>
      <w:pPr>
        <w:spacing w:before="180" w:line="264" w:lineRule="auto"/>
        <w:jc w:val="both"/>
      </w:pPr>
    </w:pPrDefault>
  </w:docDefaults>
  <w:latentStyles w:defLockedState="0" w:defUIPriority="99" w:defSemiHidden="0" w:defUnhideWhenUsed="0" w:defQFormat="0" w:count="376">
    <w:lsdException w:name="Normal" w:uiPriority="3"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lsdException w:name="heading 6" w:semiHidden="1" w:uiPriority="3" w:unhideWhenUsed="1"/>
    <w:lsdException w:name="heading 7" w:semiHidden="1" w:uiPriority="3" w:unhideWhenUsed="1" w:qFormat="1"/>
    <w:lsdException w:name="heading 8" w:semiHidden="1" w:uiPriority="3" w:unhideWhenUsed="1" w:qFormat="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iPriority="36" w:unhideWhenUsed="1"/>
    <w:lsdException w:name="footer" w:semiHidden="1" w:uiPriority="36"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B74780"/>
  </w:style>
  <w:style w:type="paragraph" w:styleId="Overskrift1">
    <w:name w:val="heading 1"/>
    <w:aliases w:val="~SectionHeading"/>
    <w:basedOn w:val="SecHeadNonToc"/>
    <w:next w:val="Normal"/>
    <w:link w:val="Overskrift1Tegn"/>
    <w:uiPriority w:val="3"/>
    <w:qFormat/>
    <w:rsid w:val="00A96B79"/>
    <w:pPr>
      <w:numPr>
        <w:numId w:val="2"/>
      </w:numPr>
      <w:outlineLvl w:val="0"/>
    </w:pPr>
  </w:style>
  <w:style w:type="paragraph" w:styleId="Overskrift2">
    <w:name w:val="heading 2"/>
    <w:aliases w:val="~SubHeading"/>
    <w:basedOn w:val="ExecSumSubHead"/>
    <w:next w:val="Normal"/>
    <w:link w:val="Overskrift2Tegn"/>
    <w:uiPriority w:val="3"/>
    <w:qFormat/>
    <w:rsid w:val="00CA5ACF"/>
    <w:pPr>
      <w:numPr>
        <w:ilvl w:val="1"/>
        <w:numId w:val="2"/>
      </w:numPr>
      <w:outlineLvl w:val="1"/>
    </w:pPr>
  </w:style>
  <w:style w:type="paragraph" w:styleId="Overskrift3">
    <w:name w:val="heading 3"/>
    <w:aliases w:val="~MinorSubHeading"/>
    <w:basedOn w:val="ExecSumSubHead"/>
    <w:next w:val="Normal"/>
    <w:link w:val="Overskrift3Tegn"/>
    <w:uiPriority w:val="3"/>
    <w:qFormat/>
    <w:rsid w:val="001E6E53"/>
    <w:pPr>
      <w:numPr>
        <w:ilvl w:val="2"/>
        <w:numId w:val="2"/>
      </w:numPr>
      <w:outlineLvl w:val="2"/>
    </w:pPr>
    <w:rPr>
      <w:sz w:val="28"/>
    </w:rPr>
  </w:style>
  <w:style w:type="paragraph" w:styleId="Overskrift4">
    <w:name w:val="heading 4"/>
    <w:aliases w:val="~Level4Heading,H4"/>
    <w:basedOn w:val="ExecSumSubHead"/>
    <w:next w:val="Normal"/>
    <w:link w:val="Overskrift4Tegn"/>
    <w:uiPriority w:val="3"/>
    <w:qFormat/>
    <w:rsid w:val="001E6E53"/>
    <w:pPr>
      <w:numPr>
        <w:ilvl w:val="3"/>
        <w:numId w:val="1"/>
      </w:numPr>
      <w:ind w:hanging="284"/>
      <w:outlineLvl w:val="3"/>
    </w:pPr>
    <w:rPr>
      <w:sz w:val="24"/>
      <w:szCs w:val="24"/>
    </w:rPr>
  </w:style>
  <w:style w:type="paragraph" w:styleId="Overskrift5">
    <w:name w:val="heading 5"/>
    <w:basedOn w:val="ExecSumSubHead"/>
    <w:next w:val="Normal"/>
    <w:link w:val="Overskrift5Tegn"/>
    <w:uiPriority w:val="3"/>
    <w:semiHidden/>
    <w:rsid w:val="00CA5ACF"/>
    <w:pPr>
      <w:keepLines/>
      <w:spacing w:after="0"/>
      <w:outlineLvl w:val="4"/>
    </w:pPr>
    <w:rPr>
      <w:rFonts w:eastAsiaTheme="majorEastAsia" w:cstheme="majorBidi"/>
      <w:b/>
    </w:rPr>
  </w:style>
  <w:style w:type="paragraph" w:styleId="Overskrift6">
    <w:name w:val="heading 6"/>
    <w:basedOn w:val="ExecSumSubHead"/>
    <w:next w:val="Normal"/>
    <w:link w:val="Overskrift6Tegn"/>
    <w:uiPriority w:val="3"/>
    <w:semiHidden/>
    <w:rsid w:val="00CA5ACF"/>
    <w:pPr>
      <w:keepLines/>
      <w:spacing w:after="0"/>
      <w:outlineLvl w:val="5"/>
    </w:pPr>
    <w:rPr>
      <w:rFonts w:eastAsiaTheme="majorEastAsia" w:cstheme="majorBidi"/>
      <w:b/>
      <w:i/>
      <w:iCs/>
    </w:rPr>
  </w:style>
  <w:style w:type="paragraph" w:styleId="Overskrift7">
    <w:name w:val="heading 7"/>
    <w:aliases w:val="~AppHead"/>
    <w:basedOn w:val="ExecSumSubHead"/>
    <w:next w:val="Normal"/>
    <w:link w:val="Overskrift7Tegn"/>
    <w:uiPriority w:val="3"/>
    <w:qFormat/>
    <w:rsid w:val="0088393C"/>
    <w:pPr>
      <w:pageBreakBefore/>
      <w:numPr>
        <w:numId w:val="3"/>
      </w:numPr>
      <w:spacing w:before="0" w:after="240"/>
      <w:outlineLvl w:val="6"/>
    </w:pPr>
    <w:rPr>
      <w:rFonts w:eastAsiaTheme="majorEastAsia" w:cstheme="majorBidi"/>
      <w:iCs/>
      <w:color w:val="162F5C" w:themeColor="accent1"/>
      <w:sz w:val="64"/>
    </w:rPr>
  </w:style>
  <w:style w:type="paragraph" w:styleId="Overskrift8">
    <w:name w:val="heading 8"/>
    <w:aliases w:val="~AppSubHead"/>
    <w:basedOn w:val="Normal"/>
    <w:next w:val="Normal"/>
    <w:link w:val="Overskrift8Tegn"/>
    <w:uiPriority w:val="3"/>
    <w:qFormat/>
    <w:rsid w:val="0005380A"/>
    <w:pPr>
      <w:keepNext/>
      <w:numPr>
        <w:ilvl w:val="1"/>
        <w:numId w:val="3"/>
      </w:numPr>
      <w:spacing w:before="480" w:after="120" w:line="240" w:lineRule="auto"/>
      <w:jc w:val="left"/>
      <w:outlineLvl w:val="7"/>
    </w:pPr>
    <w:rPr>
      <w:rFonts w:asciiTheme="majorHAnsi" w:eastAsiaTheme="majorEastAsia" w:hAnsiTheme="majorHAnsi" w:cstheme="majorBidi"/>
      <w:color w:val="3672B0" w:themeColor="accent2"/>
      <w:sz w:val="32"/>
    </w:rPr>
  </w:style>
  <w:style w:type="paragraph" w:styleId="Overskrift9">
    <w:name w:val="heading 9"/>
    <w:aliases w:val="~AppMinorSubHead"/>
    <w:basedOn w:val="Normal"/>
    <w:next w:val="Normal"/>
    <w:link w:val="Overskrift9Tegn"/>
    <w:uiPriority w:val="3"/>
    <w:rsid w:val="00AD0BCD"/>
    <w:pPr>
      <w:keepNext/>
      <w:numPr>
        <w:ilvl w:val="2"/>
        <w:numId w:val="3"/>
      </w:numPr>
      <w:spacing w:before="480" w:after="120" w:line="240" w:lineRule="auto"/>
      <w:jc w:val="left"/>
      <w:outlineLvl w:val="8"/>
    </w:pPr>
    <w:rPr>
      <w:rFonts w:asciiTheme="majorHAnsi" w:eastAsiaTheme="majorEastAsia" w:hAnsiTheme="majorHAnsi" w:cstheme="majorBidi"/>
      <w:iCs/>
      <w:color w:val="3672B0" w:themeColor="accent2"/>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ecHeadNonToc">
    <w:name w:val="~SecHeadNonToc"/>
    <w:basedOn w:val="Ingenmellomrom"/>
    <w:next w:val="Normal"/>
    <w:uiPriority w:val="3"/>
    <w:rsid w:val="00786322"/>
    <w:pPr>
      <w:keepNext/>
      <w:pageBreakBefore/>
      <w:spacing w:after="240"/>
      <w:jc w:val="left"/>
    </w:pPr>
    <w:rPr>
      <w:rFonts w:asciiTheme="majorHAnsi" w:hAnsiTheme="majorHAnsi"/>
      <w:color w:val="162F5C" w:themeColor="accent1"/>
      <w:sz w:val="64"/>
    </w:rPr>
  </w:style>
  <w:style w:type="paragraph" w:styleId="Ingenmellomrom">
    <w:name w:val="No Spacing"/>
    <w:aliases w:val="~BaseStyle"/>
    <w:uiPriority w:val="33"/>
    <w:qFormat/>
    <w:rsid w:val="000377AF"/>
    <w:pPr>
      <w:spacing w:before="0" w:line="240" w:lineRule="auto"/>
    </w:pPr>
    <w:rPr>
      <w:rFonts w:eastAsiaTheme="minorHAnsi" w:cs="Arial"/>
      <w:lang w:eastAsia="nb-NO"/>
    </w:rPr>
  </w:style>
  <w:style w:type="character" w:customStyle="1" w:styleId="Overskrift1Tegn">
    <w:name w:val="Overskrift 1 Tegn"/>
    <w:aliases w:val="~SectionHeading Tegn"/>
    <w:basedOn w:val="Standardskriftforavsnitt"/>
    <w:link w:val="Overskrift1"/>
    <w:uiPriority w:val="3"/>
    <w:rsid w:val="00A96B79"/>
    <w:rPr>
      <w:rFonts w:asciiTheme="majorHAnsi" w:eastAsiaTheme="minorHAnsi" w:hAnsiTheme="majorHAnsi" w:cs="Arial"/>
      <w:color w:val="162F5C" w:themeColor="accent1"/>
      <w:sz w:val="64"/>
      <w:lang w:eastAsia="nb-NO"/>
    </w:rPr>
  </w:style>
  <w:style w:type="paragraph" w:customStyle="1" w:styleId="ExecSumSubHead">
    <w:name w:val="~ExecSumSubHead"/>
    <w:basedOn w:val="ExecSumHead"/>
    <w:next w:val="Normal"/>
    <w:uiPriority w:val="3"/>
    <w:qFormat/>
    <w:rsid w:val="00A96B79"/>
    <w:pPr>
      <w:pageBreakBefore w:val="0"/>
      <w:spacing w:before="480" w:after="120"/>
    </w:pPr>
    <w:rPr>
      <w:color w:val="3672B0" w:themeColor="accent2"/>
      <w:sz w:val="32"/>
    </w:rPr>
  </w:style>
  <w:style w:type="paragraph" w:customStyle="1" w:styleId="ExecSumHead">
    <w:name w:val="~ExecSumHead"/>
    <w:basedOn w:val="SecHeadNonToc"/>
    <w:next w:val="Normal"/>
    <w:uiPriority w:val="3"/>
    <w:qFormat/>
    <w:rsid w:val="001E6E53"/>
    <w:pPr>
      <w:outlineLvl w:val="0"/>
    </w:pPr>
  </w:style>
  <w:style w:type="character" w:customStyle="1" w:styleId="Overskrift2Tegn">
    <w:name w:val="Overskrift 2 Tegn"/>
    <w:aliases w:val="~SubHeading Tegn"/>
    <w:basedOn w:val="Standardskriftforavsnitt"/>
    <w:link w:val="Overskrift2"/>
    <w:uiPriority w:val="3"/>
    <w:rsid w:val="00F37866"/>
    <w:rPr>
      <w:rFonts w:asciiTheme="majorHAnsi" w:eastAsiaTheme="minorHAnsi" w:hAnsiTheme="majorHAnsi" w:cs="Arial"/>
      <w:color w:val="3672B0" w:themeColor="accent2"/>
      <w:sz w:val="32"/>
      <w:lang w:eastAsia="nb-NO"/>
    </w:rPr>
  </w:style>
  <w:style w:type="character" w:customStyle="1" w:styleId="Overskrift3Tegn">
    <w:name w:val="Overskrift 3 Tegn"/>
    <w:aliases w:val="~MinorSubHeading Tegn"/>
    <w:basedOn w:val="Standardskriftforavsnitt"/>
    <w:link w:val="Overskrift3"/>
    <w:uiPriority w:val="3"/>
    <w:rsid w:val="004D71DF"/>
    <w:rPr>
      <w:rFonts w:asciiTheme="majorHAnsi" w:eastAsiaTheme="minorHAnsi" w:hAnsiTheme="majorHAnsi" w:cs="Arial"/>
      <w:color w:val="3672B0" w:themeColor="accent2"/>
      <w:sz w:val="28"/>
      <w:lang w:eastAsia="nb-NO"/>
    </w:rPr>
  </w:style>
  <w:style w:type="character" w:customStyle="1" w:styleId="Overskrift4Tegn">
    <w:name w:val="Overskrift 4 Tegn"/>
    <w:aliases w:val="~Level4Heading Tegn,H4 Tegn"/>
    <w:basedOn w:val="Standardskriftforavsnitt"/>
    <w:link w:val="Overskrift4"/>
    <w:uiPriority w:val="3"/>
    <w:rsid w:val="004D71DF"/>
    <w:rPr>
      <w:rFonts w:asciiTheme="majorHAnsi" w:eastAsiaTheme="minorHAnsi" w:hAnsiTheme="majorHAnsi" w:cs="Arial"/>
      <w:color w:val="3672B0" w:themeColor="accent2"/>
      <w:sz w:val="24"/>
      <w:szCs w:val="24"/>
      <w:lang w:eastAsia="nb-NO"/>
    </w:rPr>
  </w:style>
  <w:style w:type="character" w:customStyle="1" w:styleId="Overskrift5Tegn">
    <w:name w:val="Overskrift 5 Tegn"/>
    <w:basedOn w:val="Standardskriftforavsnitt"/>
    <w:link w:val="Overskrift5"/>
    <w:uiPriority w:val="3"/>
    <w:semiHidden/>
    <w:rsid w:val="004D71DF"/>
    <w:rPr>
      <w:rFonts w:asciiTheme="majorHAnsi" w:eastAsiaTheme="majorEastAsia" w:hAnsiTheme="majorHAnsi" w:cstheme="majorBidi"/>
      <w:b/>
      <w:color w:val="3672B0" w:themeColor="accent2"/>
      <w:sz w:val="32"/>
      <w:lang w:eastAsia="nb-NO"/>
    </w:rPr>
  </w:style>
  <w:style w:type="character" w:customStyle="1" w:styleId="Overskrift6Tegn">
    <w:name w:val="Overskrift 6 Tegn"/>
    <w:basedOn w:val="Standardskriftforavsnitt"/>
    <w:link w:val="Overskrift6"/>
    <w:uiPriority w:val="3"/>
    <w:semiHidden/>
    <w:rsid w:val="004D71DF"/>
    <w:rPr>
      <w:rFonts w:asciiTheme="majorHAnsi" w:eastAsiaTheme="majorEastAsia" w:hAnsiTheme="majorHAnsi" w:cstheme="majorBidi"/>
      <w:b/>
      <w:i/>
      <w:iCs/>
      <w:color w:val="3672B0" w:themeColor="accent2"/>
      <w:sz w:val="32"/>
      <w:lang w:eastAsia="nb-NO"/>
    </w:rPr>
  </w:style>
  <w:style w:type="character" w:customStyle="1" w:styleId="Overskrift7Tegn">
    <w:name w:val="Overskrift 7 Tegn"/>
    <w:aliases w:val="~AppHead Tegn"/>
    <w:basedOn w:val="Standardskriftforavsnitt"/>
    <w:link w:val="Overskrift7"/>
    <w:uiPriority w:val="3"/>
    <w:rsid w:val="0088393C"/>
    <w:rPr>
      <w:rFonts w:asciiTheme="majorHAnsi" w:eastAsiaTheme="majorEastAsia" w:hAnsiTheme="majorHAnsi" w:cstheme="majorBidi"/>
      <w:iCs/>
      <w:color w:val="162F5C" w:themeColor="accent1"/>
      <w:sz w:val="64"/>
      <w:lang w:eastAsia="nb-NO"/>
    </w:rPr>
  </w:style>
  <w:style w:type="character" w:customStyle="1" w:styleId="Overskrift8Tegn">
    <w:name w:val="Overskrift 8 Tegn"/>
    <w:aliases w:val="~AppSubHead Tegn"/>
    <w:basedOn w:val="Standardskriftforavsnitt"/>
    <w:link w:val="Overskrift8"/>
    <w:uiPriority w:val="3"/>
    <w:rsid w:val="00507648"/>
    <w:rPr>
      <w:rFonts w:asciiTheme="majorHAnsi" w:eastAsiaTheme="majorEastAsia" w:hAnsiTheme="majorHAnsi" w:cstheme="majorBidi"/>
      <w:color w:val="3672B0" w:themeColor="accent2"/>
      <w:sz w:val="32"/>
    </w:rPr>
  </w:style>
  <w:style w:type="character" w:customStyle="1" w:styleId="Overskrift9Tegn">
    <w:name w:val="Overskrift 9 Tegn"/>
    <w:aliases w:val="~AppMinorSubHead Tegn"/>
    <w:basedOn w:val="Standardskriftforavsnitt"/>
    <w:link w:val="Overskrift9"/>
    <w:uiPriority w:val="3"/>
    <w:rsid w:val="00AD0BCD"/>
    <w:rPr>
      <w:rFonts w:asciiTheme="majorHAnsi" w:eastAsiaTheme="majorEastAsia" w:hAnsiTheme="majorHAnsi" w:cstheme="majorBidi"/>
      <w:iCs/>
      <w:color w:val="3672B0" w:themeColor="accent2"/>
      <w:sz w:val="28"/>
    </w:rPr>
  </w:style>
  <w:style w:type="table" w:styleId="Tabellrutenett">
    <w:name w:val="Table Grid"/>
    <w:basedOn w:val="Vanligtabell"/>
    <w:uiPriority w:val="59"/>
    <w:rsid w:val="00CA5ACF"/>
    <w:rPr>
      <w:rFonts w:eastAsiaTheme="minorHAnsi" w:cs="Arial"/>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BodyTextNum">
    <w:name w:val="~AppBodyTextNum"/>
    <w:basedOn w:val="Normal"/>
    <w:uiPriority w:val="28"/>
    <w:semiHidden/>
    <w:rsid w:val="00CA5ACF"/>
  </w:style>
  <w:style w:type="paragraph" w:customStyle="1" w:styleId="AppendixDivider">
    <w:name w:val="~AppendixDivider"/>
    <w:basedOn w:val="SecHeadNonToc"/>
    <w:next w:val="Normal"/>
    <w:uiPriority w:val="3"/>
    <w:rsid w:val="001E6E53"/>
    <w:pPr>
      <w:outlineLvl w:val="0"/>
    </w:pPr>
    <w:rPr>
      <w:color w:val="555555" w:themeColor="text2"/>
    </w:rPr>
  </w:style>
  <w:style w:type="paragraph" w:customStyle="1" w:styleId="AppHeadold">
    <w:name w:val="~AppHead_old"/>
    <w:basedOn w:val="SecHeadNonToc"/>
    <w:next w:val="Normal"/>
    <w:uiPriority w:val="3"/>
    <w:semiHidden/>
    <w:rsid w:val="00A96B79"/>
    <w:pPr>
      <w:outlineLvl w:val="0"/>
    </w:pPr>
  </w:style>
  <w:style w:type="paragraph" w:customStyle="1" w:styleId="AppMinorSubHeadold">
    <w:name w:val="~AppMinorSubHead_old"/>
    <w:basedOn w:val="SecHeadNonToc"/>
    <w:next w:val="Normal"/>
    <w:uiPriority w:val="3"/>
    <w:semiHidden/>
    <w:rsid w:val="00A96B79"/>
    <w:pPr>
      <w:pageBreakBefore w:val="0"/>
      <w:spacing w:before="480" w:after="120"/>
      <w:outlineLvl w:val="2"/>
    </w:pPr>
    <w:rPr>
      <w:color w:val="3672B0" w:themeColor="accent2"/>
      <w:sz w:val="28"/>
    </w:rPr>
  </w:style>
  <w:style w:type="paragraph" w:customStyle="1" w:styleId="AppSubHeadold">
    <w:name w:val="~AppSubHead_old"/>
    <w:basedOn w:val="SecHeadNonToc"/>
    <w:next w:val="Normal"/>
    <w:uiPriority w:val="3"/>
    <w:semiHidden/>
    <w:rsid w:val="00A96B79"/>
    <w:pPr>
      <w:pageBreakBefore w:val="0"/>
      <w:spacing w:before="480" w:after="120"/>
      <w:outlineLvl w:val="1"/>
    </w:pPr>
    <w:rPr>
      <w:color w:val="3672B0" w:themeColor="accent2"/>
      <w:sz w:val="32"/>
    </w:rPr>
  </w:style>
  <w:style w:type="paragraph" w:customStyle="1" w:styleId="BodyHeading">
    <w:name w:val="~BodyHeading"/>
    <w:basedOn w:val="Normal"/>
    <w:next w:val="Normal"/>
    <w:rsid w:val="00545283"/>
    <w:pPr>
      <w:keepNext/>
      <w:spacing w:line="240" w:lineRule="auto"/>
    </w:pPr>
    <w:rPr>
      <w:rFonts w:asciiTheme="majorHAnsi" w:hAnsiTheme="majorHAnsi"/>
    </w:rPr>
  </w:style>
  <w:style w:type="paragraph" w:customStyle="1" w:styleId="BodyTextNum">
    <w:name w:val="~BodyTextNum"/>
    <w:basedOn w:val="Normal"/>
    <w:uiPriority w:val="28"/>
    <w:semiHidden/>
    <w:rsid w:val="00CA5ACF"/>
  </w:style>
  <w:style w:type="paragraph" w:customStyle="1" w:styleId="Bullet1">
    <w:name w:val="~Bullet1"/>
    <w:basedOn w:val="Normal"/>
    <w:uiPriority w:val="1"/>
    <w:qFormat/>
    <w:rsid w:val="00786322"/>
    <w:pPr>
      <w:numPr>
        <w:numId w:val="4"/>
      </w:numPr>
      <w:spacing w:before="60" w:after="60"/>
      <w:jc w:val="left"/>
    </w:pPr>
    <w:rPr>
      <w:rFonts w:eastAsia="Calibri"/>
    </w:rPr>
  </w:style>
  <w:style w:type="paragraph" w:customStyle="1" w:styleId="Bullet2">
    <w:name w:val="~Bullet2"/>
    <w:basedOn w:val="Normal"/>
    <w:uiPriority w:val="1"/>
    <w:rsid w:val="00786322"/>
    <w:pPr>
      <w:numPr>
        <w:ilvl w:val="1"/>
        <w:numId w:val="4"/>
      </w:numPr>
      <w:spacing w:before="60" w:after="60"/>
      <w:jc w:val="left"/>
    </w:pPr>
  </w:style>
  <w:style w:type="paragraph" w:customStyle="1" w:styleId="Bullet3">
    <w:name w:val="~Bullet3"/>
    <w:basedOn w:val="Normal"/>
    <w:uiPriority w:val="1"/>
    <w:rsid w:val="00786322"/>
    <w:pPr>
      <w:numPr>
        <w:ilvl w:val="2"/>
        <w:numId w:val="4"/>
      </w:numPr>
      <w:spacing w:before="60" w:after="60"/>
      <w:jc w:val="left"/>
    </w:pPr>
  </w:style>
  <w:style w:type="paragraph" w:styleId="Bildetekst">
    <w:name w:val="caption"/>
    <w:aliases w:val="~Caption(Table),Tabelloverskrift,~Caption"/>
    <w:basedOn w:val="BodyHeading"/>
    <w:next w:val="Normal"/>
    <w:link w:val="BildetekstTegn"/>
    <w:uiPriority w:val="4"/>
    <w:qFormat/>
    <w:rsid w:val="00AD0BCD"/>
    <w:pPr>
      <w:tabs>
        <w:tab w:val="left" w:pos="1559"/>
      </w:tabs>
      <w:spacing w:after="60"/>
      <w:ind w:left="1559" w:hanging="1559"/>
      <w:jc w:val="left"/>
    </w:pPr>
    <w:rPr>
      <w:rFonts w:eastAsia="Calibri"/>
      <w:color w:val="162F5C" w:themeColor="accent1"/>
    </w:rPr>
  </w:style>
  <w:style w:type="character" w:customStyle="1" w:styleId="BildetekstTegn">
    <w:name w:val="Bildetekst Tegn"/>
    <w:aliases w:val="~Caption(Table) Tegn,Tabelloverskrift Tegn,~Caption Tegn"/>
    <w:basedOn w:val="Standardskriftforavsnitt"/>
    <w:link w:val="Bildetekst"/>
    <w:uiPriority w:val="4"/>
    <w:rsid w:val="00AD0BCD"/>
    <w:rPr>
      <w:rFonts w:asciiTheme="majorHAnsi" w:eastAsia="Calibri" w:hAnsiTheme="majorHAnsi"/>
      <w:color w:val="162F5C" w:themeColor="accent1"/>
    </w:rPr>
  </w:style>
  <w:style w:type="paragraph" w:customStyle="1" w:styleId="CaptionWideTable">
    <w:name w:val="~CaptionWide(Table)"/>
    <w:basedOn w:val="Bildetekst"/>
    <w:next w:val="Normal"/>
    <w:uiPriority w:val="7"/>
    <w:rsid w:val="004C456D"/>
    <w:pPr>
      <w:tabs>
        <w:tab w:val="clear" w:pos="1559"/>
        <w:tab w:val="left" w:pos="426"/>
      </w:tabs>
      <w:ind w:left="425"/>
    </w:pPr>
  </w:style>
  <w:style w:type="paragraph" w:customStyle="1" w:styleId="DocInfo">
    <w:name w:val="~DocInfo"/>
    <w:basedOn w:val="Ingenmellomrom"/>
    <w:uiPriority w:val="10"/>
    <w:semiHidden/>
    <w:rsid w:val="00B311B4"/>
    <w:pPr>
      <w:spacing w:before="120" w:after="180" w:line="300" w:lineRule="auto"/>
      <w:ind w:left="851" w:right="851"/>
    </w:pPr>
    <w:rPr>
      <w:color w:val="FFFFFF" w:themeColor="background1"/>
      <w:sz w:val="28"/>
    </w:rPr>
  </w:style>
  <w:style w:type="paragraph" w:customStyle="1" w:styleId="DocReport">
    <w:name w:val="~DocReport"/>
    <w:basedOn w:val="Ingenmellomrom"/>
    <w:uiPriority w:val="10"/>
    <w:semiHidden/>
    <w:rsid w:val="007A1244"/>
    <w:pPr>
      <w:spacing w:before="40" w:after="40"/>
    </w:pPr>
  </w:style>
  <w:style w:type="paragraph" w:customStyle="1" w:styleId="DocDate">
    <w:name w:val="~DocDate"/>
    <w:basedOn w:val="Ingenmellomrom"/>
    <w:uiPriority w:val="10"/>
    <w:semiHidden/>
    <w:rsid w:val="00CA5ACF"/>
  </w:style>
  <w:style w:type="paragraph" w:customStyle="1" w:styleId="DocSubTitle">
    <w:name w:val="~DocSubTitle"/>
    <w:basedOn w:val="Ingenmellomrom"/>
    <w:uiPriority w:val="10"/>
    <w:semiHidden/>
    <w:rsid w:val="0005380A"/>
    <w:pPr>
      <w:spacing w:after="360"/>
      <w:jc w:val="left"/>
    </w:pPr>
    <w:rPr>
      <w:color w:val="3672B0" w:themeColor="accent2"/>
      <w:sz w:val="32"/>
    </w:rPr>
  </w:style>
  <w:style w:type="paragraph" w:customStyle="1" w:styleId="DocTitle">
    <w:name w:val="~DocTitle"/>
    <w:basedOn w:val="Ingenmellomrom"/>
    <w:uiPriority w:val="10"/>
    <w:semiHidden/>
    <w:rsid w:val="0005380A"/>
    <w:pPr>
      <w:spacing w:after="180"/>
      <w:jc w:val="left"/>
    </w:pPr>
    <w:rPr>
      <w:rFonts w:asciiTheme="majorHAnsi" w:hAnsiTheme="majorHAnsi"/>
      <w:color w:val="162F5C" w:themeColor="accent1"/>
      <w:sz w:val="40"/>
    </w:rPr>
  </w:style>
  <w:style w:type="paragraph" w:customStyle="1" w:styleId="DocAuthor">
    <w:name w:val="~DocAuthor"/>
    <w:basedOn w:val="Ingenmellomrom"/>
    <w:uiPriority w:val="10"/>
    <w:semiHidden/>
    <w:rsid w:val="00831BCB"/>
    <w:pPr>
      <w:jc w:val="left"/>
    </w:pPr>
    <w:rPr>
      <w:color w:val="555555" w:themeColor="text2"/>
      <w:sz w:val="28"/>
    </w:rPr>
  </w:style>
  <w:style w:type="paragraph" w:customStyle="1" w:styleId="Draft">
    <w:name w:val="~Draft"/>
    <w:basedOn w:val="Ingenmellomrom"/>
    <w:uiPriority w:val="10"/>
    <w:semiHidden/>
    <w:rsid w:val="00CA5ACF"/>
  </w:style>
  <w:style w:type="paragraph" w:customStyle="1" w:styleId="GraphicLeft">
    <w:name w:val="~GraphicLeft"/>
    <w:basedOn w:val="Ingenmellomrom"/>
    <w:uiPriority w:val="33"/>
    <w:semiHidden/>
    <w:rsid w:val="00CA5ACF"/>
  </w:style>
  <w:style w:type="paragraph" w:customStyle="1" w:styleId="GraphicCentre">
    <w:name w:val="~GraphicCentre"/>
    <w:basedOn w:val="GraphicLeft"/>
    <w:uiPriority w:val="33"/>
    <w:semiHidden/>
    <w:rsid w:val="00CA5ACF"/>
    <w:pPr>
      <w:jc w:val="center"/>
    </w:pPr>
  </w:style>
  <w:style w:type="paragraph" w:customStyle="1" w:styleId="GraphicRight">
    <w:name w:val="~GraphicRight"/>
    <w:basedOn w:val="GraphicLeft"/>
    <w:uiPriority w:val="33"/>
    <w:semiHidden/>
    <w:rsid w:val="00CA5ACF"/>
    <w:pPr>
      <w:jc w:val="right"/>
    </w:pPr>
  </w:style>
  <w:style w:type="paragraph" w:customStyle="1" w:styleId="Hidden">
    <w:name w:val="~Hidden"/>
    <w:basedOn w:val="Ingenmellomrom"/>
    <w:uiPriority w:val="33"/>
    <w:semiHidden/>
    <w:rsid w:val="00CA5ACF"/>
    <w:pPr>
      <w:framePr w:wrap="around" w:vAnchor="page" w:hAnchor="page" w:xAlign="right" w:yAlign="bottom"/>
    </w:pPr>
    <w:rPr>
      <w:color w:val="C00000"/>
    </w:rPr>
  </w:style>
  <w:style w:type="paragraph" w:customStyle="1" w:styleId="IntroText">
    <w:name w:val="~IntroText"/>
    <w:basedOn w:val="Normal"/>
    <w:next w:val="Normal"/>
    <w:uiPriority w:val="2"/>
    <w:semiHidden/>
    <w:qFormat/>
    <w:rsid w:val="00AF1171"/>
    <w:pPr>
      <w:spacing w:before="120"/>
    </w:pPr>
  </w:style>
  <w:style w:type="paragraph" w:customStyle="1" w:styleId="KeyMsgBoxText">
    <w:name w:val="~KeyMsgBoxText"/>
    <w:basedOn w:val="Normal"/>
    <w:uiPriority w:val="8"/>
    <w:rsid w:val="001A0095"/>
    <w:pPr>
      <w:spacing w:before="120" w:after="120"/>
    </w:pPr>
    <w:rPr>
      <w:color w:val="3672B0" w:themeColor="accent2"/>
    </w:rPr>
  </w:style>
  <w:style w:type="paragraph" w:customStyle="1" w:styleId="KeyMsgBoxHead">
    <w:name w:val="~KeyMsgBoxHead"/>
    <w:basedOn w:val="KeyMsgBoxText"/>
    <w:uiPriority w:val="8"/>
    <w:semiHidden/>
    <w:rsid w:val="009A5F01"/>
    <w:pPr>
      <w:keepNext/>
      <w:spacing w:before="60" w:line="240" w:lineRule="auto"/>
    </w:pPr>
    <w:rPr>
      <w:rFonts w:asciiTheme="majorHAnsi" w:hAnsiTheme="majorHAnsi"/>
      <w:b/>
    </w:rPr>
  </w:style>
  <w:style w:type="paragraph" w:customStyle="1" w:styleId="NumBullet1">
    <w:name w:val="~NumBullet1"/>
    <w:basedOn w:val="Normal"/>
    <w:uiPriority w:val="2"/>
    <w:qFormat/>
    <w:rsid w:val="00786322"/>
    <w:pPr>
      <w:numPr>
        <w:numId w:val="5"/>
      </w:numPr>
      <w:spacing w:before="60" w:after="60"/>
      <w:jc w:val="left"/>
    </w:pPr>
  </w:style>
  <w:style w:type="paragraph" w:customStyle="1" w:styleId="NumBullet2">
    <w:name w:val="~NumBullet2"/>
    <w:basedOn w:val="Normal"/>
    <w:uiPriority w:val="2"/>
    <w:rsid w:val="00786322"/>
    <w:pPr>
      <w:numPr>
        <w:ilvl w:val="1"/>
        <w:numId w:val="5"/>
      </w:numPr>
      <w:spacing w:before="60" w:after="60"/>
      <w:jc w:val="left"/>
    </w:pPr>
  </w:style>
  <w:style w:type="paragraph" w:customStyle="1" w:styleId="NumBullet3">
    <w:name w:val="~NumBullet3"/>
    <w:basedOn w:val="Normal"/>
    <w:uiPriority w:val="2"/>
    <w:rsid w:val="00786322"/>
    <w:pPr>
      <w:numPr>
        <w:ilvl w:val="2"/>
        <w:numId w:val="5"/>
      </w:numPr>
      <w:spacing w:before="60" w:after="60"/>
      <w:jc w:val="left"/>
    </w:pPr>
  </w:style>
  <w:style w:type="table" w:customStyle="1" w:styleId="VATable">
    <w:name w:val="~VA_Table"/>
    <w:basedOn w:val="Vanligtabell"/>
    <w:uiPriority w:val="99"/>
    <w:rsid w:val="007C748F"/>
    <w:rPr>
      <w:rFonts w:eastAsiaTheme="minorHAnsi" w:cs="Arial"/>
      <w:sz w:val="20"/>
      <w:lang w:eastAsia="nb-NO"/>
    </w:rPr>
    <w:tblPr>
      <w:tblStyleRowBandSize w:val="1"/>
      <w:tblBorders>
        <w:top w:val="single" w:sz="2" w:space="0" w:color="162F5C" w:themeColor="accent1"/>
        <w:bottom w:val="single" w:sz="2" w:space="0" w:color="162F5C" w:themeColor="accent1"/>
        <w:insideH w:val="single" w:sz="2" w:space="0" w:color="D4D4D4" w:themeColor="background2"/>
      </w:tblBorders>
    </w:tblPr>
    <w:trPr>
      <w:cantSplit/>
    </w:trPr>
    <w:tblStylePr w:type="firstRow">
      <w:rPr>
        <w:rFonts w:asciiTheme="majorHAnsi" w:hAnsiTheme="majorHAnsi"/>
        <w:b/>
        <w:color w:val="162F5C" w:themeColor="accent1"/>
      </w:rPr>
      <w:tblPr/>
      <w:trPr>
        <w:tblHeader/>
      </w:trPr>
      <w:tcPr>
        <w:tcBorders>
          <w:top w:val="single" w:sz="2" w:space="0" w:color="162F5C" w:themeColor="accent1"/>
          <w:left w:val="nil"/>
          <w:bottom w:val="single" w:sz="2" w:space="0" w:color="162F5C" w:themeColor="accent1"/>
          <w:right w:val="nil"/>
          <w:insideH w:val="nil"/>
          <w:insideV w:val="nil"/>
          <w:tl2br w:val="nil"/>
          <w:tr2bl w:val="nil"/>
        </w:tcBorders>
      </w:tcPr>
    </w:tblStylePr>
    <w:tblStylePr w:type="firstCol">
      <w:rPr>
        <w:rFonts w:asciiTheme="majorHAnsi" w:hAnsiTheme="majorHAnsi"/>
        <w:color w:val="3672B0" w:themeColor="accent2"/>
      </w:rPr>
    </w:tblStylePr>
    <w:tblStylePr w:type="band1Horz">
      <w:tblPr/>
      <w:tcPr>
        <w:shd w:val="clear" w:color="auto" w:fill="D4D4D4" w:themeFill="background2"/>
      </w:tcPr>
    </w:tblStylePr>
  </w:style>
  <w:style w:type="paragraph" w:customStyle="1" w:styleId="Quote">
    <w:name w:val="~Quote"/>
    <w:basedOn w:val="Normal"/>
    <w:uiPriority w:val="8"/>
    <w:rsid w:val="00A15037"/>
    <w:pPr>
      <w:spacing w:before="300"/>
    </w:pPr>
    <w:rPr>
      <w:color w:val="3672B0" w:themeColor="accent2"/>
    </w:rPr>
  </w:style>
  <w:style w:type="paragraph" w:customStyle="1" w:styleId="Source">
    <w:name w:val="~Source"/>
    <w:basedOn w:val="Normal"/>
    <w:next w:val="Normal"/>
    <w:uiPriority w:val="4"/>
    <w:qFormat/>
    <w:rsid w:val="00691483"/>
    <w:pPr>
      <w:spacing w:before="60" w:after="60" w:line="240" w:lineRule="auto"/>
      <w:ind w:left="851" w:hanging="851"/>
      <w:jc w:val="left"/>
    </w:pPr>
    <w:rPr>
      <w:rFonts w:eastAsia="Calibri"/>
      <w:i/>
      <w:color w:val="555555" w:themeColor="text2"/>
      <w:sz w:val="18"/>
    </w:rPr>
  </w:style>
  <w:style w:type="paragraph" w:customStyle="1" w:styleId="SourceWide">
    <w:name w:val="~SourceWide"/>
    <w:basedOn w:val="Source"/>
    <w:next w:val="Normal"/>
    <w:uiPriority w:val="4"/>
    <w:rsid w:val="003F0598"/>
    <w:pPr>
      <w:ind w:left="-283"/>
    </w:pPr>
  </w:style>
  <w:style w:type="paragraph" w:customStyle="1" w:styleId="Spacer">
    <w:name w:val="~Spacer"/>
    <w:basedOn w:val="Ingenmellomrom"/>
    <w:uiPriority w:val="33"/>
    <w:semiHidden/>
    <w:rsid w:val="00CA5ACF"/>
    <w:rPr>
      <w:rFonts w:ascii="Arial" w:hAnsi="Arial"/>
      <w:sz w:val="2"/>
    </w:rPr>
  </w:style>
  <w:style w:type="paragraph" w:customStyle="1" w:styleId="TableTextLeft">
    <w:name w:val="~TableTextLeft"/>
    <w:basedOn w:val="Normal"/>
    <w:uiPriority w:val="4"/>
    <w:qFormat/>
    <w:rsid w:val="007C748F"/>
    <w:pPr>
      <w:keepNext/>
      <w:spacing w:before="40" w:after="40" w:line="240" w:lineRule="auto"/>
      <w:jc w:val="left"/>
    </w:pPr>
    <w:rPr>
      <w:sz w:val="20"/>
    </w:rPr>
  </w:style>
  <w:style w:type="paragraph" w:customStyle="1" w:styleId="TableBullet1">
    <w:name w:val="~TableBullet1"/>
    <w:basedOn w:val="TableTextLeft"/>
    <w:uiPriority w:val="4"/>
    <w:rsid w:val="00786322"/>
    <w:pPr>
      <w:numPr>
        <w:numId w:val="6"/>
      </w:numPr>
    </w:pPr>
    <w:rPr>
      <w:rFonts w:eastAsia="Calibri"/>
    </w:rPr>
  </w:style>
  <w:style w:type="paragraph" w:customStyle="1" w:styleId="TableBullet2">
    <w:name w:val="~TableBullet2"/>
    <w:basedOn w:val="TableTextLeft"/>
    <w:uiPriority w:val="4"/>
    <w:rsid w:val="00786322"/>
    <w:pPr>
      <w:numPr>
        <w:ilvl w:val="1"/>
        <w:numId w:val="6"/>
      </w:numPr>
    </w:pPr>
  </w:style>
  <w:style w:type="paragraph" w:customStyle="1" w:styleId="TableBullet3">
    <w:name w:val="~TableBullet3"/>
    <w:basedOn w:val="TableTextLeft"/>
    <w:uiPriority w:val="4"/>
    <w:rsid w:val="00786322"/>
    <w:pPr>
      <w:numPr>
        <w:ilvl w:val="2"/>
        <w:numId w:val="6"/>
      </w:numPr>
    </w:pPr>
  </w:style>
  <w:style w:type="table" w:customStyle="1" w:styleId="TableClear">
    <w:name w:val="~TableClear"/>
    <w:basedOn w:val="Vanligtabell"/>
    <w:uiPriority w:val="99"/>
    <w:rsid w:val="00CA5ACF"/>
    <w:pPr>
      <w:spacing w:line="240" w:lineRule="auto"/>
    </w:pPr>
    <w:rPr>
      <w:rFonts w:eastAsiaTheme="minorHAnsi" w:cs="Arial"/>
      <w:lang w:eastAsia="nb-NO"/>
    </w:rPr>
    <w:tblPr/>
  </w:style>
  <w:style w:type="paragraph" w:customStyle="1" w:styleId="TableHeadingLeft">
    <w:name w:val="~TableHeadingLeft"/>
    <w:basedOn w:val="TableTextLeft"/>
    <w:uiPriority w:val="4"/>
    <w:semiHidden/>
    <w:qFormat/>
    <w:rsid w:val="00786322"/>
    <w:rPr>
      <w:rFonts w:asciiTheme="majorHAnsi" w:hAnsiTheme="majorHAnsi"/>
      <w:szCs w:val="26"/>
    </w:rPr>
  </w:style>
  <w:style w:type="paragraph" w:customStyle="1" w:styleId="TableHeadingCentre">
    <w:name w:val="~TableHeadingCentre"/>
    <w:basedOn w:val="TableHeadingLeft"/>
    <w:uiPriority w:val="4"/>
    <w:semiHidden/>
    <w:qFormat/>
    <w:rsid w:val="00CA5ACF"/>
    <w:pPr>
      <w:jc w:val="center"/>
    </w:pPr>
  </w:style>
  <w:style w:type="paragraph" w:customStyle="1" w:styleId="TableHeadingRight">
    <w:name w:val="~TableHeadingRight"/>
    <w:basedOn w:val="TableHeadingLeft"/>
    <w:uiPriority w:val="4"/>
    <w:semiHidden/>
    <w:qFormat/>
    <w:rsid w:val="00CA5ACF"/>
    <w:pPr>
      <w:jc w:val="right"/>
    </w:pPr>
  </w:style>
  <w:style w:type="table" w:customStyle="1" w:styleId="TableNormal">
    <w:name w:val="~TableNormal"/>
    <w:basedOn w:val="Vanligtabell"/>
    <w:semiHidden/>
    <w:rsid w:val="00CA5ACF"/>
    <w:pPr>
      <w:spacing w:line="240" w:lineRule="auto"/>
    </w:pPr>
    <w:rPr>
      <w:rFonts w:eastAsiaTheme="minorHAnsi" w:cs="Arial"/>
      <w:lang w:eastAsia="nb-NO"/>
    </w:rPr>
    <w:tblPr/>
  </w:style>
  <w:style w:type="paragraph" w:customStyle="1" w:styleId="TableTextCentre">
    <w:name w:val="~TableTextCentre"/>
    <w:basedOn w:val="TableTextLeft"/>
    <w:uiPriority w:val="4"/>
    <w:rsid w:val="00CA5ACF"/>
    <w:pPr>
      <w:jc w:val="center"/>
    </w:pPr>
  </w:style>
  <w:style w:type="paragraph" w:customStyle="1" w:styleId="TableTextRight">
    <w:name w:val="~TableTextRight"/>
    <w:basedOn w:val="TableTextLeft"/>
    <w:uiPriority w:val="4"/>
    <w:rsid w:val="00CA5ACF"/>
    <w:pPr>
      <w:jc w:val="right"/>
    </w:pPr>
  </w:style>
  <w:style w:type="paragraph" w:customStyle="1" w:styleId="TableTotalLeft">
    <w:name w:val="~TableTotalLeft"/>
    <w:basedOn w:val="TableTextLeft"/>
    <w:uiPriority w:val="4"/>
    <w:semiHidden/>
    <w:rsid w:val="009A5F01"/>
    <w:rPr>
      <w:rFonts w:asciiTheme="majorHAnsi" w:hAnsiTheme="majorHAnsi"/>
    </w:rPr>
  </w:style>
  <w:style w:type="paragraph" w:customStyle="1" w:styleId="TableTotalCentre">
    <w:name w:val="~TableTotalCentre"/>
    <w:basedOn w:val="TableTotalLeft"/>
    <w:uiPriority w:val="4"/>
    <w:semiHidden/>
    <w:rsid w:val="00CA5ACF"/>
    <w:pPr>
      <w:framePr w:wrap="around" w:vAnchor="page" w:hAnchor="margin" w:y="1135"/>
      <w:suppressOverlap/>
      <w:jc w:val="center"/>
    </w:pPr>
  </w:style>
  <w:style w:type="paragraph" w:customStyle="1" w:styleId="TableTotalRight">
    <w:name w:val="~TableTotalRight"/>
    <w:basedOn w:val="TableTotalLeft"/>
    <w:uiPriority w:val="4"/>
    <w:semiHidden/>
    <w:rsid w:val="00CA5ACF"/>
    <w:pPr>
      <w:framePr w:wrap="around" w:vAnchor="page" w:hAnchor="margin" w:y="1135"/>
      <w:suppressOverlap/>
      <w:jc w:val="right"/>
    </w:pPr>
  </w:style>
  <w:style w:type="paragraph" w:styleId="Bobletekst">
    <w:name w:val="Balloon Text"/>
    <w:basedOn w:val="Normal"/>
    <w:link w:val="BobletekstTegn"/>
    <w:uiPriority w:val="99"/>
    <w:semiHidden/>
    <w:rsid w:val="00CA5ACF"/>
    <w:pPr>
      <w:spacing w:line="240" w:lineRule="auto"/>
    </w:pPr>
    <w:rPr>
      <w:rFonts w:ascii="Tahoma" w:hAnsi="Tahoma" w:cs="Tahoma"/>
      <w:color w:val="808080" w:themeColor="background1" w:themeShade="80"/>
      <w:sz w:val="16"/>
      <w:szCs w:val="16"/>
    </w:rPr>
  </w:style>
  <w:style w:type="character" w:customStyle="1" w:styleId="BobletekstTegn">
    <w:name w:val="Bobletekst Tegn"/>
    <w:basedOn w:val="Standardskriftforavsnitt"/>
    <w:link w:val="Bobletekst"/>
    <w:uiPriority w:val="99"/>
    <w:semiHidden/>
    <w:rsid w:val="00B74780"/>
    <w:rPr>
      <w:rFonts w:ascii="Tahoma" w:hAnsi="Tahoma" w:cs="Tahoma"/>
      <w:color w:val="808080" w:themeColor="background1" w:themeShade="80"/>
      <w:sz w:val="16"/>
      <w:szCs w:val="16"/>
    </w:rPr>
  </w:style>
  <w:style w:type="character" w:styleId="Merknadsreferanse">
    <w:name w:val="annotation reference"/>
    <w:basedOn w:val="Standardskriftforavsnitt"/>
    <w:uiPriority w:val="99"/>
    <w:semiHidden/>
    <w:rsid w:val="00CA5ACF"/>
    <w:rPr>
      <w:sz w:val="16"/>
      <w:szCs w:val="16"/>
    </w:rPr>
  </w:style>
  <w:style w:type="paragraph" w:styleId="Merknadstekst">
    <w:name w:val="annotation text"/>
    <w:basedOn w:val="Normal"/>
    <w:link w:val="MerknadstekstTegn"/>
    <w:uiPriority w:val="99"/>
    <w:semiHidden/>
    <w:rsid w:val="00CA5ACF"/>
    <w:pPr>
      <w:spacing w:before="120" w:line="240" w:lineRule="auto"/>
    </w:pPr>
    <w:rPr>
      <w:rFonts w:ascii="Arial" w:hAnsi="Arial"/>
      <w:color w:val="auto"/>
    </w:rPr>
  </w:style>
  <w:style w:type="character" w:customStyle="1" w:styleId="MerknadstekstTegn">
    <w:name w:val="Merknadstekst Tegn"/>
    <w:basedOn w:val="Standardskriftforavsnitt"/>
    <w:link w:val="Merknadstekst"/>
    <w:uiPriority w:val="99"/>
    <w:semiHidden/>
    <w:rsid w:val="00B74780"/>
    <w:rPr>
      <w:rFonts w:ascii="Arial" w:hAnsi="Arial"/>
      <w:color w:val="auto"/>
    </w:rPr>
  </w:style>
  <w:style w:type="paragraph" w:styleId="Kommentaremne">
    <w:name w:val="annotation subject"/>
    <w:basedOn w:val="Merknadstekst"/>
    <w:next w:val="Merknadstekst"/>
    <w:link w:val="KommentaremneTegn"/>
    <w:uiPriority w:val="99"/>
    <w:semiHidden/>
    <w:rsid w:val="00CA5ACF"/>
    <w:rPr>
      <w:b/>
      <w:bCs/>
    </w:rPr>
  </w:style>
  <w:style w:type="character" w:customStyle="1" w:styleId="KommentaremneTegn">
    <w:name w:val="Kommentaremne Tegn"/>
    <w:basedOn w:val="MerknadstekstTegn"/>
    <w:link w:val="Kommentaremne"/>
    <w:uiPriority w:val="99"/>
    <w:semiHidden/>
    <w:rsid w:val="00B74780"/>
    <w:rPr>
      <w:rFonts w:ascii="Arial" w:hAnsi="Arial"/>
      <w:b/>
      <w:bCs/>
      <w:color w:val="auto"/>
    </w:rPr>
  </w:style>
  <w:style w:type="character" w:styleId="Fulgthyperkobling">
    <w:name w:val="FollowedHyperlink"/>
    <w:aliases w:val="~FollowedHyperlink"/>
    <w:basedOn w:val="Standardskriftforavsnitt"/>
    <w:uiPriority w:val="37"/>
    <w:semiHidden/>
    <w:rsid w:val="00C25C2B"/>
    <w:rPr>
      <w:color w:val="A60E24" w:themeColor="followedHyperlink"/>
      <w:u w:val="none"/>
    </w:rPr>
  </w:style>
  <w:style w:type="paragraph" w:styleId="Bunntekst">
    <w:name w:val="footer"/>
    <w:aliases w:val="~Footer"/>
    <w:basedOn w:val="Ingenmellomrom"/>
    <w:link w:val="BunntekstTegn"/>
    <w:uiPriority w:val="36"/>
    <w:semiHidden/>
    <w:rsid w:val="007707E6"/>
    <w:pPr>
      <w:jc w:val="left"/>
    </w:pPr>
    <w:rPr>
      <w:color w:val="808080" w:themeColor="background1" w:themeShade="80"/>
    </w:rPr>
  </w:style>
  <w:style w:type="character" w:customStyle="1" w:styleId="BunntekstTegn">
    <w:name w:val="Bunntekst Tegn"/>
    <w:aliases w:val="~Footer Tegn"/>
    <w:basedOn w:val="Standardskriftforavsnitt"/>
    <w:link w:val="Bunntekst"/>
    <w:uiPriority w:val="36"/>
    <w:semiHidden/>
    <w:rsid w:val="004D71DF"/>
    <w:rPr>
      <w:rFonts w:eastAsiaTheme="minorHAnsi" w:cs="Arial"/>
      <w:color w:val="808080" w:themeColor="background1" w:themeShade="80"/>
      <w:lang w:val="nb-NO" w:eastAsia="nb-NO"/>
    </w:rPr>
  </w:style>
  <w:style w:type="character" w:styleId="Fotnotereferanse">
    <w:name w:val="footnote reference"/>
    <w:basedOn w:val="Standardskriftforavsnitt"/>
    <w:uiPriority w:val="35"/>
    <w:semiHidden/>
    <w:rsid w:val="001E6E53"/>
    <w:rPr>
      <w:rFonts w:asciiTheme="minorHAnsi" w:hAnsiTheme="minorHAnsi"/>
      <w:color w:val="3672B0" w:themeColor="accent2"/>
      <w:vertAlign w:val="superscript"/>
    </w:rPr>
  </w:style>
  <w:style w:type="paragraph" w:styleId="Fotnotetekst">
    <w:name w:val="footnote text"/>
    <w:aliases w:val="~FootnoteText"/>
    <w:basedOn w:val="Ingenmellomrom"/>
    <w:link w:val="FotnotetekstTegn"/>
    <w:uiPriority w:val="35"/>
    <w:semiHidden/>
    <w:rsid w:val="001E6E53"/>
    <w:pPr>
      <w:spacing w:before="60"/>
      <w:ind w:left="284" w:hanging="284"/>
    </w:pPr>
    <w:rPr>
      <w:color w:val="555555" w:themeColor="text2"/>
      <w:sz w:val="18"/>
    </w:rPr>
  </w:style>
  <w:style w:type="character" w:customStyle="1" w:styleId="FotnotetekstTegn">
    <w:name w:val="Fotnotetekst Tegn"/>
    <w:aliases w:val="~FootnoteText Tegn"/>
    <w:basedOn w:val="Standardskriftforavsnitt"/>
    <w:link w:val="Fotnotetekst"/>
    <w:uiPriority w:val="35"/>
    <w:semiHidden/>
    <w:rsid w:val="004D71DF"/>
    <w:rPr>
      <w:rFonts w:eastAsiaTheme="minorHAnsi" w:cs="Arial"/>
      <w:color w:val="555555" w:themeColor="text2"/>
      <w:sz w:val="18"/>
      <w:lang w:val="nb-NO" w:eastAsia="nb-NO"/>
    </w:rPr>
  </w:style>
  <w:style w:type="paragraph" w:styleId="Topptekst">
    <w:name w:val="header"/>
    <w:aliases w:val="~Header"/>
    <w:basedOn w:val="Ingenmellomrom"/>
    <w:link w:val="TopptekstTegn"/>
    <w:uiPriority w:val="36"/>
    <w:semiHidden/>
    <w:rsid w:val="0029441B"/>
    <w:pPr>
      <w:jc w:val="left"/>
    </w:pPr>
    <w:rPr>
      <w:color w:val="808080" w:themeColor="background1" w:themeShade="80"/>
    </w:rPr>
  </w:style>
  <w:style w:type="character" w:customStyle="1" w:styleId="TopptekstTegn">
    <w:name w:val="Topptekst Tegn"/>
    <w:aliases w:val="~Header Tegn"/>
    <w:basedOn w:val="Standardskriftforavsnitt"/>
    <w:link w:val="Topptekst"/>
    <w:uiPriority w:val="36"/>
    <w:semiHidden/>
    <w:rsid w:val="004D71DF"/>
    <w:rPr>
      <w:rFonts w:eastAsiaTheme="minorHAnsi" w:cs="Arial"/>
      <w:color w:val="808080" w:themeColor="background1" w:themeShade="80"/>
      <w:lang w:val="nb-NO" w:eastAsia="nb-NO"/>
    </w:rPr>
  </w:style>
  <w:style w:type="character" w:styleId="Hyperkobling">
    <w:name w:val="Hyperlink"/>
    <w:aliases w:val="~Hyperlink,~HyperLink"/>
    <w:basedOn w:val="Standardskriftforavsnitt"/>
    <w:uiPriority w:val="99"/>
    <w:rsid w:val="00C25C2B"/>
    <w:rPr>
      <w:color w:val="23A5AF" w:themeColor="hyperlink"/>
      <w:u w:val="none"/>
    </w:rPr>
  </w:style>
  <w:style w:type="table" w:styleId="Middelsskyggelegging2uthevingsfarge1">
    <w:name w:val="Medium Shading 2 Accent 1"/>
    <w:basedOn w:val="Vanligtabell"/>
    <w:uiPriority w:val="64"/>
    <w:rsid w:val="00CA5ACF"/>
    <w:pPr>
      <w:spacing w:line="240" w:lineRule="auto"/>
    </w:pPr>
    <w:rPr>
      <w:rFonts w:eastAsiaTheme="minorHAnsi" w:cs="Arial"/>
      <w:color w:val="808080" w:themeColor="background1" w:themeShade="80"/>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2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2F5C" w:themeFill="accent1"/>
      </w:tcPr>
    </w:tblStylePr>
    <w:tblStylePr w:type="lastCol">
      <w:rPr>
        <w:b/>
        <w:bCs/>
        <w:color w:val="FFFFFF" w:themeColor="background1"/>
      </w:rPr>
      <w:tblPr/>
      <w:tcPr>
        <w:tcBorders>
          <w:left w:val="nil"/>
          <w:right w:val="nil"/>
          <w:insideH w:val="nil"/>
          <w:insideV w:val="nil"/>
        </w:tcBorders>
        <w:shd w:val="clear" w:color="auto" w:fill="162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ssholdertekst">
    <w:name w:val="Placeholder Text"/>
    <w:basedOn w:val="Standardskriftforavsnitt"/>
    <w:uiPriority w:val="99"/>
    <w:semiHidden/>
    <w:rsid w:val="00CA5ACF"/>
    <w:rPr>
      <w:color w:val="808080"/>
    </w:rPr>
  </w:style>
  <w:style w:type="paragraph" w:styleId="INNH1">
    <w:name w:val="toc 1"/>
    <w:aliases w:val="~SectionHeadings"/>
    <w:basedOn w:val="Ingenmellomrom"/>
    <w:next w:val="Normal"/>
    <w:uiPriority w:val="39"/>
    <w:rsid w:val="00AF1171"/>
    <w:pPr>
      <w:tabs>
        <w:tab w:val="left" w:pos="425"/>
        <w:tab w:val="right" w:leader="dot" w:pos="10195"/>
      </w:tabs>
      <w:spacing w:before="180" w:after="20"/>
      <w:ind w:left="426" w:right="403" w:hanging="426"/>
    </w:pPr>
    <w:rPr>
      <w:rFonts w:asciiTheme="majorHAnsi" w:eastAsiaTheme="minorEastAsia" w:hAnsiTheme="majorHAnsi"/>
      <w:noProof/>
    </w:rPr>
  </w:style>
  <w:style w:type="paragraph" w:styleId="INNH2">
    <w:name w:val="toc 2"/>
    <w:aliases w:val="~SubHeadings"/>
    <w:basedOn w:val="INNH1"/>
    <w:next w:val="Normal"/>
    <w:uiPriority w:val="39"/>
    <w:rsid w:val="00AF1171"/>
    <w:pPr>
      <w:tabs>
        <w:tab w:val="clear" w:pos="425"/>
        <w:tab w:val="left" w:pos="993"/>
        <w:tab w:val="right" w:pos="10195"/>
      </w:tabs>
      <w:spacing w:before="20"/>
      <w:ind w:left="993" w:hanging="568"/>
    </w:pPr>
    <w:rPr>
      <w:rFonts w:asciiTheme="minorHAnsi" w:hAnsiTheme="minorHAnsi" w:cstheme="minorHAnsi"/>
    </w:rPr>
  </w:style>
  <w:style w:type="paragraph" w:styleId="INNH3">
    <w:name w:val="toc 3"/>
    <w:aliases w:val="~MinorSubheadings"/>
    <w:basedOn w:val="INNH2"/>
    <w:next w:val="Normal"/>
    <w:uiPriority w:val="39"/>
    <w:semiHidden/>
    <w:rsid w:val="0037593B"/>
    <w:pPr>
      <w:tabs>
        <w:tab w:val="clear" w:pos="993"/>
        <w:tab w:val="left" w:pos="1701"/>
      </w:tabs>
      <w:ind w:left="1701" w:hanging="709"/>
    </w:pPr>
  </w:style>
  <w:style w:type="paragraph" w:styleId="INNH4">
    <w:name w:val="toc 4"/>
    <w:aliases w:val="~FourthHeadLevel"/>
    <w:basedOn w:val="INNH3"/>
    <w:next w:val="Normal"/>
    <w:uiPriority w:val="39"/>
    <w:semiHidden/>
    <w:rsid w:val="00CA5ACF"/>
    <w:pPr>
      <w:tabs>
        <w:tab w:val="left" w:pos="2098"/>
      </w:tabs>
      <w:ind w:left="2098" w:hanging="794"/>
    </w:pPr>
  </w:style>
  <w:style w:type="paragraph" w:styleId="INNH5">
    <w:name w:val="toc 5"/>
    <w:aliases w:val="~ExecSumHeading"/>
    <w:basedOn w:val="INNH1"/>
    <w:next w:val="Normal"/>
    <w:uiPriority w:val="39"/>
    <w:rsid w:val="00CA5ACF"/>
  </w:style>
  <w:style w:type="paragraph" w:styleId="INNH6">
    <w:name w:val="toc 6"/>
    <w:aliases w:val="~AppDivider"/>
    <w:basedOn w:val="INNH1"/>
    <w:next w:val="Normal"/>
    <w:uiPriority w:val="39"/>
    <w:rsid w:val="00CA5ACF"/>
    <w:pPr>
      <w:spacing w:before="240"/>
    </w:pPr>
  </w:style>
  <w:style w:type="paragraph" w:styleId="INNH7">
    <w:name w:val="toc 7"/>
    <w:aliases w:val="~AppHeadings"/>
    <w:basedOn w:val="INNH1"/>
    <w:next w:val="Normal"/>
    <w:uiPriority w:val="39"/>
    <w:semiHidden/>
    <w:rsid w:val="00AF1171"/>
    <w:pPr>
      <w:tabs>
        <w:tab w:val="right" w:pos="10195"/>
      </w:tabs>
      <w:spacing w:before="20"/>
      <w:ind w:left="425" w:hanging="425"/>
    </w:pPr>
    <w:rPr>
      <w:rFonts w:asciiTheme="minorHAnsi" w:hAnsiTheme="minorHAnsi" w:cstheme="minorHAnsi"/>
    </w:rPr>
  </w:style>
  <w:style w:type="paragraph" w:styleId="INNH8">
    <w:name w:val="toc 8"/>
    <w:aliases w:val="~AppSubHeadings"/>
    <w:basedOn w:val="INNH2"/>
    <w:next w:val="Normal"/>
    <w:uiPriority w:val="39"/>
    <w:semiHidden/>
    <w:rsid w:val="00CA5ACF"/>
  </w:style>
  <w:style w:type="paragraph" w:styleId="INNH9">
    <w:name w:val="toc 9"/>
    <w:basedOn w:val="Normal"/>
    <w:next w:val="Normal"/>
    <w:uiPriority w:val="39"/>
    <w:rsid w:val="00450D76"/>
    <w:pPr>
      <w:tabs>
        <w:tab w:val="left" w:pos="1559"/>
        <w:tab w:val="right" w:leader="dot" w:pos="10195"/>
      </w:tabs>
      <w:spacing w:before="20" w:after="20" w:line="240" w:lineRule="auto"/>
      <w:ind w:left="1559" w:right="709" w:hanging="1559"/>
    </w:pPr>
  </w:style>
  <w:style w:type="paragraph" w:styleId="Overskriftforinnholdsfortegnelse">
    <w:name w:val="TOC Heading"/>
    <w:basedOn w:val="Overskrift1"/>
    <w:next w:val="Normal"/>
    <w:uiPriority w:val="38"/>
    <w:semiHidden/>
    <w:rsid w:val="00CA5ACF"/>
    <w:pPr>
      <w:keepLines/>
      <w:numPr>
        <w:numId w:val="0"/>
      </w:numPr>
      <w:spacing w:after="0"/>
      <w:outlineLvl w:val="9"/>
    </w:pPr>
    <w:rPr>
      <w:rFonts w:eastAsiaTheme="majorEastAsia" w:cstheme="majorBidi"/>
      <w:bCs/>
      <w:sz w:val="28"/>
      <w:szCs w:val="28"/>
    </w:rPr>
  </w:style>
  <w:style w:type="paragraph" w:styleId="Figurliste">
    <w:name w:val="table of figures"/>
    <w:basedOn w:val="Normal"/>
    <w:next w:val="Normal"/>
    <w:uiPriority w:val="99"/>
    <w:semiHidden/>
    <w:rsid w:val="000A3F9A"/>
    <w:pPr>
      <w:tabs>
        <w:tab w:val="left" w:pos="1559"/>
        <w:tab w:val="right" w:leader="dot" w:pos="10195"/>
      </w:tabs>
      <w:spacing w:before="20" w:after="20" w:line="240" w:lineRule="auto"/>
      <w:ind w:left="1559" w:right="709" w:hanging="1559"/>
    </w:pPr>
    <w:rPr>
      <w:rFonts w:eastAsiaTheme="minorHAnsi" w:cs="Calibri"/>
      <w:noProof/>
      <w:szCs w:val="21"/>
      <w:lang w:eastAsia="nb-NO"/>
    </w:rPr>
  </w:style>
  <w:style w:type="paragraph" w:customStyle="1" w:styleId="SectionTitle">
    <w:name w:val="~SectionTitle"/>
    <w:basedOn w:val="Ingenmellomrom"/>
    <w:next w:val="SectionSubtitle"/>
    <w:uiPriority w:val="3"/>
    <w:rsid w:val="0029441B"/>
    <w:pPr>
      <w:spacing w:before="4000"/>
      <w:jc w:val="left"/>
    </w:pPr>
    <w:rPr>
      <w:rFonts w:asciiTheme="majorHAnsi" w:hAnsiTheme="majorHAnsi"/>
      <w:color w:val="162F5C" w:themeColor="accent1"/>
      <w:sz w:val="64"/>
    </w:rPr>
  </w:style>
  <w:style w:type="paragraph" w:customStyle="1" w:styleId="SectionSubtitle">
    <w:name w:val="~SectionSubtitle"/>
    <w:basedOn w:val="SectionTitle"/>
    <w:next w:val="SectionCaseNumber"/>
    <w:uiPriority w:val="3"/>
    <w:rsid w:val="002B4E91"/>
    <w:pPr>
      <w:spacing w:before="240"/>
    </w:pPr>
    <w:rPr>
      <w:color w:val="3672B0" w:themeColor="accent2"/>
      <w:sz w:val="32"/>
    </w:rPr>
  </w:style>
  <w:style w:type="paragraph" w:customStyle="1" w:styleId="SectionCaseNumber">
    <w:name w:val="~SectionCaseNumber"/>
    <w:basedOn w:val="SectionSubtitle"/>
    <w:uiPriority w:val="3"/>
    <w:rsid w:val="00EC29F4"/>
    <w:pPr>
      <w:spacing w:before="1200"/>
    </w:pPr>
    <w:rPr>
      <w:color w:val="555555" w:themeColor="text2"/>
    </w:rPr>
  </w:style>
  <w:style w:type="paragraph" w:customStyle="1" w:styleId="QuoteSource">
    <w:name w:val="~QuoteSource"/>
    <w:basedOn w:val="Source"/>
    <w:uiPriority w:val="8"/>
    <w:rsid w:val="00A15037"/>
    <w:pPr>
      <w:spacing w:before="180"/>
    </w:pPr>
  </w:style>
  <w:style w:type="paragraph" w:customStyle="1" w:styleId="DocBackPage">
    <w:name w:val="~DocBackPage"/>
    <w:basedOn w:val="Normal"/>
    <w:uiPriority w:val="10"/>
    <w:semiHidden/>
    <w:qFormat/>
    <w:rsid w:val="00212371"/>
    <w:pPr>
      <w:spacing w:before="0" w:line="240" w:lineRule="auto"/>
      <w:jc w:val="left"/>
    </w:pPr>
    <w:rPr>
      <w:rFonts w:asciiTheme="majorHAnsi" w:hAnsiTheme="majorHAnsi"/>
      <w:color w:val="FFFFFF" w:themeColor="background1"/>
      <w:sz w:val="24"/>
    </w:rPr>
  </w:style>
  <w:style w:type="paragraph" w:customStyle="1" w:styleId="QuoteBlock">
    <w:name w:val="~QuoteBlock"/>
    <w:basedOn w:val="Normal"/>
    <w:next w:val="QuoteBlockSource"/>
    <w:uiPriority w:val="8"/>
    <w:rsid w:val="004D193F"/>
    <w:pPr>
      <w:ind w:left="567" w:right="567"/>
    </w:pPr>
    <w:rPr>
      <w:noProof/>
      <w:sz w:val="20"/>
    </w:rPr>
  </w:style>
  <w:style w:type="paragraph" w:customStyle="1" w:styleId="QuoteBlockSource">
    <w:name w:val="~QuoteBlockSource"/>
    <w:basedOn w:val="QuoteSource"/>
    <w:next w:val="Normal"/>
    <w:uiPriority w:val="8"/>
    <w:rsid w:val="004D193F"/>
    <w:pPr>
      <w:ind w:left="567" w:right="567" w:firstLine="0"/>
    </w:pPr>
  </w:style>
  <w:style w:type="paragraph" w:customStyle="1" w:styleId="CVBlueText">
    <w:name w:val="~CVBlueText"/>
    <w:basedOn w:val="TableHeadingLeft"/>
    <w:uiPriority w:val="8"/>
    <w:semiHidden/>
    <w:rsid w:val="00494979"/>
    <w:rPr>
      <w:color w:val="23A5AF" w:themeColor="accent3"/>
    </w:rPr>
  </w:style>
  <w:style w:type="paragraph" w:customStyle="1" w:styleId="CVGreyText">
    <w:name w:val="~CVGreyText"/>
    <w:basedOn w:val="TableTextLeft"/>
    <w:uiPriority w:val="8"/>
    <w:semiHidden/>
    <w:rsid w:val="00494979"/>
    <w:rPr>
      <w:color w:val="555555" w:themeColor="text2"/>
    </w:rPr>
  </w:style>
  <w:style w:type="paragraph" w:customStyle="1" w:styleId="CVName">
    <w:name w:val="~CVName"/>
    <w:basedOn w:val="ExecSumHead"/>
    <w:uiPriority w:val="8"/>
    <w:semiHidden/>
    <w:rsid w:val="009C54EA"/>
  </w:style>
  <w:style w:type="paragraph" w:styleId="Bibliografi">
    <w:name w:val="Bibliography"/>
    <w:basedOn w:val="Normal"/>
    <w:next w:val="Normal"/>
    <w:uiPriority w:val="39"/>
    <w:semiHidden/>
    <w:unhideWhenUsed/>
    <w:rsid w:val="00C9172B"/>
  </w:style>
  <w:style w:type="paragraph" w:styleId="Blokktekst">
    <w:name w:val="Block Text"/>
    <w:basedOn w:val="Normal"/>
    <w:uiPriority w:val="99"/>
    <w:semiHidden/>
    <w:rsid w:val="00C9172B"/>
    <w:pPr>
      <w:pBdr>
        <w:top w:val="single" w:sz="2" w:space="10" w:color="162F5C" w:themeColor="accent1"/>
        <w:left w:val="single" w:sz="2" w:space="10" w:color="162F5C" w:themeColor="accent1"/>
        <w:bottom w:val="single" w:sz="2" w:space="10" w:color="162F5C" w:themeColor="accent1"/>
        <w:right w:val="single" w:sz="2" w:space="10" w:color="162F5C" w:themeColor="accent1"/>
      </w:pBdr>
      <w:ind w:left="1152" w:right="1152"/>
    </w:pPr>
    <w:rPr>
      <w:i/>
      <w:iCs/>
      <w:color w:val="162F5C" w:themeColor="accent1"/>
    </w:rPr>
  </w:style>
  <w:style w:type="paragraph" w:styleId="Brdtekst">
    <w:name w:val="Body Text"/>
    <w:basedOn w:val="Normal"/>
    <w:link w:val="BrdtekstTegn"/>
    <w:uiPriority w:val="99"/>
    <w:semiHidden/>
    <w:rsid w:val="00C9172B"/>
    <w:pPr>
      <w:spacing w:after="120"/>
    </w:pPr>
  </w:style>
  <w:style w:type="character" w:customStyle="1" w:styleId="BrdtekstTegn">
    <w:name w:val="Brødtekst Tegn"/>
    <w:basedOn w:val="Standardskriftforavsnitt"/>
    <w:link w:val="Brdtekst"/>
    <w:uiPriority w:val="99"/>
    <w:semiHidden/>
    <w:rsid w:val="00B74780"/>
  </w:style>
  <w:style w:type="paragraph" w:styleId="Brdtekst2">
    <w:name w:val="Body Text 2"/>
    <w:basedOn w:val="Normal"/>
    <w:link w:val="Brdtekst2Tegn"/>
    <w:uiPriority w:val="99"/>
    <w:semiHidden/>
    <w:rsid w:val="00C9172B"/>
    <w:pPr>
      <w:spacing w:after="120" w:line="480" w:lineRule="auto"/>
    </w:pPr>
  </w:style>
  <w:style w:type="character" w:customStyle="1" w:styleId="Brdtekst2Tegn">
    <w:name w:val="Brødtekst 2 Tegn"/>
    <w:basedOn w:val="Standardskriftforavsnitt"/>
    <w:link w:val="Brdtekst2"/>
    <w:uiPriority w:val="99"/>
    <w:semiHidden/>
    <w:rsid w:val="00B74780"/>
  </w:style>
  <w:style w:type="paragraph" w:styleId="Brdtekst3">
    <w:name w:val="Body Text 3"/>
    <w:basedOn w:val="Normal"/>
    <w:link w:val="Brdtekst3Tegn"/>
    <w:uiPriority w:val="99"/>
    <w:semiHidden/>
    <w:rsid w:val="00C9172B"/>
    <w:pPr>
      <w:spacing w:after="120"/>
    </w:pPr>
    <w:rPr>
      <w:sz w:val="16"/>
      <w:szCs w:val="16"/>
    </w:rPr>
  </w:style>
  <w:style w:type="character" w:customStyle="1" w:styleId="Brdtekst3Tegn">
    <w:name w:val="Brødtekst 3 Tegn"/>
    <w:basedOn w:val="Standardskriftforavsnitt"/>
    <w:link w:val="Brdtekst3"/>
    <w:uiPriority w:val="99"/>
    <w:semiHidden/>
    <w:rsid w:val="00B74780"/>
    <w:rPr>
      <w:sz w:val="16"/>
      <w:szCs w:val="16"/>
    </w:rPr>
  </w:style>
  <w:style w:type="paragraph" w:styleId="Brdtekst-frsteinnrykk">
    <w:name w:val="Body Text First Indent"/>
    <w:basedOn w:val="Brdtekst"/>
    <w:link w:val="Brdtekst-frsteinnrykkTegn"/>
    <w:uiPriority w:val="99"/>
    <w:semiHidden/>
    <w:rsid w:val="00C9172B"/>
    <w:pPr>
      <w:spacing w:after="0"/>
      <w:ind w:firstLine="360"/>
    </w:pPr>
  </w:style>
  <w:style w:type="character" w:customStyle="1" w:styleId="Brdtekst-frsteinnrykkTegn">
    <w:name w:val="Brødtekst - første innrykk Tegn"/>
    <w:basedOn w:val="BrdtekstTegn"/>
    <w:link w:val="Brdtekst-frsteinnrykk"/>
    <w:uiPriority w:val="99"/>
    <w:semiHidden/>
    <w:rsid w:val="00B74780"/>
  </w:style>
  <w:style w:type="paragraph" w:styleId="Brdtekstinnrykk">
    <w:name w:val="Body Text Indent"/>
    <w:basedOn w:val="Normal"/>
    <w:link w:val="BrdtekstinnrykkTegn"/>
    <w:uiPriority w:val="99"/>
    <w:semiHidden/>
    <w:rsid w:val="00C9172B"/>
    <w:pPr>
      <w:spacing w:after="120"/>
      <w:ind w:left="283"/>
    </w:pPr>
  </w:style>
  <w:style w:type="character" w:customStyle="1" w:styleId="BrdtekstinnrykkTegn">
    <w:name w:val="Brødtekstinnrykk Tegn"/>
    <w:basedOn w:val="Standardskriftforavsnitt"/>
    <w:link w:val="Brdtekstinnrykk"/>
    <w:uiPriority w:val="99"/>
    <w:semiHidden/>
    <w:rsid w:val="00B74780"/>
  </w:style>
  <w:style w:type="paragraph" w:styleId="Brdtekst-frsteinnrykk2">
    <w:name w:val="Body Text First Indent 2"/>
    <w:basedOn w:val="Brdtekstinnrykk"/>
    <w:link w:val="Brdtekst-frsteinnrykk2Tegn"/>
    <w:uiPriority w:val="99"/>
    <w:semiHidden/>
    <w:rsid w:val="00C9172B"/>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B74780"/>
  </w:style>
  <w:style w:type="paragraph" w:styleId="Brdtekstinnrykk2">
    <w:name w:val="Body Text Indent 2"/>
    <w:basedOn w:val="Normal"/>
    <w:link w:val="Brdtekstinnrykk2Tegn"/>
    <w:uiPriority w:val="99"/>
    <w:semiHidden/>
    <w:rsid w:val="00C9172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B74780"/>
  </w:style>
  <w:style w:type="paragraph" w:styleId="Brdtekstinnrykk3">
    <w:name w:val="Body Text Indent 3"/>
    <w:basedOn w:val="Normal"/>
    <w:link w:val="Brdtekstinnrykk3Tegn"/>
    <w:uiPriority w:val="99"/>
    <w:semiHidden/>
    <w:rsid w:val="00C9172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B74780"/>
    <w:rPr>
      <w:sz w:val="16"/>
      <w:szCs w:val="16"/>
    </w:rPr>
  </w:style>
  <w:style w:type="character" w:styleId="Boktittel">
    <w:name w:val="Book Title"/>
    <w:basedOn w:val="Standardskriftforavsnitt"/>
    <w:uiPriority w:val="39"/>
    <w:semiHidden/>
    <w:qFormat/>
    <w:rsid w:val="00C9172B"/>
    <w:rPr>
      <w:b/>
      <w:bCs/>
      <w:i/>
      <w:iCs/>
      <w:spacing w:val="5"/>
    </w:rPr>
  </w:style>
  <w:style w:type="paragraph" w:styleId="Hilsen">
    <w:name w:val="Closing"/>
    <w:basedOn w:val="Normal"/>
    <w:link w:val="HilsenTegn"/>
    <w:uiPriority w:val="99"/>
    <w:semiHidden/>
    <w:rsid w:val="00C9172B"/>
    <w:pPr>
      <w:spacing w:before="0" w:line="240" w:lineRule="auto"/>
      <w:ind w:left="4252"/>
    </w:pPr>
  </w:style>
  <w:style w:type="character" w:customStyle="1" w:styleId="HilsenTegn">
    <w:name w:val="Hilsen Tegn"/>
    <w:basedOn w:val="Standardskriftforavsnitt"/>
    <w:link w:val="Hilsen"/>
    <w:uiPriority w:val="99"/>
    <w:semiHidden/>
    <w:rsid w:val="00B74780"/>
  </w:style>
  <w:style w:type="table" w:styleId="Fargeriktrutenett">
    <w:name w:val="Colorful Grid"/>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D1D1D1" w:themeFill="text1" w:themeFillTint="33"/>
    </w:tcPr>
    <w:tblStylePr w:type="firstRow">
      <w:rPr>
        <w:b/>
        <w:bCs/>
      </w:rPr>
      <w:tblPr/>
      <w:tcPr>
        <w:shd w:val="clear" w:color="auto" w:fill="A4A4A4" w:themeFill="text1" w:themeFillTint="66"/>
      </w:tcPr>
    </w:tblStylePr>
    <w:tblStylePr w:type="lastRow">
      <w:rPr>
        <w:b/>
        <w:bCs/>
        <w:color w:val="1C1C1C" w:themeColor="text1"/>
      </w:rPr>
      <w:tblPr/>
      <w:tcPr>
        <w:shd w:val="clear" w:color="auto" w:fill="A4A4A4" w:themeFill="text1" w:themeFillTint="66"/>
      </w:tcPr>
    </w:tblStylePr>
    <w:tblStylePr w:type="firstCol">
      <w:rPr>
        <w:color w:val="FFFFFF" w:themeColor="background1"/>
      </w:rPr>
      <w:tblPr/>
      <w:tcPr>
        <w:shd w:val="clear" w:color="auto" w:fill="141414" w:themeFill="text1" w:themeFillShade="BF"/>
      </w:tcPr>
    </w:tblStylePr>
    <w:tblStylePr w:type="lastCol">
      <w:rPr>
        <w:color w:val="FFFFFF" w:themeColor="background1"/>
      </w:rPr>
      <w:tblPr/>
      <w:tcPr>
        <w:shd w:val="clear" w:color="auto" w:fill="141414" w:themeFill="text1" w:themeFillShade="BF"/>
      </w:tcPr>
    </w:tblStylePr>
    <w:tblStylePr w:type="band1Vert">
      <w:tblPr/>
      <w:tcPr>
        <w:shd w:val="clear" w:color="auto" w:fill="8D8D8D" w:themeFill="text1" w:themeFillTint="7F"/>
      </w:tcPr>
    </w:tblStylePr>
    <w:tblStylePr w:type="band1Horz">
      <w:tblPr/>
      <w:tcPr>
        <w:shd w:val="clear" w:color="auto" w:fill="8D8D8D" w:themeFill="text1" w:themeFillTint="7F"/>
      </w:tcPr>
    </w:tblStylePr>
  </w:style>
  <w:style w:type="table" w:styleId="Fargeriktrutenettuthevingsfarge1">
    <w:name w:val="Colorful Grid Accent 1"/>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BED0EF" w:themeFill="accent1" w:themeFillTint="33"/>
    </w:tcPr>
    <w:tblStylePr w:type="firstRow">
      <w:rPr>
        <w:b/>
        <w:bCs/>
      </w:rPr>
      <w:tblPr/>
      <w:tcPr>
        <w:shd w:val="clear" w:color="auto" w:fill="7EA1E0" w:themeFill="accent1" w:themeFillTint="66"/>
      </w:tcPr>
    </w:tblStylePr>
    <w:tblStylePr w:type="lastRow">
      <w:rPr>
        <w:b/>
        <w:bCs/>
        <w:color w:val="1C1C1C" w:themeColor="text1"/>
      </w:rPr>
      <w:tblPr/>
      <w:tcPr>
        <w:shd w:val="clear" w:color="auto" w:fill="7EA1E0" w:themeFill="accent1" w:themeFillTint="66"/>
      </w:tcPr>
    </w:tblStylePr>
    <w:tblStylePr w:type="firstCol">
      <w:rPr>
        <w:color w:val="FFFFFF" w:themeColor="background1"/>
      </w:rPr>
      <w:tblPr/>
      <w:tcPr>
        <w:shd w:val="clear" w:color="auto" w:fill="102344" w:themeFill="accent1" w:themeFillShade="BF"/>
      </w:tcPr>
    </w:tblStylePr>
    <w:tblStylePr w:type="lastCol">
      <w:rPr>
        <w:color w:val="FFFFFF" w:themeColor="background1"/>
      </w:rPr>
      <w:tblPr/>
      <w:tcPr>
        <w:shd w:val="clear" w:color="auto" w:fill="102344" w:themeFill="accent1" w:themeFillShade="BF"/>
      </w:tcPr>
    </w:tblStylePr>
    <w:tblStylePr w:type="band1Vert">
      <w:tblPr/>
      <w:tcPr>
        <w:shd w:val="clear" w:color="auto" w:fill="5F8AD9" w:themeFill="accent1" w:themeFillTint="7F"/>
      </w:tcPr>
    </w:tblStylePr>
    <w:tblStylePr w:type="band1Horz">
      <w:tblPr/>
      <w:tcPr>
        <w:shd w:val="clear" w:color="auto" w:fill="5F8AD9" w:themeFill="accent1" w:themeFillTint="7F"/>
      </w:tcPr>
    </w:tblStylePr>
  </w:style>
  <w:style w:type="table" w:styleId="Fargeriktrutenettuthevingsfarge2">
    <w:name w:val="Colorful Grid Accent 2"/>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D4E2F2" w:themeFill="accent2" w:themeFillTint="33"/>
    </w:tcPr>
    <w:tblStylePr w:type="firstRow">
      <w:rPr>
        <w:b/>
        <w:bCs/>
      </w:rPr>
      <w:tblPr/>
      <w:tcPr>
        <w:shd w:val="clear" w:color="auto" w:fill="A9C6E4" w:themeFill="accent2" w:themeFillTint="66"/>
      </w:tcPr>
    </w:tblStylePr>
    <w:tblStylePr w:type="lastRow">
      <w:rPr>
        <w:b/>
        <w:bCs/>
        <w:color w:val="1C1C1C" w:themeColor="text1"/>
      </w:rPr>
      <w:tblPr/>
      <w:tcPr>
        <w:shd w:val="clear" w:color="auto" w:fill="A9C6E4" w:themeFill="accent2" w:themeFillTint="66"/>
      </w:tcPr>
    </w:tblStylePr>
    <w:tblStylePr w:type="firstCol">
      <w:rPr>
        <w:color w:val="FFFFFF" w:themeColor="background1"/>
      </w:rPr>
      <w:tblPr/>
      <w:tcPr>
        <w:shd w:val="clear" w:color="auto" w:fill="285583" w:themeFill="accent2" w:themeFillShade="BF"/>
      </w:tcPr>
    </w:tblStylePr>
    <w:tblStylePr w:type="lastCol">
      <w:rPr>
        <w:color w:val="FFFFFF" w:themeColor="background1"/>
      </w:rPr>
      <w:tblPr/>
      <w:tcPr>
        <w:shd w:val="clear" w:color="auto" w:fill="285583" w:themeFill="accent2" w:themeFillShade="BF"/>
      </w:tcPr>
    </w:tblStylePr>
    <w:tblStylePr w:type="band1Vert">
      <w:tblPr/>
      <w:tcPr>
        <w:shd w:val="clear" w:color="auto" w:fill="94B8DE" w:themeFill="accent2" w:themeFillTint="7F"/>
      </w:tcPr>
    </w:tblStylePr>
    <w:tblStylePr w:type="band1Horz">
      <w:tblPr/>
      <w:tcPr>
        <w:shd w:val="clear" w:color="auto" w:fill="94B8DE" w:themeFill="accent2" w:themeFillTint="7F"/>
      </w:tcPr>
    </w:tblStylePr>
  </w:style>
  <w:style w:type="table" w:styleId="Fargeriktrutenettuthevingsfarge3">
    <w:name w:val="Colorful Grid Accent 3"/>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CDF2F5" w:themeFill="accent3" w:themeFillTint="33"/>
    </w:tcPr>
    <w:tblStylePr w:type="firstRow">
      <w:rPr>
        <w:b/>
        <w:bCs/>
      </w:rPr>
      <w:tblPr/>
      <w:tcPr>
        <w:shd w:val="clear" w:color="auto" w:fill="9BE5EB" w:themeFill="accent3" w:themeFillTint="66"/>
      </w:tcPr>
    </w:tblStylePr>
    <w:tblStylePr w:type="lastRow">
      <w:rPr>
        <w:b/>
        <w:bCs/>
        <w:color w:val="1C1C1C" w:themeColor="text1"/>
      </w:rPr>
      <w:tblPr/>
      <w:tcPr>
        <w:shd w:val="clear" w:color="auto" w:fill="9BE5EB" w:themeFill="accent3" w:themeFillTint="66"/>
      </w:tcPr>
    </w:tblStylePr>
    <w:tblStylePr w:type="firstCol">
      <w:rPr>
        <w:color w:val="FFFFFF" w:themeColor="background1"/>
      </w:rPr>
      <w:tblPr/>
      <w:tcPr>
        <w:shd w:val="clear" w:color="auto" w:fill="1A7B82" w:themeFill="accent3" w:themeFillShade="BF"/>
      </w:tcPr>
    </w:tblStylePr>
    <w:tblStylePr w:type="lastCol">
      <w:rPr>
        <w:color w:val="FFFFFF" w:themeColor="background1"/>
      </w:rPr>
      <w:tblPr/>
      <w:tcPr>
        <w:shd w:val="clear" w:color="auto" w:fill="1A7B82" w:themeFill="accent3" w:themeFillShade="BF"/>
      </w:tcPr>
    </w:tblStylePr>
    <w:tblStylePr w:type="band1Vert">
      <w:tblPr/>
      <w:tcPr>
        <w:shd w:val="clear" w:color="auto" w:fill="82DEE6" w:themeFill="accent3" w:themeFillTint="7F"/>
      </w:tcPr>
    </w:tblStylePr>
    <w:tblStylePr w:type="band1Horz">
      <w:tblPr/>
      <w:tcPr>
        <w:shd w:val="clear" w:color="auto" w:fill="82DEE6" w:themeFill="accent3" w:themeFillTint="7F"/>
      </w:tcPr>
    </w:tblStylePr>
  </w:style>
  <w:style w:type="table" w:styleId="Fargeriktrutenettuthevingsfarge4">
    <w:name w:val="Colorful Grid Accent 4"/>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FDE9D9" w:themeFill="accent4" w:themeFillTint="33"/>
    </w:tcPr>
    <w:tblStylePr w:type="firstRow">
      <w:rPr>
        <w:b/>
        <w:bCs/>
      </w:rPr>
      <w:tblPr/>
      <w:tcPr>
        <w:shd w:val="clear" w:color="auto" w:fill="FBD4B4" w:themeFill="accent4" w:themeFillTint="66"/>
      </w:tcPr>
    </w:tblStylePr>
    <w:tblStylePr w:type="lastRow">
      <w:rPr>
        <w:b/>
        <w:bCs/>
        <w:color w:val="1C1C1C" w:themeColor="text1"/>
      </w:rPr>
      <w:tblPr/>
      <w:tcPr>
        <w:shd w:val="clear" w:color="auto" w:fill="FBD4B4" w:themeFill="accent4" w:themeFillTint="66"/>
      </w:tcPr>
    </w:tblStylePr>
    <w:tblStylePr w:type="firstCol">
      <w:rPr>
        <w:color w:val="FFFFFF" w:themeColor="background1"/>
      </w:rPr>
      <w:tblPr/>
      <w:tcPr>
        <w:shd w:val="clear" w:color="auto" w:fill="E36C0A" w:themeFill="accent4" w:themeFillShade="BF"/>
      </w:tcPr>
    </w:tblStylePr>
    <w:tblStylePr w:type="lastCol">
      <w:rPr>
        <w:color w:val="FFFFFF" w:themeColor="background1"/>
      </w:rPr>
      <w:tblPr/>
      <w:tcPr>
        <w:shd w:val="clear" w:color="auto" w:fill="E36C0A" w:themeFill="accent4" w:themeFillShade="BF"/>
      </w:tcPr>
    </w:tblStylePr>
    <w:tblStylePr w:type="band1Vert">
      <w:tblPr/>
      <w:tcPr>
        <w:shd w:val="clear" w:color="auto" w:fill="FBCAA2" w:themeFill="accent4" w:themeFillTint="7F"/>
      </w:tcPr>
    </w:tblStylePr>
    <w:tblStylePr w:type="band1Horz">
      <w:tblPr/>
      <w:tcPr>
        <w:shd w:val="clear" w:color="auto" w:fill="FBCAA2" w:themeFill="accent4" w:themeFillTint="7F"/>
      </w:tcPr>
    </w:tblStylePr>
  </w:style>
  <w:style w:type="table" w:styleId="Fargeriktrutenettuthevingsfarge5">
    <w:name w:val="Colorful Grid Accent 5"/>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FAC2C9" w:themeFill="accent5" w:themeFillTint="33"/>
    </w:tcPr>
    <w:tblStylePr w:type="firstRow">
      <w:rPr>
        <w:b/>
        <w:bCs/>
      </w:rPr>
      <w:tblPr/>
      <w:tcPr>
        <w:shd w:val="clear" w:color="auto" w:fill="F48594" w:themeFill="accent5" w:themeFillTint="66"/>
      </w:tcPr>
    </w:tblStylePr>
    <w:tblStylePr w:type="lastRow">
      <w:rPr>
        <w:b/>
        <w:bCs/>
        <w:color w:val="1C1C1C" w:themeColor="text1"/>
      </w:rPr>
      <w:tblPr/>
      <w:tcPr>
        <w:shd w:val="clear" w:color="auto" w:fill="F48594" w:themeFill="accent5" w:themeFillTint="66"/>
      </w:tcPr>
    </w:tblStylePr>
    <w:tblStylePr w:type="firstCol">
      <w:rPr>
        <w:color w:val="FFFFFF" w:themeColor="background1"/>
      </w:rPr>
      <w:tblPr/>
      <w:tcPr>
        <w:shd w:val="clear" w:color="auto" w:fill="7C0A1A" w:themeFill="accent5" w:themeFillShade="BF"/>
      </w:tcPr>
    </w:tblStylePr>
    <w:tblStylePr w:type="lastCol">
      <w:rPr>
        <w:color w:val="FFFFFF" w:themeColor="background1"/>
      </w:rPr>
      <w:tblPr/>
      <w:tcPr>
        <w:shd w:val="clear" w:color="auto" w:fill="7C0A1A" w:themeFill="accent5" w:themeFillShade="BF"/>
      </w:tcPr>
    </w:tblStylePr>
    <w:tblStylePr w:type="band1Vert">
      <w:tblPr/>
      <w:tcPr>
        <w:shd w:val="clear" w:color="auto" w:fill="F2677A" w:themeFill="accent5" w:themeFillTint="7F"/>
      </w:tcPr>
    </w:tblStylePr>
    <w:tblStylePr w:type="band1Horz">
      <w:tblPr/>
      <w:tcPr>
        <w:shd w:val="clear" w:color="auto" w:fill="F2677A" w:themeFill="accent5" w:themeFillTint="7F"/>
      </w:tcPr>
    </w:tblStylePr>
  </w:style>
  <w:style w:type="table" w:styleId="Fargeriktrutenettuthevingsfarge6">
    <w:name w:val="Colorful Grid Accent 6"/>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D7EBDD" w:themeFill="accent6" w:themeFillTint="33"/>
    </w:tcPr>
    <w:tblStylePr w:type="firstRow">
      <w:rPr>
        <w:b/>
        <w:bCs/>
      </w:rPr>
      <w:tblPr/>
      <w:tcPr>
        <w:shd w:val="clear" w:color="auto" w:fill="AFD7BB" w:themeFill="accent6" w:themeFillTint="66"/>
      </w:tcPr>
    </w:tblStylePr>
    <w:tblStylePr w:type="lastRow">
      <w:rPr>
        <w:b/>
        <w:bCs/>
        <w:color w:val="1C1C1C" w:themeColor="text1"/>
      </w:rPr>
      <w:tblPr/>
      <w:tcPr>
        <w:shd w:val="clear" w:color="auto" w:fill="AFD7BB" w:themeFill="accent6" w:themeFillTint="66"/>
      </w:tcPr>
    </w:tblStylePr>
    <w:tblStylePr w:type="firstCol">
      <w:rPr>
        <w:color w:val="FFFFFF" w:themeColor="background1"/>
      </w:rPr>
      <w:tblPr/>
      <w:tcPr>
        <w:shd w:val="clear" w:color="auto" w:fill="346844" w:themeFill="accent6" w:themeFillShade="BF"/>
      </w:tcPr>
    </w:tblStylePr>
    <w:tblStylePr w:type="lastCol">
      <w:rPr>
        <w:color w:val="FFFFFF" w:themeColor="background1"/>
      </w:rPr>
      <w:tblPr/>
      <w:tcPr>
        <w:shd w:val="clear" w:color="auto" w:fill="346844" w:themeFill="accent6" w:themeFillShade="BF"/>
      </w:tcPr>
    </w:tblStylePr>
    <w:tblStylePr w:type="band1Vert">
      <w:tblPr/>
      <w:tcPr>
        <w:shd w:val="clear" w:color="auto" w:fill="9BCDAA" w:themeFill="accent6" w:themeFillTint="7F"/>
      </w:tcPr>
    </w:tblStylePr>
    <w:tblStylePr w:type="band1Horz">
      <w:tblPr/>
      <w:tcPr>
        <w:shd w:val="clear" w:color="auto" w:fill="9BCDAA" w:themeFill="accent6" w:themeFillTint="7F"/>
      </w:tcPr>
    </w:tblStylePr>
  </w:style>
  <w:style w:type="table" w:styleId="Fargerikliste">
    <w:name w:val="Colorful List"/>
    <w:basedOn w:val="Vanligtabell"/>
    <w:uiPriority w:val="72"/>
    <w:semiHidden/>
    <w:unhideWhenUsed/>
    <w:rsid w:val="00C9172B"/>
    <w:pPr>
      <w:spacing w:before="0" w:line="240" w:lineRule="auto"/>
    </w:pPr>
    <w:tblPr>
      <w:tblStyleRowBandSize w:val="1"/>
      <w:tblStyleColBandSize w:val="1"/>
    </w:tblPr>
    <w:tcPr>
      <w:shd w:val="clear" w:color="auto" w:fill="E8E8E8" w:themeFill="text1" w:themeFillTint="19"/>
    </w:tcPr>
    <w:tblStylePr w:type="firstRow">
      <w:rPr>
        <w:b/>
        <w:bCs/>
        <w:color w:val="FFFFFF" w:themeColor="background1"/>
      </w:rPr>
      <w:tblPr/>
      <w:tcPr>
        <w:tcBorders>
          <w:bottom w:val="single" w:sz="12" w:space="0" w:color="FFFFFF" w:themeColor="background1"/>
        </w:tcBorders>
        <w:shd w:val="clear" w:color="auto" w:fill="2B5B8C" w:themeFill="accent2" w:themeFillShade="CC"/>
      </w:tcPr>
    </w:tblStylePr>
    <w:tblStylePr w:type="lastRow">
      <w:rPr>
        <w:b/>
        <w:bCs/>
        <w:color w:val="2B5B8C" w:themeColor="accent2"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C6C6" w:themeFill="text1" w:themeFillTint="3F"/>
      </w:tcPr>
    </w:tblStylePr>
    <w:tblStylePr w:type="band1Horz">
      <w:tblPr/>
      <w:tcPr>
        <w:shd w:val="clear" w:color="auto" w:fill="D1D1D1" w:themeFill="text1" w:themeFillTint="33"/>
      </w:tcPr>
    </w:tblStylePr>
  </w:style>
  <w:style w:type="table" w:styleId="Fargeriklisteuthevingsfarge1">
    <w:name w:val="Colorful List Accent 1"/>
    <w:basedOn w:val="Vanligtabell"/>
    <w:uiPriority w:val="72"/>
    <w:semiHidden/>
    <w:unhideWhenUsed/>
    <w:rsid w:val="00C9172B"/>
    <w:pPr>
      <w:spacing w:before="0" w:line="240" w:lineRule="auto"/>
    </w:pPr>
    <w:tblPr>
      <w:tblStyleRowBandSize w:val="1"/>
      <w:tblStyleColBandSize w:val="1"/>
    </w:tblPr>
    <w:tcPr>
      <w:shd w:val="clear" w:color="auto" w:fill="DFE8F7" w:themeFill="accent1" w:themeFillTint="19"/>
    </w:tcPr>
    <w:tblStylePr w:type="firstRow">
      <w:rPr>
        <w:b/>
        <w:bCs/>
        <w:color w:val="FFFFFF" w:themeColor="background1"/>
      </w:rPr>
      <w:tblPr/>
      <w:tcPr>
        <w:tcBorders>
          <w:bottom w:val="single" w:sz="12" w:space="0" w:color="FFFFFF" w:themeColor="background1"/>
        </w:tcBorders>
        <w:shd w:val="clear" w:color="auto" w:fill="2B5B8C" w:themeFill="accent2" w:themeFillShade="CC"/>
      </w:tcPr>
    </w:tblStylePr>
    <w:tblStylePr w:type="lastRow">
      <w:rPr>
        <w:b/>
        <w:bCs/>
        <w:color w:val="2B5B8C" w:themeColor="accent2"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C5EC" w:themeFill="accent1" w:themeFillTint="3F"/>
      </w:tcPr>
    </w:tblStylePr>
    <w:tblStylePr w:type="band1Horz">
      <w:tblPr/>
      <w:tcPr>
        <w:shd w:val="clear" w:color="auto" w:fill="BED0EF" w:themeFill="accent1" w:themeFillTint="33"/>
      </w:tcPr>
    </w:tblStylePr>
  </w:style>
  <w:style w:type="table" w:styleId="Fargeriklisteuthevingsfarge2">
    <w:name w:val="Colorful List Accent 2"/>
    <w:basedOn w:val="Vanligtabell"/>
    <w:uiPriority w:val="72"/>
    <w:semiHidden/>
    <w:unhideWhenUsed/>
    <w:rsid w:val="00C9172B"/>
    <w:pPr>
      <w:spacing w:before="0" w:line="240" w:lineRule="auto"/>
    </w:pPr>
    <w:tblPr>
      <w:tblStyleRowBandSize w:val="1"/>
      <w:tblStyleColBandSize w:val="1"/>
    </w:tblPr>
    <w:tcPr>
      <w:shd w:val="clear" w:color="auto" w:fill="E9F1F8" w:themeFill="accent2" w:themeFillTint="19"/>
    </w:tcPr>
    <w:tblStylePr w:type="firstRow">
      <w:rPr>
        <w:b/>
        <w:bCs/>
        <w:color w:val="FFFFFF" w:themeColor="background1"/>
      </w:rPr>
      <w:tblPr/>
      <w:tcPr>
        <w:tcBorders>
          <w:bottom w:val="single" w:sz="12" w:space="0" w:color="FFFFFF" w:themeColor="background1"/>
        </w:tcBorders>
        <w:shd w:val="clear" w:color="auto" w:fill="2B5B8C" w:themeFill="accent2" w:themeFillShade="CC"/>
      </w:tcPr>
    </w:tblStylePr>
    <w:tblStylePr w:type="lastRow">
      <w:rPr>
        <w:b/>
        <w:bCs/>
        <w:color w:val="2B5B8C" w:themeColor="accent2"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E" w:themeFill="accent2" w:themeFillTint="3F"/>
      </w:tcPr>
    </w:tblStylePr>
    <w:tblStylePr w:type="band1Horz">
      <w:tblPr/>
      <w:tcPr>
        <w:shd w:val="clear" w:color="auto" w:fill="D4E2F2" w:themeFill="accent2" w:themeFillTint="33"/>
      </w:tcPr>
    </w:tblStylePr>
  </w:style>
  <w:style w:type="table" w:styleId="Fargeriklisteuthevingsfarge3">
    <w:name w:val="Colorful List Accent 3"/>
    <w:basedOn w:val="Vanligtabell"/>
    <w:uiPriority w:val="72"/>
    <w:semiHidden/>
    <w:unhideWhenUsed/>
    <w:rsid w:val="00C9172B"/>
    <w:pPr>
      <w:spacing w:before="0" w:line="240" w:lineRule="auto"/>
    </w:pPr>
    <w:tblPr>
      <w:tblStyleRowBandSize w:val="1"/>
      <w:tblStyleColBandSize w:val="1"/>
    </w:tblPr>
    <w:tcPr>
      <w:shd w:val="clear" w:color="auto" w:fill="E6F8FA" w:themeFill="accent3" w:themeFillTint="19"/>
    </w:tcPr>
    <w:tblStylePr w:type="firstRow">
      <w:rPr>
        <w:b/>
        <w:bCs/>
        <w:color w:val="FFFFFF" w:themeColor="background1"/>
      </w:rPr>
      <w:tblPr/>
      <w:tcPr>
        <w:tcBorders>
          <w:bottom w:val="single" w:sz="12" w:space="0" w:color="FFFFFF" w:themeColor="background1"/>
        </w:tcBorders>
        <w:shd w:val="clear" w:color="auto" w:fill="F2730A" w:themeFill="accent4" w:themeFillShade="CC"/>
      </w:tcPr>
    </w:tblStylePr>
    <w:tblStylePr w:type="lastRow">
      <w:rPr>
        <w:b/>
        <w:bCs/>
        <w:color w:val="F2730A" w:themeColor="accent4"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EF2" w:themeFill="accent3" w:themeFillTint="3F"/>
      </w:tcPr>
    </w:tblStylePr>
    <w:tblStylePr w:type="band1Horz">
      <w:tblPr/>
      <w:tcPr>
        <w:shd w:val="clear" w:color="auto" w:fill="CDF2F5" w:themeFill="accent3" w:themeFillTint="33"/>
      </w:tcPr>
    </w:tblStylePr>
  </w:style>
  <w:style w:type="table" w:styleId="Fargeriklisteuthevingsfarge4">
    <w:name w:val="Colorful List Accent 4"/>
    <w:basedOn w:val="Vanligtabell"/>
    <w:uiPriority w:val="72"/>
    <w:semiHidden/>
    <w:unhideWhenUsed/>
    <w:rsid w:val="00C9172B"/>
    <w:pPr>
      <w:spacing w:before="0" w:line="240" w:lineRule="auto"/>
    </w:pPr>
    <w:tblPr>
      <w:tblStyleRowBandSize w:val="1"/>
      <w:tblStyleColBandSize w:val="1"/>
    </w:tblPr>
    <w:tcPr>
      <w:shd w:val="clear" w:color="auto" w:fill="FEF4EC" w:themeFill="accent4" w:themeFillTint="19"/>
    </w:tcPr>
    <w:tblStylePr w:type="firstRow">
      <w:rPr>
        <w:b/>
        <w:bCs/>
        <w:color w:val="FFFFFF" w:themeColor="background1"/>
      </w:rPr>
      <w:tblPr/>
      <w:tcPr>
        <w:tcBorders>
          <w:bottom w:val="single" w:sz="12" w:space="0" w:color="FFFFFF" w:themeColor="background1"/>
        </w:tcBorders>
        <w:shd w:val="clear" w:color="auto" w:fill="1C838C" w:themeFill="accent3" w:themeFillShade="CC"/>
      </w:tcPr>
    </w:tblStylePr>
    <w:tblStylePr w:type="lastRow">
      <w:rPr>
        <w:b/>
        <w:bCs/>
        <w:color w:val="1C838C" w:themeColor="accent3"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4" w:themeFillTint="3F"/>
      </w:tcPr>
    </w:tblStylePr>
    <w:tblStylePr w:type="band1Horz">
      <w:tblPr/>
      <w:tcPr>
        <w:shd w:val="clear" w:color="auto" w:fill="FDE9D9" w:themeFill="accent4" w:themeFillTint="33"/>
      </w:tcPr>
    </w:tblStylePr>
  </w:style>
  <w:style w:type="table" w:styleId="Fargeriklisteuthevingsfarge5">
    <w:name w:val="Colorful List Accent 5"/>
    <w:basedOn w:val="Vanligtabell"/>
    <w:uiPriority w:val="72"/>
    <w:semiHidden/>
    <w:unhideWhenUsed/>
    <w:rsid w:val="00C9172B"/>
    <w:pPr>
      <w:spacing w:before="0" w:line="240" w:lineRule="auto"/>
    </w:pPr>
    <w:tblPr>
      <w:tblStyleRowBandSize w:val="1"/>
      <w:tblStyleColBandSize w:val="1"/>
    </w:tblPr>
    <w:tcPr>
      <w:shd w:val="clear" w:color="auto" w:fill="FCE0E4" w:themeFill="accent5" w:themeFillTint="19"/>
    </w:tcPr>
    <w:tblStylePr w:type="firstRow">
      <w:rPr>
        <w:b/>
        <w:bCs/>
        <w:color w:val="FFFFFF" w:themeColor="background1"/>
      </w:rPr>
      <w:tblPr/>
      <w:tcPr>
        <w:tcBorders>
          <w:bottom w:val="single" w:sz="12" w:space="0" w:color="FFFFFF" w:themeColor="background1"/>
        </w:tcBorders>
        <w:shd w:val="clear" w:color="auto" w:fill="387049" w:themeFill="accent6" w:themeFillShade="CC"/>
      </w:tcPr>
    </w:tblStylePr>
    <w:tblStylePr w:type="lastRow">
      <w:rPr>
        <w:b/>
        <w:bCs/>
        <w:color w:val="387049" w:themeColor="accent6"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3BD" w:themeFill="accent5" w:themeFillTint="3F"/>
      </w:tcPr>
    </w:tblStylePr>
    <w:tblStylePr w:type="band1Horz">
      <w:tblPr/>
      <w:tcPr>
        <w:shd w:val="clear" w:color="auto" w:fill="FAC2C9" w:themeFill="accent5" w:themeFillTint="33"/>
      </w:tcPr>
    </w:tblStylePr>
  </w:style>
  <w:style w:type="table" w:styleId="Fargeriklisteuthevingsfarge6">
    <w:name w:val="Colorful List Accent 6"/>
    <w:basedOn w:val="Vanligtabell"/>
    <w:uiPriority w:val="72"/>
    <w:semiHidden/>
    <w:unhideWhenUsed/>
    <w:rsid w:val="00C9172B"/>
    <w:pPr>
      <w:spacing w:before="0" w:line="240" w:lineRule="auto"/>
    </w:pPr>
    <w:tblPr>
      <w:tblStyleRowBandSize w:val="1"/>
      <w:tblStyleColBandSize w:val="1"/>
    </w:tblPr>
    <w:tcPr>
      <w:shd w:val="clear" w:color="auto" w:fill="EBF5EE" w:themeFill="accent6" w:themeFillTint="19"/>
    </w:tcPr>
    <w:tblStylePr w:type="firstRow">
      <w:rPr>
        <w:b/>
        <w:bCs/>
        <w:color w:val="FFFFFF" w:themeColor="background1"/>
      </w:rPr>
      <w:tblPr/>
      <w:tcPr>
        <w:tcBorders>
          <w:bottom w:val="single" w:sz="12" w:space="0" w:color="FFFFFF" w:themeColor="background1"/>
        </w:tcBorders>
        <w:shd w:val="clear" w:color="auto" w:fill="840B1C" w:themeFill="accent5" w:themeFillShade="CC"/>
      </w:tcPr>
    </w:tblStylePr>
    <w:tblStylePr w:type="lastRow">
      <w:rPr>
        <w:b/>
        <w:bCs/>
        <w:color w:val="840B1C" w:themeColor="accent5"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6D5" w:themeFill="accent6" w:themeFillTint="3F"/>
      </w:tcPr>
    </w:tblStylePr>
    <w:tblStylePr w:type="band1Horz">
      <w:tblPr/>
      <w:tcPr>
        <w:shd w:val="clear" w:color="auto" w:fill="D7EBDD" w:themeFill="accent6" w:themeFillTint="33"/>
      </w:tcPr>
    </w:tblStylePr>
  </w:style>
  <w:style w:type="table" w:styleId="Fargerikskyggelegging">
    <w:name w:val="Colorful Shading"/>
    <w:basedOn w:val="Vanligtabell"/>
    <w:uiPriority w:val="71"/>
    <w:semiHidden/>
    <w:unhideWhenUsed/>
    <w:rsid w:val="00C9172B"/>
    <w:pPr>
      <w:spacing w:before="0" w:line="240" w:lineRule="auto"/>
    </w:pPr>
    <w:tblPr>
      <w:tblStyleRowBandSize w:val="1"/>
      <w:tblStyleColBandSize w:val="1"/>
      <w:tblBorders>
        <w:top w:val="single" w:sz="24" w:space="0" w:color="3672B0" w:themeColor="accent2"/>
        <w:left w:val="single" w:sz="4" w:space="0" w:color="1C1C1C" w:themeColor="text1"/>
        <w:bottom w:val="single" w:sz="4" w:space="0" w:color="1C1C1C" w:themeColor="text1"/>
        <w:right w:val="single" w:sz="4" w:space="0" w:color="1C1C1C" w:themeColor="text1"/>
        <w:insideH w:val="single" w:sz="4" w:space="0" w:color="FFFFFF" w:themeColor="background1"/>
        <w:insideV w:val="single" w:sz="4" w:space="0" w:color="FFFFFF" w:themeColor="background1"/>
      </w:tblBorders>
    </w:tblPr>
    <w:tcPr>
      <w:shd w:val="clear" w:color="auto" w:fill="E8E8E8" w:themeFill="text1" w:themeFillTint="19"/>
    </w:tcPr>
    <w:tblStylePr w:type="firstRow">
      <w:rPr>
        <w:b/>
        <w:bCs/>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010" w:themeFill="text1" w:themeFillShade="99"/>
      </w:tcPr>
    </w:tblStylePr>
    <w:tblStylePr w:type="firstCol">
      <w:rPr>
        <w:color w:val="FFFFFF" w:themeColor="background1"/>
      </w:rPr>
      <w:tblPr/>
      <w:tcPr>
        <w:tcBorders>
          <w:top w:val="nil"/>
          <w:left w:val="nil"/>
          <w:bottom w:val="nil"/>
          <w:right w:val="nil"/>
          <w:insideH w:val="single" w:sz="4" w:space="0" w:color="101010" w:themeColor="text1" w:themeShade="99"/>
          <w:insideV w:val="nil"/>
        </w:tcBorders>
        <w:shd w:val="clear" w:color="auto" w:fill="10101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text1" w:themeFillShade="BF"/>
      </w:tcPr>
    </w:tblStylePr>
    <w:tblStylePr w:type="band1Vert">
      <w:tblPr/>
      <w:tcPr>
        <w:shd w:val="clear" w:color="auto" w:fill="A4A4A4" w:themeFill="text1" w:themeFillTint="66"/>
      </w:tcPr>
    </w:tblStylePr>
    <w:tblStylePr w:type="band1Horz">
      <w:tblPr/>
      <w:tcPr>
        <w:shd w:val="clear" w:color="auto" w:fill="8D8D8D" w:themeFill="text1" w:themeFillTint="7F"/>
      </w:tcPr>
    </w:tblStylePr>
    <w:tblStylePr w:type="neCell">
      <w:rPr>
        <w:color w:val="1C1C1C" w:themeColor="text1"/>
      </w:rPr>
    </w:tblStylePr>
    <w:tblStylePr w:type="nwCell">
      <w:rPr>
        <w:color w:val="1C1C1C" w:themeColor="text1"/>
      </w:rPr>
    </w:tblStylePr>
  </w:style>
  <w:style w:type="table" w:styleId="Fargerikskyggelegginguthevingsfarge1">
    <w:name w:val="Colorful Shading Accent 1"/>
    <w:basedOn w:val="Vanligtabell"/>
    <w:uiPriority w:val="71"/>
    <w:semiHidden/>
    <w:unhideWhenUsed/>
    <w:rsid w:val="00C9172B"/>
    <w:pPr>
      <w:spacing w:before="0" w:line="240" w:lineRule="auto"/>
    </w:pPr>
    <w:tblPr>
      <w:tblStyleRowBandSize w:val="1"/>
      <w:tblStyleColBandSize w:val="1"/>
      <w:tblBorders>
        <w:top w:val="single" w:sz="24" w:space="0" w:color="3672B0" w:themeColor="accent2"/>
        <w:left w:val="single" w:sz="4" w:space="0" w:color="162F5C" w:themeColor="accent1"/>
        <w:bottom w:val="single" w:sz="4" w:space="0" w:color="162F5C" w:themeColor="accent1"/>
        <w:right w:val="single" w:sz="4" w:space="0" w:color="162F5C" w:themeColor="accent1"/>
        <w:insideH w:val="single" w:sz="4" w:space="0" w:color="FFFFFF" w:themeColor="background1"/>
        <w:insideV w:val="single" w:sz="4" w:space="0" w:color="FFFFFF" w:themeColor="background1"/>
      </w:tblBorders>
    </w:tblPr>
    <w:tcPr>
      <w:shd w:val="clear" w:color="auto" w:fill="DFE8F7" w:themeFill="accent1" w:themeFillTint="19"/>
    </w:tcPr>
    <w:tblStylePr w:type="firstRow">
      <w:rPr>
        <w:b/>
        <w:bCs/>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C37" w:themeFill="accent1" w:themeFillShade="99"/>
      </w:tcPr>
    </w:tblStylePr>
    <w:tblStylePr w:type="firstCol">
      <w:rPr>
        <w:color w:val="FFFFFF" w:themeColor="background1"/>
      </w:rPr>
      <w:tblPr/>
      <w:tcPr>
        <w:tcBorders>
          <w:top w:val="nil"/>
          <w:left w:val="nil"/>
          <w:bottom w:val="nil"/>
          <w:right w:val="nil"/>
          <w:insideH w:val="single" w:sz="4" w:space="0" w:color="0D1C37" w:themeColor="accent1" w:themeShade="99"/>
          <w:insideV w:val="nil"/>
        </w:tcBorders>
        <w:shd w:val="clear" w:color="auto" w:fill="0D1C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1C37" w:themeFill="accent1" w:themeFillShade="99"/>
      </w:tcPr>
    </w:tblStylePr>
    <w:tblStylePr w:type="band1Vert">
      <w:tblPr/>
      <w:tcPr>
        <w:shd w:val="clear" w:color="auto" w:fill="7EA1E0" w:themeFill="accent1" w:themeFillTint="66"/>
      </w:tcPr>
    </w:tblStylePr>
    <w:tblStylePr w:type="band1Horz">
      <w:tblPr/>
      <w:tcPr>
        <w:shd w:val="clear" w:color="auto" w:fill="5F8AD9" w:themeFill="accent1" w:themeFillTint="7F"/>
      </w:tcPr>
    </w:tblStylePr>
    <w:tblStylePr w:type="neCell">
      <w:rPr>
        <w:color w:val="1C1C1C" w:themeColor="text1"/>
      </w:rPr>
    </w:tblStylePr>
    <w:tblStylePr w:type="nwCell">
      <w:rPr>
        <w:color w:val="1C1C1C" w:themeColor="text1"/>
      </w:rPr>
    </w:tblStylePr>
  </w:style>
  <w:style w:type="table" w:styleId="Fargerikskyggelegginguthevingsfarge2">
    <w:name w:val="Colorful Shading Accent 2"/>
    <w:basedOn w:val="Vanligtabell"/>
    <w:uiPriority w:val="71"/>
    <w:semiHidden/>
    <w:unhideWhenUsed/>
    <w:rsid w:val="00C9172B"/>
    <w:pPr>
      <w:spacing w:before="0" w:line="240" w:lineRule="auto"/>
    </w:pPr>
    <w:tblPr>
      <w:tblStyleRowBandSize w:val="1"/>
      <w:tblStyleColBandSize w:val="1"/>
      <w:tblBorders>
        <w:top w:val="single" w:sz="24" w:space="0" w:color="3672B0" w:themeColor="accent2"/>
        <w:left w:val="single" w:sz="4" w:space="0" w:color="3672B0" w:themeColor="accent2"/>
        <w:bottom w:val="single" w:sz="4" w:space="0" w:color="3672B0" w:themeColor="accent2"/>
        <w:right w:val="single" w:sz="4" w:space="0" w:color="3672B0" w:themeColor="accent2"/>
        <w:insideH w:val="single" w:sz="4" w:space="0" w:color="FFFFFF" w:themeColor="background1"/>
        <w:insideV w:val="single" w:sz="4" w:space="0" w:color="FFFFFF" w:themeColor="background1"/>
      </w:tblBorders>
    </w:tblPr>
    <w:tcPr>
      <w:shd w:val="clear" w:color="auto" w:fill="E9F1F8" w:themeFill="accent2" w:themeFillTint="19"/>
    </w:tcPr>
    <w:tblStylePr w:type="firstRow">
      <w:rPr>
        <w:b/>
        <w:bCs/>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4469" w:themeFill="accent2" w:themeFillShade="99"/>
      </w:tcPr>
    </w:tblStylePr>
    <w:tblStylePr w:type="firstCol">
      <w:rPr>
        <w:color w:val="FFFFFF" w:themeColor="background1"/>
      </w:rPr>
      <w:tblPr/>
      <w:tcPr>
        <w:tcBorders>
          <w:top w:val="nil"/>
          <w:left w:val="nil"/>
          <w:bottom w:val="nil"/>
          <w:right w:val="nil"/>
          <w:insideH w:val="single" w:sz="4" w:space="0" w:color="204469" w:themeColor="accent2" w:themeShade="99"/>
          <w:insideV w:val="nil"/>
        </w:tcBorders>
        <w:shd w:val="clear" w:color="auto" w:fill="20446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04469" w:themeFill="accent2" w:themeFillShade="99"/>
      </w:tcPr>
    </w:tblStylePr>
    <w:tblStylePr w:type="band1Vert">
      <w:tblPr/>
      <w:tcPr>
        <w:shd w:val="clear" w:color="auto" w:fill="A9C6E4" w:themeFill="accent2" w:themeFillTint="66"/>
      </w:tcPr>
    </w:tblStylePr>
    <w:tblStylePr w:type="band1Horz">
      <w:tblPr/>
      <w:tcPr>
        <w:shd w:val="clear" w:color="auto" w:fill="94B8DE" w:themeFill="accent2" w:themeFillTint="7F"/>
      </w:tcPr>
    </w:tblStylePr>
    <w:tblStylePr w:type="neCell">
      <w:rPr>
        <w:color w:val="1C1C1C" w:themeColor="text1"/>
      </w:rPr>
    </w:tblStylePr>
    <w:tblStylePr w:type="nwCell">
      <w:rPr>
        <w:color w:val="1C1C1C" w:themeColor="text1"/>
      </w:rPr>
    </w:tblStylePr>
  </w:style>
  <w:style w:type="table" w:styleId="Fargerikskyggelegginguthevingsfarge3">
    <w:name w:val="Colorful Shading Accent 3"/>
    <w:basedOn w:val="Vanligtabell"/>
    <w:uiPriority w:val="71"/>
    <w:semiHidden/>
    <w:unhideWhenUsed/>
    <w:rsid w:val="00C9172B"/>
    <w:pPr>
      <w:spacing w:before="0" w:line="240" w:lineRule="auto"/>
    </w:pPr>
    <w:tblPr>
      <w:tblStyleRowBandSize w:val="1"/>
      <w:tblStyleColBandSize w:val="1"/>
      <w:tblBorders>
        <w:top w:val="single" w:sz="24" w:space="0" w:color="F79646" w:themeColor="accent4"/>
        <w:left w:val="single" w:sz="4" w:space="0" w:color="23A5AF" w:themeColor="accent3"/>
        <w:bottom w:val="single" w:sz="4" w:space="0" w:color="23A5AF" w:themeColor="accent3"/>
        <w:right w:val="single" w:sz="4" w:space="0" w:color="23A5AF" w:themeColor="accent3"/>
        <w:insideH w:val="single" w:sz="4" w:space="0" w:color="FFFFFF" w:themeColor="background1"/>
        <w:insideV w:val="single" w:sz="4" w:space="0" w:color="FFFFFF" w:themeColor="background1"/>
      </w:tblBorders>
    </w:tblPr>
    <w:tcPr>
      <w:shd w:val="clear" w:color="auto" w:fill="E6F8FA" w:themeFill="accent3" w:themeFillTint="19"/>
    </w:tcPr>
    <w:tblStylePr w:type="firstRow">
      <w:rPr>
        <w:b/>
        <w:bCs/>
      </w:rPr>
      <w:tblPr/>
      <w:tcPr>
        <w:tcBorders>
          <w:top w:val="nil"/>
          <w:left w:val="nil"/>
          <w:bottom w:val="single" w:sz="24" w:space="0" w:color="F7964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69" w:themeFill="accent3" w:themeFillShade="99"/>
      </w:tcPr>
    </w:tblStylePr>
    <w:tblStylePr w:type="firstCol">
      <w:rPr>
        <w:color w:val="FFFFFF" w:themeColor="background1"/>
      </w:rPr>
      <w:tblPr/>
      <w:tcPr>
        <w:tcBorders>
          <w:top w:val="nil"/>
          <w:left w:val="nil"/>
          <w:bottom w:val="nil"/>
          <w:right w:val="nil"/>
          <w:insideH w:val="single" w:sz="4" w:space="0" w:color="156269" w:themeColor="accent3" w:themeShade="99"/>
          <w:insideV w:val="nil"/>
        </w:tcBorders>
        <w:shd w:val="clear" w:color="auto" w:fill="1562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6269" w:themeFill="accent3" w:themeFillShade="99"/>
      </w:tcPr>
    </w:tblStylePr>
    <w:tblStylePr w:type="band1Vert">
      <w:tblPr/>
      <w:tcPr>
        <w:shd w:val="clear" w:color="auto" w:fill="9BE5EB" w:themeFill="accent3" w:themeFillTint="66"/>
      </w:tcPr>
    </w:tblStylePr>
    <w:tblStylePr w:type="band1Horz">
      <w:tblPr/>
      <w:tcPr>
        <w:shd w:val="clear" w:color="auto" w:fill="82DEE6" w:themeFill="accent3" w:themeFillTint="7F"/>
      </w:tcPr>
    </w:tblStylePr>
  </w:style>
  <w:style w:type="table" w:styleId="Fargerikskyggelegginguthevingsfarge4">
    <w:name w:val="Colorful Shading Accent 4"/>
    <w:basedOn w:val="Vanligtabell"/>
    <w:uiPriority w:val="71"/>
    <w:semiHidden/>
    <w:unhideWhenUsed/>
    <w:rsid w:val="00C9172B"/>
    <w:pPr>
      <w:spacing w:before="0" w:line="240" w:lineRule="auto"/>
    </w:pPr>
    <w:tblPr>
      <w:tblStyleRowBandSize w:val="1"/>
      <w:tblStyleColBandSize w:val="1"/>
      <w:tblBorders>
        <w:top w:val="single" w:sz="24" w:space="0" w:color="23A5AF" w:themeColor="accent3"/>
        <w:left w:val="single" w:sz="4" w:space="0" w:color="F79646" w:themeColor="accent4"/>
        <w:bottom w:val="single" w:sz="4" w:space="0" w:color="F79646" w:themeColor="accent4"/>
        <w:right w:val="single" w:sz="4" w:space="0" w:color="F79646" w:themeColor="accent4"/>
        <w:insideH w:val="single" w:sz="4" w:space="0" w:color="FFFFFF" w:themeColor="background1"/>
        <w:insideV w:val="single" w:sz="4" w:space="0" w:color="FFFFFF" w:themeColor="background1"/>
      </w:tblBorders>
    </w:tblPr>
    <w:tcPr>
      <w:shd w:val="clear" w:color="auto" w:fill="FEF4EC" w:themeFill="accent4" w:themeFillTint="19"/>
    </w:tcPr>
    <w:tblStylePr w:type="firstRow">
      <w:rPr>
        <w:b/>
        <w:bCs/>
      </w:rPr>
      <w:tblPr/>
      <w:tcPr>
        <w:tcBorders>
          <w:top w:val="nil"/>
          <w:left w:val="nil"/>
          <w:bottom w:val="single" w:sz="24" w:space="0" w:color="23A5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4" w:themeFillShade="99"/>
      </w:tcPr>
    </w:tblStylePr>
    <w:tblStylePr w:type="firstCol">
      <w:rPr>
        <w:color w:val="FFFFFF" w:themeColor="background1"/>
      </w:rPr>
      <w:tblPr/>
      <w:tcPr>
        <w:tcBorders>
          <w:top w:val="nil"/>
          <w:left w:val="nil"/>
          <w:bottom w:val="nil"/>
          <w:right w:val="nil"/>
          <w:insideH w:val="single" w:sz="4" w:space="0" w:color="B65608" w:themeColor="accent4" w:themeShade="99"/>
          <w:insideV w:val="nil"/>
        </w:tcBorders>
        <w:shd w:val="clear" w:color="auto" w:fill="B6560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4" w:themeFillShade="99"/>
      </w:tcPr>
    </w:tblStylePr>
    <w:tblStylePr w:type="band1Vert">
      <w:tblPr/>
      <w:tcPr>
        <w:shd w:val="clear" w:color="auto" w:fill="FBD4B4" w:themeFill="accent4" w:themeFillTint="66"/>
      </w:tcPr>
    </w:tblStylePr>
    <w:tblStylePr w:type="band1Horz">
      <w:tblPr/>
      <w:tcPr>
        <w:shd w:val="clear" w:color="auto" w:fill="FBCAA2" w:themeFill="accent4" w:themeFillTint="7F"/>
      </w:tcPr>
    </w:tblStylePr>
    <w:tblStylePr w:type="neCell">
      <w:rPr>
        <w:color w:val="1C1C1C" w:themeColor="text1"/>
      </w:rPr>
    </w:tblStylePr>
    <w:tblStylePr w:type="nwCell">
      <w:rPr>
        <w:color w:val="1C1C1C" w:themeColor="text1"/>
      </w:rPr>
    </w:tblStylePr>
  </w:style>
  <w:style w:type="table" w:styleId="Fargerikskyggelegginguthevingsfarge5">
    <w:name w:val="Colorful Shading Accent 5"/>
    <w:basedOn w:val="Vanligtabell"/>
    <w:uiPriority w:val="71"/>
    <w:semiHidden/>
    <w:unhideWhenUsed/>
    <w:rsid w:val="00C9172B"/>
    <w:pPr>
      <w:spacing w:before="0" w:line="240" w:lineRule="auto"/>
    </w:pPr>
    <w:tblPr>
      <w:tblStyleRowBandSize w:val="1"/>
      <w:tblStyleColBandSize w:val="1"/>
      <w:tblBorders>
        <w:top w:val="single" w:sz="24" w:space="0" w:color="468C5C" w:themeColor="accent6"/>
        <w:left w:val="single" w:sz="4" w:space="0" w:color="A60E24" w:themeColor="accent5"/>
        <w:bottom w:val="single" w:sz="4" w:space="0" w:color="A60E24" w:themeColor="accent5"/>
        <w:right w:val="single" w:sz="4" w:space="0" w:color="A60E24" w:themeColor="accent5"/>
        <w:insideH w:val="single" w:sz="4" w:space="0" w:color="FFFFFF" w:themeColor="background1"/>
        <w:insideV w:val="single" w:sz="4" w:space="0" w:color="FFFFFF" w:themeColor="background1"/>
      </w:tblBorders>
    </w:tblPr>
    <w:tcPr>
      <w:shd w:val="clear" w:color="auto" w:fill="FCE0E4" w:themeFill="accent5" w:themeFillTint="19"/>
    </w:tcPr>
    <w:tblStylePr w:type="firstRow">
      <w:rPr>
        <w:b/>
        <w:bCs/>
      </w:rPr>
      <w:tblPr/>
      <w:tcPr>
        <w:tcBorders>
          <w:top w:val="nil"/>
          <w:left w:val="nil"/>
          <w:bottom w:val="single" w:sz="24" w:space="0" w:color="468C5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0815" w:themeFill="accent5" w:themeFillShade="99"/>
      </w:tcPr>
    </w:tblStylePr>
    <w:tblStylePr w:type="firstCol">
      <w:rPr>
        <w:color w:val="FFFFFF" w:themeColor="background1"/>
      </w:rPr>
      <w:tblPr/>
      <w:tcPr>
        <w:tcBorders>
          <w:top w:val="nil"/>
          <w:left w:val="nil"/>
          <w:bottom w:val="nil"/>
          <w:right w:val="nil"/>
          <w:insideH w:val="single" w:sz="4" w:space="0" w:color="630815" w:themeColor="accent5" w:themeShade="99"/>
          <w:insideV w:val="nil"/>
        </w:tcBorders>
        <w:shd w:val="clear" w:color="auto" w:fill="6308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0815" w:themeFill="accent5" w:themeFillShade="99"/>
      </w:tcPr>
    </w:tblStylePr>
    <w:tblStylePr w:type="band1Vert">
      <w:tblPr/>
      <w:tcPr>
        <w:shd w:val="clear" w:color="auto" w:fill="F48594" w:themeFill="accent5" w:themeFillTint="66"/>
      </w:tcPr>
    </w:tblStylePr>
    <w:tblStylePr w:type="band1Horz">
      <w:tblPr/>
      <w:tcPr>
        <w:shd w:val="clear" w:color="auto" w:fill="F2677A" w:themeFill="accent5" w:themeFillTint="7F"/>
      </w:tcPr>
    </w:tblStylePr>
    <w:tblStylePr w:type="neCell">
      <w:rPr>
        <w:color w:val="1C1C1C" w:themeColor="text1"/>
      </w:rPr>
    </w:tblStylePr>
    <w:tblStylePr w:type="nwCell">
      <w:rPr>
        <w:color w:val="1C1C1C" w:themeColor="text1"/>
      </w:rPr>
    </w:tblStylePr>
  </w:style>
  <w:style w:type="table" w:styleId="Fargerikskyggelegginguthevingsfarge6">
    <w:name w:val="Colorful Shading Accent 6"/>
    <w:basedOn w:val="Vanligtabell"/>
    <w:uiPriority w:val="71"/>
    <w:semiHidden/>
    <w:unhideWhenUsed/>
    <w:rsid w:val="00C9172B"/>
    <w:pPr>
      <w:spacing w:before="0" w:line="240" w:lineRule="auto"/>
    </w:pPr>
    <w:tblPr>
      <w:tblStyleRowBandSize w:val="1"/>
      <w:tblStyleColBandSize w:val="1"/>
      <w:tblBorders>
        <w:top w:val="single" w:sz="24" w:space="0" w:color="A60E24" w:themeColor="accent5"/>
        <w:left w:val="single" w:sz="4" w:space="0" w:color="468C5C" w:themeColor="accent6"/>
        <w:bottom w:val="single" w:sz="4" w:space="0" w:color="468C5C" w:themeColor="accent6"/>
        <w:right w:val="single" w:sz="4" w:space="0" w:color="468C5C" w:themeColor="accent6"/>
        <w:insideH w:val="single" w:sz="4" w:space="0" w:color="FFFFFF" w:themeColor="background1"/>
        <w:insideV w:val="single" w:sz="4" w:space="0" w:color="FFFFFF" w:themeColor="background1"/>
      </w:tblBorders>
    </w:tblPr>
    <w:tcPr>
      <w:shd w:val="clear" w:color="auto" w:fill="EBF5EE" w:themeFill="accent6" w:themeFillTint="19"/>
    </w:tcPr>
    <w:tblStylePr w:type="firstRow">
      <w:rPr>
        <w:b/>
        <w:bCs/>
      </w:rPr>
      <w:tblPr/>
      <w:tcPr>
        <w:tcBorders>
          <w:top w:val="nil"/>
          <w:left w:val="nil"/>
          <w:bottom w:val="single" w:sz="24" w:space="0" w:color="A60E2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5437" w:themeFill="accent6" w:themeFillShade="99"/>
      </w:tcPr>
    </w:tblStylePr>
    <w:tblStylePr w:type="firstCol">
      <w:rPr>
        <w:color w:val="FFFFFF" w:themeColor="background1"/>
      </w:rPr>
      <w:tblPr/>
      <w:tcPr>
        <w:tcBorders>
          <w:top w:val="nil"/>
          <w:left w:val="nil"/>
          <w:bottom w:val="nil"/>
          <w:right w:val="nil"/>
          <w:insideH w:val="single" w:sz="4" w:space="0" w:color="2A5437" w:themeColor="accent6" w:themeShade="99"/>
          <w:insideV w:val="nil"/>
        </w:tcBorders>
        <w:shd w:val="clear" w:color="auto" w:fill="2A54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5437" w:themeFill="accent6" w:themeFillShade="99"/>
      </w:tcPr>
    </w:tblStylePr>
    <w:tblStylePr w:type="band1Vert">
      <w:tblPr/>
      <w:tcPr>
        <w:shd w:val="clear" w:color="auto" w:fill="AFD7BB" w:themeFill="accent6" w:themeFillTint="66"/>
      </w:tcPr>
    </w:tblStylePr>
    <w:tblStylePr w:type="band1Horz">
      <w:tblPr/>
      <w:tcPr>
        <w:shd w:val="clear" w:color="auto" w:fill="9BCDAA" w:themeFill="accent6" w:themeFillTint="7F"/>
      </w:tcPr>
    </w:tblStylePr>
    <w:tblStylePr w:type="neCell">
      <w:rPr>
        <w:color w:val="1C1C1C" w:themeColor="text1"/>
      </w:rPr>
    </w:tblStylePr>
    <w:tblStylePr w:type="nwCell">
      <w:rPr>
        <w:color w:val="1C1C1C" w:themeColor="text1"/>
      </w:rPr>
    </w:tblStylePr>
  </w:style>
  <w:style w:type="table" w:styleId="Mrkliste">
    <w:name w:val="Dark List"/>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1C1C1C" w:themeFill="text1"/>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0D0D0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4141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41414" w:themeFill="text1" w:themeFillShade="BF"/>
      </w:tcPr>
    </w:tblStylePr>
    <w:tblStylePr w:type="band1Vert">
      <w:tblPr/>
      <w:tcPr>
        <w:tcBorders>
          <w:top w:val="nil"/>
          <w:left w:val="nil"/>
          <w:bottom w:val="nil"/>
          <w:right w:val="nil"/>
          <w:insideH w:val="nil"/>
          <w:insideV w:val="nil"/>
        </w:tcBorders>
        <w:shd w:val="clear" w:color="auto" w:fill="141414" w:themeFill="text1" w:themeFillShade="BF"/>
      </w:tcPr>
    </w:tblStylePr>
    <w:tblStylePr w:type="band1Horz">
      <w:tblPr/>
      <w:tcPr>
        <w:tcBorders>
          <w:top w:val="nil"/>
          <w:left w:val="nil"/>
          <w:bottom w:val="nil"/>
          <w:right w:val="nil"/>
          <w:insideH w:val="nil"/>
          <w:insideV w:val="nil"/>
        </w:tcBorders>
        <w:shd w:val="clear" w:color="auto" w:fill="141414" w:themeFill="text1" w:themeFillShade="BF"/>
      </w:tcPr>
    </w:tblStylePr>
  </w:style>
  <w:style w:type="table" w:styleId="Mrklisteuthevingsfarge1">
    <w:name w:val="Dark List Accent 1"/>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162F5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0B17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023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02344" w:themeFill="accent1" w:themeFillShade="BF"/>
      </w:tcPr>
    </w:tblStylePr>
    <w:tblStylePr w:type="band1Vert">
      <w:tblPr/>
      <w:tcPr>
        <w:tcBorders>
          <w:top w:val="nil"/>
          <w:left w:val="nil"/>
          <w:bottom w:val="nil"/>
          <w:right w:val="nil"/>
          <w:insideH w:val="nil"/>
          <w:insideV w:val="nil"/>
        </w:tcBorders>
        <w:shd w:val="clear" w:color="auto" w:fill="102344" w:themeFill="accent1" w:themeFillShade="BF"/>
      </w:tcPr>
    </w:tblStylePr>
    <w:tblStylePr w:type="band1Horz">
      <w:tblPr/>
      <w:tcPr>
        <w:tcBorders>
          <w:top w:val="nil"/>
          <w:left w:val="nil"/>
          <w:bottom w:val="nil"/>
          <w:right w:val="nil"/>
          <w:insideH w:val="nil"/>
          <w:insideV w:val="nil"/>
        </w:tcBorders>
        <w:shd w:val="clear" w:color="auto" w:fill="102344" w:themeFill="accent1" w:themeFillShade="BF"/>
      </w:tcPr>
    </w:tblStylePr>
  </w:style>
  <w:style w:type="table" w:styleId="Mrklisteuthevingsfarge2">
    <w:name w:val="Dark List Accent 2"/>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3672B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1B385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55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5583" w:themeFill="accent2" w:themeFillShade="BF"/>
      </w:tcPr>
    </w:tblStylePr>
    <w:tblStylePr w:type="band1Vert">
      <w:tblPr/>
      <w:tcPr>
        <w:tcBorders>
          <w:top w:val="nil"/>
          <w:left w:val="nil"/>
          <w:bottom w:val="nil"/>
          <w:right w:val="nil"/>
          <w:insideH w:val="nil"/>
          <w:insideV w:val="nil"/>
        </w:tcBorders>
        <w:shd w:val="clear" w:color="auto" w:fill="285583" w:themeFill="accent2" w:themeFillShade="BF"/>
      </w:tcPr>
    </w:tblStylePr>
    <w:tblStylePr w:type="band1Horz">
      <w:tblPr/>
      <w:tcPr>
        <w:tcBorders>
          <w:top w:val="nil"/>
          <w:left w:val="nil"/>
          <w:bottom w:val="nil"/>
          <w:right w:val="nil"/>
          <w:insideH w:val="nil"/>
          <w:insideV w:val="nil"/>
        </w:tcBorders>
        <w:shd w:val="clear" w:color="auto" w:fill="285583" w:themeFill="accent2" w:themeFillShade="BF"/>
      </w:tcPr>
    </w:tblStylePr>
  </w:style>
  <w:style w:type="table" w:styleId="Mrklisteuthevingsfarge3">
    <w:name w:val="Dark List Accent 3"/>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23A5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1151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7B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7B82" w:themeFill="accent3" w:themeFillShade="BF"/>
      </w:tcPr>
    </w:tblStylePr>
    <w:tblStylePr w:type="band1Vert">
      <w:tblPr/>
      <w:tcPr>
        <w:tcBorders>
          <w:top w:val="nil"/>
          <w:left w:val="nil"/>
          <w:bottom w:val="nil"/>
          <w:right w:val="nil"/>
          <w:insideH w:val="nil"/>
          <w:insideV w:val="nil"/>
        </w:tcBorders>
        <w:shd w:val="clear" w:color="auto" w:fill="1A7B82" w:themeFill="accent3" w:themeFillShade="BF"/>
      </w:tcPr>
    </w:tblStylePr>
    <w:tblStylePr w:type="band1Horz">
      <w:tblPr/>
      <w:tcPr>
        <w:tcBorders>
          <w:top w:val="nil"/>
          <w:left w:val="nil"/>
          <w:bottom w:val="nil"/>
          <w:right w:val="nil"/>
          <w:insideH w:val="nil"/>
          <w:insideV w:val="nil"/>
        </w:tcBorders>
        <w:shd w:val="clear" w:color="auto" w:fill="1A7B82" w:themeFill="accent3" w:themeFillShade="BF"/>
      </w:tcPr>
    </w:tblStylePr>
  </w:style>
  <w:style w:type="table" w:styleId="Mrklisteuthevingsfarge4">
    <w:name w:val="Dark List Accent 4"/>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F7964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4" w:themeFillShade="BF"/>
      </w:tcPr>
    </w:tblStylePr>
    <w:tblStylePr w:type="band1Vert">
      <w:tblPr/>
      <w:tcPr>
        <w:tcBorders>
          <w:top w:val="nil"/>
          <w:left w:val="nil"/>
          <w:bottom w:val="nil"/>
          <w:right w:val="nil"/>
          <w:insideH w:val="nil"/>
          <w:insideV w:val="nil"/>
        </w:tcBorders>
        <w:shd w:val="clear" w:color="auto" w:fill="E36C0A" w:themeFill="accent4" w:themeFillShade="BF"/>
      </w:tcPr>
    </w:tblStylePr>
    <w:tblStylePr w:type="band1Horz">
      <w:tblPr/>
      <w:tcPr>
        <w:tcBorders>
          <w:top w:val="nil"/>
          <w:left w:val="nil"/>
          <w:bottom w:val="nil"/>
          <w:right w:val="nil"/>
          <w:insideH w:val="nil"/>
          <w:insideV w:val="nil"/>
        </w:tcBorders>
        <w:shd w:val="clear" w:color="auto" w:fill="E36C0A" w:themeFill="accent4" w:themeFillShade="BF"/>
      </w:tcPr>
    </w:tblStylePr>
  </w:style>
  <w:style w:type="table" w:styleId="Mrklisteuthevingsfarge5">
    <w:name w:val="Dark List Accent 5"/>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A60E2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5207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C0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C0A1A" w:themeFill="accent5" w:themeFillShade="BF"/>
      </w:tcPr>
    </w:tblStylePr>
    <w:tblStylePr w:type="band1Vert">
      <w:tblPr/>
      <w:tcPr>
        <w:tcBorders>
          <w:top w:val="nil"/>
          <w:left w:val="nil"/>
          <w:bottom w:val="nil"/>
          <w:right w:val="nil"/>
          <w:insideH w:val="nil"/>
          <w:insideV w:val="nil"/>
        </w:tcBorders>
        <w:shd w:val="clear" w:color="auto" w:fill="7C0A1A" w:themeFill="accent5" w:themeFillShade="BF"/>
      </w:tcPr>
    </w:tblStylePr>
    <w:tblStylePr w:type="band1Horz">
      <w:tblPr/>
      <w:tcPr>
        <w:tcBorders>
          <w:top w:val="nil"/>
          <w:left w:val="nil"/>
          <w:bottom w:val="nil"/>
          <w:right w:val="nil"/>
          <w:insideH w:val="nil"/>
          <w:insideV w:val="nil"/>
        </w:tcBorders>
        <w:shd w:val="clear" w:color="auto" w:fill="7C0A1A" w:themeFill="accent5" w:themeFillShade="BF"/>
      </w:tcPr>
    </w:tblStylePr>
  </w:style>
  <w:style w:type="table" w:styleId="Mrklisteuthevingsfarge6">
    <w:name w:val="Dark List Accent 6"/>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468C5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2245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684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6844" w:themeFill="accent6" w:themeFillShade="BF"/>
      </w:tcPr>
    </w:tblStylePr>
    <w:tblStylePr w:type="band1Vert">
      <w:tblPr/>
      <w:tcPr>
        <w:tcBorders>
          <w:top w:val="nil"/>
          <w:left w:val="nil"/>
          <w:bottom w:val="nil"/>
          <w:right w:val="nil"/>
          <w:insideH w:val="nil"/>
          <w:insideV w:val="nil"/>
        </w:tcBorders>
        <w:shd w:val="clear" w:color="auto" w:fill="346844" w:themeFill="accent6" w:themeFillShade="BF"/>
      </w:tcPr>
    </w:tblStylePr>
    <w:tblStylePr w:type="band1Horz">
      <w:tblPr/>
      <w:tcPr>
        <w:tcBorders>
          <w:top w:val="nil"/>
          <w:left w:val="nil"/>
          <w:bottom w:val="nil"/>
          <w:right w:val="nil"/>
          <w:insideH w:val="nil"/>
          <w:insideV w:val="nil"/>
        </w:tcBorders>
        <w:shd w:val="clear" w:color="auto" w:fill="346844" w:themeFill="accent6" w:themeFillShade="BF"/>
      </w:tcPr>
    </w:tblStylePr>
  </w:style>
  <w:style w:type="paragraph" w:styleId="Dato">
    <w:name w:val="Date"/>
    <w:basedOn w:val="Normal"/>
    <w:next w:val="Normal"/>
    <w:link w:val="DatoTegn"/>
    <w:uiPriority w:val="99"/>
    <w:semiHidden/>
    <w:rsid w:val="00C9172B"/>
  </w:style>
  <w:style w:type="character" w:customStyle="1" w:styleId="DatoTegn">
    <w:name w:val="Dato Tegn"/>
    <w:basedOn w:val="Standardskriftforavsnitt"/>
    <w:link w:val="Dato"/>
    <w:uiPriority w:val="99"/>
    <w:semiHidden/>
    <w:rsid w:val="00B74780"/>
  </w:style>
  <w:style w:type="paragraph" w:styleId="Dokumentkart">
    <w:name w:val="Document Map"/>
    <w:basedOn w:val="Normal"/>
    <w:link w:val="DokumentkartTegn"/>
    <w:uiPriority w:val="99"/>
    <w:semiHidden/>
    <w:rsid w:val="00C9172B"/>
    <w:pPr>
      <w:spacing w:before="0" w:line="240" w:lineRule="auto"/>
    </w:pPr>
    <w:rPr>
      <w:rFonts w:ascii="Calibri" w:hAnsi="Calibri" w:cs="Calibri"/>
      <w:sz w:val="16"/>
      <w:szCs w:val="16"/>
    </w:rPr>
  </w:style>
  <w:style w:type="character" w:customStyle="1" w:styleId="DokumentkartTegn">
    <w:name w:val="Dokumentkart Tegn"/>
    <w:basedOn w:val="Standardskriftforavsnitt"/>
    <w:link w:val="Dokumentkart"/>
    <w:uiPriority w:val="99"/>
    <w:semiHidden/>
    <w:rsid w:val="00B74780"/>
    <w:rPr>
      <w:rFonts w:ascii="Calibri" w:hAnsi="Calibri" w:cs="Calibri"/>
      <w:sz w:val="16"/>
      <w:szCs w:val="16"/>
    </w:rPr>
  </w:style>
  <w:style w:type="paragraph" w:styleId="E-postsignatur">
    <w:name w:val="E-mail Signature"/>
    <w:basedOn w:val="Normal"/>
    <w:link w:val="E-postsignaturTegn"/>
    <w:uiPriority w:val="99"/>
    <w:semiHidden/>
    <w:rsid w:val="00C9172B"/>
    <w:pPr>
      <w:spacing w:before="0" w:line="240" w:lineRule="auto"/>
    </w:pPr>
  </w:style>
  <w:style w:type="character" w:customStyle="1" w:styleId="E-postsignaturTegn">
    <w:name w:val="E-postsignatur Tegn"/>
    <w:basedOn w:val="Standardskriftforavsnitt"/>
    <w:link w:val="E-postsignatur"/>
    <w:uiPriority w:val="99"/>
    <w:semiHidden/>
    <w:rsid w:val="00B74780"/>
  </w:style>
  <w:style w:type="character" w:styleId="Utheving">
    <w:name w:val="Emphasis"/>
    <w:basedOn w:val="Standardskriftforavsnitt"/>
    <w:uiPriority w:val="20"/>
    <w:qFormat/>
    <w:rsid w:val="00C9172B"/>
    <w:rPr>
      <w:i/>
      <w:iCs/>
    </w:rPr>
  </w:style>
  <w:style w:type="character" w:styleId="Sluttnotereferanse">
    <w:name w:val="endnote reference"/>
    <w:basedOn w:val="Standardskriftforavsnitt"/>
    <w:uiPriority w:val="99"/>
    <w:semiHidden/>
    <w:rsid w:val="00C9172B"/>
    <w:rPr>
      <w:vertAlign w:val="superscript"/>
    </w:rPr>
  </w:style>
  <w:style w:type="paragraph" w:styleId="Sluttnotetekst">
    <w:name w:val="endnote text"/>
    <w:basedOn w:val="Normal"/>
    <w:link w:val="SluttnotetekstTegn"/>
    <w:uiPriority w:val="99"/>
    <w:semiHidden/>
    <w:rsid w:val="00C9172B"/>
    <w:pPr>
      <w:spacing w:before="0" w:line="240" w:lineRule="auto"/>
    </w:pPr>
    <w:rPr>
      <w:sz w:val="20"/>
      <w:szCs w:val="20"/>
    </w:rPr>
  </w:style>
  <w:style w:type="character" w:customStyle="1" w:styleId="SluttnotetekstTegn">
    <w:name w:val="Sluttnotetekst Tegn"/>
    <w:basedOn w:val="Standardskriftforavsnitt"/>
    <w:link w:val="Sluttnotetekst"/>
    <w:uiPriority w:val="99"/>
    <w:semiHidden/>
    <w:rsid w:val="00B74780"/>
    <w:rPr>
      <w:sz w:val="20"/>
      <w:szCs w:val="20"/>
    </w:rPr>
  </w:style>
  <w:style w:type="paragraph" w:styleId="Konvoluttadresse">
    <w:name w:val="envelope address"/>
    <w:basedOn w:val="Normal"/>
    <w:uiPriority w:val="99"/>
    <w:semiHidden/>
    <w:rsid w:val="00C9172B"/>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Avsenderadresse">
    <w:name w:val="envelope return"/>
    <w:basedOn w:val="Normal"/>
    <w:uiPriority w:val="99"/>
    <w:semiHidden/>
    <w:rsid w:val="00C9172B"/>
    <w:pPr>
      <w:spacing w:before="0" w:line="240" w:lineRule="auto"/>
    </w:pPr>
    <w:rPr>
      <w:rFonts w:asciiTheme="majorHAnsi" w:eastAsiaTheme="majorEastAsia" w:hAnsiTheme="majorHAnsi" w:cstheme="majorBidi"/>
      <w:sz w:val="20"/>
      <w:szCs w:val="20"/>
    </w:rPr>
  </w:style>
  <w:style w:type="table" w:styleId="Rutenettabell1lys">
    <w:name w:val="Grid Table 1 Light"/>
    <w:basedOn w:val="Vanligtabell"/>
    <w:uiPriority w:val="46"/>
    <w:rsid w:val="00C9172B"/>
    <w:pPr>
      <w:spacing w:line="240" w:lineRule="auto"/>
    </w:pPr>
    <w:tblPr>
      <w:tblStyleRowBandSize w:val="1"/>
      <w:tblStyleColBandSize w:val="1"/>
      <w:tblBorders>
        <w:top w:val="single" w:sz="4" w:space="0" w:color="A4A4A4" w:themeColor="text1" w:themeTint="66"/>
        <w:left w:val="single" w:sz="4" w:space="0" w:color="A4A4A4" w:themeColor="text1" w:themeTint="66"/>
        <w:bottom w:val="single" w:sz="4" w:space="0" w:color="A4A4A4" w:themeColor="text1" w:themeTint="66"/>
        <w:right w:val="single" w:sz="4" w:space="0" w:color="A4A4A4" w:themeColor="text1" w:themeTint="66"/>
        <w:insideH w:val="single" w:sz="4" w:space="0" w:color="A4A4A4" w:themeColor="text1" w:themeTint="66"/>
        <w:insideV w:val="single" w:sz="4" w:space="0" w:color="A4A4A4" w:themeColor="text1" w:themeTint="66"/>
      </w:tblBorders>
    </w:tblPr>
    <w:tblStylePr w:type="firstRow">
      <w:rPr>
        <w:b/>
        <w:bCs/>
      </w:rPr>
      <w:tblPr/>
      <w:tcPr>
        <w:tcBorders>
          <w:bottom w:val="single" w:sz="12" w:space="0" w:color="767676" w:themeColor="text1" w:themeTint="99"/>
        </w:tcBorders>
      </w:tcPr>
    </w:tblStylePr>
    <w:tblStylePr w:type="lastRow">
      <w:rPr>
        <w:b/>
        <w:bCs/>
      </w:rPr>
      <w:tblPr/>
      <w:tcPr>
        <w:tcBorders>
          <w:top w:val="double" w:sz="2" w:space="0" w:color="76767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C9172B"/>
    <w:pPr>
      <w:spacing w:line="240" w:lineRule="auto"/>
    </w:pPr>
    <w:tblPr>
      <w:tblStyleRowBandSize w:val="1"/>
      <w:tblStyleColBandSize w:val="1"/>
      <w:tblBorders>
        <w:top w:val="single" w:sz="4" w:space="0" w:color="7EA1E0" w:themeColor="accent1" w:themeTint="66"/>
        <w:left w:val="single" w:sz="4" w:space="0" w:color="7EA1E0" w:themeColor="accent1" w:themeTint="66"/>
        <w:bottom w:val="single" w:sz="4" w:space="0" w:color="7EA1E0" w:themeColor="accent1" w:themeTint="66"/>
        <w:right w:val="single" w:sz="4" w:space="0" w:color="7EA1E0" w:themeColor="accent1" w:themeTint="66"/>
        <w:insideH w:val="single" w:sz="4" w:space="0" w:color="7EA1E0" w:themeColor="accent1" w:themeTint="66"/>
        <w:insideV w:val="single" w:sz="4" w:space="0" w:color="7EA1E0" w:themeColor="accent1" w:themeTint="66"/>
      </w:tblBorders>
    </w:tblPr>
    <w:tblStylePr w:type="firstRow">
      <w:rPr>
        <w:b/>
        <w:bCs/>
      </w:rPr>
      <w:tblPr/>
      <w:tcPr>
        <w:tcBorders>
          <w:bottom w:val="single" w:sz="12" w:space="0" w:color="3F73D1" w:themeColor="accent1" w:themeTint="99"/>
        </w:tcBorders>
      </w:tcPr>
    </w:tblStylePr>
    <w:tblStylePr w:type="lastRow">
      <w:rPr>
        <w:b/>
        <w:bCs/>
      </w:rPr>
      <w:tblPr/>
      <w:tcPr>
        <w:tcBorders>
          <w:top w:val="double" w:sz="2" w:space="0" w:color="3F73D1"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C9172B"/>
    <w:pPr>
      <w:spacing w:line="240" w:lineRule="auto"/>
    </w:pPr>
    <w:tblPr>
      <w:tblStyleRowBandSize w:val="1"/>
      <w:tblStyleColBandSize w:val="1"/>
      <w:tblBorders>
        <w:top w:val="single" w:sz="4" w:space="0" w:color="A9C6E4" w:themeColor="accent2" w:themeTint="66"/>
        <w:left w:val="single" w:sz="4" w:space="0" w:color="A9C6E4" w:themeColor="accent2" w:themeTint="66"/>
        <w:bottom w:val="single" w:sz="4" w:space="0" w:color="A9C6E4" w:themeColor="accent2" w:themeTint="66"/>
        <w:right w:val="single" w:sz="4" w:space="0" w:color="A9C6E4" w:themeColor="accent2" w:themeTint="66"/>
        <w:insideH w:val="single" w:sz="4" w:space="0" w:color="A9C6E4" w:themeColor="accent2" w:themeTint="66"/>
        <w:insideV w:val="single" w:sz="4" w:space="0" w:color="A9C6E4" w:themeColor="accent2" w:themeTint="66"/>
      </w:tblBorders>
    </w:tblPr>
    <w:tblStylePr w:type="firstRow">
      <w:rPr>
        <w:b/>
        <w:bCs/>
      </w:rPr>
      <w:tblPr/>
      <w:tcPr>
        <w:tcBorders>
          <w:bottom w:val="single" w:sz="12" w:space="0" w:color="7EAAD7" w:themeColor="accent2" w:themeTint="99"/>
        </w:tcBorders>
      </w:tcPr>
    </w:tblStylePr>
    <w:tblStylePr w:type="lastRow">
      <w:rPr>
        <w:b/>
        <w:bCs/>
      </w:rPr>
      <w:tblPr/>
      <w:tcPr>
        <w:tcBorders>
          <w:top w:val="double" w:sz="2" w:space="0" w:color="7EAAD7"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C9172B"/>
    <w:pPr>
      <w:spacing w:line="240" w:lineRule="auto"/>
    </w:pPr>
    <w:tblPr>
      <w:tblStyleRowBandSize w:val="1"/>
      <w:tblStyleColBandSize w:val="1"/>
      <w:tblBorders>
        <w:top w:val="single" w:sz="4" w:space="0" w:color="9BE5EB" w:themeColor="accent3" w:themeTint="66"/>
        <w:left w:val="single" w:sz="4" w:space="0" w:color="9BE5EB" w:themeColor="accent3" w:themeTint="66"/>
        <w:bottom w:val="single" w:sz="4" w:space="0" w:color="9BE5EB" w:themeColor="accent3" w:themeTint="66"/>
        <w:right w:val="single" w:sz="4" w:space="0" w:color="9BE5EB" w:themeColor="accent3" w:themeTint="66"/>
        <w:insideH w:val="single" w:sz="4" w:space="0" w:color="9BE5EB" w:themeColor="accent3" w:themeTint="66"/>
        <w:insideV w:val="single" w:sz="4" w:space="0" w:color="9BE5EB" w:themeColor="accent3" w:themeTint="66"/>
      </w:tblBorders>
    </w:tblPr>
    <w:tblStylePr w:type="firstRow">
      <w:rPr>
        <w:b/>
        <w:bCs/>
      </w:rPr>
      <w:tblPr/>
      <w:tcPr>
        <w:tcBorders>
          <w:bottom w:val="single" w:sz="12" w:space="0" w:color="69D8E1" w:themeColor="accent3" w:themeTint="99"/>
        </w:tcBorders>
      </w:tcPr>
    </w:tblStylePr>
    <w:tblStylePr w:type="lastRow">
      <w:rPr>
        <w:b/>
        <w:bCs/>
      </w:rPr>
      <w:tblPr/>
      <w:tcPr>
        <w:tcBorders>
          <w:top w:val="double" w:sz="2" w:space="0" w:color="69D8E1"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C9172B"/>
    <w:pPr>
      <w:spacing w:line="240" w:lineRule="auto"/>
    </w:pPr>
    <w:tblPr>
      <w:tblStyleRowBandSize w:val="1"/>
      <w:tblStyleColBandSize w:val="1"/>
      <w:tblBorders>
        <w:top w:val="single" w:sz="4" w:space="0" w:color="FBD4B4" w:themeColor="accent4" w:themeTint="66"/>
        <w:left w:val="single" w:sz="4" w:space="0" w:color="FBD4B4" w:themeColor="accent4" w:themeTint="66"/>
        <w:bottom w:val="single" w:sz="4" w:space="0" w:color="FBD4B4" w:themeColor="accent4" w:themeTint="66"/>
        <w:right w:val="single" w:sz="4" w:space="0" w:color="FBD4B4" w:themeColor="accent4" w:themeTint="66"/>
        <w:insideH w:val="single" w:sz="4" w:space="0" w:color="FBD4B4" w:themeColor="accent4" w:themeTint="66"/>
        <w:insideV w:val="single" w:sz="4" w:space="0" w:color="FBD4B4" w:themeColor="accent4" w:themeTint="66"/>
      </w:tblBorders>
    </w:tblPr>
    <w:tblStylePr w:type="firstRow">
      <w:rPr>
        <w:b/>
        <w:bCs/>
      </w:rPr>
      <w:tblPr/>
      <w:tcPr>
        <w:tcBorders>
          <w:bottom w:val="single" w:sz="12" w:space="0" w:color="FABF8F" w:themeColor="accent4" w:themeTint="99"/>
        </w:tcBorders>
      </w:tcPr>
    </w:tblStylePr>
    <w:tblStylePr w:type="lastRow">
      <w:rPr>
        <w:b/>
        <w:bCs/>
      </w:rPr>
      <w:tblPr/>
      <w:tcPr>
        <w:tcBorders>
          <w:top w:val="double" w:sz="2" w:space="0" w:color="FABF8F"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C9172B"/>
    <w:pPr>
      <w:spacing w:line="240" w:lineRule="auto"/>
    </w:pPr>
    <w:tblPr>
      <w:tblStyleRowBandSize w:val="1"/>
      <w:tblStyleColBandSize w:val="1"/>
      <w:tblBorders>
        <w:top w:val="single" w:sz="4" w:space="0" w:color="F48594" w:themeColor="accent5" w:themeTint="66"/>
        <w:left w:val="single" w:sz="4" w:space="0" w:color="F48594" w:themeColor="accent5" w:themeTint="66"/>
        <w:bottom w:val="single" w:sz="4" w:space="0" w:color="F48594" w:themeColor="accent5" w:themeTint="66"/>
        <w:right w:val="single" w:sz="4" w:space="0" w:color="F48594" w:themeColor="accent5" w:themeTint="66"/>
        <w:insideH w:val="single" w:sz="4" w:space="0" w:color="F48594" w:themeColor="accent5" w:themeTint="66"/>
        <w:insideV w:val="single" w:sz="4" w:space="0" w:color="F48594" w:themeColor="accent5" w:themeTint="66"/>
      </w:tblBorders>
    </w:tblPr>
    <w:tblStylePr w:type="firstRow">
      <w:rPr>
        <w:b/>
        <w:bCs/>
      </w:rPr>
      <w:tblPr/>
      <w:tcPr>
        <w:tcBorders>
          <w:bottom w:val="single" w:sz="12" w:space="0" w:color="EF485F" w:themeColor="accent5" w:themeTint="99"/>
        </w:tcBorders>
      </w:tcPr>
    </w:tblStylePr>
    <w:tblStylePr w:type="lastRow">
      <w:rPr>
        <w:b/>
        <w:bCs/>
      </w:rPr>
      <w:tblPr/>
      <w:tcPr>
        <w:tcBorders>
          <w:top w:val="double" w:sz="2" w:space="0" w:color="EF485F"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C9172B"/>
    <w:pPr>
      <w:spacing w:line="240" w:lineRule="auto"/>
    </w:pPr>
    <w:tblPr>
      <w:tblStyleRowBandSize w:val="1"/>
      <w:tblStyleColBandSize w:val="1"/>
      <w:tblBorders>
        <w:top w:val="single" w:sz="4" w:space="0" w:color="AFD7BB" w:themeColor="accent6" w:themeTint="66"/>
        <w:left w:val="single" w:sz="4" w:space="0" w:color="AFD7BB" w:themeColor="accent6" w:themeTint="66"/>
        <w:bottom w:val="single" w:sz="4" w:space="0" w:color="AFD7BB" w:themeColor="accent6" w:themeTint="66"/>
        <w:right w:val="single" w:sz="4" w:space="0" w:color="AFD7BB" w:themeColor="accent6" w:themeTint="66"/>
        <w:insideH w:val="single" w:sz="4" w:space="0" w:color="AFD7BB" w:themeColor="accent6" w:themeTint="66"/>
        <w:insideV w:val="single" w:sz="4" w:space="0" w:color="AFD7BB" w:themeColor="accent6" w:themeTint="66"/>
      </w:tblBorders>
    </w:tblPr>
    <w:tblStylePr w:type="firstRow">
      <w:rPr>
        <w:b/>
        <w:bCs/>
      </w:rPr>
      <w:tblPr/>
      <w:tcPr>
        <w:tcBorders>
          <w:bottom w:val="single" w:sz="12" w:space="0" w:color="87C399" w:themeColor="accent6" w:themeTint="99"/>
        </w:tcBorders>
      </w:tcPr>
    </w:tblStylePr>
    <w:tblStylePr w:type="lastRow">
      <w:rPr>
        <w:b/>
        <w:bCs/>
      </w:rPr>
      <w:tblPr/>
      <w:tcPr>
        <w:tcBorders>
          <w:top w:val="double" w:sz="2" w:space="0" w:color="87C399"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C9172B"/>
    <w:pPr>
      <w:spacing w:line="240" w:lineRule="auto"/>
    </w:pPr>
    <w:tblPr>
      <w:tblStyleRowBandSize w:val="1"/>
      <w:tblStyleColBandSize w:val="1"/>
      <w:tblBorders>
        <w:top w:val="single" w:sz="2" w:space="0" w:color="767676" w:themeColor="text1" w:themeTint="99"/>
        <w:bottom w:val="single" w:sz="2" w:space="0" w:color="767676" w:themeColor="text1" w:themeTint="99"/>
        <w:insideH w:val="single" w:sz="2" w:space="0" w:color="767676" w:themeColor="text1" w:themeTint="99"/>
        <w:insideV w:val="single" w:sz="2" w:space="0" w:color="767676" w:themeColor="text1" w:themeTint="99"/>
      </w:tblBorders>
    </w:tblPr>
    <w:tblStylePr w:type="firstRow">
      <w:rPr>
        <w:b/>
        <w:bCs/>
      </w:rPr>
      <w:tblPr/>
      <w:tcPr>
        <w:tcBorders>
          <w:top w:val="nil"/>
          <w:bottom w:val="single" w:sz="12" w:space="0" w:color="767676" w:themeColor="text1" w:themeTint="99"/>
          <w:insideH w:val="nil"/>
          <w:insideV w:val="nil"/>
        </w:tcBorders>
        <w:shd w:val="clear" w:color="auto" w:fill="FFFFFF" w:themeFill="background1"/>
      </w:tcPr>
    </w:tblStylePr>
    <w:tblStylePr w:type="lastRow">
      <w:rPr>
        <w:b/>
        <w:bCs/>
      </w:rPr>
      <w:tblPr/>
      <w:tcPr>
        <w:tcBorders>
          <w:top w:val="double" w:sz="2" w:space="0" w:color="7676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Rutenettabell2uthevingsfarge1">
    <w:name w:val="Grid Table 2 Accent 1"/>
    <w:basedOn w:val="Vanligtabell"/>
    <w:uiPriority w:val="47"/>
    <w:rsid w:val="00C9172B"/>
    <w:pPr>
      <w:spacing w:line="240" w:lineRule="auto"/>
    </w:pPr>
    <w:tblPr>
      <w:tblStyleRowBandSize w:val="1"/>
      <w:tblStyleColBandSize w:val="1"/>
      <w:tblBorders>
        <w:top w:val="single" w:sz="2" w:space="0" w:color="3F73D1" w:themeColor="accent1" w:themeTint="99"/>
        <w:bottom w:val="single" w:sz="2" w:space="0" w:color="3F73D1" w:themeColor="accent1" w:themeTint="99"/>
        <w:insideH w:val="single" w:sz="2" w:space="0" w:color="3F73D1" w:themeColor="accent1" w:themeTint="99"/>
        <w:insideV w:val="single" w:sz="2" w:space="0" w:color="3F73D1" w:themeColor="accent1" w:themeTint="99"/>
      </w:tblBorders>
    </w:tblPr>
    <w:tblStylePr w:type="firstRow">
      <w:rPr>
        <w:b/>
        <w:bCs/>
      </w:rPr>
      <w:tblPr/>
      <w:tcPr>
        <w:tcBorders>
          <w:top w:val="nil"/>
          <w:bottom w:val="single" w:sz="12" w:space="0" w:color="3F73D1" w:themeColor="accent1" w:themeTint="99"/>
          <w:insideH w:val="nil"/>
          <w:insideV w:val="nil"/>
        </w:tcBorders>
        <w:shd w:val="clear" w:color="auto" w:fill="FFFFFF" w:themeFill="background1"/>
      </w:tcPr>
    </w:tblStylePr>
    <w:tblStylePr w:type="lastRow">
      <w:rPr>
        <w:b/>
        <w:bCs/>
      </w:rPr>
      <w:tblPr/>
      <w:tcPr>
        <w:tcBorders>
          <w:top w:val="double" w:sz="2" w:space="0" w:color="3F73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Rutenettabell2uthevingsfarge2">
    <w:name w:val="Grid Table 2 Accent 2"/>
    <w:basedOn w:val="Vanligtabell"/>
    <w:uiPriority w:val="47"/>
    <w:rsid w:val="00C9172B"/>
    <w:pPr>
      <w:spacing w:line="240" w:lineRule="auto"/>
    </w:pPr>
    <w:tblPr>
      <w:tblStyleRowBandSize w:val="1"/>
      <w:tblStyleColBandSize w:val="1"/>
      <w:tblBorders>
        <w:top w:val="single" w:sz="2" w:space="0" w:color="7EAAD7" w:themeColor="accent2" w:themeTint="99"/>
        <w:bottom w:val="single" w:sz="2" w:space="0" w:color="7EAAD7" w:themeColor="accent2" w:themeTint="99"/>
        <w:insideH w:val="single" w:sz="2" w:space="0" w:color="7EAAD7" w:themeColor="accent2" w:themeTint="99"/>
        <w:insideV w:val="single" w:sz="2" w:space="0" w:color="7EAAD7" w:themeColor="accent2" w:themeTint="99"/>
      </w:tblBorders>
    </w:tblPr>
    <w:tblStylePr w:type="firstRow">
      <w:rPr>
        <w:b/>
        <w:bCs/>
      </w:rPr>
      <w:tblPr/>
      <w:tcPr>
        <w:tcBorders>
          <w:top w:val="nil"/>
          <w:bottom w:val="single" w:sz="12" w:space="0" w:color="7EAAD7" w:themeColor="accent2" w:themeTint="99"/>
          <w:insideH w:val="nil"/>
          <w:insideV w:val="nil"/>
        </w:tcBorders>
        <w:shd w:val="clear" w:color="auto" w:fill="FFFFFF" w:themeFill="background1"/>
      </w:tcPr>
    </w:tblStylePr>
    <w:tblStylePr w:type="lastRow">
      <w:rPr>
        <w:b/>
        <w:bCs/>
      </w:rPr>
      <w:tblPr/>
      <w:tcPr>
        <w:tcBorders>
          <w:top w:val="double" w:sz="2" w:space="0" w:color="7EAA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Rutenettabell2uthevingsfarge3">
    <w:name w:val="Grid Table 2 Accent 3"/>
    <w:basedOn w:val="Vanligtabell"/>
    <w:uiPriority w:val="47"/>
    <w:rsid w:val="00C9172B"/>
    <w:pPr>
      <w:spacing w:line="240" w:lineRule="auto"/>
    </w:pPr>
    <w:tblPr>
      <w:tblStyleRowBandSize w:val="1"/>
      <w:tblStyleColBandSize w:val="1"/>
      <w:tblBorders>
        <w:top w:val="single" w:sz="2" w:space="0" w:color="69D8E1" w:themeColor="accent3" w:themeTint="99"/>
        <w:bottom w:val="single" w:sz="2" w:space="0" w:color="69D8E1" w:themeColor="accent3" w:themeTint="99"/>
        <w:insideH w:val="single" w:sz="2" w:space="0" w:color="69D8E1" w:themeColor="accent3" w:themeTint="99"/>
        <w:insideV w:val="single" w:sz="2" w:space="0" w:color="69D8E1" w:themeColor="accent3" w:themeTint="99"/>
      </w:tblBorders>
    </w:tblPr>
    <w:tblStylePr w:type="firstRow">
      <w:rPr>
        <w:b/>
        <w:bCs/>
      </w:rPr>
      <w:tblPr/>
      <w:tcPr>
        <w:tcBorders>
          <w:top w:val="nil"/>
          <w:bottom w:val="single" w:sz="12" w:space="0" w:color="69D8E1" w:themeColor="accent3" w:themeTint="99"/>
          <w:insideH w:val="nil"/>
          <w:insideV w:val="nil"/>
        </w:tcBorders>
        <w:shd w:val="clear" w:color="auto" w:fill="FFFFFF" w:themeFill="background1"/>
      </w:tcPr>
    </w:tblStylePr>
    <w:tblStylePr w:type="lastRow">
      <w:rPr>
        <w:b/>
        <w:bCs/>
      </w:rPr>
      <w:tblPr/>
      <w:tcPr>
        <w:tcBorders>
          <w:top w:val="double" w:sz="2" w:space="0" w:color="69D8E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Rutenettabell2uthevingsfarge4">
    <w:name w:val="Grid Table 2 Accent 4"/>
    <w:basedOn w:val="Vanligtabell"/>
    <w:uiPriority w:val="47"/>
    <w:rsid w:val="00C9172B"/>
    <w:pPr>
      <w:spacing w:line="240" w:lineRule="auto"/>
    </w:pPr>
    <w:tblPr>
      <w:tblStyleRowBandSize w:val="1"/>
      <w:tblStyleColBandSize w:val="1"/>
      <w:tblBorders>
        <w:top w:val="single" w:sz="2" w:space="0" w:color="FABF8F" w:themeColor="accent4" w:themeTint="99"/>
        <w:bottom w:val="single" w:sz="2" w:space="0" w:color="FABF8F" w:themeColor="accent4" w:themeTint="99"/>
        <w:insideH w:val="single" w:sz="2" w:space="0" w:color="FABF8F" w:themeColor="accent4" w:themeTint="99"/>
        <w:insideV w:val="single" w:sz="2" w:space="0" w:color="FABF8F" w:themeColor="accent4" w:themeTint="99"/>
      </w:tblBorders>
    </w:tblPr>
    <w:tblStylePr w:type="firstRow">
      <w:rPr>
        <w:b/>
        <w:bCs/>
      </w:rPr>
      <w:tblPr/>
      <w:tcPr>
        <w:tcBorders>
          <w:top w:val="nil"/>
          <w:bottom w:val="single" w:sz="12" w:space="0" w:color="FABF8F" w:themeColor="accent4" w:themeTint="99"/>
          <w:insideH w:val="nil"/>
          <w:insideV w:val="nil"/>
        </w:tcBorders>
        <w:shd w:val="clear" w:color="auto" w:fill="FFFFFF" w:themeFill="background1"/>
      </w:tcPr>
    </w:tblStylePr>
    <w:tblStylePr w:type="lastRow">
      <w:rPr>
        <w:b/>
        <w:bCs/>
      </w:rPr>
      <w:tblPr/>
      <w:tcPr>
        <w:tcBorders>
          <w:top w:val="double" w:sz="2" w:space="0" w:color="FABF8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Rutenettabell2uthevingsfarge5">
    <w:name w:val="Grid Table 2 Accent 5"/>
    <w:basedOn w:val="Vanligtabell"/>
    <w:uiPriority w:val="47"/>
    <w:rsid w:val="00C9172B"/>
    <w:pPr>
      <w:spacing w:line="240" w:lineRule="auto"/>
    </w:pPr>
    <w:tblPr>
      <w:tblStyleRowBandSize w:val="1"/>
      <w:tblStyleColBandSize w:val="1"/>
      <w:tblBorders>
        <w:top w:val="single" w:sz="2" w:space="0" w:color="EF485F" w:themeColor="accent5" w:themeTint="99"/>
        <w:bottom w:val="single" w:sz="2" w:space="0" w:color="EF485F" w:themeColor="accent5" w:themeTint="99"/>
        <w:insideH w:val="single" w:sz="2" w:space="0" w:color="EF485F" w:themeColor="accent5" w:themeTint="99"/>
        <w:insideV w:val="single" w:sz="2" w:space="0" w:color="EF485F" w:themeColor="accent5" w:themeTint="99"/>
      </w:tblBorders>
    </w:tblPr>
    <w:tblStylePr w:type="firstRow">
      <w:rPr>
        <w:b/>
        <w:bCs/>
      </w:rPr>
      <w:tblPr/>
      <w:tcPr>
        <w:tcBorders>
          <w:top w:val="nil"/>
          <w:bottom w:val="single" w:sz="12" w:space="0" w:color="EF485F" w:themeColor="accent5" w:themeTint="99"/>
          <w:insideH w:val="nil"/>
          <w:insideV w:val="nil"/>
        </w:tcBorders>
        <w:shd w:val="clear" w:color="auto" w:fill="FFFFFF" w:themeFill="background1"/>
      </w:tcPr>
    </w:tblStylePr>
    <w:tblStylePr w:type="lastRow">
      <w:rPr>
        <w:b/>
        <w:bCs/>
      </w:rPr>
      <w:tblPr/>
      <w:tcPr>
        <w:tcBorders>
          <w:top w:val="double" w:sz="2" w:space="0" w:color="EF485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Rutenettabell2uthevingsfarge6">
    <w:name w:val="Grid Table 2 Accent 6"/>
    <w:basedOn w:val="Vanligtabell"/>
    <w:uiPriority w:val="47"/>
    <w:rsid w:val="00C9172B"/>
    <w:pPr>
      <w:spacing w:line="240" w:lineRule="auto"/>
    </w:pPr>
    <w:tblPr>
      <w:tblStyleRowBandSize w:val="1"/>
      <w:tblStyleColBandSize w:val="1"/>
      <w:tblBorders>
        <w:top w:val="single" w:sz="2" w:space="0" w:color="87C399" w:themeColor="accent6" w:themeTint="99"/>
        <w:bottom w:val="single" w:sz="2" w:space="0" w:color="87C399" w:themeColor="accent6" w:themeTint="99"/>
        <w:insideH w:val="single" w:sz="2" w:space="0" w:color="87C399" w:themeColor="accent6" w:themeTint="99"/>
        <w:insideV w:val="single" w:sz="2" w:space="0" w:color="87C399" w:themeColor="accent6" w:themeTint="99"/>
      </w:tblBorders>
    </w:tblPr>
    <w:tblStylePr w:type="firstRow">
      <w:rPr>
        <w:b/>
        <w:bCs/>
      </w:rPr>
      <w:tblPr/>
      <w:tcPr>
        <w:tcBorders>
          <w:top w:val="nil"/>
          <w:bottom w:val="single" w:sz="12" w:space="0" w:color="87C399" w:themeColor="accent6" w:themeTint="99"/>
          <w:insideH w:val="nil"/>
          <w:insideV w:val="nil"/>
        </w:tcBorders>
        <w:shd w:val="clear" w:color="auto" w:fill="FFFFFF" w:themeFill="background1"/>
      </w:tcPr>
    </w:tblStylePr>
    <w:tblStylePr w:type="lastRow">
      <w:rPr>
        <w:b/>
        <w:bCs/>
      </w:rPr>
      <w:tblPr/>
      <w:tcPr>
        <w:tcBorders>
          <w:top w:val="double" w:sz="2" w:space="0" w:color="87C39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Rutenettabell3">
    <w:name w:val="Grid Table 3"/>
    <w:basedOn w:val="Vanligtabell"/>
    <w:uiPriority w:val="48"/>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1D1" w:themeFill="text1" w:themeFillTint="33"/>
      </w:tcPr>
    </w:tblStylePr>
    <w:tblStylePr w:type="band1Horz">
      <w:tblPr/>
      <w:tcPr>
        <w:shd w:val="clear" w:color="auto" w:fill="D1D1D1" w:themeFill="text1" w:themeFillTint="33"/>
      </w:tcPr>
    </w:tblStylePr>
    <w:tblStylePr w:type="neCell">
      <w:tblPr/>
      <w:tcPr>
        <w:tcBorders>
          <w:bottom w:val="single" w:sz="4" w:space="0" w:color="767676" w:themeColor="text1" w:themeTint="99"/>
        </w:tcBorders>
      </w:tcPr>
    </w:tblStylePr>
    <w:tblStylePr w:type="nwCell">
      <w:tblPr/>
      <w:tcPr>
        <w:tcBorders>
          <w:bottom w:val="single" w:sz="4" w:space="0" w:color="767676" w:themeColor="text1" w:themeTint="99"/>
        </w:tcBorders>
      </w:tcPr>
    </w:tblStylePr>
    <w:tblStylePr w:type="seCell">
      <w:tblPr/>
      <w:tcPr>
        <w:tcBorders>
          <w:top w:val="single" w:sz="4" w:space="0" w:color="767676" w:themeColor="text1" w:themeTint="99"/>
        </w:tcBorders>
      </w:tcPr>
    </w:tblStylePr>
    <w:tblStylePr w:type="swCell">
      <w:tblPr/>
      <w:tcPr>
        <w:tcBorders>
          <w:top w:val="single" w:sz="4" w:space="0" w:color="767676" w:themeColor="text1" w:themeTint="99"/>
        </w:tcBorders>
      </w:tcPr>
    </w:tblStylePr>
  </w:style>
  <w:style w:type="table" w:styleId="Rutenettabell3uthevingsfarge1">
    <w:name w:val="Grid Table 3 Accent 1"/>
    <w:basedOn w:val="Vanligtabell"/>
    <w:uiPriority w:val="48"/>
    <w:rsid w:val="00C9172B"/>
    <w:pPr>
      <w:spacing w:line="240" w:lineRule="auto"/>
    </w:p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0EF" w:themeFill="accent1" w:themeFillTint="33"/>
      </w:tcPr>
    </w:tblStylePr>
    <w:tblStylePr w:type="band1Horz">
      <w:tblPr/>
      <w:tcPr>
        <w:shd w:val="clear" w:color="auto" w:fill="BED0EF" w:themeFill="accent1" w:themeFillTint="33"/>
      </w:tcPr>
    </w:tblStylePr>
    <w:tblStylePr w:type="neCell">
      <w:tblPr/>
      <w:tcPr>
        <w:tcBorders>
          <w:bottom w:val="single" w:sz="4" w:space="0" w:color="3F73D1" w:themeColor="accent1" w:themeTint="99"/>
        </w:tcBorders>
      </w:tcPr>
    </w:tblStylePr>
    <w:tblStylePr w:type="nwCell">
      <w:tblPr/>
      <w:tcPr>
        <w:tcBorders>
          <w:bottom w:val="single" w:sz="4" w:space="0" w:color="3F73D1" w:themeColor="accent1" w:themeTint="99"/>
        </w:tcBorders>
      </w:tcPr>
    </w:tblStylePr>
    <w:tblStylePr w:type="seCell">
      <w:tblPr/>
      <w:tcPr>
        <w:tcBorders>
          <w:top w:val="single" w:sz="4" w:space="0" w:color="3F73D1" w:themeColor="accent1" w:themeTint="99"/>
        </w:tcBorders>
      </w:tcPr>
    </w:tblStylePr>
    <w:tblStylePr w:type="swCell">
      <w:tblPr/>
      <w:tcPr>
        <w:tcBorders>
          <w:top w:val="single" w:sz="4" w:space="0" w:color="3F73D1" w:themeColor="accent1" w:themeTint="99"/>
        </w:tcBorders>
      </w:tcPr>
    </w:tblStylePr>
  </w:style>
  <w:style w:type="table" w:styleId="Rutenettabell3uthevingsfarge2">
    <w:name w:val="Grid Table 3 Accent 2"/>
    <w:basedOn w:val="Vanligtabell"/>
    <w:uiPriority w:val="48"/>
    <w:rsid w:val="00C9172B"/>
    <w:pPr>
      <w:spacing w:line="240" w:lineRule="auto"/>
    </w:p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2F2" w:themeFill="accent2" w:themeFillTint="33"/>
      </w:tcPr>
    </w:tblStylePr>
    <w:tblStylePr w:type="band1Horz">
      <w:tblPr/>
      <w:tcPr>
        <w:shd w:val="clear" w:color="auto" w:fill="D4E2F2" w:themeFill="accent2" w:themeFillTint="33"/>
      </w:tcPr>
    </w:tblStylePr>
    <w:tblStylePr w:type="neCell">
      <w:tblPr/>
      <w:tcPr>
        <w:tcBorders>
          <w:bottom w:val="single" w:sz="4" w:space="0" w:color="7EAAD7" w:themeColor="accent2" w:themeTint="99"/>
        </w:tcBorders>
      </w:tcPr>
    </w:tblStylePr>
    <w:tblStylePr w:type="nwCell">
      <w:tblPr/>
      <w:tcPr>
        <w:tcBorders>
          <w:bottom w:val="single" w:sz="4" w:space="0" w:color="7EAAD7" w:themeColor="accent2" w:themeTint="99"/>
        </w:tcBorders>
      </w:tcPr>
    </w:tblStylePr>
    <w:tblStylePr w:type="seCell">
      <w:tblPr/>
      <w:tcPr>
        <w:tcBorders>
          <w:top w:val="single" w:sz="4" w:space="0" w:color="7EAAD7" w:themeColor="accent2" w:themeTint="99"/>
        </w:tcBorders>
      </w:tcPr>
    </w:tblStylePr>
    <w:tblStylePr w:type="swCell">
      <w:tblPr/>
      <w:tcPr>
        <w:tcBorders>
          <w:top w:val="single" w:sz="4" w:space="0" w:color="7EAAD7" w:themeColor="accent2" w:themeTint="99"/>
        </w:tcBorders>
      </w:tcPr>
    </w:tblStylePr>
  </w:style>
  <w:style w:type="table" w:styleId="Rutenettabell3uthevingsfarge3">
    <w:name w:val="Grid Table 3 Accent 3"/>
    <w:basedOn w:val="Vanligtabell"/>
    <w:uiPriority w:val="48"/>
    <w:rsid w:val="00C9172B"/>
    <w:pPr>
      <w:spacing w:line="240" w:lineRule="auto"/>
    </w:p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2F5" w:themeFill="accent3" w:themeFillTint="33"/>
      </w:tcPr>
    </w:tblStylePr>
    <w:tblStylePr w:type="band1Horz">
      <w:tblPr/>
      <w:tcPr>
        <w:shd w:val="clear" w:color="auto" w:fill="CDF2F5" w:themeFill="accent3" w:themeFillTint="33"/>
      </w:tcPr>
    </w:tblStylePr>
    <w:tblStylePr w:type="neCell">
      <w:tblPr/>
      <w:tcPr>
        <w:tcBorders>
          <w:bottom w:val="single" w:sz="4" w:space="0" w:color="69D8E1" w:themeColor="accent3" w:themeTint="99"/>
        </w:tcBorders>
      </w:tcPr>
    </w:tblStylePr>
    <w:tblStylePr w:type="nwCell">
      <w:tblPr/>
      <w:tcPr>
        <w:tcBorders>
          <w:bottom w:val="single" w:sz="4" w:space="0" w:color="69D8E1" w:themeColor="accent3" w:themeTint="99"/>
        </w:tcBorders>
      </w:tcPr>
    </w:tblStylePr>
    <w:tblStylePr w:type="seCell">
      <w:tblPr/>
      <w:tcPr>
        <w:tcBorders>
          <w:top w:val="single" w:sz="4" w:space="0" w:color="69D8E1" w:themeColor="accent3" w:themeTint="99"/>
        </w:tcBorders>
      </w:tcPr>
    </w:tblStylePr>
    <w:tblStylePr w:type="swCell">
      <w:tblPr/>
      <w:tcPr>
        <w:tcBorders>
          <w:top w:val="single" w:sz="4" w:space="0" w:color="69D8E1" w:themeColor="accent3" w:themeTint="99"/>
        </w:tcBorders>
      </w:tcPr>
    </w:tblStylePr>
  </w:style>
  <w:style w:type="table" w:styleId="Rutenettabell3uthevingsfarge4">
    <w:name w:val="Grid Table 3 Accent 4"/>
    <w:basedOn w:val="Vanligtabell"/>
    <w:uiPriority w:val="48"/>
    <w:rsid w:val="00C9172B"/>
    <w:pPr>
      <w:spacing w:line="240" w:lineRule="auto"/>
    </w:p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4" w:themeFillTint="33"/>
      </w:tcPr>
    </w:tblStylePr>
    <w:tblStylePr w:type="band1Horz">
      <w:tblPr/>
      <w:tcPr>
        <w:shd w:val="clear" w:color="auto" w:fill="FDE9D9" w:themeFill="accent4" w:themeFillTint="33"/>
      </w:tcPr>
    </w:tblStylePr>
    <w:tblStylePr w:type="neCell">
      <w:tblPr/>
      <w:tcPr>
        <w:tcBorders>
          <w:bottom w:val="single" w:sz="4" w:space="0" w:color="FABF8F" w:themeColor="accent4" w:themeTint="99"/>
        </w:tcBorders>
      </w:tcPr>
    </w:tblStylePr>
    <w:tblStylePr w:type="nwCell">
      <w:tblPr/>
      <w:tcPr>
        <w:tcBorders>
          <w:bottom w:val="single" w:sz="4" w:space="0" w:color="FABF8F" w:themeColor="accent4" w:themeTint="99"/>
        </w:tcBorders>
      </w:tcPr>
    </w:tblStylePr>
    <w:tblStylePr w:type="seCell">
      <w:tblPr/>
      <w:tcPr>
        <w:tcBorders>
          <w:top w:val="single" w:sz="4" w:space="0" w:color="FABF8F" w:themeColor="accent4" w:themeTint="99"/>
        </w:tcBorders>
      </w:tcPr>
    </w:tblStylePr>
    <w:tblStylePr w:type="swCell">
      <w:tblPr/>
      <w:tcPr>
        <w:tcBorders>
          <w:top w:val="single" w:sz="4" w:space="0" w:color="FABF8F" w:themeColor="accent4" w:themeTint="99"/>
        </w:tcBorders>
      </w:tcPr>
    </w:tblStylePr>
  </w:style>
  <w:style w:type="table" w:styleId="Rutenettabell3uthevingsfarge5">
    <w:name w:val="Grid Table 3 Accent 5"/>
    <w:basedOn w:val="Vanligtabell"/>
    <w:uiPriority w:val="48"/>
    <w:rsid w:val="00C9172B"/>
    <w:pPr>
      <w:spacing w:line="240" w:lineRule="auto"/>
    </w:p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2C9" w:themeFill="accent5" w:themeFillTint="33"/>
      </w:tcPr>
    </w:tblStylePr>
    <w:tblStylePr w:type="band1Horz">
      <w:tblPr/>
      <w:tcPr>
        <w:shd w:val="clear" w:color="auto" w:fill="FAC2C9" w:themeFill="accent5" w:themeFillTint="33"/>
      </w:tcPr>
    </w:tblStylePr>
    <w:tblStylePr w:type="neCell">
      <w:tblPr/>
      <w:tcPr>
        <w:tcBorders>
          <w:bottom w:val="single" w:sz="4" w:space="0" w:color="EF485F" w:themeColor="accent5" w:themeTint="99"/>
        </w:tcBorders>
      </w:tcPr>
    </w:tblStylePr>
    <w:tblStylePr w:type="nwCell">
      <w:tblPr/>
      <w:tcPr>
        <w:tcBorders>
          <w:bottom w:val="single" w:sz="4" w:space="0" w:color="EF485F" w:themeColor="accent5" w:themeTint="99"/>
        </w:tcBorders>
      </w:tcPr>
    </w:tblStylePr>
    <w:tblStylePr w:type="seCell">
      <w:tblPr/>
      <w:tcPr>
        <w:tcBorders>
          <w:top w:val="single" w:sz="4" w:space="0" w:color="EF485F" w:themeColor="accent5" w:themeTint="99"/>
        </w:tcBorders>
      </w:tcPr>
    </w:tblStylePr>
    <w:tblStylePr w:type="swCell">
      <w:tblPr/>
      <w:tcPr>
        <w:tcBorders>
          <w:top w:val="single" w:sz="4" w:space="0" w:color="EF485F" w:themeColor="accent5" w:themeTint="99"/>
        </w:tcBorders>
      </w:tcPr>
    </w:tblStylePr>
  </w:style>
  <w:style w:type="table" w:styleId="Rutenettabell3uthevingsfarge6">
    <w:name w:val="Grid Table 3 Accent 6"/>
    <w:basedOn w:val="Vanligtabell"/>
    <w:uiPriority w:val="48"/>
    <w:rsid w:val="00C9172B"/>
    <w:pPr>
      <w:spacing w:line="240" w:lineRule="auto"/>
    </w:p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BDD" w:themeFill="accent6" w:themeFillTint="33"/>
      </w:tcPr>
    </w:tblStylePr>
    <w:tblStylePr w:type="band1Horz">
      <w:tblPr/>
      <w:tcPr>
        <w:shd w:val="clear" w:color="auto" w:fill="D7EBDD" w:themeFill="accent6" w:themeFillTint="33"/>
      </w:tcPr>
    </w:tblStylePr>
    <w:tblStylePr w:type="neCell">
      <w:tblPr/>
      <w:tcPr>
        <w:tcBorders>
          <w:bottom w:val="single" w:sz="4" w:space="0" w:color="87C399" w:themeColor="accent6" w:themeTint="99"/>
        </w:tcBorders>
      </w:tcPr>
    </w:tblStylePr>
    <w:tblStylePr w:type="nwCell">
      <w:tblPr/>
      <w:tcPr>
        <w:tcBorders>
          <w:bottom w:val="single" w:sz="4" w:space="0" w:color="87C399" w:themeColor="accent6" w:themeTint="99"/>
        </w:tcBorders>
      </w:tcPr>
    </w:tblStylePr>
    <w:tblStylePr w:type="seCell">
      <w:tblPr/>
      <w:tcPr>
        <w:tcBorders>
          <w:top w:val="single" w:sz="4" w:space="0" w:color="87C399" w:themeColor="accent6" w:themeTint="99"/>
        </w:tcBorders>
      </w:tcPr>
    </w:tblStylePr>
    <w:tblStylePr w:type="swCell">
      <w:tblPr/>
      <w:tcPr>
        <w:tcBorders>
          <w:top w:val="single" w:sz="4" w:space="0" w:color="87C399" w:themeColor="accent6" w:themeTint="99"/>
        </w:tcBorders>
      </w:tcPr>
    </w:tblStylePr>
  </w:style>
  <w:style w:type="table" w:styleId="Rutenettabell4">
    <w:name w:val="Grid Table 4"/>
    <w:basedOn w:val="Vanligtabell"/>
    <w:uiPriority w:val="49"/>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color w:val="FFFFFF" w:themeColor="background1"/>
      </w:rPr>
      <w:tblPr/>
      <w:tcPr>
        <w:tcBorders>
          <w:top w:val="single" w:sz="4" w:space="0" w:color="1C1C1C" w:themeColor="text1"/>
          <w:left w:val="single" w:sz="4" w:space="0" w:color="1C1C1C" w:themeColor="text1"/>
          <w:bottom w:val="single" w:sz="4" w:space="0" w:color="1C1C1C" w:themeColor="text1"/>
          <w:right w:val="single" w:sz="4" w:space="0" w:color="1C1C1C" w:themeColor="text1"/>
          <w:insideH w:val="nil"/>
          <w:insideV w:val="nil"/>
        </w:tcBorders>
        <w:shd w:val="clear" w:color="auto" w:fill="1C1C1C" w:themeFill="text1"/>
      </w:tcPr>
    </w:tblStylePr>
    <w:tblStylePr w:type="lastRow">
      <w:rPr>
        <w:b/>
        <w:bCs/>
      </w:rPr>
      <w:tblPr/>
      <w:tcPr>
        <w:tcBorders>
          <w:top w:val="double" w:sz="4" w:space="0" w:color="1C1C1C" w:themeColor="text1"/>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Rutenettabell4uthevingsfarge1">
    <w:name w:val="Grid Table 4 Accent 1"/>
    <w:basedOn w:val="Vanligtabell"/>
    <w:uiPriority w:val="49"/>
    <w:rsid w:val="00C9172B"/>
    <w:pPr>
      <w:spacing w:line="240" w:lineRule="auto"/>
    </w:p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color w:val="FFFFFF" w:themeColor="background1"/>
      </w:rPr>
      <w:tblPr/>
      <w:tcPr>
        <w:tcBorders>
          <w:top w:val="single" w:sz="4" w:space="0" w:color="162F5C" w:themeColor="accent1"/>
          <w:left w:val="single" w:sz="4" w:space="0" w:color="162F5C" w:themeColor="accent1"/>
          <w:bottom w:val="single" w:sz="4" w:space="0" w:color="162F5C" w:themeColor="accent1"/>
          <w:right w:val="single" w:sz="4" w:space="0" w:color="162F5C" w:themeColor="accent1"/>
          <w:insideH w:val="nil"/>
          <w:insideV w:val="nil"/>
        </w:tcBorders>
        <w:shd w:val="clear" w:color="auto" w:fill="162F5C" w:themeFill="accent1"/>
      </w:tcPr>
    </w:tblStylePr>
    <w:tblStylePr w:type="lastRow">
      <w:rPr>
        <w:b/>
        <w:bCs/>
      </w:rPr>
      <w:tblPr/>
      <w:tcPr>
        <w:tcBorders>
          <w:top w:val="double" w:sz="4" w:space="0" w:color="162F5C" w:themeColor="accent1"/>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Rutenettabell4uthevingsfarge2">
    <w:name w:val="Grid Table 4 Accent 2"/>
    <w:basedOn w:val="Vanligtabell"/>
    <w:uiPriority w:val="49"/>
    <w:rsid w:val="00C9172B"/>
    <w:pPr>
      <w:spacing w:line="240" w:lineRule="auto"/>
    </w:p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color w:val="FFFFFF" w:themeColor="background1"/>
      </w:rPr>
      <w:tblPr/>
      <w:tcPr>
        <w:tcBorders>
          <w:top w:val="single" w:sz="4" w:space="0" w:color="3672B0" w:themeColor="accent2"/>
          <w:left w:val="single" w:sz="4" w:space="0" w:color="3672B0" w:themeColor="accent2"/>
          <w:bottom w:val="single" w:sz="4" w:space="0" w:color="3672B0" w:themeColor="accent2"/>
          <w:right w:val="single" w:sz="4" w:space="0" w:color="3672B0" w:themeColor="accent2"/>
          <w:insideH w:val="nil"/>
          <w:insideV w:val="nil"/>
        </w:tcBorders>
        <w:shd w:val="clear" w:color="auto" w:fill="3672B0" w:themeFill="accent2"/>
      </w:tcPr>
    </w:tblStylePr>
    <w:tblStylePr w:type="lastRow">
      <w:rPr>
        <w:b/>
        <w:bCs/>
      </w:rPr>
      <w:tblPr/>
      <w:tcPr>
        <w:tcBorders>
          <w:top w:val="double" w:sz="4" w:space="0" w:color="3672B0" w:themeColor="accent2"/>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Rutenettabell4uthevingsfarge3">
    <w:name w:val="Grid Table 4 Accent 3"/>
    <w:basedOn w:val="Vanligtabell"/>
    <w:uiPriority w:val="49"/>
    <w:rsid w:val="00C9172B"/>
    <w:pPr>
      <w:spacing w:line="240" w:lineRule="auto"/>
    </w:p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color w:val="FFFFFF" w:themeColor="background1"/>
      </w:rPr>
      <w:tblPr/>
      <w:tcPr>
        <w:tcBorders>
          <w:top w:val="single" w:sz="4" w:space="0" w:color="23A5AF" w:themeColor="accent3"/>
          <w:left w:val="single" w:sz="4" w:space="0" w:color="23A5AF" w:themeColor="accent3"/>
          <w:bottom w:val="single" w:sz="4" w:space="0" w:color="23A5AF" w:themeColor="accent3"/>
          <w:right w:val="single" w:sz="4" w:space="0" w:color="23A5AF" w:themeColor="accent3"/>
          <w:insideH w:val="nil"/>
          <w:insideV w:val="nil"/>
        </w:tcBorders>
        <w:shd w:val="clear" w:color="auto" w:fill="23A5AF" w:themeFill="accent3"/>
      </w:tcPr>
    </w:tblStylePr>
    <w:tblStylePr w:type="lastRow">
      <w:rPr>
        <w:b/>
        <w:bCs/>
      </w:rPr>
      <w:tblPr/>
      <w:tcPr>
        <w:tcBorders>
          <w:top w:val="double" w:sz="4" w:space="0" w:color="23A5AF" w:themeColor="accent3"/>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Rutenettabell4uthevingsfarge4">
    <w:name w:val="Grid Table 4 Accent 4"/>
    <w:basedOn w:val="Vanligtabell"/>
    <w:uiPriority w:val="49"/>
    <w:rsid w:val="00C9172B"/>
    <w:pPr>
      <w:spacing w:line="240" w:lineRule="auto"/>
    </w:p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color w:val="FFFFFF" w:themeColor="background1"/>
      </w:rPr>
      <w:tblPr/>
      <w:tcPr>
        <w:tcBorders>
          <w:top w:val="single" w:sz="4" w:space="0" w:color="F79646" w:themeColor="accent4"/>
          <w:left w:val="single" w:sz="4" w:space="0" w:color="F79646" w:themeColor="accent4"/>
          <w:bottom w:val="single" w:sz="4" w:space="0" w:color="F79646" w:themeColor="accent4"/>
          <w:right w:val="single" w:sz="4" w:space="0" w:color="F79646" w:themeColor="accent4"/>
          <w:insideH w:val="nil"/>
          <w:insideV w:val="nil"/>
        </w:tcBorders>
        <w:shd w:val="clear" w:color="auto" w:fill="F79646" w:themeFill="accent4"/>
      </w:tcPr>
    </w:tblStylePr>
    <w:tblStylePr w:type="lastRow">
      <w:rPr>
        <w:b/>
        <w:bCs/>
      </w:rPr>
      <w:tblPr/>
      <w:tcPr>
        <w:tcBorders>
          <w:top w:val="double" w:sz="4" w:space="0" w:color="F79646" w:themeColor="accent4"/>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Rutenettabell4uthevingsfarge5">
    <w:name w:val="Grid Table 4 Accent 5"/>
    <w:basedOn w:val="Vanligtabell"/>
    <w:uiPriority w:val="49"/>
    <w:rsid w:val="00C9172B"/>
    <w:pPr>
      <w:spacing w:line="240" w:lineRule="auto"/>
    </w:p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color w:val="FFFFFF" w:themeColor="background1"/>
      </w:rPr>
      <w:tblPr/>
      <w:tcPr>
        <w:tcBorders>
          <w:top w:val="single" w:sz="4" w:space="0" w:color="A60E24" w:themeColor="accent5"/>
          <w:left w:val="single" w:sz="4" w:space="0" w:color="A60E24" w:themeColor="accent5"/>
          <w:bottom w:val="single" w:sz="4" w:space="0" w:color="A60E24" w:themeColor="accent5"/>
          <w:right w:val="single" w:sz="4" w:space="0" w:color="A60E24" w:themeColor="accent5"/>
          <w:insideH w:val="nil"/>
          <w:insideV w:val="nil"/>
        </w:tcBorders>
        <w:shd w:val="clear" w:color="auto" w:fill="A60E24" w:themeFill="accent5"/>
      </w:tcPr>
    </w:tblStylePr>
    <w:tblStylePr w:type="lastRow">
      <w:rPr>
        <w:b/>
        <w:bCs/>
      </w:rPr>
      <w:tblPr/>
      <w:tcPr>
        <w:tcBorders>
          <w:top w:val="double" w:sz="4" w:space="0" w:color="A60E24" w:themeColor="accent5"/>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Rutenettabell4uthevingsfarge6">
    <w:name w:val="Grid Table 4 Accent 6"/>
    <w:basedOn w:val="Vanligtabell"/>
    <w:uiPriority w:val="49"/>
    <w:rsid w:val="00C9172B"/>
    <w:pPr>
      <w:spacing w:line="240" w:lineRule="auto"/>
    </w:p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color w:val="FFFFFF" w:themeColor="background1"/>
      </w:rPr>
      <w:tblPr/>
      <w:tcPr>
        <w:tcBorders>
          <w:top w:val="single" w:sz="4" w:space="0" w:color="468C5C" w:themeColor="accent6"/>
          <w:left w:val="single" w:sz="4" w:space="0" w:color="468C5C" w:themeColor="accent6"/>
          <w:bottom w:val="single" w:sz="4" w:space="0" w:color="468C5C" w:themeColor="accent6"/>
          <w:right w:val="single" w:sz="4" w:space="0" w:color="468C5C" w:themeColor="accent6"/>
          <w:insideH w:val="nil"/>
          <w:insideV w:val="nil"/>
        </w:tcBorders>
        <w:shd w:val="clear" w:color="auto" w:fill="468C5C" w:themeFill="accent6"/>
      </w:tcPr>
    </w:tblStylePr>
    <w:tblStylePr w:type="lastRow">
      <w:rPr>
        <w:b/>
        <w:bCs/>
      </w:rPr>
      <w:tblPr/>
      <w:tcPr>
        <w:tcBorders>
          <w:top w:val="double" w:sz="4" w:space="0" w:color="468C5C" w:themeColor="accent6"/>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Rutenettabell5mrk">
    <w:name w:val="Grid Table 5 Dark"/>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1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1C1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1C1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1C1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1C1C" w:themeFill="text1"/>
      </w:tcPr>
    </w:tblStylePr>
    <w:tblStylePr w:type="band1Vert">
      <w:tblPr/>
      <w:tcPr>
        <w:shd w:val="clear" w:color="auto" w:fill="A4A4A4" w:themeFill="text1" w:themeFillTint="66"/>
      </w:tcPr>
    </w:tblStylePr>
    <w:tblStylePr w:type="band1Horz">
      <w:tblPr/>
      <w:tcPr>
        <w:shd w:val="clear" w:color="auto" w:fill="A4A4A4" w:themeFill="text1" w:themeFillTint="66"/>
      </w:tcPr>
    </w:tblStylePr>
  </w:style>
  <w:style w:type="table" w:styleId="Rutenettabell5mrkuthevingsfarge1">
    <w:name w:val="Grid Table 5 Dark Accent 1"/>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0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2F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2F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2F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2F5C" w:themeFill="accent1"/>
      </w:tcPr>
    </w:tblStylePr>
    <w:tblStylePr w:type="band1Vert">
      <w:tblPr/>
      <w:tcPr>
        <w:shd w:val="clear" w:color="auto" w:fill="7EA1E0" w:themeFill="accent1" w:themeFillTint="66"/>
      </w:tcPr>
    </w:tblStylePr>
    <w:tblStylePr w:type="band1Horz">
      <w:tblPr/>
      <w:tcPr>
        <w:shd w:val="clear" w:color="auto" w:fill="7EA1E0" w:themeFill="accent1" w:themeFillTint="66"/>
      </w:tcPr>
    </w:tblStylePr>
  </w:style>
  <w:style w:type="table" w:styleId="Rutenettabell5mrkuthevingsfarge2">
    <w:name w:val="Grid Table 5 Dark Accent 2"/>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2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72B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72B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72B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72B0" w:themeFill="accent2"/>
      </w:tcPr>
    </w:tblStylePr>
    <w:tblStylePr w:type="band1Vert">
      <w:tblPr/>
      <w:tcPr>
        <w:shd w:val="clear" w:color="auto" w:fill="A9C6E4" w:themeFill="accent2" w:themeFillTint="66"/>
      </w:tcPr>
    </w:tblStylePr>
    <w:tblStylePr w:type="band1Horz">
      <w:tblPr/>
      <w:tcPr>
        <w:shd w:val="clear" w:color="auto" w:fill="A9C6E4" w:themeFill="accent2" w:themeFillTint="66"/>
      </w:tcPr>
    </w:tblStylePr>
  </w:style>
  <w:style w:type="table" w:styleId="Rutenettabell5mrkuthevingsfarge3">
    <w:name w:val="Grid Table 5 Dark Accent 3"/>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A5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A5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A5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A5AF" w:themeFill="accent3"/>
      </w:tcPr>
    </w:tblStylePr>
    <w:tblStylePr w:type="band1Vert">
      <w:tblPr/>
      <w:tcPr>
        <w:shd w:val="clear" w:color="auto" w:fill="9BE5EB" w:themeFill="accent3" w:themeFillTint="66"/>
      </w:tcPr>
    </w:tblStylePr>
    <w:tblStylePr w:type="band1Horz">
      <w:tblPr/>
      <w:tcPr>
        <w:shd w:val="clear" w:color="auto" w:fill="9BE5EB" w:themeFill="accent3" w:themeFillTint="66"/>
      </w:tcPr>
    </w:tblStylePr>
  </w:style>
  <w:style w:type="table" w:styleId="Rutenettabell5mrkuthevingsfarge4">
    <w:name w:val="Grid Table 5 Dark Accent 4"/>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4"/>
      </w:tcPr>
    </w:tblStylePr>
    <w:tblStylePr w:type="band1Vert">
      <w:tblPr/>
      <w:tcPr>
        <w:shd w:val="clear" w:color="auto" w:fill="FBD4B4" w:themeFill="accent4" w:themeFillTint="66"/>
      </w:tcPr>
    </w:tblStylePr>
    <w:tblStylePr w:type="band1Horz">
      <w:tblPr/>
      <w:tcPr>
        <w:shd w:val="clear" w:color="auto" w:fill="FBD4B4" w:themeFill="accent4" w:themeFillTint="66"/>
      </w:tcPr>
    </w:tblStylePr>
  </w:style>
  <w:style w:type="table" w:styleId="Rutenettabell5mrkuthevingsfarge5">
    <w:name w:val="Grid Table 5 Dark Accent 5"/>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2C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0E2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0E2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0E2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0E24" w:themeFill="accent5"/>
      </w:tcPr>
    </w:tblStylePr>
    <w:tblStylePr w:type="band1Vert">
      <w:tblPr/>
      <w:tcPr>
        <w:shd w:val="clear" w:color="auto" w:fill="F48594" w:themeFill="accent5" w:themeFillTint="66"/>
      </w:tcPr>
    </w:tblStylePr>
    <w:tblStylePr w:type="band1Horz">
      <w:tblPr/>
      <w:tcPr>
        <w:shd w:val="clear" w:color="auto" w:fill="F48594" w:themeFill="accent5" w:themeFillTint="66"/>
      </w:tcPr>
    </w:tblStylePr>
  </w:style>
  <w:style w:type="table" w:styleId="Rutenettabell5mrkuthevingsfarge6">
    <w:name w:val="Grid Table 5 Dark Accent 6"/>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B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8C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8C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8C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8C5C" w:themeFill="accent6"/>
      </w:tcPr>
    </w:tblStylePr>
    <w:tblStylePr w:type="band1Vert">
      <w:tblPr/>
      <w:tcPr>
        <w:shd w:val="clear" w:color="auto" w:fill="AFD7BB" w:themeFill="accent6" w:themeFillTint="66"/>
      </w:tcPr>
    </w:tblStylePr>
    <w:tblStylePr w:type="band1Horz">
      <w:tblPr/>
      <w:tcPr>
        <w:shd w:val="clear" w:color="auto" w:fill="AFD7BB" w:themeFill="accent6" w:themeFillTint="66"/>
      </w:tcPr>
    </w:tblStylePr>
  </w:style>
  <w:style w:type="table" w:styleId="Rutenettabell6fargerik">
    <w:name w:val="Grid Table 6 Colorful"/>
    <w:basedOn w:val="Vanligtabell"/>
    <w:uiPriority w:val="51"/>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rPr>
      <w:tblPr/>
      <w:tcPr>
        <w:tcBorders>
          <w:bottom w:val="single" w:sz="12" w:space="0" w:color="767676" w:themeColor="text1" w:themeTint="99"/>
        </w:tcBorders>
      </w:tcPr>
    </w:tblStylePr>
    <w:tblStylePr w:type="lastRow">
      <w:rPr>
        <w:b/>
        <w:bCs/>
      </w:rPr>
      <w:tblPr/>
      <w:tcPr>
        <w:tcBorders>
          <w:top w:val="double" w:sz="4" w:space="0" w:color="767676" w:themeColor="text1" w:themeTint="99"/>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Rutenettabell6fargerikuthevingsfarge1">
    <w:name w:val="Grid Table 6 Colorful Accent 1"/>
    <w:basedOn w:val="Vanligtabell"/>
    <w:uiPriority w:val="51"/>
    <w:rsid w:val="00C9172B"/>
    <w:pPr>
      <w:spacing w:line="240" w:lineRule="auto"/>
    </w:pPr>
    <w:rPr>
      <w:color w:val="102344" w:themeColor="accent1" w:themeShade="BF"/>
    </w:r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rPr>
      <w:tblPr/>
      <w:tcPr>
        <w:tcBorders>
          <w:bottom w:val="single" w:sz="12" w:space="0" w:color="3F73D1" w:themeColor="accent1" w:themeTint="99"/>
        </w:tcBorders>
      </w:tcPr>
    </w:tblStylePr>
    <w:tblStylePr w:type="lastRow">
      <w:rPr>
        <w:b/>
        <w:bCs/>
      </w:rPr>
      <w:tblPr/>
      <w:tcPr>
        <w:tcBorders>
          <w:top w:val="double" w:sz="4" w:space="0" w:color="3F73D1" w:themeColor="accent1" w:themeTint="99"/>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Rutenettabell6fargerikuthevingsfarge2">
    <w:name w:val="Grid Table 6 Colorful Accent 2"/>
    <w:basedOn w:val="Vanligtabell"/>
    <w:uiPriority w:val="51"/>
    <w:rsid w:val="00C9172B"/>
    <w:pPr>
      <w:spacing w:line="240" w:lineRule="auto"/>
    </w:pPr>
    <w:rPr>
      <w:color w:val="285583" w:themeColor="accent2" w:themeShade="BF"/>
    </w:r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rPr>
      <w:tblPr/>
      <w:tcPr>
        <w:tcBorders>
          <w:bottom w:val="single" w:sz="12" w:space="0" w:color="7EAAD7" w:themeColor="accent2" w:themeTint="99"/>
        </w:tcBorders>
      </w:tcPr>
    </w:tblStylePr>
    <w:tblStylePr w:type="lastRow">
      <w:rPr>
        <w:b/>
        <w:bCs/>
      </w:rPr>
      <w:tblPr/>
      <w:tcPr>
        <w:tcBorders>
          <w:top w:val="double" w:sz="4" w:space="0" w:color="7EAAD7" w:themeColor="accent2" w:themeTint="99"/>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Rutenettabell6fargerikuthevingsfarge3">
    <w:name w:val="Grid Table 6 Colorful Accent 3"/>
    <w:basedOn w:val="Vanligtabell"/>
    <w:uiPriority w:val="51"/>
    <w:rsid w:val="00C9172B"/>
    <w:pPr>
      <w:spacing w:line="240" w:lineRule="auto"/>
    </w:pPr>
    <w:rPr>
      <w:color w:val="1A7B82" w:themeColor="accent3" w:themeShade="BF"/>
    </w:r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rPr>
      <w:tblPr/>
      <w:tcPr>
        <w:tcBorders>
          <w:bottom w:val="single" w:sz="12" w:space="0" w:color="69D8E1" w:themeColor="accent3" w:themeTint="99"/>
        </w:tcBorders>
      </w:tcPr>
    </w:tblStylePr>
    <w:tblStylePr w:type="lastRow">
      <w:rPr>
        <w:b/>
        <w:bCs/>
      </w:rPr>
      <w:tblPr/>
      <w:tcPr>
        <w:tcBorders>
          <w:top w:val="double" w:sz="4" w:space="0" w:color="69D8E1" w:themeColor="accent3" w:themeTint="99"/>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Rutenettabell6fargerikuthevingsfarge4">
    <w:name w:val="Grid Table 6 Colorful Accent 4"/>
    <w:basedOn w:val="Vanligtabell"/>
    <w:uiPriority w:val="51"/>
    <w:rsid w:val="00C9172B"/>
    <w:pPr>
      <w:spacing w:line="240" w:lineRule="auto"/>
    </w:pPr>
    <w:rPr>
      <w:color w:val="E36C0A" w:themeColor="accent4" w:themeShade="BF"/>
    </w:r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rPr>
      <w:tblPr/>
      <w:tcPr>
        <w:tcBorders>
          <w:bottom w:val="single" w:sz="12" w:space="0" w:color="FABF8F" w:themeColor="accent4" w:themeTint="99"/>
        </w:tcBorders>
      </w:tcPr>
    </w:tblStylePr>
    <w:tblStylePr w:type="lastRow">
      <w:rPr>
        <w:b/>
        <w:bCs/>
      </w:rPr>
      <w:tblPr/>
      <w:tcPr>
        <w:tcBorders>
          <w:top w:val="double" w:sz="4" w:space="0" w:color="FABF8F" w:themeColor="accent4" w:themeTint="99"/>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Rutenettabell6fargerikuthevingsfarge5">
    <w:name w:val="Grid Table 6 Colorful Accent 5"/>
    <w:basedOn w:val="Vanligtabell"/>
    <w:uiPriority w:val="51"/>
    <w:rsid w:val="00C9172B"/>
    <w:pPr>
      <w:spacing w:line="240" w:lineRule="auto"/>
    </w:pPr>
    <w:rPr>
      <w:color w:val="7C0A1A" w:themeColor="accent5" w:themeShade="BF"/>
    </w:r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rPr>
      <w:tblPr/>
      <w:tcPr>
        <w:tcBorders>
          <w:bottom w:val="single" w:sz="12" w:space="0" w:color="EF485F" w:themeColor="accent5" w:themeTint="99"/>
        </w:tcBorders>
      </w:tcPr>
    </w:tblStylePr>
    <w:tblStylePr w:type="lastRow">
      <w:rPr>
        <w:b/>
        <w:bCs/>
      </w:rPr>
      <w:tblPr/>
      <w:tcPr>
        <w:tcBorders>
          <w:top w:val="double" w:sz="4" w:space="0" w:color="EF485F" w:themeColor="accent5" w:themeTint="99"/>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Rutenettabell6fargerikuthevingsfarge6">
    <w:name w:val="Grid Table 6 Colorful Accent 6"/>
    <w:basedOn w:val="Vanligtabell"/>
    <w:uiPriority w:val="51"/>
    <w:rsid w:val="00C9172B"/>
    <w:pPr>
      <w:spacing w:line="240" w:lineRule="auto"/>
    </w:pPr>
    <w:rPr>
      <w:color w:val="346844" w:themeColor="accent6" w:themeShade="BF"/>
    </w:r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rPr>
      <w:tblPr/>
      <w:tcPr>
        <w:tcBorders>
          <w:bottom w:val="single" w:sz="12" w:space="0" w:color="87C399" w:themeColor="accent6" w:themeTint="99"/>
        </w:tcBorders>
      </w:tcPr>
    </w:tblStylePr>
    <w:tblStylePr w:type="lastRow">
      <w:rPr>
        <w:b/>
        <w:bCs/>
      </w:rPr>
      <w:tblPr/>
      <w:tcPr>
        <w:tcBorders>
          <w:top w:val="double" w:sz="4" w:space="0" w:color="87C399" w:themeColor="accent6" w:themeTint="99"/>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Rutenettabell7fargerik">
    <w:name w:val="Grid Table 7 Colorful"/>
    <w:basedOn w:val="Vanligtabell"/>
    <w:uiPriority w:val="52"/>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1D1" w:themeFill="text1" w:themeFillTint="33"/>
      </w:tcPr>
    </w:tblStylePr>
    <w:tblStylePr w:type="band1Horz">
      <w:tblPr/>
      <w:tcPr>
        <w:shd w:val="clear" w:color="auto" w:fill="D1D1D1" w:themeFill="text1" w:themeFillTint="33"/>
      </w:tcPr>
    </w:tblStylePr>
    <w:tblStylePr w:type="neCell">
      <w:tblPr/>
      <w:tcPr>
        <w:tcBorders>
          <w:bottom w:val="single" w:sz="4" w:space="0" w:color="767676" w:themeColor="text1" w:themeTint="99"/>
        </w:tcBorders>
      </w:tcPr>
    </w:tblStylePr>
    <w:tblStylePr w:type="nwCell">
      <w:tblPr/>
      <w:tcPr>
        <w:tcBorders>
          <w:bottom w:val="single" w:sz="4" w:space="0" w:color="767676" w:themeColor="text1" w:themeTint="99"/>
        </w:tcBorders>
      </w:tcPr>
    </w:tblStylePr>
    <w:tblStylePr w:type="seCell">
      <w:tblPr/>
      <w:tcPr>
        <w:tcBorders>
          <w:top w:val="single" w:sz="4" w:space="0" w:color="767676" w:themeColor="text1" w:themeTint="99"/>
        </w:tcBorders>
      </w:tcPr>
    </w:tblStylePr>
    <w:tblStylePr w:type="swCell">
      <w:tblPr/>
      <w:tcPr>
        <w:tcBorders>
          <w:top w:val="single" w:sz="4" w:space="0" w:color="767676" w:themeColor="text1" w:themeTint="99"/>
        </w:tcBorders>
      </w:tcPr>
    </w:tblStylePr>
  </w:style>
  <w:style w:type="table" w:styleId="Rutenettabell7fargerikuthevingsfarge1">
    <w:name w:val="Grid Table 7 Colorful Accent 1"/>
    <w:basedOn w:val="Vanligtabell"/>
    <w:uiPriority w:val="52"/>
    <w:rsid w:val="00C9172B"/>
    <w:pPr>
      <w:spacing w:line="240" w:lineRule="auto"/>
    </w:pPr>
    <w:rPr>
      <w:color w:val="102344" w:themeColor="accent1" w:themeShade="BF"/>
    </w:r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0EF" w:themeFill="accent1" w:themeFillTint="33"/>
      </w:tcPr>
    </w:tblStylePr>
    <w:tblStylePr w:type="band1Horz">
      <w:tblPr/>
      <w:tcPr>
        <w:shd w:val="clear" w:color="auto" w:fill="BED0EF" w:themeFill="accent1" w:themeFillTint="33"/>
      </w:tcPr>
    </w:tblStylePr>
    <w:tblStylePr w:type="neCell">
      <w:tblPr/>
      <w:tcPr>
        <w:tcBorders>
          <w:bottom w:val="single" w:sz="4" w:space="0" w:color="3F73D1" w:themeColor="accent1" w:themeTint="99"/>
        </w:tcBorders>
      </w:tcPr>
    </w:tblStylePr>
    <w:tblStylePr w:type="nwCell">
      <w:tblPr/>
      <w:tcPr>
        <w:tcBorders>
          <w:bottom w:val="single" w:sz="4" w:space="0" w:color="3F73D1" w:themeColor="accent1" w:themeTint="99"/>
        </w:tcBorders>
      </w:tcPr>
    </w:tblStylePr>
    <w:tblStylePr w:type="seCell">
      <w:tblPr/>
      <w:tcPr>
        <w:tcBorders>
          <w:top w:val="single" w:sz="4" w:space="0" w:color="3F73D1" w:themeColor="accent1" w:themeTint="99"/>
        </w:tcBorders>
      </w:tcPr>
    </w:tblStylePr>
    <w:tblStylePr w:type="swCell">
      <w:tblPr/>
      <w:tcPr>
        <w:tcBorders>
          <w:top w:val="single" w:sz="4" w:space="0" w:color="3F73D1" w:themeColor="accent1" w:themeTint="99"/>
        </w:tcBorders>
      </w:tcPr>
    </w:tblStylePr>
  </w:style>
  <w:style w:type="table" w:styleId="Rutenettabell7fargerikuthevingsfarge2">
    <w:name w:val="Grid Table 7 Colorful Accent 2"/>
    <w:basedOn w:val="Vanligtabell"/>
    <w:uiPriority w:val="52"/>
    <w:rsid w:val="00C9172B"/>
    <w:pPr>
      <w:spacing w:line="240" w:lineRule="auto"/>
    </w:pPr>
    <w:rPr>
      <w:color w:val="285583" w:themeColor="accent2" w:themeShade="BF"/>
    </w:r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2F2" w:themeFill="accent2" w:themeFillTint="33"/>
      </w:tcPr>
    </w:tblStylePr>
    <w:tblStylePr w:type="band1Horz">
      <w:tblPr/>
      <w:tcPr>
        <w:shd w:val="clear" w:color="auto" w:fill="D4E2F2" w:themeFill="accent2" w:themeFillTint="33"/>
      </w:tcPr>
    </w:tblStylePr>
    <w:tblStylePr w:type="neCell">
      <w:tblPr/>
      <w:tcPr>
        <w:tcBorders>
          <w:bottom w:val="single" w:sz="4" w:space="0" w:color="7EAAD7" w:themeColor="accent2" w:themeTint="99"/>
        </w:tcBorders>
      </w:tcPr>
    </w:tblStylePr>
    <w:tblStylePr w:type="nwCell">
      <w:tblPr/>
      <w:tcPr>
        <w:tcBorders>
          <w:bottom w:val="single" w:sz="4" w:space="0" w:color="7EAAD7" w:themeColor="accent2" w:themeTint="99"/>
        </w:tcBorders>
      </w:tcPr>
    </w:tblStylePr>
    <w:tblStylePr w:type="seCell">
      <w:tblPr/>
      <w:tcPr>
        <w:tcBorders>
          <w:top w:val="single" w:sz="4" w:space="0" w:color="7EAAD7" w:themeColor="accent2" w:themeTint="99"/>
        </w:tcBorders>
      </w:tcPr>
    </w:tblStylePr>
    <w:tblStylePr w:type="swCell">
      <w:tblPr/>
      <w:tcPr>
        <w:tcBorders>
          <w:top w:val="single" w:sz="4" w:space="0" w:color="7EAAD7" w:themeColor="accent2" w:themeTint="99"/>
        </w:tcBorders>
      </w:tcPr>
    </w:tblStylePr>
  </w:style>
  <w:style w:type="table" w:styleId="Rutenettabell7fargerikuthevingsfarge3">
    <w:name w:val="Grid Table 7 Colorful Accent 3"/>
    <w:basedOn w:val="Vanligtabell"/>
    <w:uiPriority w:val="52"/>
    <w:rsid w:val="00C9172B"/>
    <w:pPr>
      <w:spacing w:line="240" w:lineRule="auto"/>
    </w:pPr>
    <w:rPr>
      <w:color w:val="1A7B82" w:themeColor="accent3" w:themeShade="BF"/>
    </w:r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2F5" w:themeFill="accent3" w:themeFillTint="33"/>
      </w:tcPr>
    </w:tblStylePr>
    <w:tblStylePr w:type="band1Horz">
      <w:tblPr/>
      <w:tcPr>
        <w:shd w:val="clear" w:color="auto" w:fill="CDF2F5" w:themeFill="accent3" w:themeFillTint="33"/>
      </w:tcPr>
    </w:tblStylePr>
    <w:tblStylePr w:type="neCell">
      <w:tblPr/>
      <w:tcPr>
        <w:tcBorders>
          <w:bottom w:val="single" w:sz="4" w:space="0" w:color="69D8E1" w:themeColor="accent3" w:themeTint="99"/>
        </w:tcBorders>
      </w:tcPr>
    </w:tblStylePr>
    <w:tblStylePr w:type="nwCell">
      <w:tblPr/>
      <w:tcPr>
        <w:tcBorders>
          <w:bottom w:val="single" w:sz="4" w:space="0" w:color="69D8E1" w:themeColor="accent3" w:themeTint="99"/>
        </w:tcBorders>
      </w:tcPr>
    </w:tblStylePr>
    <w:tblStylePr w:type="seCell">
      <w:tblPr/>
      <w:tcPr>
        <w:tcBorders>
          <w:top w:val="single" w:sz="4" w:space="0" w:color="69D8E1" w:themeColor="accent3" w:themeTint="99"/>
        </w:tcBorders>
      </w:tcPr>
    </w:tblStylePr>
    <w:tblStylePr w:type="swCell">
      <w:tblPr/>
      <w:tcPr>
        <w:tcBorders>
          <w:top w:val="single" w:sz="4" w:space="0" w:color="69D8E1" w:themeColor="accent3" w:themeTint="99"/>
        </w:tcBorders>
      </w:tcPr>
    </w:tblStylePr>
  </w:style>
  <w:style w:type="table" w:styleId="Rutenettabell7fargerikuthevingsfarge4">
    <w:name w:val="Grid Table 7 Colorful Accent 4"/>
    <w:basedOn w:val="Vanligtabell"/>
    <w:uiPriority w:val="52"/>
    <w:rsid w:val="00C9172B"/>
    <w:pPr>
      <w:spacing w:line="240" w:lineRule="auto"/>
    </w:pPr>
    <w:rPr>
      <w:color w:val="E36C0A" w:themeColor="accent4" w:themeShade="BF"/>
    </w:r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4" w:themeFillTint="33"/>
      </w:tcPr>
    </w:tblStylePr>
    <w:tblStylePr w:type="band1Horz">
      <w:tblPr/>
      <w:tcPr>
        <w:shd w:val="clear" w:color="auto" w:fill="FDE9D9" w:themeFill="accent4" w:themeFillTint="33"/>
      </w:tcPr>
    </w:tblStylePr>
    <w:tblStylePr w:type="neCell">
      <w:tblPr/>
      <w:tcPr>
        <w:tcBorders>
          <w:bottom w:val="single" w:sz="4" w:space="0" w:color="FABF8F" w:themeColor="accent4" w:themeTint="99"/>
        </w:tcBorders>
      </w:tcPr>
    </w:tblStylePr>
    <w:tblStylePr w:type="nwCell">
      <w:tblPr/>
      <w:tcPr>
        <w:tcBorders>
          <w:bottom w:val="single" w:sz="4" w:space="0" w:color="FABF8F" w:themeColor="accent4" w:themeTint="99"/>
        </w:tcBorders>
      </w:tcPr>
    </w:tblStylePr>
    <w:tblStylePr w:type="seCell">
      <w:tblPr/>
      <w:tcPr>
        <w:tcBorders>
          <w:top w:val="single" w:sz="4" w:space="0" w:color="FABF8F" w:themeColor="accent4" w:themeTint="99"/>
        </w:tcBorders>
      </w:tcPr>
    </w:tblStylePr>
    <w:tblStylePr w:type="swCell">
      <w:tblPr/>
      <w:tcPr>
        <w:tcBorders>
          <w:top w:val="single" w:sz="4" w:space="0" w:color="FABF8F" w:themeColor="accent4" w:themeTint="99"/>
        </w:tcBorders>
      </w:tcPr>
    </w:tblStylePr>
  </w:style>
  <w:style w:type="table" w:styleId="Rutenettabell7fargerikuthevingsfarge5">
    <w:name w:val="Grid Table 7 Colorful Accent 5"/>
    <w:basedOn w:val="Vanligtabell"/>
    <w:uiPriority w:val="52"/>
    <w:rsid w:val="00C9172B"/>
    <w:pPr>
      <w:spacing w:line="240" w:lineRule="auto"/>
    </w:pPr>
    <w:rPr>
      <w:color w:val="7C0A1A" w:themeColor="accent5" w:themeShade="BF"/>
    </w:r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2C9" w:themeFill="accent5" w:themeFillTint="33"/>
      </w:tcPr>
    </w:tblStylePr>
    <w:tblStylePr w:type="band1Horz">
      <w:tblPr/>
      <w:tcPr>
        <w:shd w:val="clear" w:color="auto" w:fill="FAC2C9" w:themeFill="accent5" w:themeFillTint="33"/>
      </w:tcPr>
    </w:tblStylePr>
    <w:tblStylePr w:type="neCell">
      <w:tblPr/>
      <w:tcPr>
        <w:tcBorders>
          <w:bottom w:val="single" w:sz="4" w:space="0" w:color="EF485F" w:themeColor="accent5" w:themeTint="99"/>
        </w:tcBorders>
      </w:tcPr>
    </w:tblStylePr>
    <w:tblStylePr w:type="nwCell">
      <w:tblPr/>
      <w:tcPr>
        <w:tcBorders>
          <w:bottom w:val="single" w:sz="4" w:space="0" w:color="EF485F" w:themeColor="accent5" w:themeTint="99"/>
        </w:tcBorders>
      </w:tcPr>
    </w:tblStylePr>
    <w:tblStylePr w:type="seCell">
      <w:tblPr/>
      <w:tcPr>
        <w:tcBorders>
          <w:top w:val="single" w:sz="4" w:space="0" w:color="EF485F" w:themeColor="accent5" w:themeTint="99"/>
        </w:tcBorders>
      </w:tcPr>
    </w:tblStylePr>
    <w:tblStylePr w:type="swCell">
      <w:tblPr/>
      <w:tcPr>
        <w:tcBorders>
          <w:top w:val="single" w:sz="4" w:space="0" w:color="EF485F" w:themeColor="accent5" w:themeTint="99"/>
        </w:tcBorders>
      </w:tcPr>
    </w:tblStylePr>
  </w:style>
  <w:style w:type="table" w:styleId="Rutenettabell7fargerikuthevingsfarge6">
    <w:name w:val="Grid Table 7 Colorful Accent 6"/>
    <w:basedOn w:val="Vanligtabell"/>
    <w:uiPriority w:val="52"/>
    <w:rsid w:val="00C9172B"/>
    <w:pPr>
      <w:spacing w:line="240" w:lineRule="auto"/>
    </w:pPr>
    <w:rPr>
      <w:color w:val="346844" w:themeColor="accent6" w:themeShade="BF"/>
    </w:r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BDD" w:themeFill="accent6" w:themeFillTint="33"/>
      </w:tcPr>
    </w:tblStylePr>
    <w:tblStylePr w:type="band1Horz">
      <w:tblPr/>
      <w:tcPr>
        <w:shd w:val="clear" w:color="auto" w:fill="D7EBDD" w:themeFill="accent6" w:themeFillTint="33"/>
      </w:tcPr>
    </w:tblStylePr>
    <w:tblStylePr w:type="neCell">
      <w:tblPr/>
      <w:tcPr>
        <w:tcBorders>
          <w:bottom w:val="single" w:sz="4" w:space="0" w:color="87C399" w:themeColor="accent6" w:themeTint="99"/>
        </w:tcBorders>
      </w:tcPr>
    </w:tblStylePr>
    <w:tblStylePr w:type="nwCell">
      <w:tblPr/>
      <w:tcPr>
        <w:tcBorders>
          <w:bottom w:val="single" w:sz="4" w:space="0" w:color="87C399" w:themeColor="accent6" w:themeTint="99"/>
        </w:tcBorders>
      </w:tcPr>
    </w:tblStylePr>
    <w:tblStylePr w:type="seCell">
      <w:tblPr/>
      <w:tcPr>
        <w:tcBorders>
          <w:top w:val="single" w:sz="4" w:space="0" w:color="87C399" w:themeColor="accent6" w:themeTint="99"/>
        </w:tcBorders>
      </w:tcPr>
    </w:tblStylePr>
    <w:tblStylePr w:type="swCell">
      <w:tblPr/>
      <w:tcPr>
        <w:tcBorders>
          <w:top w:val="single" w:sz="4" w:space="0" w:color="87C399" w:themeColor="accent6" w:themeTint="99"/>
        </w:tcBorders>
      </w:tcPr>
    </w:tblStylePr>
  </w:style>
  <w:style w:type="character" w:customStyle="1" w:styleId="Hashtag1">
    <w:name w:val="Hashtag1"/>
    <w:basedOn w:val="Standardskriftforavsnitt"/>
    <w:uiPriority w:val="99"/>
    <w:semiHidden/>
    <w:rsid w:val="00C9172B"/>
    <w:rPr>
      <w:color w:val="2B579A"/>
      <w:shd w:val="clear" w:color="auto" w:fill="E6E6E6"/>
    </w:rPr>
  </w:style>
  <w:style w:type="character" w:styleId="HTML-akronym">
    <w:name w:val="HTML Acronym"/>
    <w:basedOn w:val="Standardskriftforavsnitt"/>
    <w:uiPriority w:val="99"/>
    <w:semiHidden/>
    <w:rsid w:val="00C9172B"/>
  </w:style>
  <w:style w:type="paragraph" w:styleId="HTML-adresse">
    <w:name w:val="HTML Address"/>
    <w:basedOn w:val="Normal"/>
    <w:link w:val="HTML-adresseTegn"/>
    <w:uiPriority w:val="99"/>
    <w:semiHidden/>
    <w:rsid w:val="00C9172B"/>
    <w:pPr>
      <w:spacing w:before="0" w:line="240" w:lineRule="auto"/>
    </w:pPr>
    <w:rPr>
      <w:i/>
      <w:iCs/>
    </w:rPr>
  </w:style>
  <w:style w:type="character" w:customStyle="1" w:styleId="HTML-adresseTegn">
    <w:name w:val="HTML-adresse Tegn"/>
    <w:basedOn w:val="Standardskriftforavsnitt"/>
    <w:link w:val="HTML-adresse"/>
    <w:uiPriority w:val="99"/>
    <w:semiHidden/>
    <w:rsid w:val="00B74780"/>
    <w:rPr>
      <w:i/>
      <w:iCs/>
    </w:rPr>
  </w:style>
  <w:style w:type="character" w:styleId="HTML-sitat">
    <w:name w:val="HTML Cite"/>
    <w:basedOn w:val="Standardskriftforavsnitt"/>
    <w:uiPriority w:val="99"/>
    <w:semiHidden/>
    <w:rsid w:val="00C9172B"/>
    <w:rPr>
      <w:i/>
      <w:iCs/>
    </w:rPr>
  </w:style>
  <w:style w:type="character" w:styleId="HTML-kode">
    <w:name w:val="HTML Code"/>
    <w:basedOn w:val="Standardskriftforavsnitt"/>
    <w:uiPriority w:val="99"/>
    <w:semiHidden/>
    <w:rsid w:val="00C9172B"/>
    <w:rPr>
      <w:rFonts w:ascii="Consolas" w:hAnsi="Consolas"/>
      <w:sz w:val="20"/>
      <w:szCs w:val="20"/>
    </w:rPr>
  </w:style>
  <w:style w:type="character" w:styleId="HTML-definisjon">
    <w:name w:val="HTML Definition"/>
    <w:basedOn w:val="Standardskriftforavsnitt"/>
    <w:uiPriority w:val="99"/>
    <w:semiHidden/>
    <w:rsid w:val="00C9172B"/>
    <w:rPr>
      <w:i/>
      <w:iCs/>
    </w:rPr>
  </w:style>
  <w:style w:type="character" w:styleId="HTML-tastatur">
    <w:name w:val="HTML Keyboard"/>
    <w:basedOn w:val="Standardskriftforavsnitt"/>
    <w:uiPriority w:val="99"/>
    <w:semiHidden/>
    <w:rsid w:val="00C9172B"/>
    <w:rPr>
      <w:rFonts w:ascii="Consolas" w:hAnsi="Consolas"/>
      <w:sz w:val="20"/>
      <w:szCs w:val="20"/>
    </w:rPr>
  </w:style>
  <w:style w:type="paragraph" w:styleId="HTML-forhndsformatert">
    <w:name w:val="HTML Preformatted"/>
    <w:basedOn w:val="Normal"/>
    <w:link w:val="HTML-forhndsformatertTegn"/>
    <w:uiPriority w:val="99"/>
    <w:semiHidden/>
    <w:rsid w:val="00C9172B"/>
    <w:pPr>
      <w:spacing w:before="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74780"/>
    <w:rPr>
      <w:rFonts w:ascii="Consolas" w:hAnsi="Consolas"/>
      <w:sz w:val="20"/>
      <w:szCs w:val="20"/>
    </w:rPr>
  </w:style>
  <w:style w:type="character" w:styleId="HTML-eksempel">
    <w:name w:val="HTML Sample"/>
    <w:basedOn w:val="Standardskriftforavsnitt"/>
    <w:uiPriority w:val="99"/>
    <w:semiHidden/>
    <w:rsid w:val="00C9172B"/>
    <w:rPr>
      <w:rFonts w:ascii="Consolas" w:hAnsi="Consolas"/>
      <w:sz w:val="24"/>
      <w:szCs w:val="24"/>
    </w:rPr>
  </w:style>
  <w:style w:type="character" w:styleId="HTML-skrivemaskin">
    <w:name w:val="HTML Typewriter"/>
    <w:basedOn w:val="Standardskriftforavsnitt"/>
    <w:uiPriority w:val="99"/>
    <w:semiHidden/>
    <w:rsid w:val="00C9172B"/>
    <w:rPr>
      <w:rFonts w:ascii="Consolas" w:hAnsi="Consolas"/>
      <w:sz w:val="20"/>
      <w:szCs w:val="20"/>
    </w:rPr>
  </w:style>
  <w:style w:type="character" w:styleId="HTML-variabel">
    <w:name w:val="HTML Variable"/>
    <w:basedOn w:val="Standardskriftforavsnitt"/>
    <w:uiPriority w:val="99"/>
    <w:semiHidden/>
    <w:rsid w:val="00C9172B"/>
    <w:rPr>
      <w:i/>
      <w:iCs/>
    </w:rPr>
  </w:style>
  <w:style w:type="paragraph" w:styleId="Indeks1">
    <w:name w:val="index 1"/>
    <w:basedOn w:val="Normal"/>
    <w:next w:val="Normal"/>
    <w:autoRedefine/>
    <w:uiPriority w:val="99"/>
    <w:semiHidden/>
    <w:rsid w:val="00C9172B"/>
    <w:pPr>
      <w:spacing w:before="0" w:line="240" w:lineRule="auto"/>
      <w:ind w:left="220" w:hanging="220"/>
    </w:pPr>
  </w:style>
  <w:style w:type="paragraph" w:styleId="Indeks2">
    <w:name w:val="index 2"/>
    <w:basedOn w:val="Normal"/>
    <w:next w:val="Normal"/>
    <w:autoRedefine/>
    <w:uiPriority w:val="99"/>
    <w:semiHidden/>
    <w:rsid w:val="00C9172B"/>
    <w:pPr>
      <w:spacing w:before="0" w:line="240" w:lineRule="auto"/>
      <w:ind w:left="440" w:hanging="220"/>
    </w:pPr>
  </w:style>
  <w:style w:type="paragraph" w:styleId="Indeks3">
    <w:name w:val="index 3"/>
    <w:basedOn w:val="Normal"/>
    <w:next w:val="Normal"/>
    <w:autoRedefine/>
    <w:uiPriority w:val="99"/>
    <w:semiHidden/>
    <w:rsid w:val="00C9172B"/>
    <w:pPr>
      <w:spacing w:before="0" w:line="240" w:lineRule="auto"/>
      <w:ind w:left="660" w:hanging="220"/>
    </w:pPr>
  </w:style>
  <w:style w:type="paragraph" w:styleId="Indeks4">
    <w:name w:val="index 4"/>
    <w:basedOn w:val="Normal"/>
    <w:next w:val="Normal"/>
    <w:autoRedefine/>
    <w:uiPriority w:val="99"/>
    <w:semiHidden/>
    <w:rsid w:val="00C9172B"/>
    <w:pPr>
      <w:spacing w:before="0" w:line="240" w:lineRule="auto"/>
      <w:ind w:left="880" w:hanging="220"/>
    </w:pPr>
  </w:style>
  <w:style w:type="paragraph" w:styleId="Indeks5">
    <w:name w:val="index 5"/>
    <w:basedOn w:val="Normal"/>
    <w:next w:val="Normal"/>
    <w:autoRedefine/>
    <w:uiPriority w:val="99"/>
    <w:semiHidden/>
    <w:rsid w:val="00C9172B"/>
    <w:pPr>
      <w:spacing w:before="0" w:line="240" w:lineRule="auto"/>
      <w:ind w:left="1100" w:hanging="220"/>
    </w:pPr>
  </w:style>
  <w:style w:type="paragraph" w:styleId="Indeks6">
    <w:name w:val="index 6"/>
    <w:basedOn w:val="Normal"/>
    <w:next w:val="Normal"/>
    <w:autoRedefine/>
    <w:uiPriority w:val="99"/>
    <w:semiHidden/>
    <w:rsid w:val="00C9172B"/>
    <w:pPr>
      <w:spacing w:before="0" w:line="240" w:lineRule="auto"/>
      <w:ind w:left="1320" w:hanging="220"/>
    </w:pPr>
  </w:style>
  <w:style w:type="paragraph" w:styleId="Indeks7">
    <w:name w:val="index 7"/>
    <w:basedOn w:val="Normal"/>
    <w:next w:val="Normal"/>
    <w:autoRedefine/>
    <w:uiPriority w:val="99"/>
    <w:semiHidden/>
    <w:rsid w:val="00C9172B"/>
    <w:pPr>
      <w:spacing w:before="0" w:line="240" w:lineRule="auto"/>
      <w:ind w:left="1540" w:hanging="220"/>
    </w:pPr>
  </w:style>
  <w:style w:type="paragraph" w:styleId="Indeks8">
    <w:name w:val="index 8"/>
    <w:basedOn w:val="Normal"/>
    <w:next w:val="Normal"/>
    <w:autoRedefine/>
    <w:uiPriority w:val="99"/>
    <w:semiHidden/>
    <w:rsid w:val="00C9172B"/>
    <w:pPr>
      <w:spacing w:before="0" w:line="240" w:lineRule="auto"/>
      <w:ind w:left="1760" w:hanging="220"/>
    </w:pPr>
  </w:style>
  <w:style w:type="paragraph" w:styleId="Indeks9">
    <w:name w:val="index 9"/>
    <w:basedOn w:val="Normal"/>
    <w:next w:val="Normal"/>
    <w:autoRedefine/>
    <w:uiPriority w:val="99"/>
    <w:semiHidden/>
    <w:rsid w:val="00C9172B"/>
    <w:pPr>
      <w:spacing w:before="0" w:line="240" w:lineRule="auto"/>
      <w:ind w:left="1980" w:hanging="220"/>
    </w:pPr>
  </w:style>
  <w:style w:type="paragraph" w:styleId="Stikkordregisteroverskrift">
    <w:name w:val="index heading"/>
    <w:basedOn w:val="Normal"/>
    <w:next w:val="Indeks1"/>
    <w:uiPriority w:val="99"/>
    <w:semiHidden/>
    <w:rsid w:val="00C9172B"/>
    <w:rPr>
      <w:rFonts w:asciiTheme="majorHAnsi" w:eastAsiaTheme="majorEastAsia" w:hAnsiTheme="majorHAnsi" w:cstheme="majorBidi"/>
      <w:b/>
      <w:bCs/>
    </w:rPr>
  </w:style>
  <w:style w:type="character" w:styleId="Sterkutheving">
    <w:name w:val="Intense Emphasis"/>
    <w:basedOn w:val="Standardskriftforavsnitt"/>
    <w:uiPriority w:val="39"/>
    <w:semiHidden/>
    <w:qFormat/>
    <w:rsid w:val="00C9172B"/>
    <w:rPr>
      <w:i/>
      <w:iCs/>
      <w:color w:val="162F5C" w:themeColor="accent1"/>
    </w:rPr>
  </w:style>
  <w:style w:type="paragraph" w:styleId="Sterktsitat">
    <w:name w:val="Intense Quote"/>
    <w:basedOn w:val="Normal"/>
    <w:next w:val="Normal"/>
    <w:link w:val="SterktsitatTegn"/>
    <w:uiPriority w:val="39"/>
    <w:semiHidden/>
    <w:qFormat/>
    <w:rsid w:val="00C9172B"/>
    <w:pPr>
      <w:pBdr>
        <w:top w:val="single" w:sz="4" w:space="10" w:color="162F5C" w:themeColor="accent1"/>
        <w:bottom w:val="single" w:sz="4" w:space="10" w:color="162F5C" w:themeColor="accent1"/>
      </w:pBdr>
      <w:spacing w:before="360" w:after="360"/>
      <w:ind w:left="864" w:right="864"/>
      <w:jc w:val="center"/>
    </w:pPr>
    <w:rPr>
      <w:i/>
      <w:iCs/>
      <w:color w:val="162F5C" w:themeColor="accent1"/>
    </w:rPr>
  </w:style>
  <w:style w:type="character" w:customStyle="1" w:styleId="SterktsitatTegn">
    <w:name w:val="Sterkt sitat Tegn"/>
    <w:basedOn w:val="Standardskriftforavsnitt"/>
    <w:link w:val="Sterktsitat"/>
    <w:uiPriority w:val="39"/>
    <w:semiHidden/>
    <w:rsid w:val="00C9172B"/>
    <w:rPr>
      <w:i/>
      <w:iCs/>
      <w:color w:val="162F5C" w:themeColor="accent1"/>
      <w:lang w:val="nb-NO"/>
    </w:rPr>
  </w:style>
  <w:style w:type="character" w:styleId="Sterkreferanse">
    <w:name w:val="Intense Reference"/>
    <w:basedOn w:val="Standardskriftforavsnitt"/>
    <w:uiPriority w:val="39"/>
    <w:semiHidden/>
    <w:qFormat/>
    <w:rsid w:val="00C9172B"/>
    <w:rPr>
      <w:b/>
      <w:bCs/>
      <w:smallCaps/>
      <w:color w:val="162F5C" w:themeColor="accent1"/>
      <w:spacing w:val="5"/>
    </w:rPr>
  </w:style>
  <w:style w:type="table" w:styleId="Lystrutenett">
    <w:name w:val="Light Grid"/>
    <w:basedOn w:val="Vanligtabell"/>
    <w:uiPriority w:val="62"/>
    <w:semiHidden/>
    <w:unhideWhenUsed/>
    <w:rsid w:val="00C9172B"/>
    <w:pPr>
      <w:spacing w:before="0" w:line="240" w:lineRule="auto"/>
    </w:p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table" w:styleId="Lystrutenettuthevingsfarge1">
    <w:name w:val="Light Grid Accent 1"/>
    <w:basedOn w:val="Vanligtabell"/>
    <w:uiPriority w:val="62"/>
    <w:semiHidden/>
    <w:unhideWhenUsed/>
    <w:rsid w:val="00C9172B"/>
    <w:pPr>
      <w:spacing w:before="0" w:line="240" w:lineRule="auto"/>
    </w:p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insideH w:val="single" w:sz="8" w:space="0" w:color="162F5C" w:themeColor="accent1"/>
        <w:insideV w:val="single" w:sz="8" w:space="0" w:color="162F5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2F5C" w:themeColor="accent1"/>
          <w:left w:val="single" w:sz="8" w:space="0" w:color="162F5C" w:themeColor="accent1"/>
          <w:bottom w:val="single" w:sz="18" w:space="0" w:color="162F5C" w:themeColor="accent1"/>
          <w:right w:val="single" w:sz="8" w:space="0" w:color="162F5C" w:themeColor="accent1"/>
          <w:insideH w:val="nil"/>
          <w:insideV w:val="single" w:sz="8" w:space="0" w:color="162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2F5C" w:themeColor="accent1"/>
          <w:left w:val="single" w:sz="8" w:space="0" w:color="162F5C" w:themeColor="accent1"/>
          <w:bottom w:val="single" w:sz="8" w:space="0" w:color="162F5C" w:themeColor="accent1"/>
          <w:right w:val="single" w:sz="8" w:space="0" w:color="162F5C" w:themeColor="accent1"/>
          <w:insideH w:val="nil"/>
          <w:insideV w:val="single" w:sz="8" w:space="0" w:color="162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tcPr>
    </w:tblStylePr>
    <w:tblStylePr w:type="band1Vert">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shd w:val="clear" w:color="auto" w:fill="AFC5EC" w:themeFill="accent1" w:themeFillTint="3F"/>
      </w:tcPr>
    </w:tblStylePr>
    <w:tblStylePr w:type="band1Horz">
      <w:tblPr/>
      <w:tcPr>
        <w:tcBorders>
          <w:top w:val="single" w:sz="8" w:space="0" w:color="162F5C" w:themeColor="accent1"/>
          <w:left w:val="single" w:sz="8" w:space="0" w:color="162F5C" w:themeColor="accent1"/>
          <w:bottom w:val="single" w:sz="8" w:space="0" w:color="162F5C" w:themeColor="accent1"/>
          <w:right w:val="single" w:sz="8" w:space="0" w:color="162F5C" w:themeColor="accent1"/>
          <w:insideV w:val="single" w:sz="8" w:space="0" w:color="162F5C" w:themeColor="accent1"/>
        </w:tcBorders>
        <w:shd w:val="clear" w:color="auto" w:fill="AFC5EC" w:themeFill="accent1" w:themeFillTint="3F"/>
      </w:tcPr>
    </w:tblStylePr>
    <w:tblStylePr w:type="band2Horz">
      <w:tblPr/>
      <w:tcPr>
        <w:tcBorders>
          <w:top w:val="single" w:sz="8" w:space="0" w:color="162F5C" w:themeColor="accent1"/>
          <w:left w:val="single" w:sz="8" w:space="0" w:color="162F5C" w:themeColor="accent1"/>
          <w:bottom w:val="single" w:sz="8" w:space="0" w:color="162F5C" w:themeColor="accent1"/>
          <w:right w:val="single" w:sz="8" w:space="0" w:color="162F5C" w:themeColor="accent1"/>
          <w:insideV w:val="single" w:sz="8" w:space="0" w:color="162F5C" w:themeColor="accent1"/>
        </w:tcBorders>
      </w:tcPr>
    </w:tblStylePr>
  </w:style>
  <w:style w:type="table" w:styleId="Lystrutenettuthevingsfarge2">
    <w:name w:val="Light Grid Accent 2"/>
    <w:basedOn w:val="Vanligtabell"/>
    <w:uiPriority w:val="62"/>
    <w:semiHidden/>
    <w:unhideWhenUsed/>
    <w:rsid w:val="00C9172B"/>
    <w:pPr>
      <w:spacing w:before="0" w:line="240" w:lineRule="auto"/>
    </w:p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insideH w:val="single" w:sz="8" w:space="0" w:color="3672B0" w:themeColor="accent2"/>
        <w:insideV w:val="single" w:sz="8" w:space="0" w:color="3672B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72B0" w:themeColor="accent2"/>
          <w:left w:val="single" w:sz="8" w:space="0" w:color="3672B0" w:themeColor="accent2"/>
          <w:bottom w:val="single" w:sz="18" w:space="0" w:color="3672B0" w:themeColor="accent2"/>
          <w:right w:val="single" w:sz="8" w:space="0" w:color="3672B0" w:themeColor="accent2"/>
          <w:insideH w:val="nil"/>
          <w:insideV w:val="single" w:sz="8" w:space="0" w:color="3672B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72B0" w:themeColor="accent2"/>
          <w:left w:val="single" w:sz="8" w:space="0" w:color="3672B0" w:themeColor="accent2"/>
          <w:bottom w:val="single" w:sz="8" w:space="0" w:color="3672B0" w:themeColor="accent2"/>
          <w:right w:val="single" w:sz="8" w:space="0" w:color="3672B0" w:themeColor="accent2"/>
          <w:insideH w:val="nil"/>
          <w:insideV w:val="single" w:sz="8" w:space="0" w:color="3672B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tcPr>
    </w:tblStylePr>
    <w:tblStylePr w:type="band1Vert">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shd w:val="clear" w:color="auto" w:fill="C9DBEE" w:themeFill="accent2" w:themeFillTint="3F"/>
      </w:tcPr>
    </w:tblStylePr>
    <w:tblStylePr w:type="band1Horz">
      <w:tblPr/>
      <w:tcPr>
        <w:tcBorders>
          <w:top w:val="single" w:sz="8" w:space="0" w:color="3672B0" w:themeColor="accent2"/>
          <w:left w:val="single" w:sz="8" w:space="0" w:color="3672B0" w:themeColor="accent2"/>
          <w:bottom w:val="single" w:sz="8" w:space="0" w:color="3672B0" w:themeColor="accent2"/>
          <w:right w:val="single" w:sz="8" w:space="0" w:color="3672B0" w:themeColor="accent2"/>
          <w:insideV w:val="single" w:sz="8" w:space="0" w:color="3672B0" w:themeColor="accent2"/>
        </w:tcBorders>
        <w:shd w:val="clear" w:color="auto" w:fill="C9DBEE" w:themeFill="accent2" w:themeFillTint="3F"/>
      </w:tcPr>
    </w:tblStylePr>
    <w:tblStylePr w:type="band2Horz">
      <w:tblPr/>
      <w:tcPr>
        <w:tcBorders>
          <w:top w:val="single" w:sz="8" w:space="0" w:color="3672B0" w:themeColor="accent2"/>
          <w:left w:val="single" w:sz="8" w:space="0" w:color="3672B0" w:themeColor="accent2"/>
          <w:bottom w:val="single" w:sz="8" w:space="0" w:color="3672B0" w:themeColor="accent2"/>
          <w:right w:val="single" w:sz="8" w:space="0" w:color="3672B0" w:themeColor="accent2"/>
          <w:insideV w:val="single" w:sz="8" w:space="0" w:color="3672B0" w:themeColor="accent2"/>
        </w:tcBorders>
      </w:tcPr>
    </w:tblStylePr>
  </w:style>
  <w:style w:type="table" w:styleId="Lystrutenettuthevingsfarge3">
    <w:name w:val="Light Grid Accent 3"/>
    <w:basedOn w:val="Vanligtabell"/>
    <w:uiPriority w:val="62"/>
    <w:semiHidden/>
    <w:unhideWhenUsed/>
    <w:rsid w:val="00C9172B"/>
    <w:pPr>
      <w:spacing w:before="0" w:line="240" w:lineRule="auto"/>
    </w:p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insideH w:val="single" w:sz="8" w:space="0" w:color="23A5AF" w:themeColor="accent3"/>
        <w:insideV w:val="single" w:sz="8" w:space="0" w:color="23A5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A5AF" w:themeColor="accent3"/>
          <w:left w:val="single" w:sz="8" w:space="0" w:color="23A5AF" w:themeColor="accent3"/>
          <w:bottom w:val="single" w:sz="18" w:space="0" w:color="23A5AF" w:themeColor="accent3"/>
          <w:right w:val="single" w:sz="8" w:space="0" w:color="23A5AF" w:themeColor="accent3"/>
          <w:insideH w:val="nil"/>
          <w:insideV w:val="single" w:sz="8" w:space="0" w:color="23A5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A5AF" w:themeColor="accent3"/>
          <w:left w:val="single" w:sz="8" w:space="0" w:color="23A5AF" w:themeColor="accent3"/>
          <w:bottom w:val="single" w:sz="8" w:space="0" w:color="23A5AF" w:themeColor="accent3"/>
          <w:right w:val="single" w:sz="8" w:space="0" w:color="23A5AF" w:themeColor="accent3"/>
          <w:insideH w:val="nil"/>
          <w:insideV w:val="single" w:sz="8" w:space="0" w:color="23A5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tcPr>
    </w:tblStylePr>
    <w:tblStylePr w:type="band1Vert">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shd w:val="clear" w:color="auto" w:fill="C1EEF2" w:themeFill="accent3" w:themeFillTint="3F"/>
      </w:tcPr>
    </w:tblStylePr>
    <w:tblStylePr w:type="band1Horz">
      <w:tblPr/>
      <w:tcPr>
        <w:tcBorders>
          <w:top w:val="single" w:sz="8" w:space="0" w:color="23A5AF" w:themeColor="accent3"/>
          <w:left w:val="single" w:sz="8" w:space="0" w:color="23A5AF" w:themeColor="accent3"/>
          <w:bottom w:val="single" w:sz="8" w:space="0" w:color="23A5AF" w:themeColor="accent3"/>
          <w:right w:val="single" w:sz="8" w:space="0" w:color="23A5AF" w:themeColor="accent3"/>
          <w:insideV w:val="single" w:sz="8" w:space="0" w:color="23A5AF" w:themeColor="accent3"/>
        </w:tcBorders>
        <w:shd w:val="clear" w:color="auto" w:fill="C1EEF2" w:themeFill="accent3" w:themeFillTint="3F"/>
      </w:tcPr>
    </w:tblStylePr>
    <w:tblStylePr w:type="band2Horz">
      <w:tblPr/>
      <w:tcPr>
        <w:tcBorders>
          <w:top w:val="single" w:sz="8" w:space="0" w:color="23A5AF" w:themeColor="accent3"/>
          <w:left w:val="single" w:sz="8" w:space="0" w:color="23A5AF" w:themeColor="accent3"/>
          <w:bottom w:val="single" w:sz="8" w:space="0" w:color="23A5AF" w:themeColor="accent3"/>
          <w:right w:val="single" w:sz="8" w:space="0" w:color="23A5AF" w:themeColor="accent3"/>
          <w:insideV w:val="single" w:sz="8" w:space="0" w:color="23A5AF" w:themeColor="accent3"/>
        </w:tcBorders>
      </w:tcPr>
    </w:tblStylePr>
  </w:style>
  <w:style w:type="table" w:styleId="Lystrutenettuthevingsfarge4">
    <w:name w:val="Light Grid Accent 4"/>
    <w:basedOn w:val="Vanligtabell"/>
    <w:uiPriority w:val="62"/>
    <w:semiHidden/>
    <w:unhideWhenUsed/>
    <w:rsid w:val="00C9172B"/>
    <w:pPr>
      <w:spacing w:before="0" w:line="240" w:lineRule="auto"/>
    </w:p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insideH w:val="single" w:sz="8" w:space="0" w:color="F79646" w:themeColor="accent4"/>
        <w:insideV w:val="single" w:sz="8" w:space="0" w:color="F7964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4"/>
          <w:left w:val="single" w:sz="8" w:space="0" w:color="F79646" w:themeColor="accent4"/>
          <w:bottom w:val="single" w:sz="18" w:space="0" w:color="F79646" w:themeColor="accent4"/>
          <w:right w:val="single" w:sz="8" w:space="0" w:color="F79646" w:themeColor="accent4"/>
          <w:insideH w:val="nil"/>
          <w:insideV w:val="single" w:sz="8" w:space="0" w:color="F7964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4"/>
          <w:left w:val="single" w:sz="8" w:space="0" w:color="F79646" w:themeColor="accent4"/>
          <w:bottom w:val="single" w:sz="8" w:space="0" w:color="F79646" w:themeColor="accent4"/>
          <w:right w:val="single" w:sz="8" w:space="0" w:color="F79646" w:themeColor="accent4"/>
          <w:insideH w:val="nil"/>
          <w:insideV w:val="single" w:sz="8" w:space="0" w:color="F7964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tcPr>
    </w:tblStylePr>
    <w:tblStylePr w:type="band1Vert">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shd w:val="clear" w:color="auto" w:fill="FDE4D0" w:themeFill="accent4" w:themeFillTint="3F"/>
      </w:tcPr>
    </w:tblStylePr>
    <w:tblStylePr w:type="band1Horz">
      <w:tblPr/>
      <w:tcPr>
        <w:tcBorders>
          <w:top w:val="single" w:sz="8" w:space="0" w:color="F79646" w:themeColor="accent4"/>
          <w:left w:val="single" w:sz="8" w:space="0" w:color="F79646" w:themeColor="accent4"/>
          <w:bottom w:val="single" w:sz="8" w:space="0" w:color="F79646" w:themeColor="accent4"/>
          <w:right w:val="single" w:sz="8" w:space="0" w:color="F79646" w:themeColor="accent4"/>
          <w:insideV w:val="single" w:sz="8" w:space="0" w:color="F79646" w:themeColor="accent4"/>
        </w:tcBorders>
        <w:shd w:val="clear" w:color="auto" w:fill="FDE4D0" w:themeFill="accent4" w:themeFillTint="3F"/>
      </w:tcPr>
    </w:tblStylePr>
    <w:tblStylePr w:type="band2Horz">
      <w:tblPr/>
      <w:tcPr>
        <w:tcBorders>
          <w:top w:val="single" w:sz="8" w:space="0" w:color="F79646" w:themeColor="accent4"/>
          <w:left w:val="single" w:sz="8" w:space="0" w:color="F79646" w:themeColor="accent4"/>
          <w:bottom w:val="single" w:sz="8" w:space="0" w:color="F79646" w:themeColor="accent4"/>
          <w:right w:val="single" w:sz="8" w:space="0" w:color="F79646" w:themeColor="accent4"/>
          <w:insideV w:val="single" w:sz="8" w:space="0" w:color="F79646" w:themeColor="accent4"/>
        </w:tcBorders>
      </w:tcPr>
    </w:tblStylePr>
  </w:style>
  <w:style w:type="table" w:styleId="Lystrutenettuthevingsfarge5">
    <w:name w:val="Light Grid Accent 5"/>
    <w:basedOn w:val="Vanligtabell"/>
    <w:uiPriority w:val="62"/>
    <w:semiHidden/>
    <w:unhideWhenUsed/>
    <w:rsid w:val="00C9172B"/>
    <w:pPr>
      <w:spacing w:before="0" w:line="240" w:lineRule="auto"/>
    </w:p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insideH w:val="single" w:sz="8" w:space="0" w:color="A60E24" w:themeColor="accent5"/>
        <w:insideV w:val="single" w:sz="8" w:space="0" w:color="A60E2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0E24" w:themeColor="accent5"/>
          <w:left w:val="single" w:sz="8" w:space="0" w:color="A60E24" w:themeColor="accent5"/>
          <w:bottom w:val="single" w:sz="18" w:space="0" w:color="A60E24" w:themeColor="accent5"/>
          <w:right w:val="single" w:sz="8" w:space="0" w:color="A60E24" w:themeColor="accent5"/>
          <w:insideH w:val="nil"/>
          <w:insideV w:val="single" w:sz="8" w:space="0" w:color="A60E2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0E24" w:themeColor="accent5"/>
          <w:left w:val="single" w:sz="8" w:space="0" w:color="A60E24" w:themeColor="accent5"/>
          <w:bottom w:val="single" w:sz="8" w:space="0" w:color="A60E24" w:themeColor="accent5"/>
          <w:right w:val="single" w:sz="8" w:space="0" w:color="A60E24" w:themeColor="accent5"/>
          <w:insideH w:val="nil"/>
          <w:insideV w:val="single" w:sz="8" w:space="0" w:color="A60E2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tcPr>
    </w:tblStylePr>
    <w:tblStylePr w:type="band1Vert">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shd w:val="clear" w:color="auto" w:fill="F8B3BD" w:themeFill="accent5" w:themeFillTint="3F"/>
      </w:tcPr>
    </w:tblStylePr>
    <w:tblStylePr w:type="band1Horz">
      <w:tblPr/>
      <w:tcPr>
        <w:tcBorders>
          <w:top w:val="single" w:sz="8" w:space="0" w:color="A60E24" w:themeColor="accent5"/>
          <w:left w:val="single" w:sz="8" w:space="0" w:color="A60E24" w:themeColor="accent5"/>
          <w:bottom w:val="single" w:sz="8" w:space="0" w:color="A60E24" w:themeColor="accent5"/>
          <w:right w:val="single" w:sz="8" w:space="0" w:color="A60E24" w:themeColor="accent5"/>
          <w:insideV w:val="single" w:sz="8" w:space="0" w:color="A60E24" w:themeColor="accent5"/>
        </w:tcBorders>
        <w:shd w:val="clear" w:color="auto" w:fill="F8B3BD" w:themeFill="accent5" w:themeFillTint="3F"/>
      </w:tcPr>
    </w:tblStylePr>
    <w:tblStylePr w:type="band2Horz">
      <w:tblPr/>
      <w:tcPr>
        <w:tcBorders>
          <w:top w:val="single" w:sz="8" w:space="0" w:color="A60E24" w:themeColor="accent5"/>
          <w:left w:val="single" w:sz="8" w:space="0" w:color="A60E24" w:themeColor="accent5"/>
          <w:bottom w:val="single" w:sz="8" w:space="0" w:color="A60E24" w:themeColor="accent5"/>
          <w:right w:val="single" w:sz="8" w:space="0" w:color="A60E24" w:themeColor="accent5"/>
          <w:insideV w:val="single" w:sz="8" w:space="0" w:color="A60E24" w:themeColor="accent5"/>
        </w:tcBorders>
      </w:tcPr>
    </w:tblStylePr>
  </w:style>
  <w:style w:type="table" w:styleId="Lystrutenettuthevingsfarge6">
    <w:name w:val="Light Grid Accent 6"/>
    <w:basedOn w:val="Vanligtabell"/>
    <w:uiPriority w:val="62"/>
    <w:semiHidden/>
    <w:unhideWhenUsed/>
    <w:rsid w:val="00C9172B"/>
    <w:pPr>
      <w:spacing w:before="0" w:line="240" w:lineRule="auto"/>
    </w:p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insideH w:val="single" w:sz="8" w:space="0" w:color="468C5C" w:themeColor="accent6"/>
        <w:insideV w:val="single" w:sz="8" w:space="0" w:color="468C5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8C5C" w:themeColor="accent6"/>
          <w:left w:val="single" w:sz="8" w:space="0" w:color="468C5C" w:themeColor="accent6"/>
          <w:bottom w:val="single" w:sz="18" w:space="0" w:color="468C5C" w:themeColor="accent6"/>
          <w:right w:val="single" w:sz="8" w:space="0" w:color="468C5C" w:themeColor="accent6"/>
          <w:insideH w:val="nil"/>
          <w:insideV w:val="single" w:sz="8" w:space="0" w:color="468C5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8C5C" w:themeColor="accent6"/>
          <w:left w:val="single" w:sz="8" w:space="0" w:color="468C5C" w:themeColor="accent6"/>
          <w:bottom w:val="single" w:sz="8" w:space="0" w:color="468C5C" w:themeColor="accent6"/>
          <w:right w:val="single" w:sz="8" w:space="0" w:color="468C5C" w:themeColor="accent6"/>
          <w:insideH w:val="nil"/>
          <w:insideV w:val="single" w:sz="8" w:space="0" w:color="468C5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tcPr>
    </w:tblStylePr>
    <w:tblStylePr w:type="band1Vert">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shd w:val="clear" w:color="auto" w:fill="CDE6D5" w:themeFill="accent6" w:themeFillTint="3F"/>
      </w:tcPr>
    </w:tblStylePr>
    <w:tblStylePr w:type="band1Horz">
      <w:tblPr/>
      <w:tcPr>
        <w:tcBorders>
          <w:top w:val="single" w:sz="8" w:space="0" w:color="468C5C" w:themeColor="accent6"/>
          <w:left w:val="single" w:sz="8" w:space="0" w:color="468C5C" w:themeColor="accent6"/>
          <w:bottom w:val="single" w:sz="8" w:space="0" w:color="468C5C" w:themeColor="accent6"/>
          <w:right w:val="single" w:sz="8" w:space="0" w:color="468C5C" w:themeColor="accent6"/>
          <w:insideV w:val="single" w:sz="8" w:space="0" w:color="468C5C" w:themeColor="accent6"/>
        </w:tcBorders>
        <w:shd w:val="clear" w:color="auto" w:fill="CDE6D5" w:themeFill="accent6" w:themeFillTint="3F"/>
      </w:tcPr>
    </w:tblStylePr>
    <w:tblStylePr w:type="band2Horz">
      <w:tblPr/>
      <w:tcPr>
        <w:tcBorders>
          <w:top w:val="single" w:sz="8" w:space="0" w:color="468C5C" w:themeColor="accent6"/>
          <w:left w:val="single" w:sz="8" w:space="0" w:color="468C5C" w:themeColor="accent6"/>
          <w:bottom w:val="single" w:sz="8" w:space="0" w:color="468C5C" w:themeColor="accent6"/>
          <w:right w:val="single" w:sz="8" w:space="0" w:color="468C5C" w:themeColor="accent6"/>
          <w:insideV w:val="single" w:sz="8" w:space="0" w:color="468C5C" w:themeColor="accent6"/>
        </w:tcBorders>
      </w:tcPr>
    </w:tblStylePr>
  </w:style>
  <w:style w:type="table" w:styleId="Lysliste">
    <w:name w:val="Light List"/>
    <w:basedOn w:val="Vanligtabell"/>
    <w:uiPriority w:val="61"/>
    <w:semiHidden/>
    <w:unhideWhenUsed/>
    <w:rsid w:val="00C9172B"/>
    <w:pPr>
      <w:spacing w:before="0" w:line="240" w:lineRule="auto"/>
    </w:p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tblBorders>
    </w:tblPr>
    <w:tblStylePr w:type="firstRow">
      <w:pPr>
        <w:spacing w:before="0" w:after="0" w:line="240" w:lineRule="auto"/>
      </w:pPr>
      <w:rPr>
        <w:b/>
        <w:bCs/>
        <w:color w:val="FFFFFF" w:themeColor="background1"/>
      </w:rPr>
      <w:tblPr/>
      <w:tcPr>
        <w:shd w:val="clear" w:color="auto" w:fill="1C1C1C" w:themeFill="text1"/>
      </w:tcPr>
    </w:tblStylePr>
    <w:tblStylePr w:type="lastRow">
      <w:pPr>
        <w:spacing w:before="0" w:after="0" w:line="240" w:lineRule="auto"/>
      </w:pPr>
      <w:rPr>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tcBorders>
      </w:tcPr>
    </w:tblStylePr>
    <w:tblStylePr w:type="firstCol">
      <w:rPr>
        <w:b/>
        <w:bCs/>
      </w:rPr>
    </w:tblStylePr>
    <w:tblStylePr w:type="lastCol">
      <w:rPr>
        <w:b/>
        <w:bCs/>
      </w:r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style>
  <w:style w:type="table" w:styleId="Lyslisteuthevingsfarge1">
    <w:name w:val="Light List Accent 1"/>
    <w:basedOn w:val="Vanligtabell"/>
    <w:uiPriority w:val="61"/>
    <w:semiHidden/>
    <w:unhideWhenUsed/>
    <w:rsid w:val="00C9172B"/>
    <w:pPr>
      <w:spacing w:before="0" w:line="240" w:lineRule="auto"/>
    </w:p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tblBorders>
    </w:tblPr>
    <w:tblStylePr w:type="firstRow">
      <w:pPr>
        <w:spacing w:before="0" w:after="0" w:line="240" w:lineRule="auto"/>
      </w:pPr>
      <w:rPr>
        <w:b/>
        <w:bCs/>
        <w:color w:val="FFFFFF" w:themeColor="background1"/>
      </w:rPr>
      <w:tblPr/>
      <w:tcPr>
        <w:shd w:val="clear" w:color="auto" w:fill="162F5C" w:themeFill="accent1"/>
      </w:tcPr>
    </w:tblStylePr>
    <w:tblStylePr w:type="lastRow">
      <w:pPr>
        <w:spacing w:before="0" w:after="0" w:line="240" w:lineRule="auto"/>
      </w:pPr>
      <w:rPr>
        <w:b/>
        <w:bCs/>
      </w:rPr>
      <w:tblPr/>
      <w:tcPr>
        <w:tcBorders>
          <w:top w:val="double" w:sz="6" w:space="0" w:color="162F5C" w:themeColor="accent1"/>
          <w:left w:val="single" w:sz="8" w:space="0" w:color="162F5C" w:themeColor="accent1"/>
          <w:bottom w:val="single" w:sz="8" w:space="0" w:color="162F5C" w:themeColor="accent1"/>
          <w:right w:val="single" w:sz="8" w:space="0" w:color="162F5C" w:themeColor="accent1"/>
        </w:tcBorders>
      </w:tcPr>
    </w:tblStylePr>
    <w:tblStylePr w:type="firstCol">
      <w:rPr>
        <w:b/>
        <w:bCs/>
      </w:rPr>
    </w:tblStylePr>
    <w:tblStylePr w:type="lastCol">
      <w:rPr>
        <w:b/>
        <w:bCs/>
      </w:rPr>
    </w:tblStylePr>
    <w:tblStylePr w:type="band1Vert">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tcPr>
    </w:tblStylePr>
    <w:tblStylePr w:type="band1Horz">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tcPr>
    </w:tblStylePr>
  </w:style>
  <w:style w:type="table" w:styleId="Lyslisteuthevingsfarge2">
    <w:name w:val="Light List Accent 2"/>
    <w:basedOn w:val="Vanligtabell"/>
    <w:uiPriority w:val="61"/>
    <w:semiHidden/>
    <w:unhideWhenUsed/>
    <w:rsid w:val="00C9172B"/>
    <w:pPr>
      <w:spacing w:before="0" w:line="240" w:lineRule="auto"/>
    </w:p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tblBorders>
    </w:tblPr>
    <w:tblStylePr w:type="firstRow">
      <w:pPr>
        <w:spacing w:before="0" w:after="0" w:line="240" w:lineRule="auto"/>
      </w:pPr>
      <w:rPr>
        <w:b/>
        <w:bCs/>
        <w:color w:val="FFFFFF" w:themeColor="background1"/>
      </w:rPr>
      <w:tblPr/>
      <w:tcPr>
        <w:shd w:val="clear" w:color="auto" w:fill="3672B0" w:themeFill="accent2"/>
      </w:tcPr>
    </w:tblStylePr>
    <w:tblStylePr w:type="lastRow">
      <w:pPr>
        <w:spacing w:before="0" w:after="0" w:line="240" w:lineRule="auto"/>
      </w:pPr>
      <w:rPr>
        <w:b/>
        <w:bCs/>
      </w:rPr>
      <w:tblPr/>
      <w:tcPr>
        <w:tcBorders>
          <w:top w:val="double" w:sz="6" w:space="0" w:color="3672B0" w:themeColor="accent2"/>
          <w:left w:val="single" w:sz="8" w:space="0" w:color="3672B0" w:themeColor="accent2"/>
          <w:bottom w:val="single" w:sz="8" w:space="0" w:color="3672B0" w:themeColor="accent2"/>
          <w:right w:val="single" w:sz="8" w:space="0" w:color="3672B0" w:themeColor="accent2"/>
        </w:tcBorders>
      </w:tcPr>
    </w:tblStylePr>
    <w:tblStylePr w:type="firstCol">
      <w:rPr>
        <w:b/>
        <w:bCs/>
      </w:rPr>
    </w:tblStylePr>
    <w:tblStylePr w:type="lastCol">
      <w:rPr>
        <w:b/>
        <w:bCs/>
      </w:rPr>
    </w:tblStylePr>
    <w:tblStylePr w:type="band1Vert">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tcPr>
    </w:tblStylePr>
    <w:tblStylePr w:type="band1Horz">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tcPr>
    </w:tblStylePr>
  </w:style>
  <w:style w:type="table" w:styleId="Lyslisteuthevingsfarge3">
    <w:name w:val="Light List Accent 3"/>
    <w:basedOn w:val="Vanligtabell"/>
    <w:uiPriority w:val="61"/>
    <w:semiHidden/>
    <w:unhideWhenUsed/>
    <w:rsid w:val="00C9172B"/>
    <w:pPr>
      <w:spacing w:before="0" w:line="240" w:lineRule="auto"/>
    </w:p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tblBorders>
    </w:tblPr>
    <w:tblStylePr w:type="firstRow">
      <w:pPr>
        <w:spacing w:before="0" w:after="0" w:line="240" w:lineRule="auto"/>
      </w:pPr>
      <w:rPr>
        <w:b/>
        <w:bCs/>
        <w:color w:val="FFFFFF" w:themeColor="background1"/>
      </w:rPr>
      <w:tblPr/>
      <w:tcPr>
        <w:shd w:val="clear" w:color="auto" w:fill="23A5AF" w:themeFill="accent3"/>
      </w:tcPr>
    </w:tblStylePr>
    <w:tblStylePr w:type="lastRow">
      <w:pPr>
        <w:spacing w:before="0" w:after="0" w:line="240" w:lineRule="auto"/>
      </w:pPr>
      <w:rPr>
        <w:b/>
        <w:bCs/>
      </w:rPr>
      <w:tblPr/>
      <w:tcPr>
        <w:tcBorders>
          <w:top w:val="double" w:sz="6" w:space="0" w:color="23A5AF" w:themeColor="accent3"/>
          <w:left w:val="single" w:sz="8" w:space="0" w:color="23A5AF" w:themeColor="accent3"/>
          <w:bottom w:val="single" w:sz="8" w:space="0" w:color="23A5AF" w:themeColor="accent3"/>
          <w:right w:val="single" w:sz="8" w:space="0" w:color="23A5AF" w:themeColor="accent3"/>
        </w:tcBorders>
      </w:tcPr>
    </w:tblStylePr>
    <w:tblStylePr w:type="firstCol">
      <w:rPr>
        <w:b/>
        <w:bCs/>
      </w:rPr>
    </w:tblStylePr>
    <w:tblStylePr w:type="lastCol">
      <w:rPr>
        <w:b/>
        <w:bCs/>
      </w:rPr>
    </w:tblStylePr>
    <w:tblStylePr w:type="band1Vert">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tcPr>
    </w:tblStylePr>
    <w:tblStylePr w:type="band1Horz">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tcPr>
    </w:tblStylePr>
  </w:style>
  <w:style w:type="table" w:styleId="Lyslisteuthevingsfarge4">
    <w:name w:val="Light List Accent 4"/>
    <w:basedOn w:val="Vanligtabell"/>
    <w:uiPriority w:val="61"/>
    <w:semiHidden/>
    <w:unhideWhenUsed/>
    <w:rsid w:val="00C9172B"/>
    <w:pPr>
      <w:spacing w:before="0" w:line="240" w:lineRule="auto"/>
    </w:p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tblBorders>
    </w:tblPr>
    <w:tblStylePr w:type="firstRow">
      <w:pPr>
        <w:spacing w:before="0" w:after="0" w:line="240" w:lineRule="auto"/>
      </w:pPr>
      <w:rPr>
        <w:b/>
        <w:bCs/>
        <w:color w:val="FFFFFF" w:themeColor="background1"/>
      </w:rPr>
      <w:tblPr/>
      <w:tcPr>
        <w:shd w:val="clear" w:color="auto" w:fill="F79646" w:themeFill="accent4"/>
      </w:tcPr>
    </w:tblStylePr>
    <w:tblStylePr w:type="lastRow">
      <w:pPr>
        <w:spacing w:before="0" w:after="0" w:line="240" w:lineRule="auto"/>
      </w:pPr>
      <w:rPr>
        <w:b/>
        <w:bCs/>
      </w:rPr>
      <w:tblPr/>
      <w:tcPr>
        <w:tcBorders>
          <w:top w:val="double" w:sz="6" w:space="0" w:color="F79646" w:themeColor="accent4"/>
          <w:left w:val="single" w:sz="8" w:space="0" w:color="F79646" w:themeColor="accent4"/>
          <w:bottom w:val="single" w:sz="8" w:space="0" w:color="F79646" w:themeColor="accent4"/>
          <w:right w:val="single" w:sz="8" w:space="0" w:color="F79646" w:themeColor="accent4"/>
        </w:tcBorders>
      </w:tcPr>
    </w:tblStylePr>
    <w:tblStylePr w:type="firstCol">
      <w:rPr>
        <w:b/>
        <w:bCs/>
      </w:rPr>
    </w:tblStylePr>
    <w:tblStylePr w:type="lastCol">
      <w:rPr>
        <w:b/>
        <w:bCs/>
      </w:rPr>
    </w:tblStylePr>
    <w:tblStylePr w:type="band1Vert">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tcPr>
    </w:tblStylePr>
    <w:tblStylePr w:type="band1Horz">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tcPr>
    </w:tblStylePr>
  </w:style>
  <w:style w:type="table" w:styleId="Lyslisteuthevingsfarge5">
    <w:name w:val="Light List Accent 5"/>
    <w:basedOn w:val="Vanligtabell"/>
    <w:uiPriority w:val="61"/>
    <w:semiHidden/>
    <w:unhideWhenUsed/>
    <w:rsid w:val="00C9172B"/>
    <w:pPr>
      <w:spacing w:before="0" w:line="240" w:lineRule="auto"/>
    </w:p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tblBorders>
    </w:tblPr>
    <w:tblStylePr w:type="firstRow">
      <w:pPr>
        <w:spacing w:before="0" w:after="0" w:line="240" w:lineRule="auto"/>
      </w:pPr>
      <w:rPr>
        <w:b/>
        <w:bCs/>
        <w:color w:val="FFFFFF" w:themeColor="background1"/>
      </w:rPr>
      <w:tblPr/>
      <w:tcPr>
        <w:shd w:val="clear" w:color="auto" w:fill="A60E24" w:themeFill="accent5"/>
      </w:tcPr>
    </w:tblStylePr>
    <w:tblStylePr w:type="lastRow">
      <w:pPr>
        <w:spacing w:before="0" w:after="0" w:line="240" w:lineRule="auto"/>
      </w:pPr>
      <w:rPr>
        <w:b/>
        <w:bCs/>
      </w:rPr>
      <w:tblPr/>
      <w:tcPr>
        <w:tcBorders>
          <w:top w:val="double" w:sz="6" w:space="0" w:color="A60E24" w:themeColor="accent5"/>
          <w:left w:val="single" w:sz="8" w:space="0" w:color="A60E24" w:themeColor="accent5"/>
          <w:bottom w:val="single" w:sz="8" w:space="0" w:color="A60E24" w:themeColor="accent5"/>
          <w:right w:val="single" w:sz="8" w:space="0" w:color="A60E24" w:themeColor="accent5"/>
        </w:tcBorders>
      </w:tcPr>
    </w:tblStylePr>
    <w:tblStylePr w:type="firstCol">
      <w:rPr>
        <w:b/>
        <w:bCs/>
      </w:rPr>
    </w:tblStylePr>
    <w:tblStylePr w:type="lastCol">
      <w:rPr>
        <w:b/>
        <w:bCs/>
      </w:rPr>
    </w:tblStylePr>
    <w:tblStylePr w:type="band1Vert">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tcPr>
    </w:tblStylePr>
    <w:tblStylePr w:type="band1Horz">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tcPr>
    </w:tblStylePr>
  </w:style>
  <w:style w:type="table" w:styleId="Lyslisteuthevingsfarge6">
    <w:name w:val="Light List Accent 6"/>
    <w:basedOn w:val="Vanligtabell"/>
    <w:uiPriority w:val="61"/>
    <w:semiHidden/>
    <w:unhideWhenUsed/>
    <w:rsid w:val="00C9172B"/>
    <w:pPr>
      <w:spacing w:before="0" w:line="240" w:lineRule="auto"/>
    </w:p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tblBorders>
    </w:tblPr>
    <w:tblStylePr w:type="firstRow">
      <w:pPr>
        <w:spacing w:before="0" w:after="0" w:line="240" w:lineRule="auto"/>
      </w:pPr>
      <w:rPr>
        <w:b/>
        <w:bCs/>
        <w:color w:val="FFFFFF" w:themeColor="background1"/>
      </w:rPr>
      <w:tblPr/>
      <w:tcPr>
        <w:shd w:val="clear" w:color="auto" w:fill="468C5C" w:themeFill="accent6"/>
      </w:tcPr>
    </w:tblStylePr>
    <w:tblStylePr w:type="lastRow">
      <w:pPr>
        <w:spacing w:before="0" w:after="0" w:line="240" w:lineRule="auto"/>
      </w:pPr>
      <w:rPr>
        <w:b/>
        <w:bCs/>
      </w:rPr>
      <w:tblPr/>
      <w:tcPr>
        <w:tcBorders>
          <w:top w:val="double" w:sz="6" w:space="0" w:color="468C5C" w:themeColor="accent6"/>
          <w:left w:val="single" w:sz="8" w:space="0" w:color="468C5C" w:themeColor="accent6"/>
          <w:bottom w:val="single" w:sz="8" w:space="0" w:color="468C5C" w:themeColor="accent6"/>
          <w:right w:val="single" w:sz="8" w:space="0" w:color="468C5C" w:themeColor="accent6"/>
        </w:tcBorders>
      </w:tcPr>
    </w:tblStylePr>
    <w:tblStylePr w:type="firstCol">
      <w:rPr>
        <w:b/>
        <w:bCs/>
      </w:rPr>
    </w:tblStylePr>
    <w:tblStylePr w:type="lastCol">
      <w:rPr>
        <w:b/>
        <w:bCs/>
      </w:rPr>
    </w:tblStylePr>
    <w:tblStylePr w:type="band1Vert">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tcPr>
    </w:tblStylePr>
    <w:tblStylePr w:type="band1Horz">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tcPr>
    </w:tblStylePr>
  </w:style>
  <w:style w:type="table" w:styleId="Lysskyggelegging">
    <w:name w:val="Light Shading"/>
    <w:basedOn w:val="Vanligtabell"/>
    <w:uiPriority w:val="60"/>
    <w:semiHidden/>
    <w:unhideWhenUsed/>
    <w:rsid w:val="00C9172B"/>
    <w:pPr>
      <w:spacing w:before="0" w:line="240" w:lineRule="auto"/>
    </w:pPr>
    <w:rPr>
      <w:color w:val="141414" w:themeColor="text1" w:themeShade="BF"/>
    </w:rPr>
    <w:tblPr>
      <w:tblStyleRowBandSize w:val="1"/>
      <w:tblStyleColBandSize w:val="1"/>
      <w:tblBorders>
        <w:top w:val="single" w:sz="8" w:space="0" w:color="1C1C1C" w:themeColor="text1"/>
        <w:bottom w:val="single" w:sz="8" w:space="0" w:color="1C1C1C" w:themeColor="text1"/>
      </w:tblBorders>
    </w:tblPr>
    <w:tblStylePr w:type="firstRow">
      <w:pPr>
        <w:spacing w:before="0" w:after="0" w:line="240" w:lineRule="auto"/>
      </w:pPr>
      <w:rPr>
        <w:b/>
        <w:bCs/>
      </w:rPr>
      <w:tblPr/>
      <w:tcPr>
        <w:tcBorders>
          <w:top w:val="single" w:sz="8" w:space="0" w:color="1C1C1C" w:themeColor="text1"/>
          <w:left w:val="nil"/>
          <w:bottom w:val="single" w:sz="8" w:space="0" w:color="1C1C1C" w:themeColor="text1"/>
          <w:right w:val="nil"/>
          <w:insideH w:val="nil"/>
          <w:insideV w:val="nil"/>
        </w:tcBorders>
      </w:tcPr>
    </w:tblStylePr>
    <w:tblStylePr w:type="lastRow">
      <w:pPr>
        <w:spacing w:before="0" w:after="0" w:line="240" w:lineRule="auto"/>
      </w:pPr>
      <w:rPr>
        <w:b/>
        <w:bCs/>
      </w:rPr>
      <w:tblPr/>
      <w:tcPr>
        <w:tcBorders>
          <w:top w:val="single" w:sz="8" w:space="0" w:color="1C1C1C" w:themeColor="text1"/>
          <w:left w:val="nil"/>
          <w:bottom w:val="single" w:sz="8" w:space="0" w:color="1C1C1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6C6" w:themeFill="text1" w:themeFillTint="3F"/>
      </w:tcPr>
    </w:tblStylePr>
    <w:tblStylePr w:type="band1Horz">
      <w:tblPr/>
      <w:tcPr>
        <w:tcBorders>
          <w:left w:val="nil"/>
          <w:right w:val="nil"/>
          <w:insideH w:val="nil"/>
          <w:insideV w:val="nil"/>
        </w:tcBorders>
        <w:shd w:val="clear" w:color="auto" w:fill="C6C6C6" w:themeFill="text1" w:themeFillTint="3F"/>
      </w:tcPr>
    </w:tblStylePr>
  </w:style>
  <w:style w:type="table" w:styleId="Lysskyggelegginguthevingsfarge1">
    <w:name w:val="Light Shading Accent 1"/>
    <w:basedOn w:val="Vanligtabell"/>
    <w:uiPriority w:val="60"/>
    <w:semiHidden/>
    <w:unhideWhenUsed/>
    <w:rsid w:val="00C9172B"/>
    <w:pPr>
      <w:spacing w:before="0" w:line="240" w:lineRule="auto"/>
    </w:pPr>
    <w:rPr>
      <w:color w:val="102344" w:themeColor="accent1" w:themeShade="BF"/>
    </w:rPr>
    <w:tblPr>
      <w:tblStyleRowBandSize w:val="1"/>
      <w:tblStyleColBandSize w:val="1"/>
      <w:tblBorders>
        <w:top w:val="single" w:sz="8" w:space="0" w:color="162F5C" w:themeColor="accent1"/>
        <w:bottom w:val="single" w:sz="8" w:space="0" w:color="162F5C" w:themeColor="accent1"/>
      </w:tblBorders>
    </w:tblPr>
    <w:tblStylePr w:type="firstRow">
      <w:pPr>
        <w:spacing w:before="0" w:after="0" w:line="240" w:lineRule="auto"/>
      </w:pPr>
      <w:rPr>
        <w:b/>
        <w:bCs/>
      </w:rPr>
      <w:tblPr/>
      <w:tcPr>
        <w:tcBorders>
          <w:top w:val="single" w:sz="8" w:space="0" w:color="162F5C" w:themeColor="accent1"/>
          <w:left w:val="nil"/>
          <w:bottom w:val="single" w:sz="8" w:space="0" w:color="162F5C" w:themeColor="accent1"/>
          <w:right w:val="nil"/>
          <w:insideH w:val="nil"/>
          <w:insideV w:val="nil"/>
        </w:tcBorders>
      </w:tcPr>
    </w:tblStylePr>
    <w:tblStylePr w:type="lastRow">
      <w:pPr>
        <w:spacing w:before="0" w:after="0" w:line="240" w:lineRule="auto"/>
      </w:pPr>
      <w:rPr>
        <w:b/>
        <w:bCs/>
      </w:rPr>
      <w:tblPr/>
      <w:tcPr>
        <w:tcBorders>
          <w:top w:val="single" w:sz="8" w:space="0" w:color="162F5C" w:themeColor="accent1"/>
          <w:left w:val="nil"/>
          <w:bottom w:val="single" w:sz="8" w:space="0" w:color="162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C5EC" w:themeFill="accent1" w:themeFillTint="3F"/>
      </w:tcPr>
    </w:tblStylePr>
    <w:tblStylePr w:type="band1Horz">
      <w:tblPr/>
      <w:tcPr>
        <w:tcBorders>
          <w:left w:val="nil"/>
          <w:right w:val="nil"/>
          <w:insideH w:val="nil"/>
          <w:insideV w:val="nil"/>
        </w:tcBorders>
        <w:shd w:val="clear" w:color="auto" w:fill="AFC5EC" w:themeFill="accent1" w:themeFillTint="3F"/>
      </w:tcPr>
    </w:tblStylePr>
  </w:style>
  <w:style w:type="table" w:styleId="Lysskyggelegginguthevingsfarge2">
    <w:name w:val="Light Shading Accent 2"/>
    <w:basedOn w:val="Vanligtabell"/>
    <w:uiPriority w:val="60"/>
    <w:semiHidden/>
    <w:unhideWhenUsed/>
    <w:rsid w:val="00C9172B"/>
    <w:pPr>
      <w:spacing w:before="0" w:line="240" w:lineRule="auto"/>
    </w:pPr>
    <w:rPr>
      <w:color w:val="285583" w:themeColor="accent2" w:themeShade="BF"/>
    </w:rPr>
    <w:tblPr>
      <w:tblStyleRowBandSize w:val="1"/>
      <w:tblStyleColBandSize w:val="1"/>
      <w:tblBorders>
        <w:top w:val="single" w:sz="8" w:space="0" w:color="3672B0" w:themeColor="accent2"/>
        <w:bottom w:val="single" w:sz="8" w:space="0" w:color="3672B0" w:themeColor="accent2"/>
      </w:tblBorders>
    </w:tblPr>
    <w:tblStylePr w:type="firstRow">
      <w:pPr>
        <w:spacing w:before="0" w:after="0" w:line="240" w:lineRule="auto"/>
      </w:pPr>
      <w:rPr>
        <w:b/>
        <w:bCs/>
      </w:rPr>
      <w:tblPr/>
      <w:tcPr>
        <w:tcBorders>
          <w:top w:val="single" w:sz="8" w:space="0" w:color="3672B0" w:themeColor="accent2"/>
          <w:left w:val="nil"/>
          <w:bottom w:val="single" w:sz="8" w:space="0" w:color="3672B0" w:themeColor="accent2"/>
          <w:right w:val="nil"/>
          <w:insideH w:val="nil"/>
          <w:insideV w:val="nil"/>
        </w:tcBorders>
      </w:tcPr>
    </w:tblStylePr>
    <w:tblStylePr w:type="lastRow">
      <w:pPr>
        <w:spacing w:before="0" w:after="0" w:line="240" w:lineRule="auto"/>
      </w:pPr>
      <w:rPr>
        <w:b/>
        <w:bCs/>
      </w:rPr>
      <w:tblPr/>
      <w:tcPr>
        <w:tcBorders>
          <w:top w:val="single" w:sz="8" w:space="0" w:color="3672B0" w:themeColor="accent2"/>
          <w:left w:val="nil"/>
          <w:bottom w:val="single" w:sz="8" w:space="0" w:color="3672B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E" w:themeFill="accent2" w:themeFillTint="3F"/>
      </w:tcPr>
    </w:tblStylePr>
    <w:tblStylePr w:type="band1Horz">
      <w:tblPr/>
      <w:tcPr>
        <w:tcBorders>
          <w:left w:val="nil"/>
          <w:right w:val="nil"/>
          <w:insideH w:val="nil"/>
          <w:insideV w:val="nil"/>
        </w:tcBorders>
        <w:shd w:val="clear" w:color="auto" w:fill="C9DBEE" w:themeFill="accent2" w:themeFillTint="3F"/>
      </w:tcPr>
    </w:tblStylePr>
  </w:style>
  <w:style w:type="table" w:styleId="Lysskyggelegginguthevingsfarge3">
    <w:name w:val="Light Shading Accent 3"/>
    <w:basedOn w:val="Vanligtabell"/>
    <w:uiPriority w:val="60"/>
    <w:semiHidden/>
    <w:unhideWhenUsed/>
    <w:rsid w:val="00C9172B"/>
    <w:pPr>
      <w:spacing w:before="0" w:line="240" w:lineRule="auto"/>
    </w:pPr>
    <w:rPr>
      <w:color w:val="1A7B82" w:themeColor="accent3" w:themeShade="BF"/>
    </w:rPr>
    <w:tblPr>
      <w:tblStyleRowBandSize w:val="1"/>
      <w:tblStyleColBandSize w:val="1"/>
      <w:tblBorders>
        <w:top w:val="single" w:sz="8" w:space="0" w:color="23A5AF" w:themeColor="accent3"/>
        <w:bottom w:val="single" w:sz="8" w:space="0" w:color="23A5AF" w:themeColor="accent3"/>
      </w:tblBorders>
    </w:tblPr>
    <w:tblStylePr w:type="firstRow">
      <w:pPr>
        <w:spacing w:before="0" w:after="0" w:line="240" w:lineRule="auto"/>
      </w:pPr>
      <w:rPr>
        <w:b/>
        <w:bCs/>
      </w:rPr>
      <w:tblPr/>
      <w:tcPr>
        <w:tcBorders>
          <w:top w:val="single" w:sz="8" w:space="0" w:color="23A5AF" w:themeColor="accent3"/>
          <w:left w:val="nil"/>
          <w:bottom w:val="single" w:sz="8" w:space="0" w:color="23A5AF" w:themeColor="accent3"/>
          <w:right w:val="nil"/>
          <w:insideH w:val="nil"/>
          <w:insideV w:val="nil"/>
        </w:tcBorders>
      </w:tcPr>
    </w:tblStylePr>
    <w:tblStylePr w:type="lastRow">
      <w:pPr>
        <w:spacing w:before="0" w:after="0" w:line="240" w:lineRule="auto"/>
      </w:pPr>
      <w:rPr>
        <w:b/>
        <w:bCs/>
      </w:rPr>
      <w:tblPr/>
      <w:tcPr>
        <w:tcBorders>
          <w:top w:val="single" w:sz="8" w:space="0" w:color="23A5AF" w:themeColor="accent3"/>
          <w:left w:val="nil"/>
          <w:bottom w:val="single" w:sz="8" w:space="0" w:color="23A5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EF2" w:themeFill="accent3" w:themeFillTint="3F"/>
      </w:tcPr>
    </w:tblStylePr>
    <w:tblStylePr w:type="band1Horz">
      <w:tblPr/>
      <w:tcPr>
        <w:tcBorders>
          <w:left w:val="nil"/>
          <w:right w:val="nil"/>
          <w:insideH w:val="nil"/>
          <w:insideV w:val="nil"/>
        </w:tcBorders>
        <w:shd w:val="clear" w:color="auto" w:fill="C1EEF2" w:themeFill="accent3" w:themeFillTint="3F"/>
      </w:tcPr>
    </w:tblStylePr>
  </w:style>
  <w:style w:type="table" w:styleId="Lysskyggelegginguthevingsfarge4">
    <w:name w:val="Light Shading Accent 4"/>
    <w:basedOn w:val="Vanligtabell"/>
    <w:uiPriority w:val="60"/>
    <w:semiHidden/>
    <w:unhideWhenUsed/>
    <w:rsid w:val="00C9172B"/>
    <w:pPr>
      <w:spacing w:before="0" w:line="240" w:lineRule="auto"/>
    </w:pPr>
    <w:rPr>
      <w:color w:val="E36C0A" w:themeColor="accent4" w:themeShade="BF"/>
    </w:rPr>
    <w:tblPr>
      <w:tblStyleRowBandSize w:val="1"/>
      <w:tblStyleColBandSize w:val="1"/>
      <w:tblBorders>
        <w:top w:val="single" w:sz="8" w:space="0" w:color="F79646" w:themeColor="accent4"/>
        <w:bottom w:val="single" w:sz="8" w:space="0" w:color="F79646" w:themeColor="accent4"/>
      </w:tblBorders>
    </w:tblPr>
    <w:tblStylePr w:type="firstRow">
      <w:pPr>
        <w:spacing w:before="0" w:after="0" w:line="240" w:lineRule="auto"/>
      </w:pPr>
      <w:rPr>
        <w:b/>
        <w:bCs/>
      </w:rPr>
      <w:tblPr/>
      <w:tcPr>
        <w:tcBorders>
          <w:top w:val="single" w:sz="8" w:space="0" w:color="F79646" w:themeColor="accent4"/>
          <w:left w:val="nil"/>
          <w:bottom w:val="single" w:sz="8" w:space="0" w:color="F79646" w:themeColor="accent4"/>
          <w:right w:val="nil"/>
          <w:insideH w:val="nil"/>
          <w:insideV w:val="nil"/>
        </w:tcBorders>
      </w:tcPr>
    </w:tblStylePr>
    <w:tblStylePr w:type="lastRow">
      <w:pPr>
        <w:spacing w:before="0" w:after="0" w:line="240" w:lineRule="auto"/>
      </w:pPr>
      <w:rPr>
        <w:b/>
        <w:bCs/>
      </w:rPr>
      <w:tblPr/>
      <w:tcPr>
        <w:tcBorders>
          <w:top w:val="single" w:sz="8" w:space="0" w:color="F79646" w:themeColor="accent4"/>
          <w:left w:val="nil"/>
          <w:bottom w:val="single" w:sz="8" w:space="0" w:color="F7964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4" w:themeFillTint="3F"/>
      </w:tcPr>
    </w:tblStylePr>
    <w:tblStylePr w:type="band1Horz">
      <w:tblPr/>
      <w:tcPr>
        <w:tcBorders>
          <w:left w:val="nil"/>
          <w:right w:val="nil"/>
          <w:insideH w:val="nil"/>
          <w:insideV w:val="nil"/>
        </w:tcBorders>
        <w:shd w:val="clear" w:color="auto" w:fill="FDE4D0" w:themeFill="accent4" w:themeFillTint="3F"/>
      </w:tcPr>
    </w:tblStylePr>
  </w:style>
  <w:style w:type="table" w:styleId="Lysskyggelegginguthevingsfarge5">
    <w:name w:val="Light Shading Accent 5"/>
    <w:basedOn w:val="Vanligtabell"/>
    <w:uiPriority w:val="60"/>
    <w:semiHidden/>
    <w:unhideWhenUsed/>
    <w:rsid w:val="00C9172B"/>
    <w:pPr>
      <w:spacing w:before="0" w:line="240" w:lineRule="auto"/>
    </w:pPr>
    <w:rPr>
      <w:color w:val="7C0A1A" w:themeColor="accent5" w:themeShade="BF"/>
    </w:rPr>
    <w:tblPr>
      <w:tblStyleRowBandSize w:val="1"/>
      <w:tblStyleColBandSize w:val="1"/>
      <w:tblBorders>
        <w:top w:val="single" w:sz="8" w:space="0" w:color="A60E24" w:themeColor="accent5"/>
        <w:bottom w:val="single" w:sz="8" w:space="0" w:color="A60E24" w:themeColor="accent5"/>
      </w:tblBorders>
    </w:tblPr>
    <w:tblStylePr w:type="firstRow">
      <w:pPr>
        <w:spacing w:before="0" w:after="0" w:line="240" w:lineRule="auto"/>
      </w:pPr>
      <w:rPr>
        <w:b/>
        <w:bCs/>
      </w:rPr>
      <w:tblPr/>
      <w:tcPr>
        <w:tcBorders>
          <w:top w:val="single" w:sz="8" w:space="0" w:color="A60E24" w:themeColor="accent5"/>
          <w:left w:val="nil"/>
          <w:bottom w:val="single" w:sz="8" w:space="0" w:color="A60E24" w:themeColor="accent5"/>
          <w:right w:val="nil"/>
          <w:insideH w:val="nil"/>
          <w:insideV w:val="nil"/>
        </w:tcBorders>
      </w:tcPr>
    </w:tblStylePr>
    <w:tblStylePr w:type="lastRow">
      <w:pPr>
        <w:spacing w:before="0" w:after="0" w:line="240" w:lineRule="auto"/>
      </w:pPr>
      <w:rPr>
        <w:b/>
        <w:bCs/>
      </w:rPr>
      <w:tblPr/>
      <w:tcPr>
        <w:tcBorders>
          <w:top w:val="single" w:sz="8" w:space="0" w:color="A60E24" w:themeColor="accent5"/>
          <w:left w:val="nil"/>
          <w:bottom w:val="single" w:sz="8" w:space="0" w:color="A60E2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3BD" w:themeFill="accent5" w:themeFillTint="3F"/>
      </w:tcPr>
    </w:tblStylePr>
    <w:tblStylePr w:type="band1Horz">
      <w:tblPr/>
      <w:tcPr>
        <w:tcBorders>
          <w:left w:val="nil"/>
          <w:right w:val="nil"/>
          <w:insideH w:val="nil"/>
          <w:insideV w:val="nil"/>
        </w:tcBorders>
        <w:shd w:val="clear" w:color="auto" w:fill="F8B3BD" w:themeFill="accent5" w:themeFillTint="3F"/>
      </w:tcPr>
    </w:tblStylePr>
  </w:style>
  <w:style w:type="table" w:styleId="Lysskyggelegginguthevingsfarge6">
    <w:name w:val="Light Shading Accent 6"/>
    <w:basedOn w:val="Vanligtabell"/>
    <w:uiPriority w:val="60"/>
    <w:semiHidden/>
    <w:unhideWhenUsed/>
    <w:rsid w:val="00C9172B"/>
    <w:pPr>
      <w:spacing w:before="0" w:line="240" w:lineRule="auto"/>
    </w:pPr>
    <w:rPr>
      <w:color w:val="346844" w:themeColor="accent6" w:themeShade="BF"/>
    </w:rPr>
    <w:tblPr>
      <w:tblStyleRowBandSize w:val="1"/>
      <w:tblStyleColBandSize w:val="1"/>
      <w:tblBorders>
        <w:top w:val="single" w:sz="8" w:space="0" w:color="468C5C" w:themeColor="accent6"/>
        <w:bottom w:val="single" w:sz="8" w:space="0" w:color="468C5C" w:themeColor="accent6"/>
      </w:tblBorders>
    </w:tblPr>
    <w:tblStylePr w:type="firstRow">
      <w:pPr>
        <w:spacing w:before="0" w:after="0" w:line="240" w:lineRule="auto"/>
      </w:pPr>
      <w:rPr>
        <w:b/>
        <w:bCs/>
      </w:rPr>
      <w:tblPr/>
      <w:tcPr>
        <w:tcBorders>
          <w:top w:val="single" w:sz="8" w:space="0" w:color="468C5C" w:themeColor="accent6"/>
          <w:left w:val="nil"/>
          <w:bottom w:val="single" w:sz="8" w:space="0" w:color="468C5C" w:themeColor="accent6"/>
          <w:right w:val="nil"/>
          <w:insideH w:val="nil"/>
          <w:insideV w:val="nil"/>
        </w:tcBorders>
      </w:tcPr>
    </w:tblStylePr>
    <w:tblStylePr w:type="lastRow">
      <w:pPr>
        <w:spacing w:before="0" w:after="0" w:line="240" w:lineRule="auto"/>
      </w:pPr>
      <w:rPr>
        <w:b/>
        <w:bCs/>
      </w:rPr>
      <w:tblPr/>
      <w:tcPr>
        <w:tcBorders>
          <w:top w:val="single" w:sz="8" w:space="0" w:color="468C5C" w:themeColor="accent6"/>
          <w:left w:val="nil"/>
          <w:bottom w:val="single" w:sz="8" w:space="0" w:color="468C5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6D5" w:themeFill="accent6" w:themeFillTint="3F"/>
      </w:tcPr>
    </w:tblStylePr>
    <w:tblStylePr w:type="band1Horz">
      <w:tblPr/>
      <w:tcPr>
        <w:tcBorders>
          <w:left w:val="nil"/>
          <w:right w:val="nil"/>
          <w:insideH w:val="nil"/>
          <w:insideV w:val="nil"/>
        </w:tcBorders>
        <w:shd w:val="clear" w:color="auto" w:fill="CDE6D5" w:themeFill="accent6" w:themeFillTint="3F"/>
      </w:tcPr>
    </w:tblStylePr>
  </w:style>
  <w:style w:type="character" w:styleId="Linjenummer">
    <w:name w:val="line number"/>
    <w:basedOn w:val="Standardskriftforavsnitt"/>
    <w:uiPriority w:val="99"/>
    <w:semiHidden/>
    <w:rsid w:val="00C9172B"/>
  </w:style>
  <w:style w:type="paragraph" w:styleId="Liste">
    <w:name w:val="List"/>
    <w:basedOn w:val="Normal"/>
    <w:uiPriority w:val="99"/>
    <w:semiHidden/>
    <w:rsid w:val="00C9172B"/>
    <w:pPr>
      <w:ind w:left="283" w:hanging="283"/>
      <w:contextualSpacing/>
    </w:pPr>
  </w:style>
  <w:style w:type="paragraph" w:styleId="Liste2">
    <w:name w:val="List 2"/>
    <w:basedOn w:val="Normal"/>
    <w:uiPriority w:val="99"/>
    <w:semiHidden/>
    <w:rsid w:val="00C9172B"/>
    <w:pPr>
      <w:ind w:left="566" w:hanging="283"/>
      <w:contextualSpacing/>
    </w:pPr>
  </w:style>
  <w:style w:type="paragraph" w:styleId="Liste3">
    <w:name w:val="List 3"/>
    <w:basedOn w:val="Normal"/>
    <w:uiPriority w:val="99"/>
    <w:semiHidden/>
    <w:rsid w:val="00C9172B"/>
    <w:pPr>
      <w:ind w:left="849" w:hanging="283"/>
      <w:contextualSpacing/>
    </w:pPr>
  </w:style>
  <w:style w:type="paragraph" w:styleId="Liste4">
    <w:name w:val="List 4"/>
    <w:basedOn w:val="Normal"/>
    <w:uiPriority w:val="99"/>
    <w:semiHidden/>
    <w:rsid w:val="00C9172B"/>
    <w:pPr>
      <w:ind w:left="1132" w:hanging="283"/>
      <w:contextualSpacing/>
    </w:pPr>
  </w:style>
  <w:style w:type="paragraph" w:styleId="Liste5">
    <w:name w:val="List 5"/>
    <w:basedOn w:val="Normal"/>
    <w:uiPriority w:val="99"/>
    <w:semiHidden/>
    <w:rsid w:val="00C9172B"/>
    <w:pPr>
      <w:ind w:left="1415" w:hanging="283"/>
      <w:contextualSpacing/>
    </w:pPr>
  </w:style>
  <w:style w:type="paragraph" w:styleId="Punktliste">
    <w:name w:val="List Bullet"/>
    <w:basedOn w:val="Normal"/>
    <w:uiPriority w:val="99"/>
    <w:semiHidden/>
    <w:rsid w:val="00C9172B"/>
    <w:pPr>
      <w:numPr>
        <w:numId w:val="15"/>
      </w:numPr>
      <w:contextualSpacing/>
    </w:pPr>
  </w:style>
  <w:style w:type="paragraph" w:styleId="Punktliste2">
    <w:name w:val="List Bullet 2"/>
    <w:basedOn w:val="Normal"/>
    <w:uiPriority w:val="99"/>
    <w:semiHidden/>
    <w:rsid w:val="00C9172B"/>
    <w:pPr>
      <w:numPr>
        <w:numId w:val="16"/>
      </w:numPr>
      <w:contextualSpacing/>
    </w:pPr>
  </w:style>
  <w:style w:type="paragraph" w:styleId="Punktliste3">
    <w:name w:val="List Bullet 3"/>
    <w:basedOn w:val="Normal"/>
    <w:uiPriority w:val="99"/>
    <w:semiHidden/>
    <w:rsid w:val="00C9172B"/>
    <w:pPr>
      <w:numPr>
        <w:numId w:val="14"/>
      </w:numPr>
      <w:contextualSpacing/>
    </w:pPr>
  </w:style>
  <w:style w:type="paragraph" w:styleId="Punktliste4">
    <w:name w:val="List Bullet 4"/>
    <w:basedOn w:val="Normal"/>
    <w:uiPriority w:val="99"/>
    <w:semiHidden/>
    <w:rsid w:val="00C9172B"/>
    <w:pPr>
      <w:numPr>
        <w:numId w:val="13"/>
      </w:numPr>
      <w:contextualSpacing/>
    </w:pPr>
  </w:style>
  <w:style w:type="paragraph" w:styleId="Punktliste5">
    <w:name w:val="List Bullet 5"/>
    <w:basedOn w:val="Normal"/>
    <w:uiPriority w:val="99"/>
    <w:semiHidden/>
    <w:rsid w:val="00C9172B"/>
    <w:pPr>
      <w:numPr>
        <w:numId w:val="12"/>
      </w:numPr>
      <w:contextualSpacing/>
    </w:pPr>
  </w:style>
  <w:style w:type="paragraph" w:styleId="Liste-forts">
    <w:name w:val="List Continue"/>
    <w:basedOn w:val="Normal"/>
    <w:uiPriority w:val="99"/>
    <w:semiHidden/>
    <w:rsid w:val="00C9172B"/>
    <w:pPr>
      <w:spacing w:after="120"/>
      <w:ind w:left="283"/>
      <w:contextualSpacing/>
    </w:pPr>
  </w:style>
  <w:style w:type="paragraph" w:styleId="Liste-forts2">
    <w:name w:val="List Continue 2"/>
    <w:basedOn w:val="Normal"/>
    <w:uiPriority w:val="99"/>
    <w:semiHidden/>
    <w:rsid w:val="00C9172B"/>
    <w:pPr>
      <w:spacing w:after="120"/>
      <w:ind w:left="566"/>
      <w:contextualSpacing/>
    </w:pPr>
  </w:style>
  <w:style w:type="paragraph" w:styleId="Liste-forts3">
    <w:name w:val="List Continue 3"/>
    <w:basedOn w:val="Normal"/>
    <w:uiPriority w:val="99"/>
    <w:semiHidden/>
    <w:rsid w:val="00C9172B"/>
    <w:pPr>
      <w:spacing w:after="120"/>
      <w:ind w:left="849"/>
      <w:contextualSpacing/>
    </w:pPr>
  </w:style>
  <w:style w:type="paragraph" w:styleId="Liste-forts4">
    <w:name w:val="List Continue 4"/>
    <w:basedOn w:val="Normal"/>
    <w:uiPriority w:val="99"/>
    <w:semiHidden/>
    <w:rsid w:val="00C9172B"/>
    <w:pPr>
      <w:spacing w:after="120"/>
      <w:ind w:left="1132"/>
      <w:contextualSpacing/>
    </w:pPr>
  </w:style>
  <w:style w:type="paragraph" w:styleId="Liste-forts5">
    <w:name w:val="List Continue 5"/>
    <w:basedOn w:val="Normal"/>
    <w:uiPriority w:val="99"/>
    <w:semiHidden/>
    <w:rsid w:val="00C9172B"/>
    <w:pPr>
      <w:spacing w:after="120"/>
      <w:ind w:left="1415"/>
      <w:contextualSpacing/>
    </w:pPr>
  </w:style>
  <w:style w:type="paragraph" w:styleId="Nummerertliste">
    <w:name w:val="List Number"/>
    <w:basedOn w:val="Normal"/>
    <w:uiPriority w:val="99"/>
    <w:semiHidden/>
    <w:rsid w:val="00C9172B"/>
    <w:pPr>
      <w:numPr>
        <w:numId w:val="7"/>
      </w:numPr>
      <w:contextualSpacing/>
    </w:pPr>
  </w:style>
  <w:style w:type="paragraph" w:styleId="Nummerertliste2">
    <w:name w:val="List Number 2"/>
    <w:basedOn w:val="Normal"/>
    <w:uiPriority w:val="99"/>
    <w:semiHidden/>
    <w:rsid w:val="00C9172B"/>
    <w:pPr>
      <w:numPr>
        <w:numId w:val="8"/>
      </w:numPr>
      <w:contextualSpacing/>
    </w:pPr>
  </w:style>
  <w:style w:type="paragraph" w:styleId="Nummerertliste3">
    <w:name w:val="List Number 3"/>
    <w:basedOn w:val="Normal"/>
    <w:uiPriority w:val="99"/>
    <w:semiHidden/>
    <w:rsid w:val="00C9172B"/>
    <w:pPr>
      <w:numPr>
        <w:numId w:val="9"/>
      </w:numPr>
      <w:contextualSpacing/>
    </w:pPr>
  </w:style>
  <w:style w:type="paragraph" w:styleId="Nummerertliste4">
    <w:name w:val="List Number 4"/>
    <w:basedOn w:val="Normal"/>
    <w:uiPriority w:val="99"/>
    <w:semiHidden/>
    <w:rsid w:val="00C9172B"/>
    <w:pPr>
      <w:numPr>
        <w:numId w:val="10"/>
      </w:numPr>
      <w:contextualSpacing/>
    </w:pPr>
  </w:style>
  <w:style w:type="paragraph" w:styleId="Nummerertliste5">
    <w:name w:val="List Number 5"/>
    <w:basedOn w:val="Normal"/>
    <w:uiPriority w:val="99"/>
    <w:semiHidden/>
    <w:rsid w:val="00C9172B"/>
    <w:pPr>
      <w:numPr>
        <w:numId w:val="11"/>
      </w:numPr>
      <w:contextualSpacing/>
    </w:pPr>
  </w:style>
  <w:style w:type="paragraph" w:styleId="Listeavsnitt">
    <w:name w:val="List Paragraph"/>
    <w:basedOn w:val="Normal"/>
    <w:uiPriority w:val="34"/>
    <w:qFormat/>
    <w:rsid w:val="00C9172B"/>
    <w:pPr>
      <w:ind w:left="720"/>
      <w:contextualSpacing/>
    </w:pPr>
  </w:style>
  <w:style w:type="table" w:styleId="Listetabell1lys">
    <w:name w:val="List Table 1 Light"/>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767676" w:themeColor="text1" w:themeTint="99"/>
        </w:tcBorders>
      </w:tcPr>
    </w:tblStylePr>
    <w:tblStylePr w:type="lastRow">
      <w:rPr>
        <w:b/>
        <w:bCs/>
      </w:rPr>
      <w:tblPr/>
      <w:tcPr>
        <w:tcBorders>
          <w:top w:val="single" w:sz="4" w:space="0" w:color="767676" w:themeColor="text1" w:themeTint="99"/>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1lysuthevingsfarge1">
    <w:name w:val="List Table 1 Light Accent 1"/>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3F73D1" w:themeColor="accent1" w:themeTint="99"/>
        </w:tcBorders>
      </w:tcPr>
    </w:tblStylePr>
    <w:tblStylePr w:type="lastRow">
      <w:rPr>
        <w:b/>
        <w:bCs/>
      </w:rPr>
      <w:tblPr/>
      <w:tcPr>
        <w:tcBorders>
          <w:top w:val="single" w:sz="4" w:space="0" w:color="3F73D1" w:themeColor="accent1" w:themeTint="99"/>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1lysuthevingsfarge2">
    <w:name w:val="List Table 1 Light Accent 2"/>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7EAAD7" w:themeColor="accent2" w:themeTint="99"/>
        </w:tcBorders>
      </w:tcPr>
    </w:tblStylePr>
    <w:tblStylePr w:type="lastRow">
      <w:rPr>
        <w:b/>
        <w:bCs/>
      </w:rPr>
      <w:tblPr/>
      <w:tcPr>
        <w:tcBorders>
          <w:top w:val="single" w:sz="4" w:space="0" w:color="7EAAD7" w:themeColor="accent2" w:themeTint="99"/>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1lysuthevingsfarge3">
    <w:name w:val="List Table 1 Light Accent 3"/>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69D8E1" w:themeColor="accent3" w:themeTint="99"/>
        </w:tcBorders>
      </w:tcPr>
    </w:tblStylePr>
    <w:tblStylePr w:type="lastRow">
      <w:rPr>
        <w:b/>
        <w:bCs/>
      </w:rPr>
      <w:tblPr/>
      <w:tcPr>
        <w:tcBorders>
          <w:top w:val="single" w:sz="4" w:space="0" w:color="69D8E1" w:themeColor="accent3" w:themeTint="99"/>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1lysuthevingsfarge4">
    <w:name w:val="List Table 1 Light Accent 4"/>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FABF8F" w:themeColor="accent4" w:themeTint="99"/>
        </w:tcBorders>
      </w:tcPr>
    </w:tblStylePr>
    <w:tblStylePr w:type="lastRow">
      <w:rPr>
        <w:b/>
        <w:bCs/>
      </w:rPr>
      <w:tblPr/>
      <w:tcPr>
        <w:tcBorders>
          <w:top w:val="single" w:sz="4" w:space="0" w:color="FABF8F" w:themeColor="accent4" w:themeTint="99"/>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1lysuthevingsfarge5">
    <w:name w:val="List Table 1 Light Accent 5"/>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EF485F" w:themeColor="accent5" w:themeTint="99"/>
        </w:tcBorders>
      </w:tcPr>
    </w:tblStylePr>
    <w:tblStylePr w:type="lastRow">
      <w:rPr>
        <w:b/>
        <w:bCs/>
      </w:rPr>
      <w:tblPr/>
      <w:tcPr>
        <w:tcBorders>
          <w:top w:val="single" w:sz="4" w:space="0" w:color="EF485F" w:themeColor="accent5" w:themeTint="99"/>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1lysuthevingsfarge6">
    <w:name w:val="List Table 1 Light Accent 6"/>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87C399" w:themeColor="accent6" w:themeTint="99"/>
        </w:tcBorders>
      </w:tcPr>
    </w:tblStylePr>
    <w:tblStylePr w:type="lastRow">
      <w:rPr>
        <w:b/>
        <w:bCs/>
      </w:rPr>
      <w:tblPr/>
      <w:tcPr>
        <w:tcBorders>
          <w:top w:val="single" w:sz="4" w:space="0" w:color="87C399" w:themeColor="accent6" w:themeTint="99"/>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2">
    <w:name w:val="List Table 2"/>
    <w:basedOn w:val="Vanligtabell"/>
    <w:uiPriority w:val="47"/>
    <w:rsid w:val="00C9172B"/>
    <w:pPr>
      <w:spacing w:line="240" w:lineRule="auto"/>
    </w:pPr>
    <w:tblPr>
      <w:tblStyleRowBandSize w:val="1"/>
      <w:tblStyleColBandSize w:val="1"/>
      <w:tblBorders>
        <w:top w:val="single" w:sz="4" w:space="0" w:color="767676" w:themeColor="text1" w:themeTint="99"/>
        <w:bottom w:val="single" w:sz="4" w:space="0" w:color="767676" w:themeColor="text1" w:themeTint="99"/>
        <w:insideH w:val="single" w:sz="4" w:space="0" w:color="7676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2uthevingsfarge1">
    <w:name w:val="List Table 2 Accent 1"/>
    <w:basedOn w:val="Vanligtabell"/>
    <w:uiPriority w:val="47"/>
    <w:rsid w:val="00C9172B"/>
    <w:pPr>
      <w:spacing w:line="240" w:lineRule="auto"/>
    </w:pPr>
    <w:tblPr>
      <w:tblStyleRowBandSize w:val="1"/>
      <w:tblStyleColBandSize w:val="1"/>
      <w:tblBorders>
        <w:top w:val="single" w:sz="4" w:space="0" w:color="3F73D1" w:themeColor="accent1" w:themeTint="99"/>
        <w:bottom w:val="single" w:sz="4" w:space="0" w:color="3F73D1" w:themeColor="accent1" w:themeTint="99"/>
        <w:insideH w:val="single" w:sz="4" w:space="0" w:color="3F73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2uthevingsfarge2">
    <w:name w:val="List Table 2 Accent 2"/>
    <w:basedOn w:val="Vanligtabell"/>
    <w:uiPriority w:val="47"/>
    <w:rsid w:val="00C9172B"/>
    <w:pPr>
      <w:spacing w:line="240" w:lineRule="auto"/>
    </w:pPr>
    <w:tblPr>
      <w:tblStyleRowBandSize w:val="1"/>
      <w:tblStyleColBandSize w:val="1"/>
      <w:tblBorders>
        <w:top w:val="single" w:sz="4" w:space="0" w:color="7EAAD7" w:themeColor="accent2" w:themeTint="99"/>
        <w:bottom w:val="single" w:sz="4" w:space="0" w:color="7EAAD7" w:themeColor="accent2" w:themeTint="99"/>
        <w:insideH w:val="single" w:sz="4" w:space="0" w:color="7EAAD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2uthevingsfarge3">
    <w:name w:val="List Table 2 Accent 3"/>
    <w:basedOn w:val="Vanligtabell"/>
    <w:uiPriority w:val="47"/>
    <w:rsid w:val="00C9172B"/>
    <w:pPr>
      <w:spacing w:line="240" w:lineRule="auto"/>
    </w:pPr>
    <w:tblPr>
      <w:tblStyleRowBandSize w:val="1"/>
      <w:tblStyleColBandSize w:val="1"/>
      <w:tblBorders>
        <w:top w:val="single" w:sz="4" w:space="0" w:color="69D8E1" w:themeColor="accent3" w:themeTint="99"/>
        <w:bottom w:val="single" w:sz="4" w:space="0" w:color="69D8E1" w:themeColor="accent3" w:themeTint="99"/>
        <w:insideH w:val="single" w:sz="4" w:space="0" w:color="69D8E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2uthevingsfarge4">
    <w:name w:val="List Table 2 Accent 4"/>
    <w:basedOn w:val="Vanligtabell"/>
    <w:uiPriority w:val="47"/>
    <w:rsid w:val="00C9172B"/>
    <w:pPr>
      <w:spacing w:line="240" w:lineRule="auto"/>
    </w:pPr>
    <w:tblPr>
      <w:tblStyleRowBandSize w:val="1"/>
      <w:tblStyleColBandSize w:val="1"/>
      <w:tblBorders>
        <w:top w:val="single" w:sz="4" w:space="0" w:color="FABF8F" w:themeColor="accent4" w:themeTint="99"/>
        <w:bottom w:val="single" w:sz="4" w:space="0" w:color="FABF8F" w:themeColor="accent4" w:themeTint="99"/>
        <w:insideH w:val="single" w:sz="4" w:space="0" w:color="FABF8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2uthevingsfarge5">
    <w:name w:val="List Table 2 Accent 5"/>
    <w:basedOn w:val="Vanligtabell"/>
    <w:uiPriority w:val="47"/>
    <w:rsid w:val="00C9172B"/>
    <w:pPr>
      <w:spacing w:line="240" w:lineRule="auto"/>
    </w:pPr>
    <w:tblPr>
      <w:tblStyleRowBandSize w:val="1"/>
      <w:tblStyleColBandSize w:val="1"/>
      <w:tblBorders>
        <w:top w:val="single" w:sz="4" w:space="0" w:color="EF485F" w:themeColor="accent5" w:themeTint="99"/>
        <w:bottom w:val="single" w:sz="4" w:space="0" w:color="EF485F" w:themeColor="accent5" w:themeTint="99"/>
        <w:insideH w:val="single" w:sz="4" w:space="0" w:color="EF485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2uthevingsfarge6">
    <w:name w:val="List Table 2 Accent 6"/>
    <w:basedOn w:val="Vanligtabell"/>
    <w:uiPriority w:val="47"/>
    <w:rsid w:val="00C9172B"/>
    <w:pPr>
      <w:spacing w:line="240" w:lineRule="auto"/>
    </w:pPr>
    <w:tblPr>
      <w:tblStyleRowBandSize w:val="1"/>
      <w:tblStyleColBandSize w:val="1"/>
      <w:tblBorders>
        <w:top w:val="single" w:sz="4" w:space="0" w:color="87C399" w:themeColor="accent6" w:themeTint="99"/>
        <w:bottom w:val="single" w:sz="4" w:space="0" w:color="87C399" w:themeColor="accent6" w:themeTint="99"/>
        <w:insideH w:val="single" w:sz="4" w:space="0" w:color="87C39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3">
    <w:name w:val="List Table 3"/>
    <w:basedOn w:val="Vanligtabell"/>
    <w:uiPriority w:val="48"/>
    <w:rsid w:val="00C9172B"/>
    <w:pPr>
      <w:spacing w:line="240" w:lineRule="auto"/>
    </w:pPr>
    <w:tblPr>
      <w:tblStyleRowBandSize w:val="1"/>
      <w:tblStyleColBandSize w:val="1"/>
      <w:tblBorders>
        <w:top w:val="single" w:sz="4" w:space="0" w:color="1C1C1C" w:themeColor="text1"/>
        <w:left w:val="single" w:sz="4" w:space="0" w:color="1C1C1C" w:themeColor="text1"/>
        <w:bottom w:val="single" w:sz="4" w:space="0" w:color="1C1C1C" w:themeColor="text1"/>
        <w:right w:val="single" w:sz="4" w:space="0" w:color="1C1C1C" w:themeColor="text1"/>
      </w:tblBorders>
    </w:tblPr>
    <w:tblStylePr w:type="firstRow">
      <w:rPr>
        <w:b/>
        <w:bCs/>
        <w:color w:val="FFFFFF" w:themeColor="background1"/>
      </w:rPr>
      <w:tblPr/>
      <w:tcPr>
        <w:shd w:val="clear" w:color="auto" w:fill="1C1C1C" w:themeFill="text1"/>
      </w:tcPr>
    </w:tblStylePr>
    <w:tblStylePr w:type="lastRow">
      <w:rPr>
        <w:b/>
        <w:bCs/>
      </w:rPr>
      <w:tblPr/>
      <w:tcPr>
        <w:tcBorders>
          <w:top w:val="double" w:sz="4" w:space="0" w:color="1C1C1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C1C" w:themeColor="text1"/>
          <w:right w:val="single" w:sz="4" w:space="0" w:color="1C1C1C" w:themeColor="text1"/>
        </w:tcBorders>
      </w:tcPr>
    </w:tblStylePr>
    <w:tblStylePr w:type="band1Horz">
      <w:tblPr/>
      <w:tcPr>
        <w:tcBorders>
          <w:top w:val="single" w:sz="4" w:space="0" w:color="1C1C1C" w:themeColor="text1"/>
          <w:bottom w:val="single" w:sz="4" w:space="0" w:color="1C1C1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C1C" w:themeColor="text1"/>
          <w:left w:val="nil"/>
        </w:tcBorders>
      </w:tcPr>
    </w:tblStylePr>
    <w:tblStylePr w:type="swCell">
      <w:tblPr/>
      <w:tcPr>
        <w:tcBorders>
          <w:top w:val="double" w:sz="4" w:space="0" w:color="1C1C1C" w:themeColor="text1"/>
          <w:right w:val="nil"/>
        </w:tcBorders>
      </w:tcPr>
    </w:tblStylePr>
  </w:style>
  <w:style w:type="table" w:styleId="Listetabell3uthevingsfarge1">
    <w:name w:val="List Table 3 Accent 1"/>
    <w:basedOn w:val="Vanligtabell"/>
    <w:uiPriority w:val="48"/>
    <w:rsid w:val="00C9172B"/>
    <w:pPr>
      <w:spacing w:line="240" w:lineRule="auto"/>
    </w:pPr>
    <w:tblPr>
      <w:tblStyleRowBandSize w:val="1"/>
      <w:tblStyleColBandSize w:val="1"/>
      <w:tblBorders>
        <w:top w:val="single" w:sz="4" w:space="0" w:color="162F5C" w:themeColor="accent1"/>
        <w:left w:val="single" w:sz="4" w:space="0" w:color="162F5C" w:themeColor="accent1"/>
        <w:bottom w:val="single" w:sz="4" w:space="0" w:color="162F5C" w:themeColor="accent1"/>
        <w:right w:val="single" w:sz="4" w:space="0" w:color="162F5C" w:themeColor="accent1"/>
      </w:tblBorders>
    </w:tblPr>
    <w:tblStylePr w:type="firstRow">
      <w:rPr>
        <w:b/>
        <w:bCs/>
        <w:color w:val="FFFFFF" w:themeColor="background1"/>
      </w:rPr>
      <w:tblPr/>
      <w:tcPr>
        <w:shd w:val="clear" w:color="auto" w:fill="162F5C" w:themeFill="accent1"/>
      </w:tcPr>
    </w:tblStylePr>
    <w:tblStylePr w:type="lastRow">
      <w:rPr>
        <w:b/>
        <w:bCs/>
      </w:rPr>
      <w:tblPr/>
      <w:tcPr>
        <w:tcBorders>
          <w:top w:val="double" w:sz="4" w:space="0" w:color="162F5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2F5C" w:themeColor="accent1"/>
          <w:right w:val="single" w:sz="4" w:space="0" w:color="162F5C" w:themeColor="accent1"/>
        </w:tcBorders>
      </w:tcPr>
    </w:tblStylePr>
    <w:tblStylePr w:type="band1Horz">
      <w:tblPr/>
      <w:tcPr>
        <w:tcBorders>
          <w:top w:val="single" w:sz="4" w:space="0" w:color="162F5C" w:themeColor="accent1"/>
          <w:bottom w:val="single" w:sz="4" w:space="0" w:color="162F5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2F5C" w:themeColor="accent1"/>
          <w:left w:val="nil"/>
        </w:tcBorders>
      </w:tcPr>
    </w:tblStylePr>
    <w:tblStylePr w:type="swCell">
      <w:tblPr/>
      <w:tcPr>
        <w:tcBorders>
          <w:top w:val="double" w:sz="4" w:space="0" w:color="162F5C" w:themeColor="accent1"/>
          <w:right w:val="nil"/>
        </w:tcBorders>
      </w:tcPr>
    </w:tblStylePr>
  </w:style>
  <w:style w:type="table" w:styleId="Listetabell3uthevingsfarge2">
    <w:name w:val="List Table 3 Accent 2"/>
    <w:basedOn w:val="Vanligtabell"/>
    <w:uiPriority w:val="48"/>
    <w:rsid w:val="00C9172B"/>
    <w:pPr>
      <w:spacing w:line="240" w:lineRule="auto"/>
    </w:pPr>
    <w:tblPr>
      <w:tblStyleRowBandSize w:val="1"/>
      <w:tblStyleColBandSize w:val="1"/>
      <w:tblBorders>
        <w:top w:val="single" w:sz="4" w:space="0" w:color="3672B0" w:themeColor="accent2"/>
        <w:left w:val="single" w:sz="4" w:space="0" w:color="3672B0" w:themeColor="accent2"/>
        <w:bottom w:val="single" w:sz="4" w:space="0" w:color="3672B0" w:themeColor="accent2"/>
        <w:right w:val="single" w:sz="4" w:space="0" w:color="3672B0" w:themeColor="accent2"/>
      </w:tblBorders>
    </w:tblPr>
    <w:tblStylePr w:type="firstRow">
      <w:rPr>
        <w:b/>
        <w:bCs/>
        <w:color w:val="FFFFFF" w:themeColor="background1"/>
      </w:rPr>
      <w:tblPr/>
      <w:tcPr>
        <w:shd w:val="clear" w:color="auto" w:fill="3672B0" w:themeFill="accent2"/>
      </w:tcPr>
    </w:tblStylePr>
    <w:tblStylePr w:type="lastRow">
      <w:rPr>
        <w:b/>
        <w:bCs/>
      </w:rPr>
      <w:tblPr/>
      <w:tcPr>
        <w:tcBorders>
          <w:top w:val="double" w:sz="4" w:space="0" w:color="3672B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72B0" w:themeColor="accent2"/>
          <w:right w:val="single" w:sz="4" w:space="0" w:color="3672B0" w:themeColor="accent2"/>
        </w:tcBorders>
      </w:tcPr>
    </w:tblStylePr>
    <w:tblStylePr w:type="band1Horz">
      <w:tblPr/>
      <w:tcPr>
        <w:tcBorders>
          <w:top w:val="single" w:sz="4" w:space="0" w:color="3672B0" w:themeColor="accent2"/>
          <w:bottom w:val="single" w:sz="4" w:space="0" w:color="3672B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72B0" w:themeColor="accent2"/>
          <w:left w:val="nil"/>
        </w:tcBorders>
      </w:tcPr>
    </w:tblStylePr>
    <w:tblStylePr w:type="swCell">
      <w:tblPr/>
      <w:tcPr>
        <w:tcBorders>
          <w:top w:val="double" w:sz="4" w:space="0" w:color="3672B0" w:themeColor="accent2"/>
          <w:right w:val="nil"/>
        </w:tcBorders>
      </w:tcPr>
    </w:tblStylePr>
  </w:style>
  <w:style w:type="table" w:styleId="Listetabell3uthevingsfarge3">
    <w:name w:val="List Table 3 Accent 3"/>
    <w:basedOn w:val="Vanligtabell"/>
    <w:uiPriority w:val="48"/>
    <w:rsid w:val="00C9172B"/>
    <w:pPr>
      <w:spacing w:line="240" w:lineRule="auto"/>
    </w:pPr>
    <w:tblPr>
      <w:tblStyleRowBandSize w:val="1"/>
      <w:tblStyleColBandSize w:val="1"/>
      <w:tblBorders>
        <w:top w:val="single" w:sz="4" w:space="0" w:color="23A5AF" w:themeColor="accent3"/>
        <w:left w:val="single" w:sz="4" w:space="0" w:color="23A5AF" w:themeColor="accent3"/>
        <w:bottom w:val="single" w:sz="4" w:space="0" w:color="23A5AF" w:themeColor="accent3"/>
        <w:right w:val="single" w:sz="4" w:space="0" w:color="23A5AF" w:themeColor="accent3"/>
      </w:tblBorders>
    </w:tblPr>
    <w:tblStylePr w:type="firstRow">
      <w:rPr>
        <w:b/>
        <w:bCs/>
        <w:color w:val="FFFFFF" w:themeColor="background1"/>
      </w:rPr>
      <w:tblPr/>
      <w:tcPr>
        <w:shd w:val="clear" w:color="auto" w:fill="23A5AF" w:themeFill="accent3"/>
      </w:tcPr>
    </w:tblStylePr>
    <w:tblStylePr w:type="lastRow">
      <w:rPr>
        <w:b/>
        <w:bCs/>
      </w:rPr>
      <w:tblPr/>
      <w:tcPr>
        <w:tcBorders>
          <w:top w:val="double" w:sz="4" w:space="0" w:color="23A5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A5AF" w:themeColor="accent3"/>
          <w:right w:val="single" w:sz="4" w:space="0" w:color="23A5AF" w:themeColor="accent3"/>
        </w:tcBorders>
      </w:tcPr>
    </w:tblStylePr>
    <w:tblStylePr w:type="band1Horz">
      <w:tblPr/>
      <w:tcPr>
        <w:tcBorders>
          <w:top w:val="single" w:sz="4" w:space="0" w:color="23A5AF" w:themeColor="accent3"/>
          <w:bottom w:val="single" w:sz="4" w:space="0" w:color="23A5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A5AF" w:themeColor="accent3"/>
          <w:left w:val="nil"/>
        </w:tcBorders>
      </w:tcPr>
    </w:tblStylePr>
    <w:tblStylePr w:type="swCell">
      <w:tblPr/>
      <w:tcPr>
        <w:tcBorders>
          <w:top w:val="double" w:sz="4" w:space="0" w:color="23A5AF" w:themeColor="accent3"/>
          <w:right w:val="nil"/>
        </w:tcBorders>
      </w:tcPr>
    </w:tblStylePr>
  </w:style>
  <w:style w:type="table" w:styleId="Listetabell3uthevingsfarge4">
    <w:name w:val="List Table 3 Accent 4"/>
    <w:basedOn w:val="Vanligtabell"/>
    <w:uiPriority w:val="48"/>
    <w:rsid w:val="00C9172B"/>
    <w:pPr>
      <w:spacing w:line="240" w:lineRule="auto"/>
    </w:pPr>
    <w:tblPr>
      <w:tblStyleRowBandSize w:val="1"/>
      <w:tblStyleColBandSize w:val="1"/>
      <w:tblBorders>
        <w:top w:val="single" w:sz="4" w:space="0" w:color="F79646" w:themeColor="accent4"/>
        <w:left w:val="single" w:sz="4" w:space="0" w:color="F79646" w:themeColor="accent4"/>
        <w:bottom w:val="single" w:sz="4" w:space="0" w:color="F79646" w:themeColor="accent4"/>
        <w:right w:val="single" w:sz="4" w:space="0" w:color="F79646" w:themeColor="accent4"/>
      </w:tblBorders>
    </w:tblPr>
    <w:tblStylePr w:type="firstRow">
      <w:rPr>
        <w:b/>
        <w:bCs/>
        <w:color w:val="FFFFFF" w:themeColor="background1"/>
      </w:rPr>
      <w:tblPr/>
      <w:tcPr>
        <w:shd w:val="clear" w:color="auto" w:fill="F79646" w:themeFill="accent4"/>
      </w:tcPr>
    </w:tblStylePr>
    <w:tblStylePr w:type="lastRow">
      <w:rPr>
        <w:b/>
        <w:bCs/>
      </w:rPr>
      <w:tblPr/>
      <w:tcPr>
        <w:tcBorders>
          <w:top w:val="double" w:sz="4" w:space="0" w:color="F7964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4"/>
          <w:right w:val="single" w:sz="4" w:space="0" w:color="F79646" w:themeColor="accent4"/>
        </w:tcBorders>
      </w:tcPr>
    </w:tblStylePr>
    <w:tblStylePr w:type="band1Horz">
      <w:tblPr/>
      <w:tcPr>
        <w:tcBorders>
          <w:top w:val="single" w:sz="4" w:space="0" w:color="F79646" w:themeColor="accent4"/>
          <w:bottom w:val="single" w:sz="4" w:space="0" w:color="F7964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4"/>
          <w:left w:val="nil"/>
        </w:tcBorders>
      </w:tcPr>
    </w:tblStylePr>
    <w:tblStylePr w:type="swCell">
      <w:tblPr/>
      <w:tcPr>
        <w:tcBorders>
          <w:top w:val="double" w:sz="4" w:space="0" w:color="F79646" w:themeColor="accent4"/>
          <w:right w:val="nil"/>
        </w:tcBorders>
      </w:tcPr>
    </w:tblStylePr>
  </w:style>
  <w:style w:type="table" w:styleId="Listetabell3uthevingsfarge5">
    <w:name w:val="List Table 3 Accent 5"/>
    <w:basedOn w:val="Vanligtabell"/>
    <w:uiPriority w:val="48"/>
    <w:rsid w:val="00C9172B"/>
    <w:pPr>
      <w:spacing w:line="240" w:lineRule="auto"/>
    </w:pPr>
    <w:tblPr>
      <w:tblStyleRowBandSize w:val="1"/>
      <w:tblStyleColBandSize w:val="1"/>
      <w:tblBorders>
        <w:top w:val="single" w:sz="4" w:space="0" w:color="A60E24" w:themeColor="accent5"/>
        <w:left w:val="single" w:sz="4" w:space="0" w:color="A60E24" w:themeColor="accent5"/>
        <w:bottom w:val="single" w:sz="4" w:space="0" w:color="A60E24" w:themeColor="accent5"/>
        <w:right w:val="single" w:sz="4" w:space="0" w:color="A60E24" w:themeColor="accent5"/>
      </w:tblBorders>
    </w:tblPr>
    <w:tblStylePr w:type="firstRow">
      <w:rPr>
        <w:b/>
        <w:bCs/>
        <w:color w:val="FFFFFF" w:themeColor="background1"/>
      </w:rPr>
      <w:tblPr/>
      <w:tcPr>
        <w:shd w:val="clear" w:color="auto" w:fill="A60E24" w:themeFill="accent5"/>
      </w:tcPr>
    </w:tblStylePr>
    <w:tblStylePr w:type="lastRow">
      <w:rPr>
        <w:b/>
        <w:bCs/>
      </w:rPr>
      <w:tblPr/>
      <w:tcPr>
        <w:tcBorders>
          <w:top w:val="double" w:sz="4" w:space="0" w:color="A60E2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0E24" w:themeColor="accent5"/>
          <w:right w:val="single" w:sz="4" w:space="0" w:color="A60E24" w:themeColor="accent5"/>
        </w:tcBorders>
      </w:tcPr>
    </w:tblStylePr>
    <w:tblStylePr w:type="band1Horz">
      <w:tblPr/>
      <w:tcPr>
        <w:tcBorders>
          <w:top w:val="single" w:sz="4" w:space="0" w:color="A60E24" w:themeColor="accent5"/>
          <w:bottom w:val="single" w:sz="4" w:space="0" w:color="A60E2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0E24" w:themeColor="accent5"/>
          <w:left w:val="nil"/>
        </w:tcBorders>
      </w:tcPr>
    </w:tblStylePr>
    <w:tblStylePr w:type="swCell">
      <w:tblPr/>
      <w:tcPr>
        <w:tcBorders>
          <w:top w:val="double" w:sz="4" w:space="0" w:color="A60E24" w:themeColor="accent5"/>
          <w:right w:val="nil"/>
        </w:tcBorders>
      </w:tcPr>
    </w:tblStylePr>
  </w:style>
  <w:style w:type="table" w:styleId="Listetabell3uthevingsfarge6">
    <w:name w:val="List Table 3 Accent 6"/>
    <w:basedOn w:val="Vanligtabell"/>
    <w:uiPriority w:val="48"/>
    <w:rsid w:val="00C9172B"/>
    <w:pPr>
      <w:spacing w:line="240" w:lineRule="auto"/>
    </w:pPr>
    <w:tblPr>
      <w:tblStyleRowBandSize w:val="1"/>
      <w:tblStyleColBandSize w:val="1"/>
      <w:tblBorders>
        <w:top w:val="single" w:sz="4" w:space="0" w:color="468C5C" w:themeColor="accent6"/>
        <w:left w:val="single" w:sz="4" w:space="0" w:color="468C5C" w:themeColor="accent6"/>
        <w:bottom w:val="single" w:sz="4" w:space="0" w:color="468C5C" w:themeColor="accent6"/>
        <w:right w:val="single" w:sz="4" w:space="0" w:color="468C5C" w:themeColor="accent6"/>
      </w:tblBorders>
    </w:tblPr>
    <w:tblStylePr w:type="firstRow">
      <w:rPr>
        <w:b/>
        <w:bCs/>
        <w:color w:val="FFFFFF" w:themeColor="background1"/>
      </w:rPr>
      <w:tblPr/>
      <w:tcPr>
        <w:shd w:val="clear" w:color="auto" w:fill="468C5C" w:themeFill="accent6"/>
      </w:tcPr>
    </w:tblStylePr>
    <w:tblStylePr w:type="lastRow">
      <w:rPr>
        <w:b/>
        <w:bCs/>
      </w:rPr>
      <w:tblPr/>
      <w:tcPr>
        <w:tcBorders>
          <w:top w:val="double" w:sz="4" w:space="0" w:color="468C5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8C5C" w:themeColor="accent6"/>
          <w:right w:val="single" w:sz="4" w:space="0" w:color="468C5C" w:themeColor="accent6"/>
        </w:tcBorders>
      </w:tcPr>
    </w:tblStylePr>
    <w:tblStylePr w:type="band1Horz">
      <w:tblPr/>
      <w:tcPr>
        <w:tcBorders>
          <w:top w:val="single" w:sz="4" w:space="0" w:color="468C5C" w:themeColor="accent6"/>
          <w:bottom w:val="single" w:sz="4" w:space="0" w:color="468C5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8C5C" w:themeColor="accent6"/>
          <w:left w:val="nil"/>
        </w:tcBorders>
      </w:tcPr>
    </w:tblStylePr>
    <w:tblStylePr w:type="swCell">
      <w:tblPr/>
      <w:tcPr>
        <w:tcBorders>
          <w:top w:val="double" w:sz="4" w:space="0" w:color="468C5C" w:themeColor="accent6"/>
          <w:right w:val="nil"/>
        </w:tcBorders>
      </w:tcPr>
    </w:tblStylePr>
  </w:style>
  <w:style w:type="table" w:styleId="Listetabell4">
    <w:name w:val="List Table 4"/>
    <w:basedOn w:val="Vanligtabell"/>
    <w:uiPriority w:val="49"/>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tblBorders>
    </w:tblPr>
    <w:tblStylePr w:type="firstRow">
      <w:rPr>
        <w:b/>
        <w:bCs/>
        <w:color w:val="FFFFFF" w:themeColor="background1"/>
      </w:rPr>
      <w:tblPr/>
      <w:tcPr>
        <w:tcBorders>
          <w:top w:val="single" w:sz="4" w:space="0" w:color="1C1C1C" w:themeColor="text1"/>
          <w:left w:val="single" w:sz="4" w:space="0" w:color="1C1C1C" w:themeColor="text1"/>
          <w:bottom w:val="single" w:sz="4" w:space="0" w:color="1C1C1C" w:themeColor="text1"/>
          <w:right w:val="single" w:sz="4" w:space="0" w:color="1C1C1C" w:themeColor="text1"/>
          <w:insideH w:val="nil"/>
        </w:tcBorders>
        <w:shd w:val="clear" w:color="auto" w:fill="1C1C1C" w:themeFill="text1"/>
      </w:tcPr>
    </w:tblStylePr>
    <w:tblStylePr w:type="lastRow">
      <w:rPr>
        <w:b/>
        <w:bCs/>
      </w:rPr>
      <w:tblPr/>
      <w:tcPr>
        <w:tcBorders>
          <w:top w:val="double" w:sz="4" w:space="0" w:color="767676" w:themeColor="text1" w:themeTint="99"/>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4uthevingsfarge1">
    <w:name w:val="List Table 4 Accent 1"/>
    <w:basedOn w:val="Vanligtabell"/>
    <w:uiPriority w:val="49"/>
    <w:rsid w:val="00C9172B"/>
    <w:pPr>
      <w:spacing w:line="240" w:lineRule="auto"/>
    </w:p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tblBorders>
    </w:tblPr>
    <w:tblStylePr w:type="firstRow">
      <w:rPr>
        <w:b/>
        <w:bCs/>
        <w:color w:val="FFFFFF" w:themeColor="background1"/>
      </w:rPr>
      <w:tblPr/>
      <w:tcPr>
        <w:tcBorders>
          <w:top w:val="single" w:sz="4" w:space="0" w:color="162F5C" w:themeColor="accent1"/>
          <w:left w:val="single" w:sz="4" w:space="0" w:color="162F5C" w:themeColor="accent1"/>
          <w:bottom w:val="single" w:sz="4" w:space="0" w:color="162F5C" w:themeColor="accent1"/>
          <w:right w:val="single" w:sz="4" w:space="0" w:color="162F5C" w:themeColor="accent1"/>
          <w:insideH w:val="nil"/>
        </w:tcBorders>
        <w:shd w:val="clear" w:color="auto" w:fill="162F5C" w:themeFill="accent1"/>
      </w:tcPr>
    </w:tblStylePr>
    <w:tblStylePr w:type="lastRow">
      <w:rPr>
        <w:b/>
        <w:bCs/>
      </w:rPr>
      <w:tblPr/>
      <w:tcPr>
        <w:tcBorders>
          <w:top w:val="double" w:sz="4" w:space="0" w:color="3F73D1" w:themeColor="accent1" w:themeTint="99"/>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4uthevingsfarge2">
    <w:name w:val="List Table 4 Accent 2"/>
    <w:basedOn w:val="Vanligtabell"/>
    <w:uiPriority w:val="49"/>
    <w:rsid w:val="00C9172B"/>
    <w:pPr>
      <w:spacing w:line="240" w:lineRule="auto"/>
    </w:p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tblBorders>
    </w:tblPr>
    <w:tblStylePr w:type="firstRow">
      <w:rPr>
        <w:b/>
        <w:bCs/>
        <w:color w:val="FFFFFF" w:themeColor="background1"/>
      </w:rPr>
      <w:tblPr/>
      <w:tcPr>
        <w:tcBorders>
          <w:top w:val="single" w:sz="4" w:space="0" w:color="3672B0" w:themeColor="accent2"/>
          <w:left w:val="single" w:sz="4" w:space="0" w:color="3672B0" w:themeColor="accent2"/>
          <w:bottom w:val="single" w:sz="4" w:space="0" w:color="3672B0" w:themeColor="accent2"/>
          <w:right w:val="single" w:sz="4" w:space="0" w:color="3672B0" w:themeColor="accent2"/>
          <w:insideH w:val="nil"/>
        </w:tcBorders>
        <w:shd w:val="clear" w:color="auto" w:fill="3672B0" w:themeFill="accent2"/>
      </w:tcPr>
    </w:tblStylePr>
    <w:tblStylePr w:type="lastRow">
      <w:rPr>
        <w:b/>
        <w:bCs/>
      </w:rPr>
      <w:tblPr/>
      <w:tcPr>
        <w:tcBorders>
          <w:top w:val="double" w:sz="4" w:space="0" w:color="7EAAD7" w:themeColor="accent2" w:themeTint="99"/>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4uthevingsfarge3">
    <w:name w:val="List Table 4 Accent 3"/>
    <w:basedOn w:val="Vanligtabell"/>
    <w:uiPriority w:val="49"/>
    <w:rsid w:val="00C9172B"/>
    <w:pPr>
      <w:spacing w:line="240" w:lineRule="auto"/>
    </w:p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tblBorders>
    </w:tblPr>
    <w:tblStylePr w:type="firstRow">
      <w:rPr>
        <w:b/>
        <w:bCs/>
        <w:color w:val="FFFFFF" w:themeColor="background1"/>
      </w:rPr>
      <w:tblPr/>
      <w:tcPr>
        <w:tcBorders>
          <w:top w:val="single" w:sz="4" w:space="0" w:color="23A5AF" w:themeColor="accent3"/>
          <w:left w:val="single" w:sz="4" w:space="0" w:color="23A5AF" w:themeColor="accent3"/>
          <w:bottom w:val="single" w:sz="4" w:space="0" w:color="23A5AF" w:themeColor="accent3"/>
          <w:right w:val="single" w:sz="4" w:space="0" w:color="23A5AF" w:themeColor="accent3"/>
          <w:insideH w:val="nil"/>
        </w:tcBorders>
        <w:shd w:val="clear" w:color="auto" w:fill="23A5AF" w:themeFill="accent3"/>
      </w:tcPr>
    </w:tblStylePr>
    <w:tblStylePr w:type="lastRow">
      <w:rPr>
        <w:b/>
        <w:bCs/>
      </w:rPr>
      <w:tblPr/>
      <w:tcPr>
        <w:tcBorders>
          <w:top w:val="double" w:sz="4" w:space="0" w:color="69D8E1" w:themeColor="accent3" w:themeTint="99"/>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4uthevingsfarge4">
    <w:name w:val="List Table 4 Accent 4"/>
    <w:basedOn w:val="Vanligtabell"/>
    <w:uiPriority w:val="49"/>
    <w:rsid w:val="00C9172B"/>
    <w:pPr>
      <w:spacing w:line="240" w:lineRule="auto"/>
    </w:p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tblBorders>
    </w:tblPr>
    <w:tblStylePr w:type="firstRow">
      <w:rPr>
        <w:b/>
        <w:bCs/>
        <w:color w:val="FFFFFF" w:themeColor="background1"/>
      </w:rPr>
      <w:tblPr/>
      <w:tcPr>
        <w:tcBorders>
          <w:top w:val="single" w:sz="4" w:space="0" w:color="F79646" w:themeColor="accent4"/>
          <w:left w:val="single" w:sz="4" w:space="0" w:color="F79646" w:themeColor="accent4"/>
          <w:bottom w:val="single" w:sz="4" w:space="0" w:color="F79646" w:themeColor="accent4"/>
          <w:right w:val="single" w:sz="4" w:space="0" w:color="F79646" w:themeColor="accent4"/>
          <w:insideH w:val="nil"/>
        </w:tcBorders>
        <w:shd w:val="clear" w:color="auto" w:fill="F79646" w:themeFill="accent4"/>
      </w:tcPr>
    </w:tblStylePr>
    <w:tblStylePr w:type="lastRow">
      <w:rPr>
        <w:b/>
        <w:bCs/>
      </w:rPr>
      <w:tblPr/>
      <w:tcPr>
        <w:tcBorders>
          <w:top w:val="double" w:sz="4" w:space="0" w:color="FABF8F" w:themeColor="accent4" w:themeTint="99"/>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4uthevingsfarge5">
    <w:name w:val="List Table 4 Accent 5"/>
    <w:basedOn w:val="Vanligtabell"/>
    <w:uiPriority w:val="49"/>
    <w:rsid w:val="00C9172B"/>
    <w:pPr>
      <w:spacing w:line="240" w:lineRule="auto"/>
    </w:p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tblBorders>
    </w:tblPr>
    <w:tblStylePr w:type="firstRow">
      <w:rPr>
        <w:b/>
        <w:bCs/>
        <w:color w:val="FFFFFF" w:themeColor="background1"/>
      </w:rPr>
      <w:tblPr/>
      <w:tcPr>
        <w:tcBorders>
          <w:top w:val="single" w:sz="4" w:space="0" w:color="A60E24" w:themeColor="accent5"/>
          <w:left w:val="single" w:sz="4" w:space="0" w:color="A60E24" w:themeColor="accent5"/>
          <w:bottom w:val="single" w:sz="4" w:space="0" w:color="A60E24" w:themeColor="accent5"/>
          <w:right w:val="single" w:sz="4" w:space="0" w:color="A60E24" w:themeColor="accent5"/>
          <w:insideH w:val="nil"/>
        </w:tcBorders>
        <w:shd w:val="clear" w:color="auto" w:fill="A60E24" w:themeFill="accent5"/>
      </w:tcPr>
    </w:tblStylePr>
    <w:tblStylePr w:type="lastRow">
      <w:rPr>
        <w:b/>
        <w:bCs/>
      </w:rPr>
      <w:tblPr/>
      <w:tcPr>
        <w:tcBorders>
          <w:top w:val="double" w:sz="4" w:space="0" w:color="EF485F" w:themeColor="accent5" w:themeTint="99"/>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4uthevingsfarge6">
    <w:name w:val="List Table 4 Accent 6"/>
    <w:basedOn w:val="Vanligtabell"/>
    <w:uiPriority w:val="49"/>
    <w:rsid w:val="00C9172B"/>
    <w:pPr>
      <w:spacing w:line="240" w:lineRule="auto"/>
    </w:p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tblBorders>
    </w:tblPr>
    <w:tblStylePr w:type="firstRow">
      <w:rPr>
        <w:b/>
        <w:bCs/>
        <w:color w:val="FFFFFF" w:themeColor="background1"/>
      </w:rPr>
      <w:tblPr/>
      <w:tcPr>
        <w:tcBorders>
          <w:top w:val="single" w:sz="4" w:space="0" w:color="468C5C" w:themeColor="accent6"/>
          <w:left w:val="single" w:sz="4" w:space="0" w:color="468C5C" w:themeColor="accent6"/>
          <w:bottom w:val="single" w:sz="4" w:space="0" w:color="468C5C" w:themeColor="accent6"/>
          <w:right w:val="single" w:sz="4" w:space="0" w:color="468C5C" w:themeColor="accent6"/>
          <w:insideH w:val="nil"/>
        </w:tcBorders>
        <w:shd w:val="clear" w:color="auto" w:fill="468C5C" w:themeFill="accent6"/>
      </w:tcPr>
    </w:tblStylePr>
    <w:tblStylePr w:type="lastRow">
      <w:rPr>
        <w:b/>
        <w:bCs/>
      </w:rPr>
      <w:tblPr/>
      <w:tcPr>
        <w:tcBorders>
          <w:top w:val="double" w:sz="4" w:space="0" w:color="87C399" w:themeColor="accent6" w:themeTint="99"/>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5mrk">
    <w:name w:val="List Table 5 Dark"/>
    <w:basedOn w:val="Vanligtabell"/>
    <w:uiPriority w:val="50"/>
    <w:rsid w:val="00C9172B"/>
    <w:pPr>
      <w:spacing w:line="240" w:lineRule="auto"/>
    </w:pPr>
    <w:rPr>
      <w:color w:val="FFFFFF" w:themeColor="background1"/>
    </w:rPr>
    <w:tblPr>
      <w:tblStyleRowBandSize w:val="1"/>
      <w:tblStyleColBandSize w:val="1"/>
      <w:tblBorders>
        <w:top w:val="single" w:sz="24" w:space="0" w:color="1C1C1C" w:themeColor="text1"/>
        <w:left w:val="single" w:sz="24" w:space="0" w:color="1C1C1C" w:themeColor="text1"/>
        <w:bottom w:val="single" w:sz="24" w:space="0" w:color="1C1C1C" w:themeColor="text1"/>
        <w:right w:val="single" w:sz="24" w:space="0" w:color="1C1C1C" w:themeColor="text1"/>
      </w:tblBorders>
    </w:tblPr>
    <w:tcPr>
      <w:shd w:val="clear" w:color="auto" w:fill="1C1C1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C9172B"/>
    <w:pPr>
      <w:spacing w:line="240" w:lineRule="auto"/>
    </w:pPr>
    <w:rPr>
      <w:color w:val="FFFFFF" w:themeColor="background1"/>
    </w:rPr>
    <w:tblPr>
      <w:tblStyleRowBandSize w:val="1"/>
      <w:tblStyleColBandSize w:val="1"/>
      <w:tblBorders>
        <w:top w:val="single" w:sz="24" w:space="0" w:color="162F5C" w:themeColor="accent1"/>
        <w:left w:val="single" w:sz="24" w:space="0" w:color="162F5C" w:themeColor="accent1"/>
        <w:bottom w:val="single" w:sz="24" w:space="0" w:color="162F5C" w:themeColor="accent1"/>
        <w:right w:val="single" w:sz="24" w:space="0" w:color="162F5C" w:themeColor="accent1"/>
      </w:tblBorders>
    </w:tblPr>
    <w:tcPr>
      <w:shd w:val="clear" w:color="auto" w:fill="162F5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C9172B"/>
    <w:pPr>
      <w:spacing w:line="240" w:lineRule="auto"/>
    </w:pPr>
    <w:rPr>
      <w:color w:val="FFFFFF" w:themeColor="background1"/>
    </w:rPr>
    <w:tblPr>
      <w:tblStyleRowBandSize w:val="1"/>
      <w:tblStyleColBandSize w:val="1"/>
      <w:tblBorders>
        <w:top w:val="single" w:sz="24" w:space="0" w:color="3672B0" w:themeColor="accent2"/>
        <w:left w:val="single" w:sz="24" w:space="0" w:color="3672B0" w:themeColor="accent2"/>
        <w:bottom w:val="single" w:sz="24" w:space="0" w:color="3672B0" w:themeColor="accent2"/>
        <w:right w:val="single" w:sz="24" w:space="0" w:color="3672B0" w:themeColor="accent2"/>
      </w:tblBorders>
    </w:tblPr>
    <w:tcPr>
      <w:shd w:val="clear" w:color="auto" w:fill="3672B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C9172B"/>
    <w:pPr>
      <w:spacing w:line="240" w:lineRule="auto"/>
    </w:pPr>
    <w:rPr>
      <w:color w:val="FFFFFF" w:themeColor="background1"/>
    </w:rPr>
    <w:tblPr>
      <w:tblStyleRowBandSize w:val="1"/>
      <w:tblStyleColBandSize w:val="1"/>
      <w:tblBorders>
        <w:top w:val="single" w:sz="24" w:space="0" w:color="23A5AF" w:themeColor="accent3"/>
        <w:left w:val="single" w:sz="24" w:space="0" w:color="23A5AF" w:themeColor="accent3"/>
        <w:bottom w:val="single" w:sz="24" w:space="0" w:color="23A5AF" w:themeColor="accent3"/>
        <w:right w:val="single" w:sz="24" w:space="0" w:color="23A5AF" w:themeColor="accent3"/>
      </w:tblBorders>
    </w:tblPr>
    <w:tcPr>
      <w:shd w:val="clear" w:color="auto" w:fill="23A5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C9172B"/>
    <w:pPr>
      <w:spacing w:line="240" w:lineRule="auto"/>
    </w:pPr>
    <w:rPr>
      <w:color w:val="FFFFFF" w:themeColor="background1"/>
    </w:rPr>
    <w:tblPr>
      <w:tblStyleRowBandSize w:val="1"/>
      <w:tblStyleColBandSize w:val="1"/>
      <w:tblBorders>
        <w:top w:val="single" w:sz="24" w:space="0" w:color="F79646" w:themeColor="accent4"/>
        <w:left w:val="single" w:sz="24" w:space="0" w:color="F79646" w:themeColor="accent4"/>
        <w:bottom w:val="single" w:sz="24" w:space="0" w:color="F79646" w:themeColor="accent4"/>
        <w:right w:val="single" w:sz="24" w:space="0" w:color="F79646" w:themeColor="accent4"/>
      </w:tblBorders>
    </w:tblPr>
    <w:tcPr>
      <w:shd w:val="clear" w:color="auto" w:fill="F7964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C9172B"/>
    <w:pPr>
      <w:spacing w:line="240" w:lineRule="auto"/>
    </w:pPr>
    <w:rPr>
      <w:color w:val="FFFFFF" w:themeColor="background1"/>
    </w:rPr>
    <w:tblPr>
      <w:tblStyleRowBandSize w:val="1"/>
      <w:tblStyleColBandSize w:val="1"/>
      <w:tblBorders>
        <w:top w:val="single" w:sz="24" w:space="0" w:color="A60E24" w:themeColor="accent5"/>
        <w:left w:val="single" w:sz="24" w:space="0" w:color="A60E24" w:themeColor="accent5"/>
        <w:bottom w:val="single" w:sz="24" w:space="0" w:color="A60E24" w:themeColor="accent5"/>
        <w:right w:val="single" w:sz="24" w:space="0" w:color="A60E24" w:themeColor="accent5"/>
      </w:tblBorders>
    </w:tblPr>
    <w:tcPr>
      <w:shd w:val="clear" w:color="auto" w:fill="A60E2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C9172B"/>
    <w:pPr>
      <w:spacing w:line="240" w:lineRule="auto"/>
    </w:pPr>
    <w:rPr>
      <w:color w:val="FFFFFF" w:themeColor="background1"/>
    </w:rPr>
    <w:tblPr>
      <w:tblStyleRowBandSize w:val="1"/>
      <w:tblStyleColBandSize w:val="1"/>
      <w:tblBorders>
        <w:top w:val="single" w:sz="24" w:space="0" w:color="468C5C" w:themeColor="accent6"/>
        <w:left w:val="single" w:sz="24" w:space="0" w:color="468C5C" w:themeColor="accent6"/>
        <w:bottom w:val="single" w:sz="24" w:space="0" w:color="468C5C" w:themeColor="accent6"/>
        <w:right w:val="single" w:sz="24" w:space="0" w:color="468C5C" w:themeColor="accent6"/>
      </w:tblBorders>
    </w:tblPr>
    <w:tcPr>
      <w:shd w:val="clear" w:color="auto" w:fill="468C5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C9172B"/>
    <w:pPr>
      <w:spacing w:line="240" w:lineRule="auto"/>
    </w:pPr>
    <w:tblPr>
      <w:tblStyleRowBandSize w:val="1"/>
      <w:tblStyleColBandSize w:val="1"/>
      <w:tblBorders>
        <w:top w:val="single" w:sz="4" w:space="0" w:color="1C1C1C" w:themeColor="text1"/>
        <w:bottom w:val="single" w:sz="4" w:space="0" w:color="1C1C1C" w:themeColor="text1"/>
      </w:tblBorders>
    </w:tblPr>
    <w:tblStylePr w:type="firstRow">
      <w:rPr>
        <w:b/>
        <w:bCs/>
      </w:rPr>
      <w:tblPr/>
      <w:tcPr>
        <w:tcBorders>
          <w:bottom w:val="single" w:sz="4" w:space="0" w:color="1C1C1C" w:themeColor="text1"/>
        </w:tcBorders>
      </w:tcPr>
    </w:tblStylePr>
    <w:tblStylePr w:type="lastRow">
      <w:rPr>
        <w:b/>
        <w:bCs/>
      </w:rPr>
      <w:tblPr/>
      <w:tcPr>
        <w:tcBorders>
          <w:top w:val="double" w:sz="4" w:space="0" w:color="1C1C1C" w:themeColor="text1"/>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6fargerikuthevingsfarge1">
    <w:name w:val="List Table 6 Colorful Accent 1"/>
    <w:basedOn w:val="Vanligtabell"/>
    <w:uiPriority w:val="51"/>
    <w:rsid w:val="00C9172B"/>
    <w:pPr>
      <w:spacing w:line="240" w:lineRule="auto"/>
    </w:pPr>
    <w:rPr>
      <w:color w:val="102344" w:themeColor="accent1" w:themeShade="BF"/>
    </w:rPr>
    <w:tblPr>
      <w:tblStyleRowBandSize w:val="1"/>
      <w:tblStyleColBandSize w:val="1"/>
      <w:tblBorders>
        <w:top w:val="single" w:sz="4" w:space="0" w:color="162F5C" w:themeColor="accent1"/>
        <w:bottom w:val="single" w:sz="4" w:space="0" w:color="162F5C" w:themeColor="accent1"/>
      </w:tblBorders>
    </w:tblPr>
    <w:tblStylePr w:type="firstRow">
      <w:rPr>
        <w:b/>
        <w:bCs/>
      </w:rPr>
      <w:tblPr/>
      <w:tcPr>
        <w:tcBorders>
          <w:bottom w:val="single" w:sz="4" w:space="0" w:color="162F5C" w:themeColor="accent1"/>
        </w:tcBorders>
      </w:tcPr>
    </w:tblStylePr>
    <w:tblStylePr w:type="lastRow">
      <w:rPr>
        <w:b/>
        <w:bCs/>
      </w:rPr>
      <w:tblPr/>
      <w:tcPr>
        <w:tcBorders>
          <w:top w:val="double" w:sz="4" w:space="0" w:color="162F5C" w:themeColor="accent1"/>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6fargerikuthevingsfarge2">
    <w:name w:val="List Table 6 Colorful Accent 2"/>
    <w:basedOn w:val="Vanligtabell"/>
    <w:uiPriority w:val="51"/>
    <w:rsid w:val="00C9172B"/>
    <w:pPr>
      <w:spacing w:line="240" w:lineRule="auto"/>
    </w:pPr>
    <w:rPr>
      <w:color w:val="285583" w:themeColor="accent2" w:themeShade="BF"/>
    </w:rPr>
    <w:tblPr>
      <w:tblStyleRowBandSize w:val="1"/>
      <w:tblStyleColBandSize w:val="1"/>
      <w:tblBorders>
        <w:top w:val="single" w:sz="4" w:space="0" w:color="3672B0" w:themeColor="accent2"/>
        <w:bottom w:val="single" w:sz="4" w:space="0" w:color="3672B0" w:themeColor="accent2"/>
      </w:tblBorders>
    </w:tblPr>
    <w:tblStylePr w:type="firstRow">
      <w:rPr>
        <w:b/>
        <w:bCs/>
      </w:rPr>
      <w:tblPr/>
      <w:tcPr>
        <w:tcBorders>
          <w:bottom w:val="single" w:sz="4" w:space="0" w:color="3672B0" w:themeColor="accent2"/>
        </w:tcBorders>
      </w:tcPr>
    </w:tblStylePr>
    <w:tblStylePr w:type="lastRow">
      <w:rPr>
        <w:b/>
        <w:bCs/>
      </w:rPr>
      <w:tblPr/>
      <w:tcPr>
        <w:tcBorders>
          <w:top w:val="double" w:sz="4" w:space="0" w:color="3672B0" w:themeColor="accent2"/>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6fargerikuthevingsfarge3">
    <w:name w:val="List Table 6 Colorful Accent 3"/>
    <w:basedOn w:val="Vanligtabell"/>
    <w:uiPriority w:val="51"/>
    <w:rsid w:val="00C9172B"/>
    <w:pPr>
      <w:spacing w:line="240" w:lineRule="auto"/>
    </w:pPr>
    <w:rPr>
      <w:color w:val="1A7B82" w:themeColor="accent3" w:themeShade="BF"/>
    </w:rPr>
    <w:tblPr>
      <w:tblStyleRowBandSize w:val="1"/>
      <w:tblStyleColBandSize w:val="1"/>
      <w:tblBorders>
        <w:top w:val="single" w:sz="4" w:space="0" w:color="23A5AF" w:themeColor="accent3"/>
        <w:bottom w:val="single" w:sz="4" w:space="0" w:color="23A5AF" w:themeColor="accent3"/>
      </w:tblBorders>
    </w:tblPr>
    <w:tblStylePr w:type="firstRow">
      <w:rPr>
        <w:b/>
        <w:bCs/>
      </w:rPr>
      <w:tblPr/>
      <w:tcPr>
        <w:tcBorders>
          <w:bottom w:val="single" w:sz="4" w:space="0" w:color="23A5AF" w:themeColor="accent3"/>
        </w:tcBorders>
      </w:tcPr>
    </w:tblStylePr>
    <w:tblStylePr w:type="lastRow">
      <w:rPr>
        <w:b/>
        <w:bCs/>
      </w:rPr>
      <w:tblPr/>
      <w:tcPr>
        <w:tcBorders>
          <w:top w:val="double" w:sz="4" w:space="0" w:color="23A5AF" w:themeColor="accent3"/>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6fargerikuthevingsfarge4">
    <w:name w:val="List Table 6 Colorful Accent 4"/>
    <w:basedOn w:val="Vanligtabell"/>
    <w:uiPriority w:val="51"/>
    <w:rsid w:val="00C9172B"/>
    <w:pPr>
      <w:spacing w:line="240" w:lineRule="auto"/>
    </w:pPr>
    <w:rPr>
      <w:color w:val="E36C0A" w:themeColor="accent4" w:themeShade="BF"/>
    </w:rPr>
    <w:tblPr>
      <w:tblStyleRowBandSize w:val="1"/>
      <w:tblStyleColBandSize w:val="1"/>
      <w:tblBorders>
        <w:top w:val="single" w:sz="4" w:space="0" w:color="F79646" w:themeColor="accent4"/>
        <w:bottom w:val="single" w:sz="4" w:space="0" w:color="F79646" w:themeColor="accent4"/>
      </w:tblBorders>
    </w:tblPr>
    <w:tblStylePr w:type="firstRow">
      <w:rPr>
        <w:b/>
        <w:bCs/>
      </w:rPr>
      <w:tblPr/>
      <w:tcPr>
        <w:tcBorders>
          <w:bottom w:val="single" w:sz="4" w:space="0" w:color="F79646" w:themeColor="accent4"/>
        </w:tcBorders>
      </w:tcPr>
    </w:tblStylePr>
    <w:tblStylePr w:type="lastRow">
      <w:rPr>
        <w:b/>
        <w:bCs/>
      </w:rPr>
      <w:tblPr/>
      <w:tcPr>
        <w:tcBorders>
          <w:top w:val="double" w:sz="4" w:space="0" w:color="F79646" w:themeColor="accent4"/>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6fargerikuthevingsfarge5">
    <w:name w:val="List Table 6 Colorful Accent 5"/>
    <w:basedOn w:val="Vanligtabell"/>
    <w:uiPriority w:val="51"/>
    <w:rsid w:val="00C9172B"/>
    <w:pPr>
      <w:spacing w:line="240" w:lineRule="auto"/>
    </w:pPr>
    <w:rPr>
      <w:color w:val="7C0A1A" w:themeColor="accent5" w:themeShade="BF"/>
    </w:rPr>
    <w:tblPr>
      <w:tblStyleRowBandSize w:val="1"/>
      <w:tblStyleColBandSize w:val="1"/>
      <w:tblBorders>
        <w:top w:val="single" w:sz="4" w:space="0" w:color="A60E24" w:themeColor="accent5"/>
        <w:bottom w:val="single" w:sz="4" w:space="0" w:color="A60E24" w:themeColor="accent5"/>
      </w:tblBorders>
    </w:tblPr>
    <w:tblStylePr w:type="firstRow">
      <w:rPr>
        <w:b/>
        <w:bCs/>
      </w:rPr>
      <w:tblPr/>
      <w:tcPr>
        <w:tcBorders>
          <w:bottom w:val="single" w:sz="4" w:space="0" w:color="A60E24" w:themeColor="accent5"/>
        </w:tcBorders>
      </w:tcPr>
    </w:tblStylePr>
    <w:tblStylePr w:type="lastRow">
      <w:rPr>
        <w:b/>
        <w:bCs/>
      </w:rPr>
      <w:tblPr/>
      <w:tcPr>
        <w:tcBorders>
          <w:top w:val="double" w:sz="4" w:space="0" w:color="A60E24" w:themeColor="accent5"/>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6fargerikuthevingsfarge6">
    <w:name w:val="List Table 6 Colorful Accent 6"/>
    <w:basedOn w:val="Vanligtabell"/>
    <w:uiPriority w:val="51"/>
    <w:rsid w:val="00C9172B"/>
    <w:pPr>
      <w:spacing w:line="240" w:lineRule="auto"/>
    </w:pPr>
    <w:rPr>
      <w:color w:val="346844" w:themeColor="accent6" w:themeShade="BF"/>
    </w:rPr>
    <w:tblPr>
      <w:tblStyleRowBandSize w:val="1"/>
      <w:tblStyleColBandSize w:val="1"/>
      <w:tblBorders>
        <w:top w:val="single" w:sz="4" w:space="0" w:color="468C5C" w:themeColor="accent6"/>
        <w:bottom w:val="single" w:sz="4" w:space="0" w:color="468C5C" w:themeColor="accent6"/>
      </w:tblBorders>
    </w:tblPr>
    <w:tblStylePr w:type="firstRow">
      <w:rPr>
        <w:b/>
        <w:bCs/>
      </w:rPr>
      <w:tblPr/>
      <w:tcPr>
        <w:tcBorders>
          <w:bottom w:val="single" w:sz="4" w:space="0" w:color="468C5C" w:themeColor="accent6"/>
        </w:tcBorders>
      </w:tcPr>
    </w:tblStylePr>
    <w:tblStylePr w:type="lastRow">
      <w:rPr>
        <w:b/>
        <w:bCs/>
      </w:rPr>
      <w:tblPr/>
      <w:tcPr>
        <w:tcBorders>
          <w:top w:val="double" w:sz="4" w:space="0" w:color="468C5C" w:themeColor="accent6"/>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7fargerik">
    <w:name w:val="List Table 7 Colorful"/>
    <w:basedOn w:val="Vanligtabell"/>
    <w:uiPriority w:val="52"/>
    <w:rsid w:val="00C9172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1C1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1C1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1C1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1C1C" w:themeColor="text1"/>
        </w:tcBorders>
        <w:shd w:val="clear" w:color="auto" w:fill="FFFFFF" w:themeFill="background1"/>
      </w:tcPr>
    </w:tblStylePr>
    <w:tblStylePr w:type="band1Vert">
      <w:tblPr/>
      <w:tcPr>
        <w:shd w:val="clear" w:color="auto" w:fill="D1D1D1" w:themeFill="text1" w:themeFillTint="33"/>
      </w:tcPr>
    </w:tblStylePr>
    <w:tblStylePr w:type="band1Horz">
      <w:tblPr/>
      <w:tcPr>
        <w:shd w:val="clear" w:color="auto" w:fill="D1D1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C9172B"/>
    <w:pPr>
      <w:spacing w:line="240" w:lineRule="auto"/>
    </w:pPr>
    <w:rPr>
      <w:color w:val="10234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2F5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2F5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2F5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2F5C" w:themeColor="accent1"/>
        </w:tcBorders>
        <w:shd w:val="clear" w:color="auto" w:fill="FFFFFF" w:themeFill="background1"/>
      </w:tcPr>
    </w:tblStylePr>
    <w:tblStylePr w:type="band1Vert">
      <w:tblPr/>
      <w:tcPr>
        <w:shd w:val="clear" w:color="auto" w:fill="BED0EF" w:themeFill="accent1" w:themeFillTint="33"/>
      </w:tcPr>
    </w:tblStylePr>
    <w:tblStylePr w:type="band1Horz">
      <w:tblPr/>
      <w:tcPr>
        <w:shd w:val="clear" w:color="auto" w:fill="BED0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C9172B"/>
    <w:pPr>
      <w:spacing w:line="240" w:lineRule="auto"/>
    </w:pPr>
    <w:rPr>
      <w:color w:val="2855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72B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72B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72B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72B0" w:themeColor="accent2"/>
        </w:tcBorders>
        <w:shd w:val="clear" w:color="auto" w:fill="FFFFFF" w:themeFill="background1"/>
      </w:tcPr>
    </w:tblStylePr>
    <w:tblStylePr w:type="band1Vert">
      <w:tblPr/>
      <w:tcPr>
        <w:shd w:val="clear" w:color="auto" w:fill="D4E2F2" w:themeFill="accent2" w:themeFillTint="33"/>
      </w:tcPr>
    </w:tblStylePr>
    <w:tblStylePr w:type="band1Horz">
      <w:tblPr/>
      <w:tcPr>
        <w:shd w:val="clear" w:color="auto" w:fill="D4E2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C9172B"/>
    <w:pPr>
      <w:spacing w:line="240" w:lineRule="auto"/>
    </w:pPr>
    <w:rPr>
      <w:color w:val="1A7B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A5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A5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A5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A5AF" w:themeColor="accent3"/>
        </w:tcBorders>
        <w:shd w:val="clear" w:color="auto" w:fill="FFFFFF" w:themeFill="background1"/>
      </w:tcPr>
    </w:tblStylePr>
    <w:tblStylePr w:type="band1Vert">
      <w:tblPr/>
      <w:tcPr>
        <w:shd w:val="clear" w:color="auto" w:fill="CDF2F5" w:themeFill="accent3" w:themeFillTint="33"/>
      </w:tcPr>
    </w:tblStylePr>
    <w:tblStylePr w:type="band1Horz">
      <w:tblPr/>
      <w:tcPr>
        <w:shd w:val="clear" w:color="auto" w:fill="CDF2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C9172B"/>
    <w:pPr>
      <w:spacing w:line="240" w:lineRule="auto"/>
    </w:pPr>
    <w:rPr>
      <w:color w:val="E36C0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4"/>
        </w:tcBorders>
        <w:shd w:val="clear" w:color="auto" w:fill="FFFFFF" w:themeFill="background1"/>
      </w:tcPr>
    </w:tblStylePr>
    <w:tblStylePr w:type="band1Vert">
      <w:tblPr/>
      <w:tcPr>
        <w:shd w:val="clear" w:color="auto" w:fill="FDE9D9" w:themeFill="accent4" w:themeFillTint="33"/>
      </w:tcPr>
    </w:tblStylePr>
    <w:tblStylePr w:type="band1Horz">
      <w:tblPr/>
      <w:tcPr>
        <w:shd w:val="clear" w:color="auto" w:fill="FDE9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C9172B"/>
    <w:pPr>
      <w:spacing w:line="240" w:lineRule="auto"/>
    </w:pPr>
    <w:rPr>
      <w:color w:val="7C0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0E2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0E2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0E2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0E24" w:themeColor="accent5"/>
        </w:tcBorders>
        <w:shd w:val="clear" w:color="auto" w:fill="FFFFFF" w:themeFill="background1"/>
      </w:tcPr>
    </w:tblStylePr>
    <w:tblStylePr w:type="band1Vert">
      <w:tblPr/>
      <w:tcPr>
        <w:shd w:val="clear" w:color="auto" w:fill="FAC2C9" w:themeFill="accent5" w:themeFillTint="33"/>
      </w:tcPr>
    </w:tblStylePr>
    <w:tblStylePr w:type="band1Horz">
      <w:tblPr/>
      <w:tcPr>
        <w:shd w:val="clear" w:color="auto" w:fill="FAC2C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C9172B"/>
    <w:pPr>
      <w:spacing w:line="240" w:lineRule="auto"/>
    </w:pPr>
    <w:rPr>
      <w:color w:val="34684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8C5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8C5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8C5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8C5C" w:themeColor="accent6"/>
        </w:tcBorders>
        <w:shd w:val="clear" w:color="auto" w:fill="FFFFFF" w:themeFill="background1"/>
      </w:tcPr>
    </w:tblStylePr>
    <w:tblStylePr w:type="band1Vert">
      <w:tblPr/>
      <w:tcPr>
        <w:shd w:val="clear" w:color="auto" w:fill="D7EBDD" w:themeFill="accent6" w:themeFillTint="33"/>
      </w:tcPr>
    </w:tblStylePr>
    <w:tblStylePr w:type="band1Horz">
      <w:tblPr/>
      <w:tcPr>
        <w:shd w:val="clear" w:color="auto" w:fill="D7EB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C9172B"/>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foravsnitt"/>
    <w:link w:val="Makrotekst"/>
    <w:uiPriority w:val="99"/>
    <w:semiHidden/>
    <w:rsid w:val="00B74780"/>
    <w:rPr>
      <w:rFonts w:ascii="Consolas" w:hAnsi="Consolas"/>
      <w:sz w:val="20"/>
      <w:szCs w:val="20"/>
    </w:rPr>
  </w:style>
  <w:style w:type="table" w:styleId="Middelsrutenett1">
    <w:name w:val="Medium Grid 1"/>
    <w:basedOn w:val="Vanligtabell"/>
    <w:uiPriority w:val="67"/>
    <w:semiHidden/>
    <w:unhideWhenUsed/>
    <w:rsid w:val="00C9172B"/>
    <w:pPr>
      <w:spacing w:before="0" w:line="240" w:lineRule="auto"/>
    </w:pPr>
    <w:tblPr>
      <w:tblStyleRowBandSize w:val="1"/>
      <w:tblStyleColBandSize w:val="1"/>
      <w:tbl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single" w:sz="8" w:space="0" w:color="545454" w:themeColor="text1" w:themeTint="BF"/>
        <w:insideV w:val="single" w:sz="8" w:space="0" w:color="545454" w:themeColor="text1" w:themeTint="BF"/>
      </w:tblBorders>
    </w:tblPr>
    <w:tcPr>
      <w:shd w:val="clear" w:color="auto" w:fill="C6C6C6" w:themeFill="text1" w:themeFillTint="3F"/>
    </w:tcPr>
    <w:tblStylePr w:type="firstRow">
      <w:rPr>
        <w:b/>
        <w:bCs/>
      </w:rPr>
    </w:tblStylePr>
    <w:tblStylePr w:type="lastRow">
      <w:rPr>
        <w:b/>
        <w:bCs/>
      </w:rPr>
      <w:tblPr/>
      <w:tcPr>
        <w:tcBorders>
          <w:top w:val="single" w:sz="18" w:space="0" w:color="545454" w:themeColor="text1" w:themeTint="BF"/>
        </w:tcBorders>
      </w:tcPr>
    </w:tblStylePr>
    <w:tblStylePr w:type="firstCol">
      <w:rPr>
        <w:b/>
        <w:bCs/>
      </w:rPr>
    </w:tblStylePr>
    <w:tblStylePr w:type="lastCol">
      <w:rPr>
        <w:b/>
        <w:bCs/>
      </w:rPr>
    </w:tblStylePr>
    <w:tblStylePr w:type="band1Vert">
      <w:tblPr/>
      <w:tcPr>
        <w:shd w:val="clear" w:color="auto" w:fill="8D8D8D" w:themeFill="text1" w:themeFillTint="7F"/>
      </w:tcPr>
    </w:tblStylePr>
    <w:tblStylePr w:type="band1Horz">
      <w:tblPr/>
      <w:tcPr>
        <w:shd w:val="clear" w:color="auto" w:fill="8D8D8D" w:themeFill="text1" w:themeFillTint="7F"/>
      </w:tcPr>
    </w:tblStylePr>
  </w:style>
  <w:style w:type="table" w:styleId="Middelsrutenett1uthevingsfarge1">
    <w:name w:val="Medium Grid 1 Accent 1"/>
    <w:basedOn w:val="Vanligtabell"/>
    <w:uiPriority w:val="67"/>
    <w:semiHidden/>
    <w:unhideWhenUsed/>
    <w:rsid w:val="00C9172B"/>
    <w:pPr>
      <w:spacing w:before="0" w:line="240" w:lineRule="auto"/>
    </w:pPr>
    <w:tblPr>
      <w:tblStyleRowBandSize w:val="1"/>
      <w:tblStyleColBandSize w:val="1"/>
      <w:tblBorders>
        <w:top w:val="single" w:sz="8"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single" w:sz="8" w:space="0" w:color="2957AC" w:themeColor="accent1" w:themeTint="BF"/>
        <w:insideV w:val="single" w:sz="8" w:space="0" w:color="2957AC" w:themeColor="accent1" w:themeTint="BF"/>
      </w:tblBorders>
    </w:tblPr>
    <w:tcPr>
      <w:shd w:val="clear" w:color="auto" w:fill="AFC5EC" w:themeFill="accent1" w:themeFillTint="3F"/>
    </w:tcPr>
    <w:tblStylePr w:type="firstRow">
      <w:rPr>
        <w:b/>
        <w:bCs/>
      </w:rPr>
    </w:tblStylePr>
    <w:tblStylePr w:type="lastRow">
      <w:rPr>
        <w:b/>
        <w:bCs/>
      </w:rPr>
      <w:tblPr/>
      <w:tcPr>
        <w:tcBorders>
          <w:top w:val="single" w:sz="18" w:space="0" w:color="2957AC" w:themeColor="accent1" w:themeTint="BF"/>
        </w:tcBorders>
      </w:tcPr>
    </w:tblStylePr>
    <w:tblStylePr w:type="firstCol">
      <w:rPr>
        <w:b/>
        <w:bCs/>
      </w:rPr>
    </w:tblStylePr>
    <w:tblStylePr w:type="lastCol">
      <w:rPr>
        <w:b/>
        <w:bCs/>
      </w:rPr>
    </w:tblStylePr>
    <w:tblStylePr w:type="band1Vert">
      <w:tblPr/>
      <w:tcPr>
        <w:shd w:val="clear" w:color="auto" w:fill="5F8AD9" w:themeFill="accent1" w:themeFillTint="7F"/>
      </w:tcPr>
    </w:tblStylePr>
    <w:tblStylePr w:type="band1Horz">
      <w:tblPr/>
      <w:tcPr>
        <w:shd w:val="clear" w:color="auto" w:fill="5F8AD9" w:themeFill="accent1" w:themeFillTint="7F"/>
      </w:tcPr>
    </w:tblStylePr>
  </w:style>
  <w:style w:type="table" w:styleId="Middelsrutenett1uthevingsfarge2">
    <w:name w:val="Medium Grid 1 Accent 2"/>
    <w:basedOn w:val="Vanligtabell"/>
    <w:uiPriority w:val="67"/>
    <w:semiHidden/>
    <w:unhideWhenUsed/>
    <w:rsid w:val="00C9172B"/>
    <w:pPr>
      <w:spacing w:before="0" w:line="240" w:lineRule="auto"/>
    </w:pPr>
    <w:tblPr>
      <w:tblStyleRowBandSize w:val="1"/>
      <w:tblStyleColBandSize w:val="1"/>
      <w:tblBorders>
        <w:top w:val="single" w:sz="8"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single" w:sz="8" w:space="0" w:color="5E94CD" w:themeColor="accent2" w:themeTint="BF"/>
        <w:insideV w:val="single" w:sz="8" w:space="0" w:color="5E94CD" w:themeColor="accent2" w:themeTint="BF"/>
      </w:tblBorders>
    </w:tblPr>
    <w:tcPr>
      <w:shd w:val="clear" w:color="auto" w:fill="C9DBEE" w:themeFill="accent2" w:themeFillTint="3F"/>
    </w:tcPr>
    <w:tblStylePr w:type="firstRow">
      <w:rPr>
        <w:b/>
        <w:bCs/>
      </w:rPr>
    </w:tblStylePr>
    <w:tblStylePr w:type="lastRow">
      <w:rPr>
        <w:b/>
        <w:bCs/>
      </w:rPr>
      <w:tblPr/>
      <w:tcPr>
        <w:tcBorders>
          <w:top w:val="single" w:sz="18" w:space="0" w:color="5E94CD" w:themeColor="accent2" w:themeTint="BF"/>
        </w:tcBorders>
      </w:tcPr>
    </w:tblStylePr>
    <w:tblStylePr w:type="firstCol">
      <w:rPr>
        <w:b/>
        <w:bCs/>
      </w:rPr>
    </w:tblStylePr>
    <w:tblStylePr w:type="lastCol">
      <w:rPr>
        <w:b/>
        <w:bCs/>
      </w:rPr>
    </w:tblStylePr>
    <w:tblStylePr w:type="band1Vert">
      <w:tblPr/>
      <w:tcPr>
        <w:shd w:val="clear" w:color="auto" w:fill="94B8DE" w:themeFill="accent2" w:themeFillTint="7F"/>
      </w:tcPr>
    </w:tblStylePr>
    <w:tblStylePr w:type="band1Horz">
      <w:tblPr/>
      <w:tcPr>
        <w:shd w:val="clear" w:color="auto" w:fill="94B8DE" w:themeFill="accent2" w:themeFillTint="7F"/>
      </w:tcPr>
    </w:tblStylePr>
  </w:style>
  <w:style w:type="table" w:styleId="Middelsrutenett1uthevingsfarge3">
    <w:name w:val="Medium Grid 1 Accent 3"/>
    <w:basedOn w:val="Vanligtabell"/>
    <w:uiPriority w:val="67"/>
    <w:semiHidden/>
    <w:unhideWhenUsed/>
    <w:rsid w:val="00C9172B"/>
    <w:pPr>
      <w:spacing w:before="0" w:line="240" w:lineRule="auto"/>
    </w:pPr>
    <w:tblPr>
      <w:tblStyleRowBandSize w:val="1"/>
      <w:tblStyleColBandSize w:val="1"/>
      <w:tblBorders>
        <w:top w:val="single" w:sz="8"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single" w:sz="8" w:space="0" w:color="43CED9" w:themeColor="accent3" w:themeTint="BF"/>
        <w:insideV w:val="single" w:sz="8" w:space="0" w:color="43CED9" w:themeColor="accent3" w:themeTint="BF"/>
      </w:tblBorders>
    </w:tblPr>
    <w:tcPr>
      <w:shd w:val="clear" w:color="auto" w:fill="C1EEF2" w:themeFill="accent3" w:themeFillTint="3F"/>
    </w:tcPr>
    <w:tblStylePr w:type="firstRow">
      <w:rPr>
        <w:b/>
        <w:bCs/>
      </w:rPr>
    </w:tblStylePr>
    <w:tblStylePr w:type="lastRow">
      <w:rPr>
        <w:b/>
        <w:bCs/>
      </w:rPr>
      <w:tblPr/>
      <w:tcPr>
        <w:tcBorders>
          <w:top w:val="single" w:sz="18" w:space="0" w:color="43CED9" w:themeColor="accent3" w:themeTint="BF"/>
        </w:tcBorders>
      </w:tcPr>
    </w:tblStylePr>
    <w:tblStylePr w:type="firstCol">
      <w:rPr>
        <w:b/>
        <w:bCs/>
      </w:rPr>
    </w:tblStylePr>
    <w:tblStylePr w:type="lastCol">
      <w:rPr>
        <w:b/>
        <w:bCs/>
      </w:rPr>
    </w:tblStylePr>
    <w:tblStylePr w:type="band1Vert">
      <w:tblPr/>
      <w:tcPr>
        <w:shd w:val="clear" w:color="auto" w:fill="82DEE6" w:themeFill="accent3" w:themeFillTint="7F"/>
      </w:tcPr>
    </w:tblStylePr>
    <w:tblStylePr w:type="band1Horz">
      <w:tblPr/>
      <w:tcPr>
        <w:shd w:val="clear" w:color="auto" w:fill="82DEE6" w:themeFill="accent3" w:themeFillTint="7F"/>
      </w:tcPr>
    </w:tblStylePr>
  </w:style>
  <w:style w:type="table" w:styleId="Middelsrutenett1uthevingsfarge4">
    <w:name w:val="Medium Grid 1 Accent 4"/>
    <w:basedOn w:val="Vanligtabell"/>
    <w:uiPriority w:val="67"/>
    <w:semiHidden/>
    <w:unhideWhenUsed/>
    <w:rsid w:val="00C9172B"/>
    <w:pPr>
      <w:spacing w:before="0" w:line="240" w:lineRule="auto"/>
    </w:pPr>
    <w:tblPr>
      <w:tblStyleRowBandSize w:val="1"/>
      <w:tblStyleColBandSize w:val="1"/>
      <w:tblBorders>
        <w:top w:val="single" w:sz="8"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single" w:sz="8" w:space="0" w:color="F9B074" w:themeColor="accent4" w:themeTint="BF"/>
        <w:insideV w:val="single" w:sz="8" w:space="0" w:color="F9B074" w:themeColor="accent4" w:themeTint="BF"/>
      </w:tblBorders>
    </w:tblPr>
    <w:tcPr>
      <w:shd w:val="clear" w:color="auto" w:fill="FDE4D0" w:themeFill="accent4" w:themeFillTint="3F"/>
    </w:tcPr>
    <w:tblStylePr w:type="firstRow">
      <w:rPr>
        <w:b/>
        <w:bCs/>
      </w:rPr>
    </w:tblStylePr>
    <w:tblStylePr w:type="lastRow">
      <w:rPr>
        <w:b/>
        <w:bCs/>
      </w:rPr>
      <w:tblPr/>
      <w:tcPr>
        <w:tcBorders>
          <w:top w:val="single" w:sz="18" w:space="0" w:color="F9B074" w:themeColor="accent4" w:themeTint="BF"/>
        </w:tcBorders>
      </w:tcPr>
    </w:tblStylePr>
    <w:tblStylePr w:type="firstCol">
      <w:rPr>
        <w:b/>
        <w:bCs/>
      </w:rPr>
    </w:tblStylePr>
    <w:tblStylePr w:type="lastCol">
      <w:rPr>
        <w:b/>
        <w:bCs/>
      </w:rPr>
    </w:tblStylePr>
    <w:tblStylePr w:type="band1Vert">
      <w:tblPr/>
      <w:tcPr>
        <w:shd w:val="clear" w:color="auto" w:fill="FBCAA2" w:themeFill="accent4" w:themeFillTint="7F"/>
      </w:tcPr>
    </w:tblStylePr>
    <w:tblStylePr w:type="band1Horz">
      <w:tblPr/>
      <w:tcPr>
        <w:shd w:val="clear" w:color="auto" w:fill="FBCAA2" w:themeFill="accent4" w:themeFillTint="7F"/>
      </w:tcPr>
    </w:tblStylePr>
  </w:style>
  <w:style w:type="table" w:styleId="Middelsrutenett1uthevingsfarge5">
    <w:name w:val="Medium Grid 1 Accent 5"/>
    <w:basedOn w:val="Vanligtabell"/>
    <w:uiPriority w:val="67"/>
    <w:semiHidden/>
    <w:unhideWhenUsed/>
    <w:rsid w:val="00C9172B"/>
    <w:pPr>
      <w:spacing w:before="0" w:line="240" w:lineRule="auto"/>
    </w:pPr>
    <w:tblPr>
      <w:tblStyleRowBandSize w:val="1"/>
      <w:tblStyleColBandSize w:val="1"/>
      <w:tblBorders>
        <w:top w:val="single" w:sz="8"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single" w:sz="8" w:space="0" w:color="EB1A38" w:themeColor="accent5" w:themeTint="BF"/>
        <w:insideV w:val="single" w:sz="8" w:space="0" w:color="EB1A38" w:themeColor="accent5" w:themeTint="BF"/>
      </w:tblBorders>
    </w:tblPr>
    <w:tcPr>
      <w:shd w:val="clear" w:color="auto" w:fill="F8B3BD" w:themeFill="accent5" w:themeFillTint="3F"/>
    </w:tcPr>
    <w:tblStylePr w:type="firstRow">
      <w:rPr>
        <w:b/>
        <w:bCs/>
      </w:rPr>
    </w:tblStylePr>
    <w:tblStylePr w:type="lastRow">
      <w:rPr>
        <w:b/>
        <w:bCs/>
      </w:rPr>
      <w:tblPr/>
      <w:tcPr>
        <w:tcBorders>
          <w:top w:val="single" w:sz="18" w:space="0" w:color="EB1A38" w:themeColor="accent5" w:themeTint="BF"/>
        </w:tcBorders>
      </w:tcPr>
    </w:tblStylePr>
    <w:tblStylePr w:type="firstCol">
      <w:rPr>
        <w:b/>
        <w:bCs/>
      </w:rPr>
    </w:tblStylePr>
    <w:tblStylePr w:type="lastCol">
      <w:rPr>
        <w:b/>
        <w:bCs/>
      </w:rPr>
    </w:tblStylePr>
    <w:tblStylePr w:type="band1Vert">
      <w:tblPr/>
      <w:tcPr>
        <w:shd w:val="clear" w:color="auto" w:fill="F2677A" w:themeFill="accent5" w:themeFillTint="7F"/>
      </w:tcPr>
    </w:tblStylePr>
    <w:tblStylePr w:type="band1Horz">
      <w:tblPr/>
      <w:tcPr>
        <w:shd w:val="clear" w:color="auto" w:fill="F2677A" w:themeFill="accent5" w:themeFillTint="7F"/>
      </w:tcPr>
    </w:tblStylePr>
  </w:style>
  <w:style w:type="table" w:styleId="Middelsrutenett1uthevingsfarge6">
    <w:name w:val="Medium Grid 1 Accent 6"/>
    <w:basedOn w:val="Vanligtabell"/>
    <w:uiPriority w:val="67"/>
    <w:semiHidden/>
    <w:unhideWhenUsed/>
    <w:rsid w:val="00C9172B"/>
    <w:pPr>
      <w:spacing w:before="0" w:line="240" w:lineRule="auto"/>
    </w:pPr>
    <w:tblPr>
      <w:tblStyleRowBandSize w:val="1"/>
      <w:tblStyleColBandSize w:val="1"/>
      <w:tblBorders>
        <w:top w:val="single" w:sz="8"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single" w:sz="8" w:space="0" w:color="69B480" w:themeColor="accent6" w:themeTint="BF"/>
        <w:insideV w:val="single" w:sz="8" w:space="0" w:color="69B480" w:themeColor="accent6" w:themeTint="BF"/>
      </w:tblBorders>
    </w:tblPr>
    <w:tcPr>
      <w:shd w:val="clear" w:color="auto" w:fill="CDE6D5" w:themeFill="accent6" w:themeFillTint="3F"/>
    </w:tcPr>
    <w:tblStylePr w:type="firstRow">
      <w:rPr>
        <w:b/>
        <w:bCs/>
      </w:rPr>
    </w:tblStylePr>
    <w:tblStylePr w:type="lastRow">
      <w:rPr>
        <w:b/>
        <w:bCs/>
      </w:rPr>
      <w:tblPr/>
      <w:tcPr>
        <w:tcBorders>
          <w:top w:val="single" w:sz="18" w:space="0" w:color="69B480" w:themeColor="accent6" w:themeTint="BF"/>
        </w:tcBorders>
      </w:tcPr>
    </w:tblStylePr>
    <w:tblStylePr w:type="firstCol">
      <w:rPr>
        <w:b/>
        <w:bCs/>
      </w:rPr>
    </w:tblStylePr>
    <w:tblStylePr w:type="lastCol">
      <w:rPr>
        <w:b/>
        <w:bCs/>
      </w:rPr>
    </w:tblStylePr>
    <w:tblStylePr w:type="band1Vert">
      <w:tblPr/>
      <w:tcPr>
        <w:shd w:val="clear" w:color="auto" w:fill="9BCDAA" w:themeFill="accent6" w:themeFillTint="7F"/>
      </w:tcPr>
    </w:tblStylePr>
    <w:tblStylePr w:type="band1Horz">
      <w:tblPr/>
      <w:tcPr>
        <w:shd w:val="clear" w:color="auto" w:fill="9BCDAA" w:themeFill="accent6" w:themeFillTint="7F"/>
      </w:tcPr>
    </w:tblStylePr>
  </w:style>
  <w:style w:type="table" w:styleId="Middelsrutenett2">
    <w:name w:val="Medium Grid 2"/>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cPr>
      <w:shd w:val="clear" w:color="auto" w:fill="C6C6C6" w:themeFill="text1" w:themeFillTint="3F"/>
    </w:tcPr>
    <w:tblStylePr w:type="firstRow">
      <w:rPr>
        <w:b/>
        <w:bCs/>
        <w:color w:val="1C1C1C" w:themeColor="text1"/>
      </w:rPr>
      <w:tblPr/>
      <w:tcPr>
        <w:shd w:val="clear" w:color="auto" w:fill="E8E8E8" w:themeFill="text1"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D1D1D1" w:themeFill="text1" w:themeFillTint="33"/>
      </w:tcPr>
    </w:tblStylePr>
    <w:tblStylePr w:type="band1Vert">
      <w:tblPr/>
      <w:tcPr>
        <w:shd w:val="clear" w:color="auto" w:fill="8D8D8D" w:themeFill="text1" w:themeFillTint="7F"/>
      </w:tcPr>
    </w:tblStylePr>
    <w:tblStylePr w:type="band1Horz">
      <w:tblPr/>
      <w:tcPr>
        <w:tcBorders>
          <w:insideH w:val="single" w:sz="6" w:space="0" w:color="1C1C1C" w:themeColor="text1"/>
          <w:insideV w:val="single" w:sz="6" w:space="0" w:color="1C1C1C" w:themeColor="text1"/>
        </w:tcBorders>
        <w:shd w:val="clear" w:color="auto" w:fill="8D8D8D"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insideH w:val="single" w:sz="8" w:space="0" w:color="162F5C" w:themeColor="accent1"/>
        <w:insideV w:val="single" w:sz="8" w:space="0" w:color="162F5C" w:themeColor="accent1"/>
      </w:tblBorders>
    </w:tblPr>
    <w:tcPr>
      <w:shd w:val="clear" w:color="auto" w:fill="AFC5EC" w:themeFill="accent1" w:themeFillTint="3F"/>
    </w:tcPr>
    <w:tblStylePr w:type="firstRow">
      <w:rPr>
        <w:b/>
        <w:bCs/>
        <w:color w:val="1C1C1C" w:themeColor="text1"/>
      </w:rPr>
      <w:tblPr/>
      <w:tcPr>
        <w:shd w:val="clear" w:color="auto" w:fill="DFE8F7" w:themeFill="accent1"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BED0EF" w:themeFill="accent1" w:themeFillTint="33"/>
      </w:tcPr>
    </w:tblStylePr>
    <w:tblStylePr w:type="band1Vert">
      <w:tblPr/>
      <w:tcPr>
        <w:shd w:val="clear" w:color="auto" w:fill="5F8AD9" w:themeFill="accent1" w:themeFillTint="7F"/>
      </w:tcPr>
    </w:tblStylePr>
    <w:tblStylePr w:type="band1Horz">
      <w:tblPr/>
      <w:tcPr>
        <w:tcBorders>
          <w:insideH w:val="single" w:sz="6" w:space="0" w:color="162F5C" w:themeColor="accent1"/>
          <w:insideV w:val="single" w:sz="6" w:space="0" w:color="162F5C" w:themeColor="accent1"/>
        </w:tcBorders>
        <w:shd w:val="clear" w:color="auto" w:fill="5F8AD9"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insideH w:val="single" w:sz="8" w:space="0" w:color="3672B0" w:themeColor="accent2"/>
        <w:insideV w:val="single" w:sz="8" w:space="0" w:color="3672B0" w:themeColor="accent2"/>
      </w:tblBorders>
    </w:tblPr>
    <w:tcPr>
      <w:shd w:val="clear" w:color="auto" w:fill="C9DBEE" w:themeFill="accent2" w:themeFillTint="3F"/>
    </w:tcPr>
    <w:tblStylePr w:type="firstRow">
      <w:rPr>
        <w:b/>
        <w:bCs/>
        <w:color w:val="1C1C1C" w:themeColor="text1"/>
      </w:rPr>
      <w:tblPr/>
      <w:tcPr>
        <w:shd w:val="clear" w:color="auto" w:fill="E9F1F8" w:themeFill="accent2"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D4E2F2" w:themeFill="accent2" w:themeFillTint="33"/>
      </w:tcPr>
    </w:tblStylePr>
    <w:tblStylePr w:type="band1Vert">
      <w:tblPr/>
      <w:tcPr>
        <w:shd w:val="clear" w:color="auto" w:fill="94B8DE" w:themeFill="accent2" w:themeFillTint="7F"/>
      </w:tcPr>
    </w:tblStylePr>
    <w:tblStylePr w:type="band1Horz">
      <w:tblPr/>
      <w:tcPr>
        <w:tcBorders>
          <w:insideH w:val="single" w:sz="6" w:space="0" w:color="3672B0" w:themeColor="accent2"/>
          <w:insideV w:val="single" w:sz="6" w:space="0" w:color="3672B0" w:themeColor="accent2"/>
        </w:tcBorders>
        <w:shd w:val="clear" w:color="auto" w:fill="94B8DE"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insideH w:val="single" w:sz="8" w:space="0" w:color="23A5AF" w:themeColor="accent3"/>
        <w:insideV w:val="single" w:sz="8" w:space="0" w:color="23A5AF" w:themeColor="accent3"/>
      </w:tblBorders>
    </w:tblPr>
    <w:tcPr>
      <w:shd w:val="clear" w:color="auto" w:fill="C1EEF2" w:themeFill="accent3" w:themeFillTint="3F"/>
    </w:tcPr>
    <w:tblStylePr w:type="firstRow">
      <w:rPr>
        <w:b/>
        <w:bCs/>
        <w:color w:val="1C1C1C" w:themeColor="text1"/>
      </w:rPr>
      <w:tblPr/>
      <w:tcPr>
        <w:shd w:val="clear" w:color="auto" w:fill="E6F8FA" w:themeFill="accent3"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CDF2F5" w:themeFill="accent3" w:themeFillTint="33"/>
      </w:tcPr>
    </w:tblStylePr>
    <w:tblStylePr w:type="band1Vert">
      <w:tblPr/>
      <w:tcPr>
        <w:shd w:val="clear" w:color="auto" w:fill="82DEE6" w:themeFill="accent3" w:themeFillTint="7F"/>
      </w:tcPr>
    </w:tblStylePr>
    <w:tblStylePr w:type="band1Horz">
      <w:tblPr/>
      <w:tcPr>
        <w:tcBorders>
          <w:insideH w:val="single" w:sz="6" w:space="0" w:color="23A5AF" w:themeColor="accent3"/>
          <w:insideV w:val="single" w:sz="6" w:space="0" w:color="23A5AF" w:themeColor="accent3"/>
        </w:tcBorders>
        <w:shd w:val="clear" w:color="auto" w:fill="82DEE6"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insideH w:val="single" w:sz="8" w:space="0" w:color="F79646" w:themeColor="accent4"/>
        <w:insideV w:val="single" w:sz="8" w:space="0" w:color="F79646" w:themeColor="accent4"/>
      </w:tblBorders>
    </w:tblPr>
    <w:tcPr>
      <w:shd w:val="clear" w:color="auto" w:fill="FDE4D0" w:themeFill="accent4" w:themeFillTint="3F"/>
    </w:tcPr>
    <w:tblStylePr w:type="firstRow">
      <w:rPr>
        <w:b/>
        <w:bCs/>
        <w:color w:val="1C1C1C" w:themeColor="text1"/>
      </w:rPr>
      <w:tblPr/>
      <w:tcPr>
        <w:shd w:val="clear" w:color="auto" w:fill="FEF4EC" w:themeFill="accent4"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FDE9D9" w:themeFill="accent4" w:themeFillTint="33"/>
      </w:tcPr>
    </w:tblStylePr>
    <w:tblStylePr w:type="band1Vert">
      <w:tblPr/>
      <w:tcPr>
        <w:shd w:val="clear" w:color="auto" w:fill="FBCAA2" w:themeFill="accent4" w:themeFillTint="7F"/>
      </w:tcPr>
    </w:tblStylePr>
    <w:tblStylePr w:type="band1Horz">
      <w:tblPr/>
      <w:tcPr>
        <w:tcBorders>
          <w:insideH w:val="single" w:sz="6" w:space="0" w:color="F79646" w:themeColor="accent4"/>
          <w:insideV w:val="single" w:sz="6" w:space="0" w:color="F79646" w:themeColor="accent4"/>
        </w:tcBorders>
        <w:shd w:val="clear" w:color="auto" w:fill="FBCAA2"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insideH w:val="single" w:sz="8" w:space="0" w:color="A60E24" w:themeColor="accent5"/>
        <w:insideV w:val="single" w:sz="8" w:space="0" w:color="A60E24" w:themeColor="accent5"/>
      </w:tblBorders>
    </w:tblPr>
    <w:tcPr>
      <w:shd w:val="clear" w:color="auto" w:fill="F8B3BD" w:themeFill="accent5" w:themeFillTint="3F"/>
    </w:tcPr>
    <w:tblStylePr w:type="firstRow">
      <w:rPr>
        <w:b/>
        <w:bCs/>
        <w:color w:val="1C1C1C" w:themeColor="text1"/>
      </w:rPr>
      <w:tblPr/>
      <w:tcPr>
        <w:shd w:val="clear" w:color="auto" w:fill="FCE0E4" w:themeFill="accent5"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FAC2C9" w:themeFill="accent5" w:themeFillTint="33"/>
      </w:tcPr>
    </w:tblStylePr>
    <w:tblStylePr w:type="band1Vert">
      <w:tblPr/>
      <w:tcPr>
        <w:shd w:val="clear" w:color="auto" w:fill="F2677A" w:themeFill="accent5" w:themeFillTint="7F"/>
      </w:tcPr>
    </w:tblStylePr>
    <w:tblStylePr w:type="band1Horz">
      <w:tblPr/>
      <w:tcPr>
        <w:tcBorders>
          <w:insideH w:val="single" w:sz="6" w:space="0" w:color="A60E24" w:themeColor="accent5"/>
          <w:insideV w:val="single" w:sz="6" w:space="0" w:color="A60E24" w:themeColor="accent5"/>
        </w:tcBorders>
        <w:shd w:val="clear" w:color="auto" w:fill="F2677A"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insideH w:val="single" w:sz="8" w:space="0" w:color="468C5C" w:themeColor="accent6"/>
        <w:insideV w:val="single" w:sz="8" w:space="0" w:color="468C5C" w:themeColor="accent6"/>
      </w:tblBorders>
    </w:tblPr>
    <w:tcPr>
      <w:shd w:val="clear" w:color="auto" w:fill="CDE6D5" w:themeFill="accent6" w:themeFillTint="3F"/>
    </w:tcPr>
    <w:tblStylePr w:type="firstRow">
      <w:rPr>
        <w:b/>
        <w:bCs/>
        <w:color w:val="1C1C1C" w:themeColor="text1"/>
      </w:rPr>
      <w:tblPr/>
      <w:tcPr>
        <w:shd w:val="clear" w:color="auto" w:fill="EBF5EE" w:themeFill="accent6"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D7EBDD" w:themeFill="accent6" w:themeFillTint="33"/>
      </w:tcPr>
    </w:tblStylePr>
    <w:tblStylePr w:type="band1Vert">
      <w:tblPr/>
      <w:tcPr>
        <w:shd w:val="clear" w:color="auto" w:fill="9BCDAA" w:themeFill="accent6" w:themeFillTint="7F"/>
      </w:tcPr>
    </w:tblStylePr>
    <w:tblStylePr w:type="band1Horz">
      <w:tblPr/>
      <w:tcPr>
        <w:tcBorders>
          <w:insideH w:val="single" w:sz="6" w:space="0" w:color="468C5C" w:themeColor="accent6"/>
          <w:insideV w:val="single" w:sz="6" w:space="0" w:color="468C5C" w:themeColor="accent6"/>
        </w:tcBorders>
        <w:shd w:val="clear" w:color="auto" w:fill="9BCDAA"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C6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1C1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1C1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1C1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1C1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8D8D"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8D8D" w:themeFill="text1" w:themeFillTint="7F"/>
      </w:tcPr>
    </w:tblStylePr>
  </w:style>
  <w:style w:type="table" w:styleId="Middelsrutenett3uthevingsfarge1">
    <w:name w:val="Medium Grid 3 Accent 1"/>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C5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2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2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2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2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8A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8AD9" w:themeFill="accent1" w:themeFillTint="7F"/>
      </w:tcPr>
    </w:tblStylePr>
  </w:style>
  <w:style w:type="table" w:styleId="Middelsrutenett3uthevingsfarge2">
    <w:name w:val="Medium Grid 3 Accent 2"/>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72B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72B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72B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72B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B8D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B8DE" w:themeFill="accent2" w:themeFillTint="7F"/>
      </w:tcPr>
    </w:tblStylePr>
  </w:style>
  <w:style w:type="table" w:styleId="Middelsrutenett3uthevingsfarge3">
    <w:name w:val="Medium Grid 3 Accent 3"/>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E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A5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A5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A5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A5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DEE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DEE6" w:themeFill="accent3" w:themeFillTint="7F"/>
      </w:tcPr>
    </w:tblStylePr>
  </w:style>
  <w:style w:type="table" w:styleId="Middelsrutenett3uthevingsfarge4">
    <w:name w:val="Medium Grid 3 Accent 4"/>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4" w:themeFillTint="7F"/>
      </w:tcPr>
    </w:tblStylePr>
  </w:style>
  <w:style w:type="table" w:styleId="Middelsrutenett3uthevingsfarge5">
    <w:name w:val="Medium Grid 3 Accent 5"/>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3B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0E2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0E2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0E2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0E2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677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677A" w:themeFill="accent5" w:themeFillTint="7F"/>
      </w:tcPr>
    </w:tblStylePr>
  </w:style>
  <w:style w:type="table" w:styleId="Middelsrutenett3uthevingsfarge6">
    <w:name w:val="Medium Grid 3 Accent 6"/>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6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8C5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8C5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8C5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8C5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CDA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CDAA" w:themeFill="accent6" w:themeFillTint="7F"/>
      </w:tcPr>
    </w:tblStylePr>
  </w:style>
  <w:style w:type="table" w:styleId="Middelsliste1">
    <w:name w:val="Medium List 1"/>
    <w:basedOn w:val="Vanligtabell"/>
    <w:uiPriority w:val="65"/>
    <w:semiHidden/>
    <w:unhideWhenUsed/>
    <w:rsid w:val="00C9172B"/>
    <w:pPr>
      <w:spacing w:before="0" w:line="240" w:lineRule="auto"/>
    </w:pPr>
    <w:tblPr>
      <w:tblStyleRowBandSize w:val="1"/>
      <w:tblStyleColBandSize w:val="1"/>
      <w:tblBorders>
        <w:top w:val="single" w:sz="8" w:space="0" w:color="1C1C1C" w:themeColor="text1"/>
        <w:bottom w:val="single" w:sz="8" w:space="0" w:color="1C1C1C" w:themeColor="text1"/>
      </w:tblBorders>
    </w:tblPr>
    <w:tblStylePr w:type="firstRow">
      <w:rPr>
        <w:rFonts w:asciiTheme="majorHAnsi" w:eastAsiaTheme="majorEastAsia" w:hAnsiTheme="majorHAnsi" w:cstheme="majorBidi"/>
      </w:rPr>
      <w:tblPr/>
      <w:tcPr>
        <w:tcBorders>
          <w:top w:val="nil"/>
          <w:bottom w:val="single" w:sz="8" w:space="0" w:color="1C1C1C" w:themeColor="text1"/>
        </w:tcBorders>
      </w:tcPr>
    </w:tblStylePr>
    <w:tblStylePr w:type="lastRow">
      <w:rPr>
        <w:b/>
        <w:bCs/>
        <w:color w:val="555555" w:themeColor="text2"/>
      </w:rPr>
      <w:tblPr/>
      <w:tcPr>
        <w:tcBorders>
          <w:top w:val="single" w:sz="8" w:space="0" w:color="1C1C1C" w:themeColor="text1"/>
          <w:bottom w:val="single" w:sz="8" w:space="0" w:color="1C1C1C" w:themeColor="text1"/>
        </w:tcBorders>
      </w:tcPr>
    </w:tblStylePr>
    <w:tblStylePr w:type="firstCol">
      <w:rPr>
        <w:b/>
        <w:bCs/>
      </w:rPr>
    </w:tblStylePr>
    <w:tblStylePr w:type="lastCol">
      <w:rPr>
        <w:b/>
        <w:bCs/>
      </w:rPr>
      <w:tblPr/>
      <w:tcPr>
        <w:tcBorders>
          <w:top w:val="single" w:sz="8" w:space="0" w:color="1C1C1C" w:themeColor="text1"/>
          <w:bottom w:val="single" w:sz="8" w:space="0" w:color="1C1C1C" w:themeColor="text1"/>
        </w:tcBorders>
      </w:tcPr>
    </w:tblStylePr>
    <w:tblStylePr w:type="band1Vert">
      <w:tblPr/>
      <w:tcPr>
        <w:shd w:val="clear" w:color="auto" w:fill="C6C6C6" w:themeFill="text1" w:themeFillTint="3F"/>
      </w:tcPr>
    </w:tblStylePr>
    <w:tblStylePr w:type="band1Horz">
      <w:tblPr/>
      <w:tcPr>
        <w:shd w:val="clear" w:color="auto" w:fill="C6C6C6" w:themeFill="text1" w:themeFillTint="3F"/>
      </w:tcPr>
    </w:tblStylePr>
  </w:style>
  <w:style w:type="table" w:styleId="Middelsliste1uthevingsfarge1">
    <w:name w:val="Medium List 1 Accent 1"/>
    <w:basedOn w:val="Vanligtabell"/>
    <w:uiPriority w:val="65"/>
    <w:semiHidden/>
    <w:unhideWhenUsed/>
    <w:rsid w:val="00C9172B"/>
    <w:pPr>
      <w:spacing w:before="0" w:line="240" w:lineRule="auto"/>
    </w:pPr>
    <w:tblPr>
      <w:tblStyleRowBandSize w:val="1"/>
      <w:tblStyleColBandSize w:val="1"/>
      <w:tblBorders>
        <w:top w:val="single" w:sz="8" w:space="0" w:color="162F5C" w:themeColor="accent1"/>
        <w:bottom w:val="single" w:sz="8" w:space="0" w:color="162F5C" w:themeColor="accent1"/>
      </w:tblBorders>
    </w:tblPr>
    <w:tblStylePr w:type="firstRow">
      <w:rPr>
        <w:rFonts w:asciiTheme="majorHAnsi" w:eastAsiaTheme="majorEastAsia" w:hAnsiTheme="majorHAnsi" w:cstheme="majorBidi"/>
      </w:rPr>
      <w:tblPr/>
      <w:tcPr>
        <w:tcBorders>
          <w:top w:val="nil"/>
          <w:bottom w:val="single" w:sz="8" w:space="0" w:color="162F5C" w:themeColor="accent1"/>
        </w:tcBorders>
      </w:tcPr>
    </w:tblStylePr>
    <w:tblStylePr w:type="lastRow">
      <w:rPr>
        <w:b/>
        <w:bCs/>
        <w:color w:val="555555" w:themeColor="text2"/>
      </w:rPr>
      <w:tblPr/>
      <w:tcPr>
        <w:tcBorders>
          <w:top w:val="single" w:sz="8" w:space="0" w:color="162F5C" w:themeColor="accent1"/>
          <w:bottom w:val="single" w:sz="8" w:space="0" w:color="162F5C" w:themeColor="accent1"/>
        </w:tcBorders>
      </w:tcPr>
    </w:tblStylePr>
    <w:tblStylePr w:type="firstCol">
      <w:rPr>
        <w:b/>
        <w:bCs/>
      </w:rPr>
    </w:tblStylePr>
    <w:tblStylePr w:type="lastCol">
      <w:rPr>
        <w:b/>
        <w:bCs/>
      </w:rPr>
      <w:tblPr/>
      <w:tcPr>
        <w:tcBorders>
          <w:top w:val="single" w:sz="8" w:space="0" w:color="162F5C" w:themeColor="accent1"/>
          <w:bottom w:val="single" w:sz="8" w:space="0" w:color="162F5C" w:themeColor="accent1"/>
        </w:tcBorders>
      </w:tcPr>
    </w:tblStylePr>
    <w:tblStylePr w:type="band1Vert">
      <w:tblPr/>
      <w:tcPr>
        <w:shd w:val="clear" w:color="auto" w:fill="AFC5EC" w:themeFill="accent1" w:themeFillTint="3F"/>
      </w:tcPr>
    </w:tblStylePr>
    <w:tblStylePr w:type="band1Horz">
      <w:tblPr/>
      <w:tcPr>
        <w:shd w:val="clear" w:color="auto" w:fill="AFC5EC" w:themeFill="accent1" w:themeFillTint="3F"/>
      </w:tcPr>
    </w:tblStylePr>
  </w:style>
  <w:style w:type="table" w:styleId="Middelsliste1uthevingsfarge2">
    <w:name w:val="Medium List 1 Accent 2"/>
    <w:basedOn w:val="Vanligtabell"/>
    <w:uiPriority w:val="65"/>
    <w:semiHidden/>
    <w:unhideWhenUsed/>
    <w:rsid w:val="00C9172B"/>
    <w:pPr>
      <w:spacing w:before="0" w:line="240" w:lineRule="auto"/>
    </w:pPr>
    <w:tblPr>
      <w:tblStyleRowBandSize w:val="1"/>
      <w:tblStyleColBandSize w:val="1"/>
      <w:tblBorders>
        <w:top w:val="single" w:sz="8" w:space="0" w:color="3672B0" w:themeColor="accent2"/>
        <w:bottom w:val="single" w:sz="8" w:space="0" w:color="3672B0" w:themeColor="accent2"/>
      </w:tblBorders>
    </w:tblPr>
    <w:tblStylePr w:type="firstRow">
      <w:rPr>
        <w:rFonts w:asciiTheme="majorHAnsi" w:eastAsiaTheme="majorEastAsia" w:hAnsiTheme="majorHAnsi" w:cstheme="majorBidi"/>
      </w:rPr>
      <w:tblPr/>
      <w:tcPr>
        <w:tcBorders>
          <w:top w:val="nil"/>
          <w:bottom w:val="single" w:sz="8" w:space="0" w:color="3672B0" w:themeColor="accent2"/>
        </w:tcBorders>
      </w:tcPr>
    </w:tblStylePr>
    <w:tblStylePr w:type="lastRow">
      <w:rPr>
        <w:b/>
        <w:bCs/>
        <w:color w:val="555555" w:themeColor="text2"/>
      </w:rPr>
      <w:tblPr/>
      <w:tcPr>
        <w:tcBorders>
          <w:top w:val="single" w:sz="8" w:space="0" w:color="3672B0" w:themeColor="accent2"/>
          <w:bottom w:val="single" w:sz="8" w:space="0" w:color="3672B0" w:themeColor="accent2"/>
        </w:tcBorders>
      </w:tcPr>
    </w:tblStylePr>
    <w:tblStylePr w:type="firstCol">
      <w:rPr>
        <w:b/>
        <w:bCs/>
      </w:rPr>
    </w:tblStylePr>
    <w:tblStylePr w:type="lastCol">
      <w:rPr>
        <w:b/>
        <w:bCs/>
      </w:rPr>
      <w:tblPr/>
      <w:tcPr>
        <w:tcBorders>
          <w:top w:val="single" w:sz="8" w:space="0" w:color="3672B0" w:themeColor="accent2"/>
          <w:bottom w:val="single" w:sz="8" w:space="0" w:color="3672B0" w:themeColor="accent2"/>
        </w:tcBorders>
      </w:tcPr>
    </w:tblStylePr>
    <w:tblStylePr w:type="band1Vert">
      <w:tblPr/>
      <w:tcPr>
        <w:shd w:val="clear" w:color="auto" w:fill="C9DBEE" w:themeFill="accent2" w:themeFillTint="3F"/>
      </w:tcPr>
    </w:tblStylePr>
    <w:tblStylePr w:type="band1Horz">
      <w:tblPr/>
      <w:tcPr>
        <w:shd w:val="clear" w:color="auto" w:fill="C9DBEE" w:themeFill="accent2" w:themeFillTint="3F"/>
      </w:tcPr>
    </w:tblStylePr>
  </w:style>
  <w:style w:type="table" w:styleId="Middelsliste1uthevingsfarge3">
    <w:name w:val="Medium List 1 Accent 3"/>
    <w:basedOn w:val="Vanligtabell"/>
    <w:uiPriority w:val="65"/>
    <w:semiHidden/>
    <w:unhideWhenUsed/>
    <w:rsid w:val="00C9172B"/>
    <w:pPr>
      <w:spacing w:before="0" w:line="240" w:lineRule="auto"/>
    </w:pPr>
    <w:tblPr>
      <w:tblStyleRowBandSize w:val="1"/>
      <w:tblStyleColBandSize w:val="1"/>
      <w:tblBorders>
        <w:top w:val="single" w:sz="8" w:space="0" w:color="23A5AF" w:themeColor="accent3"/>
        <w:bottom w:val="single" w:sz="8" w:space="0" w:color="23A5AF" w:themeColor="accent3"/>
      </w:tblBorders>
    </w:tblPr>
    <w:tblStylePr w:type="firstRow">
      <w:rPr>
        <w:rFonts w:asciiTheme="majorHAnsi" w:eastAsiaTheme="majorEastAsia" w:hAnsiTheme="majorHAnsi" w:cstheme="majorBidi"/>
      </w:rPr>
      <w:tblPr/>
      <w:tcPr>
        <w:tcBorders>
          <w:top w:val="nil"/>
          <w:bottom w:val="single" w:sz="8" w:space="0" w:color="23A5AF" w:themeColor="accent3"/>
        </w:tcBorders>
      </w:tcPr>
    </w:tblStylePr>
    <w:tblStylePr w:type="lastRow">
      <w:rPr>
        <w:b/>
        <w:bCs/>
        <w:color w:val="555555" w:themeColor="text2"/>
      </w:rPr>
      <w:tblPr/>
      <w:tcPr>
        <w:tcBorders>
          <w:top w:val="single" w:sz="8" w:space="0" w:color="23A5AF" w:themeColor="accent3"/>
          <w:bottom w:val="single" w:sz="8" w:space="0" w:color="23A5AF" w:themeColor="accent3"/>
        </w:tcBorders>
      </w:tcPr>
    </w:tblStylePr>
    <w:tblStylePr w:type="firstCol">
      <w:rPr>
        <w:b/>
        <w:bCs/>
      </w:rPr>
    </w:tblStylePr>
    <w:tblStylePr w:type="lastCol">
      <w:rPr>
        <w:b/>
        <w:bCs/>
      </w:rPr>
      <w:tblPr/>
      <w:tcPr>
        <w:tcBorders>
          <w:top w:val="single" w:sz="8" w:space="0" w:color="23A5AF" w:themeColor="accent3"/>
          <w:bottom w:val="single" w:sz="8" w:space="0" w:color="23A5AF" w:themeColor="accent3"/>
        </w:tcBorders>
      </w:tcPr>
    </w:tblStylePr>
    <w:tblStylePr w:type="band1Vert">
      <w:tblPr/>
      <w:tcPr>
        <w:shd w:val="clear" w:color="auto" w:fill="C1EEF2" w:themeFill="accent3" w:themeFillTint="3F"/>
      </w:tcPr>
    </w:tblStylePr>
    <w:tblStylePr w:type="band1Horz">
      <w:tblPr/>
      <w:tcPr>
        <w:shd w:val="clear" w:color="auto" w:fill="C1EEF2" w:themeFill="accent3" w:themeFillTint="3F"/>
      </w:tcPr>
    </w:tblStylePr>
  </w:style>
  <w:style w:type="table" w:styleId="Middelsliste1uthevingsfarge4">
    <w:name w:val="Medium List 1 Accent 4"/>
    <w:basedOn w:val="Vanligtabell"/>
    <w:uiPriority w:val="65"/>
    <w:semiHidden/>
    <w:unhideWhenUsed/>
    <w:rsid w:val="00C9172B"/>
    <w:pPr>
      <w:spacing w:before="0" w:line="240" w:lineRule="auto"/>
    </w:pPr>
    <w:tblPr>
      <w:tblStyleRowBandSize w:val="1"/>
      <w:tblStyleColBandSize w:val="1"/>
      <w:tblBorders>
        <w:top w:val="single" w:sz="8" w:space="0" w:color="F79646" w:themeColor="accent4"/>
        <w:bottom w:val="single" w:sz="8" w:space="0" w:color="F79646" w:themeColor="accent4"/>
      </w:tblBorders>
    </w:tblPr>
    <w:tblStylePr w:type="firstRow">
      <w:rPr>
        <w:rFonts w:asciiTheme="majorHAnsi" w:eastAsiaTheme="majorEastAsia" w:hAnsiTheme="majorHAnsi" w:cstheme="majorBidi"/>
      </w:rPr>
      <w:tblPr/>
      <w:tcPr>
        <w:tcBorders>
          <w:top w:val="nil"/>
          <w:bottom w:val="single" w:sz="8" w:space="0" w:color="F79646" w:themeColor="accent4"/>
        </w:tcBorders>
      </w:tcPr>
    </w:tblStylePr>
    <w:tblStylePr w:type="lastRow">
      <w:rPr>
        <w:b/>
        <w:bCs/>
        <w:color w:val="555555" w:themeColor="text2"/>
      </w:rPr>
      <w:tblPr/>
      <w:tcPr>
        <w:tcBorders>
          <w:top w:val="single" w:sz="8" w:space="0" w:color="F79646" w:themeColor="accent4"/>
          <w:bottom w:val="single" w:sz="8" w:space="0" w:color="F79646" w:themeColor="accent4"/>
        </w:tcBorders>
      </w:tcPr>
    </w:tblStylePr>
    <w:tblStylePr w:type="firstCol">
      <w:rPr>
        <w:b/>
        <w:bCs/>
      </w:rPr>
    </w:tblStylePr>
    <w:tblStylePr w:type="lastCol">
      <w:rPr>
        <w:b/>
        <w:bCs/>
      </w:rPr>
      <w:tblPr/>
      <w:tcPr>
        <w:tcBorders>
          <w:top w:val="single" w:sz="8" w:space="0" w:color="F79646" w:themeColor="accent4"/>
          <w:bottom w:val="single" w:sz="8" w:space="0" w:color="F79646" w:themeColor="accent4"/>
        </w:tcBorders>
      </w:tcPr>
    </w:tblStylePr>
    <w:tblStylePr w:type="band1Vert">
      <w:tblPr/>
      <w:tcPr>
        <w:shd w:val="clear" w:color="auto" w:fill="FDE4D0" w:themeFill="accent4" w:themeFillTint="3F"/>
      </w:tcPr>
    </w:tblStylePr>
    <w:tblStylePr w:type="band1Horz">
      <w:tblPr/>
      <w:tcPr>
        <w:shd w:val="clear" w:color="auto" w:fill="FDE4D0" w:themeFill="accent4" w:themeFillTint="3F"/>
      </w:tcPr>
    </w:tblStylePr>
  </w:style>
  <w:style w:type="table" w:styleId="Middelsliste1uthevingsfarge5">
    <w:name w:val="Medium List 1 Accent 5"/>
    <w:basedOn w:val="Vanligtabell"/>
    <w:uiPriority w:val="65"/>
    <w:semiHidden/>
    <w:unhideWhenUsed/>
    <w:rsid w:val="00C9172B"/>
    <w:pPr>
      <w:spacing w:before="0" w:line="240" w:lineRule="auto"/>
    </w:pPr>
    <w:tblPr>
      <w:tblStyleRowBandSize w:val="1"/>
      <w:tblStyleColBandSize w:val="1"/>
      <w:tblBorders>
        <w:top w:val="single" w:sz="8" w:space="0" w:color="A60E24" w:themeColor="accent5"/>
        <w:bottom w:val="single" w:sz="8" w:space="0" w:color="A60E24" w:themeColor="accent5"/>
      </w:tblBorders>
    </w:tblPr>
    <w:tblStylePr w:type="firstRow">
      <w:rPr>
        <w:rFonts w:asciiTheme="majorHAnsi" w:eastAsiaTheme="majorEastAsia" w:hAnsiTheme="majorHAnsi" w:cstheme="majorBidi"/>
      </w:rPr>
      <w:tblPr/>
      <w:tcPr>
        <w:tcBorders>
          <w:top w:val="nil"/>
          <w:bottom w:val="single" w:sz="8" w:space="0" w:color="A60E24" w:themeColor="accent5"/>
        </w:tcBorders>
      </w:tcPr>
    </w:tblStylePr>
    <w:tblStylePr w:type="lastRow">
      <w:rPr>
        <w:b/>
        <w:bCs/>
        <w:color w:val="555555" w:themeColor="text2"/>
      </w:rPr>
      <w:tblPr/>
      <w:tcPr>
        <w:tcBorders>
          <w:top w:val="single" w:sz="8" w:space="0" w:color="A60E24" w:themeColor="accent5"/>
          <w:bottom w:val="single" w:sz="8" w:space="0" w:color="A60E24" w:themeColor="accent5"/>
        </w:tcBorders>
      </w:tcPr>
    </w:tblStylePr>
    <w:tblStylePr w:type="firstCol">
      <w:rPr>
        <w:b/>
        <w:bCs/>
      </w:rPr>
    </w:tblStylePr>
    <w:tblStylePr w:type="lastCol">
      <w:rPr>
        <w:b/>
        <w:bCs/>
      </w:rPr>
      <w:tblPr/>
      <w:tcPr>
        <w:tcBorders>
          <w:top w:val="single" w:sz="8" w:space="0" w:color="A60E24" w:themeColor="accent5"/>
          <w:bottom w:val="single" w:sz="8" w:space="0" w:color="A60E24" w:themeColor="accent5"/>
        </w:tcBorders>
      </w:tcPr>
    </w:tblStylePr>
    <w:tblStylePr w:type="band1Vert">
      <w:tblPr/>
      <w:tcPr>
        <w:shd w:val="clear" w:color="auto" w:fill="F8B3BD" w:themeFill="accent5" w:themeFillTint="3F"/>
      </w:tcPr>
    </w:tblStylePr>
    <w:tblStylePr w:type="band1Horz">
      <w:tblPr/>
      <w:tcPr>
        <w:shd w:val="clear" w:color="auto" w:fill="F8B3BD" w:themeFill="accent5" w:themeFillTint="3F"/>
      </w:tcPr>
    </w:tblStylePr>
  </w:style>
  <w:style w:type="table" w:styleId="Middelsliste1uthevingsfarge6">
    <w:name w:val="Medium List 1 Accent 6"/>
    <w:basedOn w:val="Vanligtabell"/>
    <w:uiPriority w:val="65"/>
    <w:semiHidden/>
    <w:unhideWhenUsed/>
    <w:rsid w:val="00C9172B"/>
    <w:pPr>
      <w:spacing w:before="0" w:line="240" w:lineRule="auto"/>
    </w:pPr>
    <w:tblPr>
      <w:tblStyleRowBandSize w:val="1"/>
      <w:tblStyleColBandSize w:val="1"/>
      <w:tblBorders>
        <w:top w:val="single" w:sz="8" w:space="0" w:color="468C5C" w:themeColor="accent6"/>
        <w:bottom w:val="single" w:sz="8" w:space="0" w:color="468C5C" w:themeColor="accent6"/>
      </w:tblBorders>
    </w:tblPr>
    <w:tblStylePr w:type="firstRow">
      <w:rPr>
        <w:rFonts w:asciiTheme="majorHAnsi" w:eastAsiaTheme="majorEastAsia" w:hAnsiTheme="majorHAnsi" w:cstheme="majorBidi"/>
      </w:rPr>
      <w:tblPr/>
      <w:tcPr>
        <w:tcBorders>
          <w:top w:val="nil"/>
          <w:bottom w:val="single" w:sz="8" w:space="0" w:color="468C5C" w:themeColor="accent6"/>
        </w:tcBorders>
      </w:tcPr>
    </w:tblStylePr>
    <w:tblStylePr w:type="lastRow">
      <w:rPr>
        <w:b/>
        <w:bCs/>
        <w:color w:val="555555" w:themeColor="text2"/>
      </w:rPr>
      <w:tblPr/>
      <w:tcPr>
        <w:tcBorders>
          <w:top w:val="single" w:sz="8" w:space="0" w:color="468C5C" w:themeColor="accent6"/>
          <w:bottom w:val="single" w:sz="8" w:space="0" w:color="468C5C" w:themeColor="accent6"/>
        </w:tcBorders>
      </w:tcPr>
    </w:tblStylePr>
    <w:tblStylePr w:type="firstCol">
      <w:rPr>
        <w:b/>
        <w:bCs/>
      </w:rPr>
    </w:tblStylePr>
    <w:tblStylePr w:type="lastCol">
      <w:rPr>
        <w:b/>
        <w:bCs/>
      </w:rPr>
      <w:tblPr/>
      <w:tcPr>
        <w:tcBorders>
          <w:top w:val="single" w:sz="8" w:space="0" w:color="468C5C" w:themeColor="accent6"/>
          <w:bottom w:val="single" w:sz="8" w:space="0" w:color="468C5C" w:themeColor="accent6"/>
        </w:tcBorders>
      </w:tcPr>
    </w:tblStylePr>
    <w:tblStylePr w:type="band1Vert">
      <w:tblPr/>
      <w:tcPr>
        <w:shd w:val="clear" w:color="auto" w:fill="CDE6D5" w:themeFill="accent6" w:themeFillTint="3F"/>
      </w:tcPr>
    </w:tblStylePr>
    <w:tblStylePr w:type="band1Horz">
      <w:tblPr/>
      <w:tcPr>
        <w:shd w:val="clear" w:color="auto" w:fill="CDE6D5" w:themeFill="accent6" w:themeFillTint="3F"/>
      </w:tcPr>
    </w:tblStylePr>
  </w:style>
  <w:style w:type="table" w:styleId="Middelsliste2">
    <w:name w:val="Medium List 2"/>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tblBorders>
    </w:tblPr>
    <w:tblStylePr w:type="firstRow">
      <w:rPr>
        <w:sz w:val="24"/>
        <w:szCs w:val="24"/>
      </w:rPr>
      <w:tblPr/>
      <w:tcPr>
        <w:tcBorders>
          <w:top w:val="nil"/>
          <w:left w:val="nil"/>
          <w:bottom w:val="single" w:sz="24" w:space="0" w:color="1C1C1C"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1C1C" w:themeColor="text1"/>
          <w:insideH w:val="nil"/>
          <w:insideV w:val="nil"/>
        </w:tcBorders>
        <w:shd w:val="clear" w:color="auto" w:fill="FFFFFF" w:themeFill="background1"/>
      </w:tcPr>
    </w:tblStylePr>
    <w:tblStylePr w:type="lastCol">
      <w:tblPr/>
      <w:tcPr>
        <w:tcBorders>
          <w:top w:val="nil"/>
          <w:left w:val="single" w:sz="8" w:space="0" w:color="1C1C1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C6C6" w:themeFill="text1" w:themeFillTint="3F"/>
      </w:tcPr>
    </w:tblStylePr>
    <w:tblStylePr w:type="band1Horz">
      <w:tblPr/>
      <w:tcPr>
        <w:tcBorders>
          <w:top w:val="nil"/>
          <w:bottom w:val="nil"/>
          <w:insideH w:val="nil"/>
          <w:insideV w:val="nil"/>
        </w:tcBorders>
        <w:shd w:val="clear" w:color="auto" w:fill="C6C6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tblBorders>
    </w:tblPr>
    <w:tblStylePr w:type="firstRow">
      <w:rPr>
        <w:sz w:val="24"/>
        <w:szCs w:val="24"/>
      </w:rPr>
      <w:tblPr/>
      <w:tcPr>
        <w:tcBorders>
          <w:top w:val="nil"/>
          <w:left w:val="nil"/>
          <w:bottom w:val="single" w:sz="24" w:space="0" w:color="162F5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2F5C" w:themeColor="accent1"/>
          <w:insideH w:val="nil"/>
          <w:insideV w:val="nil"/>
        </w:tcBorders>
        <w:shd w:val="clear" w:color="auto" w:fill="FFFFFF" w:themeFill="background1"/>
      </w:tcPr>
    </w:tblStylePr>
    <w:tblStylePr w:type="lastCol">
      <w:tblPr/>
      <w:tcPr>
        <w:tcBorders>
          <w:top w:val="nil"/>
          <w:left w:val="single" w:sz="8" w:space="0" w:color="162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C5EC" w:themeFill="accent1" w:themeFillTint="3F"/>
      </w:tcPr>
    </w:tblStylePr>
    <w:tblStylePr w:type="band1Horz">
      <w:tblPr/>
      <w:tcPr>
        <w:tcBorders>
          <w:top w:val="nil"/>
          <w:bottom w:val="nil"/>
          <w:insideH w:val="nil"/>
          <w:insideV w:val="nil"/>
        </w:tcBorders>
        <w:shd w:val="clear" w:color="auto" w:fill="AFC5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tblBorders>
    </w:tblPr>
    <w:tblStylePr w:type="firstRow">
      <w:rPr>
        <w:sz w:val="24"/>
        <w:szCs w:val="24"/>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72B0" w:themeColor="accent2"/>
          <w:insideH w:val="nil"/>
          <w:insideV w:val="nil"/>
        </w:tcBorders>
        <w:shd w:val="clear" w:color="auto" w:fill="FFFFFF" w:themeFill="background1"/>
      </w:tcPr>
    </w:tblStylePr>
    <w:tblStylePr w:type="lastCol">
      <w:tblPr/>
      <w:tcPr>
        <w:tcBorders>
          <w:top w:val="nil"/>
          <w:left w:val="single" w:sz="8" w:space="0" w:color="3672B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E" w:themeFill="accent2" w:themeFillTint="3F"/>
      </w:tcPr>
    </w:tblStylePr>
    <w:tblStylePr w:type="band1Horz">
      <w:tblPr/>
      <w:tcPr>
        <w:tcBorders>
          <w:top w:val="nil"/>
          <w:bottom w:val="nil"/>
          <w:insideH w:val="nil"/>
          <w:insideV w:val="nil"/>
        </w:tcBorders>
        <w:shd w:val="clear" w:color="auto" w:fill="C9DB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tblBorders>
    </w:tblPr>
    <w:tblStylePr w:type="firstRow">
      <w:rPr>
        <w:sz w:val="24"/>
        <w:szCs w:val="24"/>
      </w:rPr>
      <w:tblPr/>
      <w:tcPr>
        <w:tcBorders>
          <w:top w:val="nil"/>
          <w:left w:val="nil"/>
          <w:bottom w:val="single" w:sz="24" w:space="0" w:color="23A5A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A5AF" w:themeColor="accent3"/>
          <w:insideH w:val="nil"/>
          <w:insideV w:val="nil"/>
        </w:tcBorders>
        <w:shd w:val="clear" w:color="auto" w:fill="FFFFFF" w:themeFill="background1"/>
      </w:tcPr>
    </w:tblStylePr>
    <w:tblStylePr w:type="lastCol">
      <w:tblPr/>
      <w:tcPr>
        <w:tcBorders>
          <w:top w:val="nil"/>
          <w:left w:val="single" w:sz="8" w:space="0" w:color="23A5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EF2" w:themeFill="accent3" w:themeFillTint="3F"/>
      </w:tcPr>
    </w:tblStylePr>
    <w:tblStylePr w:type="band1Horz">
      <w:tblPr/>
      <w:tcPr>
        <w:tcBorders>
          <w:top w:val="nil"/>
          <w:bottom w:val="nil"/>
          <w:insideH w:val="nil"/>
          <w:insideV w:val="nil"/>
        </w:tcBorders>
        <w:shd w:val="clear" w:color="auto" w:fill="C1EE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tblBorders>
    </w:tblPr>
    <w:tblStylePr w:type="firstRow">
      <w:rPr>
        <w:sz w:val="24"/>
        <w:szCs w:val="24"/>
      </w:rPr>
      <w:tblPr/>
      <w:tcPr>
        <w:tcBorders>
          <w:top w:val="nil"/>
          <w:left w:val="nil"/>
          <w:bottom w:val="single" w:sz="24" w:space="0" w:color="F7964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4"/>
          <w:insideH w:val="nil"/>
          <w:insideV w:val="nil"/>
        </w:tcBorders>
        <w:shd w:val="clear" w:color="auto" w:fill="FFFFFF" w:themeFill="background1"/>
      </w:tcPr>
    </w:tblStylePr>
    <w:tblStylePr w:type="lastCol">
      <w:tblPr/>
      <w:tcPr>
        <w:tcBorders>
          <w:top w:val="nil"/>
          <w:left w:val="single" w:sz="8" w:space="0" w:color="F7964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4" w:themeFillTint="3F"/>
      </w:tcPr>
    </w:tblStylePr>
    <w:tblStylePr w:type="band1Horz">
      <w:tblPr/>
      <w:tcPr>
        <w:tcBorders>
          <w:top w:val="nil"/>
          <w:bottom w:val="nil"/>
          <w:insideH w:val="nil"/>
          <w:insideV w:val="nil"/>
        </w:tcBorders>
        <w:shd w:val="clear" w:color="auto" w:fill="FDE4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tblBorders>
    </w:tblPr>
    <w:tblStylePr w:type="firstRow">
      <w:rPr>
        <w:sz w:val="24"/>
        <w:szCs w:val="24"/>
      </w:rPr>
      <w:tblPr/>
      <w:tcPr>
        <w:tcBorders>
          <w:top w:val="nil"/>
          <w:left w:val="nil"/>
          <w:bottom w:val="single" w:sz="24" w:space="0" w:color="A60E2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0E24" w:themeColor="accent5"/>
          <w:insideH w:val="nil"/>
          <w:insideV w:val="nil"/>
        </w:tcBorders>
        <w:shd w:val="clear" w:color="auto" w:fill="FFFFFF" w:themeFill="background1"/>
      </w:tcPr>
    </w:tblStylePr>
    <w:tblStylePr w:type="lastCol">
      <w:tblPr/>
      <w:tcPr>
        <w:tcBorders>
          <w:top w:val="nil"/>
          <w:left w:val="single" w:sz="8" w:space="0" w:color="A60E2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3BD" w:themeFill="accent5" w:themeFillTint="3F"/>
      </w:tcPr>
    </w:tblStylePr>
    <w:tblStylePr w:type="band1Horz">
      <w:tblPr/>
      <w:tcPr>
        <w:tcBorders>
          <w:top w:val="nil"/>
          <w:bottom w:val="nil"/>
          <w:insideH w:val="nil"/>
          <w:insideV w:val="nil"/>
        </w:tcBorders>
        <w:shd w:val="clear" w:color="auto" w:fill="F8B3B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tblBorders>
    </w:tblPr>
    <w:tblStylePr w:type="firstRow">
      <w:rPr>
        <w:sz w:val="24"/>
        <w:szCs w:val="24"/>
      </w:rPr>
      <w:tblPr/>
      <w:tcPr>
        <w:tcBorders>
          <w:top w:val="nil"/>
          <w:left w:val="nil"/>
          <w:bottom w:val="single" w:sz="24" w:space="0" w:color="468C5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8C5C" w:themeColor="accent6"/>
          <w:insideH w:val="nil"/>
          <w:insideV w:val="nil"/>
        </w:tcBorders>
        <w:shd w:val="clear" w:color="auto" w:fill="FFFFFF" w:themeFill="background1"/>
      </w:tcPr>
    </w:tblStylePr>
    <w:tblStylePr w:type="lastCol">
      <w:tblPr/>
      <w:tcPr>
        <w:tcBorders>
          <w:top w:val="nil"/>
          <w:left w:val="single" w:sz="8" w:space="0" w:color="468C5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6D5" w:themeFill="accent6" w:themeFillTint="3F"/>
      </w:tcPr>
    </w:tblStylePr>
    <w:tblStylePr w:type="band1Horz">
      <w:tblPr/>
      <w:tcPr>
        <w:tcBorders>
          <w:top w:val="nil"/>
          <w:bottom w:val="nil"/>
          <w:insideH w:val="nil"/>
          <w:insideV w:val="nil"/>
        </w:tcBorders>
        <w:shd w:val="clear" w:color="auto" w:fill="CDE6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C9172B"/>
    <w:pPr>
      <w:spacing w:before="0" w:line="240" w:lineRule="auto"/>
    </w:pPr>
    <w:tblPr>
      <w:tblStyleRowBandSize w:val="1"/>
      <w:tblStyleColBandSize w:val="1"/>
      <w:tbl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single" w:sz="8" w:space="0" w:color="545454" w:themeColor="text1" w:themeTint="BF"/>
      </w:tblBorders>
    </w:tblPr>
    <w:tblStylePr w:type="firstRow">
      <w:pPr>
        <w:spacing w:before="0" w:after="0" w:line="240" w:lineRule="auto"/>
      </w:pPr>
      <w:rPr>
        <w:b/>
        <w:bCs/>
        <w:color w:val="FFFFFF" w:themeColor="background1"/>
      </w:rPr>
      <w:tblPr/>
      <w:tcPr>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nil"/>
          <w:insideV w:val="nil"/>
        </w:tcBorders>
        <w:shd w:val="clear" w:color="auto" w:fill="1C1C1C" w:themeFill="text1"/>
      </w:tcPr>
    </w:tblStylePr>
    <w:tblStylePr w:type="lastRow">
      <w:pPr>
        <w:spacing w:before="0" w:after="0" w:line="240" w:lineRule="auto"/>
      </w:pPr>
      <w:rPr>
        <w:b/>
        <w:bCs/>
      </w:rPr>
      <w:tblPr/>
      <w:tcPr>
        <w:tcBorders>
          <w:top w:val="double" w:sz="6"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nil"/>
          <w:insideV w:val="nil"/>
        </w:tcBorders>
      </w:tcPr>
    </w:tblStylePr>
    <w:tblStylePr w:type="firstCol">
      <w:rPr>
        <w:b/>
        <w:bCs/>
      </w:rPr>
    </w:tblStylePr>
    <w:tblStylePr w:type="lastCol">
      <w:rPr>
        <w:b/>
        <w:bCs/>
      </w:rPr>
    </w:tblStylePr>
    <w:tblStylePr w:type="band1Vert">
      <w:tblPr/>
      <w:tcPr>
        <w:shd w:val="clear" w:color="auto" w:fill="C6C6C6" w:themeFill="text1" w:themeFillTint="3F"/>
      </w:tcPr>
    </w:tblStylePr>
    <w:tblStylePr w:type="band1Horz">
      <w:tblPr/>
      <w:tcPr>
        <w:tcBorders>
          <w:insideH w:val="nil"/>
          <w:insideV w:val="nil"/>
        </w:tcBorders>
        <w:shd w:val="clear" w:color="auto" w:fill="C6C6C6"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C9172B"/>
    <w:pPr>
      <w:spacing w:before="0" w:line="240" w:lineRule="auto"/>
    </w:pPr>
    <w:tblPr>
      <w:tblStyleRowBandSize w:val="1"/>
      <w:tblStyleColBandSize w:val="1"/>
      <w:tblBorders>
        <w:top w:val="single" w:sz="8"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single" w:sz="8" w:space="0" w:color="2957AC" w:themeColor="accent1" w:themeTint="BF"/>
      </w:tblBorders>
    </w:tblPr>
    <w:tblStylePr w:type="firstRow">
      <w:pPr>
        <w:spacing w:before="0" w:after="0" w:line="240" w:lineRule="auto"/>
      </w:pPr>
      <w:rPr>
        <w:b/>
        <w:bCs/>
        <w:color w:val="FFFFFF" w:themeColor="background1"/>
      </w:rPr>
      <w:tblPr/>
      <w:tcPr>
        <w:tcBorders>
          <w:top w:val="single" w:sz="8"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nil"/>
          <w:insideV w:val="nil"/>
        </w:tcBorders>
        <w:shd w:val="clear" w:color="auto" w:fill="162F5C" w:themeFill="accent1"/>
      </w:tcPr>
    </w:tblStylePr>
    <w:tblStylePr w:type="lastRow">
      <w:pPr>
        <w:spacing w:before="0" w:after="0" w:line="240" w:lineRule="auto"/>
      </w:pPr>
      <w:rPr>
        <w:b/>
        <w:bCs/>
      </w:rPr>
      <w:tblPr/>
      <w:tcPr>
        <w:tcBorders>
          <w:top w:val="double" w:sz="6"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5EC" w:themeFill="accent1" w:themeFillTint="3F"/>
      </w:tcPr>
    </w:tblStylePr>
    <w:tblStylePr w:type="band1Horz">
      <w:tblPr/>
      <w:tcPr>
        <w:tcBorders>
          <w:insideH w:val="nil"/>
          <w:insideV w:val="nil"/>
        </w:tcBorders>
        <w:shd w:val="clear" w:color="auto" w:fill="AFC5EC"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C9172B"/>
    <w:pPr>
      <w:spacing w:before="0" w:line="240" w:lineRule="auto"/>
    </w:pPr>
    <w:tblPr>
      <w:tblStyleRowBandSize w:val="1"/>
      <w:tblStyleColBandSize w:val="1"/>
      <w:tblBorders>
        <w:top w:val="single" w:sz="8"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single" w:sz="8" w:space="0" w:color="5E94CD" w:themeColor="accent2" w:themeTint="BF"/>
      </w:tblBorders>
    </w:tblPr>
    <w:tblStylePr w:type="firstRow">
      <w:pPr>
        <w:spacing w:before="0" w:after="0" w:line="240" w:lineRule="auto"/>
      </w:pPr>
      <w:rPr>
        <w:b/>
        <w:bCs/>
        <w:color w:val="FFFFFF" w:themeColor="background1"/>
      </w:rPr>
      <w:tblPr/>
      <w:tcPr>
        <w:tcBorders>
          <w:top w:val="single" w:sz="8"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nil"/>
          <w:insideV w:val="nil"/>
        </w:tcBorders>
        <w:shd w:val="clear" w:color="auto" w:fill="3672B0" w:themeFill="accent2"/>
      </w:tcPr>
    </w:tblStylePr>
    <w:tblStylePr w:type="lastRow">
      <w:pPr>
        <w:spacing w:before="0" w:after="0" w:line="240" w:lineRule="auto"/>
      </w:pPr>
      <w:rPr>
        <w:b/>
        <w:bCs/>
      </w:rPr>
      <w:tblPr/>
      <w:tcPr>
        <w:tcBorders>
          <w:top w:val="double" w:sz="6"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BEE" w:themeFill="accent2" w:themeFillTint="3F"/>
      </w:tcPr>
    </w:tblStylePr>
    <w:tblStylePr w:type="band1Horz">
      <w:tblPr/>
      <w:tcPr>
        <w:tcBorders>
          <w:insideH w:val="nil"/>
          <w:insideV w:val="nil"/>
        </w:tcBorders>
        <w:shd w:val="clear" w:color="auto" w:fill="C9DBEE"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C9172B"/>
    <w:pPr>
      <w:spacing w:before="0" w:line="240" w:lineRule="auto"/>
    </w:pPr>
    <w:tblPr>
      <w:tblStyleRowBandSize w:val="1"/>
      <w:tblStyleColBandSize w:val="1"/>
      <w:tblBorders>
        <w:top w:val="single" w:sz="8"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single" w:sz="8" w:space="0" w:color="43CED9" w:themeColor="accent3" w:themeTint="BF"/>
      </w:tblBorders>
    </w:tblPr>
    <w:tblStylePr w:type="firstRow">
      <w:pPr>
        <w:spacing w:before="0" w:after="0" w:line="240" w:lineRule="auto"/>
      </w:pPr>
      <w:rPr>
        <w:b/>
        <w:bCs/>
        <w:color w:val="FFFFFF" w:themeColor="background1"/>
      </w:rPr>
      <w:tblPr/>
      <w:tcPr>
        <w:tcBorders>
          <w:top w:val="single" w:sz="8"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nil"/>
          <w:insideV w:val="nil"/>
        </w:tcBorders>
        <w:shd w:val="clear" w:color="auto" w:fill="23A5AF" w:themeFill="accent3"/>
      </w:tcPr>
    </w:tblStylePr>
    <w:tblStylePr w:type="lastRow">
      <w:pPr>
        <w:spacing w:before="0" w:after="0" w:line="240" w:lineRule="auto"/>
      </w:pPr>
      <w:rPr>
        <w:b/>
        <w:bCs/>
      </w:rPr>
      <w:tblPr/>
      <w:tcPr>
        <w:tcBorders>
          <w:top w:val="double" w:sz="6"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C1EEF2" w:themeFill="accent3" w:themeFillTint="3F"/>
      </w:tcPr>
    </w:tblStylePr>
    <w:tblStylePr w:type="band1Horz">
      <w:tblPr/>
      <w:tcPr>
        <w:tcBorders>
          <w:insideH w:val="nil"/>
          <w:insideV w:val="nil"/>
        </w:tcBorders>
        <w:shd w:val="clear" w:color="auto" w:fill="C1EEF2"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C9172B"/>
    <w:pPr>
      <w:spacing w:before="0" w:line="240" w:lineRule="auto"/>
    </w:pPr>
    <w:tblPr>
      <w:tblStyleRowBandSize w:val="1"/>
      <w:tblStyleColBandSize w:val="1"/>
      <w:tblBorders>
        <w:top w:val="single" w:sz="8"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single" w:sz="8" w:space="0" w:color="F9B074" w:themeColor="accent4" w:themeTint="BF"/>
      </w:tblBorders>
    </w:tblPr>
    <w:tblStylePr w:type="firstRow">
      <w:pPr>
        <w:spacing w:before="0" w:after="0" w:line="240" w:lineRule="auto"/>
      </w:pPr>
      <w:rPr>
        <w:b/>
        <w:bCs/>
        <w:color w:val="FFFFFF" w:themeColor="background1"/>
      </w:rPr>
      <w:tblPr/>
      <w:tcPr>
        <w:tcBorders>
          <w:top w:val="single" w:sz="8"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nil"/>
          <w:insideV w:val="nil"/>
        </w:tcBorders>
        <w:shd w:val="clear" w:color="auto" w:fill="F79646" w:themeFill="accent4"/>
      </w:tcPr>
    </w:tblStylePr>
    <w:tblStylePr w:type="lastRow">
      <w:pPr>
        <w:spacing w:before="0" w:after="0" w:line="240" w:lineRule="auto"/>
      </w:pPr>
      <w:rPr>
        <w:b/>
        <w:bCs/>
      </w:rPr>
      <w:tblPr/>
      <w:tcPr>
        <w:tcBorders>
          <w:top w:val="double" w:sz="6"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4" w:themeFillTint="3F"/>
      </w:tcPr>
    </w:tblStylePr>
    <w:tblStylePr w:type="band1Horz">
      <w:tblPr/>
      <w:tcPr>
        <w:tcBorders>
          <w:insideH w:val="nil"/>
          <w:insideV w:val="nil"/>
        </w:tcBorders>
        <w:shd w:val="clear" w:color="auto" w:fill="FDE4D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C9172B"/>
    <w:pPr>
      <w:spacing w:before="0" w:line="240" w:lineRule="auto"/>
    </w:pPr>
    <w:tblPr>
      <w:tblStyleRowBandSize w:val="1"/>
      <w:tblStyleColBandSize w:val="1"/>
      <w:tblBorders>
        <w:top w:val="single" w:sz="8"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single" w:sz="8" w:space="0" w:color="EB1A38" w:themeColor="accent5" w:themeTint="BF"/>
      </w:tblBorders>
    </w:tblPr>
    <w:tblStylePr w:type="firstRow">
      <w:pPr>
        <w:spacing w:before="0" w:after="0" w:line="240" w:lineRule="auto"/>
      </w:pPr>
      <w:rPr>
        <w:b/>
        <w:bCs/>
        <w:color w:val="FFFFFF" w:themeColor="background1"/>
      </w:rPr>
      <w:tblPr/>
      <w:tcPr>
        <w:tcBorders>
          <w:top w:val="single" w:sz="8"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nil"/>
          <w:insideV w:val="nil"/>
        </w:tcBorders>
        <w:shd w:val="clear" w:color="auto" w:fill="A60E24" w:themeFill="accent5"/>
      </w:tcPr>
    </w:tblStylePr>
    <w:tblStylePr w:type="lastRow">
      <w:pPr>
        <w:spacing w:before="0" w:after="0" w:line="240" w:lineRule="auto"/>
      </w:pPr>
      <w:rPr>
        <w:b/>
        <w:bCs/>
      </w:rPr>
      <w:tblPr/>
      <w:tcPr>
        <w:tcBorders>
          <w:top w:val="double" w:sz="6"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B3BD" w:themeFill="accent5" w:themeFillTint="3F"/>
      </w:tcPr>
    </w:tblStylePr>
    <w:tblStylePr w:type="band1Horz">
      <w:tblPr/>
      <w:tcPr>
        <w:tcBorders>
          <w:insideH w:val="nil"/>
          <w:insideV w:val="nil"/>
        </w:tcBorders>
        <w:shd w:val="clear" w:color="auto" w:fill="F8B3BD"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C9172B"/>
    <w:pPr>
      <w:spacing w:before="0" w:line="240" w:lineRule="auto"/>
    </w:pPr>
    <w:tblPr>
      <w:tblStyleRowBandSize w:val="1"/>
      <w:tblStyleColBandSize w:val="1"/>
      <w:tblBorders>
        <w:top w:val="single" w:sz="8"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single" w:sz="8" w:space="0" w:color="69B480" w:themeColor="accent6" w:themeTint="BF"/>
      </w:tblBorders>
    </w:tblPr>
    <w:tblStylePr w:type="firstRow">
      <w:pPr>
        <w:spacing w:before="0" w:after="0" w:line="240" w:lineRule="auto"/>
      </w:pPr>
      <w:rPr>
        <w:b/>
        <w:bCs/>
        <w:color w:val="FFFFFF" w:themeColor="background1"/>
      </w:rPr>
      <w:tblPr/>
      <w:tcPr>
        <w:tcBorders>
          <w:top w:val="single" w:sz="8"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nil"/>
          <w:insideV w:val="nil"/>
        </w:tcBorders>
        <w:shd w:val="clear" w:color="auto" w:fill="468C5C" w:themeFill="accent6"/>
      </w:tcPr>
    </w:tblStylePr>
    <w:tblStylePr w:type="lastRow">
      <w:pPr>
        <w:spacing w:before="0" w:after="0" w:line="240" w:lineRule="auto"/>
      </w:pPr>
      <w:rPr>
        <w:b/>
        <w:bCs/>
      </w:rPr>
      <w:tblPr/>
      <w:tcPr>
        <w:tcBorders>
          <w:top w:val="double" w:sz="6"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DE6D5" w:themeFill="accent6" w:themeFillTint="3F"/>
      </w:tcPr>
    </w:tblStylePr>
    <w:tblStylePr w:type="band1Horz">
      <w:tblPr/>
      <w:tcPr>
        <w:tcBorders>
          <w:insideH w:val="nil"/>
          <w:insideV w:val="nil"/>
        </w:tcBorders>
        <w:shd w:val="clear" w:color="auto" w:fill="CDE6D5"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1C1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1C1C" w:themeFill="text1"/>
      </w:tcPr>
    </w:tblStylePr>
    <w:tblStylePr w:type="lastCol">
      <w:rPr>
        <w:b/>
        <w:bCs/>
        <w:color w:val="FFFFFF" w:themeColor="background1"/>
      </w:rPr>
      <w:tblPr/>
      <w:tcPr>
        <w:tcBorders>
          <w:left w:val="nil"/>
          <w:right w:val="nil"/>
          <w:insideH w:val="nil"/>
          <w:insideV w:val="nil"/>
        </w:tcBorders>
        <w:shd w:val="clear" w:color="auto" w:fill="1C1C1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72B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672B0" w:themeFill="accent2"/>
      </w:tcPr>
    </w:tblStylePr>
    <w:tblStylePr w:type="lastCol">
      <w:rPr>
        <w:b/>
        <w:bCs/>
        <w:color w:val="FFFFFF" w:themeColor="background1"/>
      </w:rPr>
      <w:tblPr/>
      <w:tcPr>
        <w:tcBorders>
          <w:left w:val="nil"/>
          <w:right w:val="nil"/>
          <w:insideH w:val="nil"/>
          <w:insideV w:val="nil"/>
        </w:tcBorders>
        <w:shd w:val="clear" w:color="auto" w:fill="3672B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A5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A5AF" w:themeFill="accent3"/>
      </w:tcPr>
    </w:tblStylePr>
    <w:tblStylePr w:type="lastCol">
      <w:rPr>
        <w:b/>
        <w:bCs/>
        <w:color w:val="FFFFFF" w:themeColor="background1"/>
      </w:rPr>
      <w:tblPr/>
      <w:tcPr>
        <w:tcBorders>
          <w:left w:val="nil"/>
          <w:right w:val="nil"/>
          <w:insideH w:val="nil"/>
          <w:insideV w:val="nil"/>
        </w:tcBorders>
        <w:shd w:val="clear" w:color="auto" w:fill="23A5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4"/>
      </w:tcPr>
    </w:tblStylePr>
    <w:tblStylePr w:type="lastCol">
      <w:rPr>
        <w:b/>
        <w:bCs/>
        <w:color w:val="FFFFFF" w:themeColor="background1"/>
      </w:rPr>
      <w:tblPr/>
      <w:tcPr>
        <w:tcBorders>
          <w:left w:val="nil"/>
          <w:right w:val="nil"/>
          <w:insideH w:val="nil"/>
          <w:insideV w:val="nil"/>
        </w:tcBorders>
        <w:shd w:val="clear" w:color="auto" w:fill="F7964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0E2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0E24" w:themeFill="accent5"/>
      </w:tcPr>
    </w:tblStylePr>
    <w:tblStylePr w:type="lastCol">
      <w:rPr>
        <w:b/>
        <w:bCs/>
        <w:color w:val="FFFFFF" w:themeColor="background1"/>
      </w:rPr>
      <w:tblPr/>
      <w:tcPr>
        <w:tcBorders>
          <w:left w:val="nil"/>
          <w:right w:val="nil"/>
          <w:insideH w:val="nil"/>
          <w:insideV w:val="nil"/>
        </w:tcBorders>
        <w:shd w:val="clear" w:color="auto" w:fill="A60E2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8C5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68C5C" w:themeFill="accent6"/>
      </w:tcPr>
    </w:tblStylePr>
    <w:tblStylePr w:type="lastCol">
      <w:rPr>
        <w:b/>
        <w:bCs/>
        <w:color w:val="FFFFFF" w:themeColor="background1"/>
      </w:rPr>
      <w:tblPr/>
      <w:tcPr>
        <w:tcBorders>
          <w:left w:val="nil"/>
          <w:right w:val="nil"/>
          <w:insideH w:val="nil"/>
          <w:insideV w:val="nil"/>
        </w:tcBorders>
        <w:shd w:val="clear" w:color="auto" w:fill="468C5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foravsnitt"/>
    <w:uiPriority w:val="99"/>
    <w:semiHidden/>
    <w:rsid w:val="00C9172B"/>
    <w:rPr>
      <w:color w:val="2B579A"/>
      <w:shd w:val="clear" w:color="auto" w:fill="E6E6E6"/>
    </w:rPr>
  </w:style>
  <w:style w:type="paragraph" w:styleId="Meldingshode">
    <w:name w:val="Message Header"/>
    <w:basedOn w:val="Normal"/>
    <w:link w:val="MeldingshodeTegn"/>
    <w:uiPriority w:val="99"/>
    <w:semiHidden/>
    <w:rsid w:val="00C9172B"/>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B74780"/>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C9172B"/>
    <w:rPr>
      <w:rFonts w:ascii="Times New Roman" w:hAnsi="Times New Roman" w:cs="Times New Roman"/>
      <w:sz w:val="24"/>
      <w:szCs w:val="24"/>
    </w:rPr>
  </w:style>
  <w:style w:type="paragraph" w:styleId="Vanliginnrykk">
    <w:name w:val="Normal Indent"/>
    <w:basedOn w:val="Normal"/>
    <w:uiPriority w:val="99"/>
    <w:semiHidden/>
    <w:rsid w:val="00C9172B"/>
    <w:pPr>
      <w:ind w:left="720"/>
    </w:pPr>
  </w:style>
  <w:style w:type="paragraph" w:styleId="Notatoverskrift">
    <w:name w:val="Note Heading"/>
    <w:basedOn w:val="Normal"/>
    <w:next w:val="Normal"/>
    <w:link w:val="NotatoverskriftTegn"/>
    <w:uiPriority w:val="99"/>
    <w:semiHidden/>
    <w:rsid w:val="00C9172B"/>
    <w:pPr>
      <w:spacing w:before="0" w:line="240" w:lineRule="auto"/>
    </w:pPr>
  </w:style>
  <w:style w:type="character" w:customStyle="1" w:styleId="NotatoverskriftTegn">
    <w:name w:val="Notatoverskrift Tegn"/>
    <w:basedOn w:val="Standardskriftforavsnitt"/>
    <w:link w:val="Notatoverskrift"/>
    <w:uiPriority w:val="99"/>
    <w:semiHidden/>
    <w:rsid w:val="00B74780"/>
  </w:style>
  <w:style w:type="character" w:styleId="Sidetall">
    <w:name w:val="page number"/>
    <w:basedOn w:val="Standardskriftforavsnitt"/>
    <w:uiPriority w:val="99"/>
    <w:semiHidden/>
    <w:rsid w:val="00C9172B"/>
  </w:style>
  <w:style w:type="table" w:styleId="Vanligtabell1">
    <w:name w:val="Plain Table 1"/>
    <w:basedOn w:val="Vanligtabell"/>
    <w:uiPriority w:val="41"/>
    <w:rsid w:val="00C9172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C9172B"/>
    <w:pPr>
      <w:spacing w:line="240" w:lineRule="auto"/>
    </w:pPr>
    <w:tblPr>
      <w:tblStyleRowBandSize w:val="1"/>
      <w:tblStyleColBandSize w:val="1"/>
      <w:tblBorders>
        <w:top w:val="single" w:sz="4" w:space="0" w:color="8D8D8D" w:themeColor="text1" w:themeTint="80"/>
        <w:bottom w:val="single" w:sz="4" w:space="0" w:color="8D8D8D" w:themeColor="text1" w:themeTint="80"/>
      </w:tblBorders>
    </w:tblPr>
    <w:tblStylePr w:type="firstRow">
      <w:rPr>
        <w:b/>
        <w:bCs/>
      </w:rPr>
      <w:tblPr/>
      <w:tcPr>
        <w:tcBorders>
          <w:bottom w:val="single" w:sz="4" w:space="0" w:color="8D8D8D" w:themeColor="text1" w:themeTint="80"/>
        </w:tcBorders>
      </w:tcPr>
    </w:tblStylePr>
    <w:tblStylePr w:type="lastRow">
      <w:rPr>
        <w:b/>
        <w:bCs/>
      </w:rPr>
      <w:tblPr/>
      <w:tcPr>
        <w:tcBorders>
          <w:top w:val="single" w:sz="4" w:space="0" w:color="8D8D8D" w:themeColor="text1" w:themeTint="80"/>
        </w:tcBorders>
      </w:tcPr>
    </w:tblStylePr>
    <w:tblStylePr w:type="firstCol">
      <w:rPr>
        <w:b/>
        <w:bCs/>
      </w:rPr>
    </w:tblStylePr>
    <w:tblStylePr w:type="lastCol">
      <w:rPr>
        <w:b/>
        <w:bCs/>
      </w:rPr>
    </w:tblStylePr>
    <w:tblStylePr w:type="band1Vert">
      <w:tblPr/>
      <w:tcPr>
        <w:tcBorders>
          <w:left w:val="single" w:sz="4" w:space="0" w:color="8D8D8D" w:themeColor="text1" w:themeTint="80"/>
          <w:right w:val="single" w:sz="4" w:space="0" w:color="8D8D8D" w:themeColor="text1" w:themeTint="80"/>
        </w:tcBorders>
      </w:tcPr>
    </w:tblStylePr>
    <w:tblStylePr w:type="band2Vert">
      <w:tblPr/>
      <w:tcPr>
        <w:tcBorders>
          <w:left w:val="single" w:sz="4" w:space="0" w:color="8D8D8D" w:themeColor="text1" w:themeTint="80"/>
          <w:right w:val="single" w:sz="4" w:space="0" w:color="8D8D8D" w:themeColor="text1" w:themeTint="80"/>
        </w:tcBorders>
      </w:tcPr>
    </w:tblStylePr>
    <w:tblStylePr w:type="band1Horz">
      <w:tblPr/>
      <w:tcPr>
        <w:tcBorders>
          <w:top w:val="single" w:sz="4" w:space="0" w:color="8D8D8D" w:themeColor="text1" w:themeTint="80"/>
          <w:bottom w:val="single" w:sz="4" w:space="0" w:color="8D8D8D" w:themeColor="text1" w:themeTint="80"/>
        </w:tcBorders>
      </w:tcPr>
    </w:tblStylePr>
  </w:style>
  <w:style w:type="table" w:styleId="Vanligtabell3">
    <w:name w:val="Plain Table 3"/>
    <w:basedOn w:val="Vanligtabell"/>
    <w:uiPriority w:val="43"/>
    <w:rsid w:val="00C9172B"/>
    <w:pPr>
      <w:spacing w:line="240" w:lineRule="auto"/>
    </w:pPr>
    <w:tblPr>
      <w:tblStyleRowBandSize w:val="1"/>
      <w:tblStyleColBandSize w:val="1"/>
    </w:tblPr>
    <w:tblStylePr w:type="firstRow">
      <w:rPr>
        <w:b/>
        <w:bCs/>
        <w:caps/>
      </w:rPr>
      <w:tblPr/>
      <w:tcPr>
        <w:tcBorders>
          <w:bottom w:val="single" w:sz="4" w:space="0" w:color="8D8D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8D8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C9172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C9172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8D8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8D8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8D8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8D8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99"/>
    <w:semiHidden/>
    <w:rsid w:val="00C9172B"/>
    <w:pPr>
      <w:spacing w:before="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74780"/>
    <w:rPr>
      <w:rFonts w:ascii="Consolas" w:hAnsi="Consolas"/>
      <w:sz w:val="21"/>
      <w:szCs w:val="21"/>
    </w:rPr>
  </w:style>
  <w:style w:type="paragraph" w:styleId="Sitat">
    <w:name w:val="Quote"/>
    <w:basedOn w:val="Normal"/>
    <w:next w:val="Normal"/>
    <w:link w:val="SitatTegn"/>
    <w:uiPriority w:val="39"/>
    <w:semiHidden/>
    <w:qFormat/>
    <w:rsid w:val="00C9172B"/>
    <w:pPr>
      <w:spacing w:before="200" w:after="160"/>
      <w:ind w:left="864" w:right="864"/>
      <w:jc w:val="center"/>
    </w:pPr>
    <w:rPr>
      <w:i/>
      <w:iCs/>
      <w:color w:val="545454" w:themeColor="text1" w:themeTint="BF"/>
    </w:rPr>
  </w:style>
  <w:style w:type="character" w:customStyle="1" w:styleId="SitatTegn">
    <w:name w:val="Sitat Tegn"/>
    <w:basedOn w:val="Standardskriftforavsnitt"/>
    <w:link w:val="Sitat"/>
    <w:uiPriority w:val="39"/>
    <w:semiHidden/>
    <w:rsid w:val="00C9172B"/>
    <w:rPr>
      <w:i/>
      <w:iCs/>
      <w:color w:val="545454" w:themeColor="text1" w:themeTint="BF"/>
      <w:lang w:val="nb-NO"/>
    </w:rPr>
  </w:style>
  <w:style w:type="paragraph" w:styleId="Innledendehilsen">
    <w:name w:val="Salutation"/>
    <w:basedOn w:val="Normal"/>
    <w:next w:val="Normal"/>
    <w:link w:val="InnledendehilsenTegn"/>
    <w:uiPriority w:val="99"/>
    <w:semiHidden/>
    <w:rsid w:val="00C9172B"/>
  </w:style>
  <w:style w:type="character" w:customStyle="1" w:styleId="InnledendehilsenTegn">
    <w:name w:val="Innledende hilsen Tegn"/>
    <w:basedOn w:val="Standardskriftforavsnitt"/>
    <w:link w:val="Innledendehilsen"/>
    <w:uiPriority w:val="99"/>
    <w:semiHidden/>
    <w:rsid w:val="00B74780"/>
  </w:style>
  <w:style w:type="paragraph" w:styleId="Underskrift">
    <w:name w:val="Signature"/>
    <w:basedOn w:val="Normal"/>
    <w:link w:val="UnderskriftTegn"/>
    <w:uiPriority w:val="99"/>
    <w:semiHidden/>
    <w:rsid w:val="00C9172B"/>
    <w:pPr>
      <w:spacing w:before="0" w:line="240" w:lineRule="auto"/>
      <w:ind w:left="4252"/>
    </w:pPr>
  </w:style>
  <w:style w:type="character" w:customStyle="1" w:styleId="UnderskriftTegn">
    <w:name w:val="Underskrift Tegn"/>
    <w:basedOn w:val="Standardskriftforavsnitt"/>
    <w:link w:val="Underskrift"/>
    <w:uiPriority w:val="99"/>
    <w:semiHidden/>
    <w:rsid w:val="00B74780"/>
  </w:style>
  <w:style w:type="character" w:customStyle="1" w:styleId="SmartHyperlink1">
    <w:name w:val="Smart Hyperlink1"/>
    <w:basedOn w:val="Standardskriftforavsnitt"/>
    <w:uiPriority w:val="99"/>
    <w:semiHidden/>
    <w:rsid w:val="00C9172B"/>
    <w:rPr>
      <w:u w:val="dotted"/>
    </w:rPr>
  </w:style>
  <w:style w:type="character" w:styleId="Sterk">
    <w:name w:val="Strong"/>
    <w:basedOn w:val="Standardskriftforavsnitt"/>
    <w:uiPriority w:val="22"/>
    <w:qFormat/>
    <w:rsid w:val="00C9172B"/>
    <w:rPr>
      <w:b/>
      <w:bCs/>
    </w:rPr>
  </w:style>
  <w:style w:type="paragraph" w:styleId="Undertittel">
    <w:name w:val="Subtitle"/>
    <w:basedOn w:val="Normal"/>
    <w:next w:val="Normal"/>
    <w:link w:val="UndertittelTegn"/>
    <w:uiPriority w:val="39"/>
    <w:semiHidden/>
    <w:qFormat/>
    <w:rsid w:val="00C9172B"/>
    <w:pPr>
      <w:numPr>
        <w:ilvl w:val="1"/>
      </w:numPr>
      <w:spacing w:after="160"/>
    </w:pPr>
    <w:rPr>
      <w:color w:val="6C6C6C" w:themeColor="text1" w:themeTint="A5"/>
      <w:spacing w:val="15"/>
    </w:rPr>
  </w:style>
  <w:style w:type="character" w:customStyle="1" w:styleId="UndertittelTegn">
    <w:name w:val="Undertittel Tegn"/>
    <w:basedOn w:val="Standardskriftforavsnitt"/>
    <w:link w:val="Undertittel"/>
    <w:uiPriority w:val="39"/>
    <w:semiHidden/>
    <w:rsid w:val="00C9172B"/>
    <w:rPr>
      <w:color w:val="6C6C6C" w:themeColor="text1" w:themeTint="A5"/>
      <w:spacing w:val="15"/>
      <w:lang w:val="nb-NO"/>
    </w:rPr>
  </w:style>
  <w:style w:type="character" w:styleId="Svakutheving">
    <w:name w:val="Subtle Emphasis"/>
    <w:basedOn w:val="Standardskriftforavsnitt"/>
    <w:uiPriority w:val="39"/>
    <w:semiHidden/>
    <w:qFormat/>
    <w:rsid w:val="00C9172B"/>
    <w:rPr>
      <w:i/>
      <w:iCs/>
      <w:color w:val="545454" w:themeColor="text1" w:themeTint="BF"/>
    </w:rPr>
  </w:style>
  <w:style w:type="character" w:styleId="Svakreferanse">
    <w:name w:val="Subtle Reference"/>
    <w:basedOn w:val="Standardskriftforavsnitt"/>
    <w:uiPriority w:val="39"/>
    <w:semiHidden/>
    <w:qFormat/>
    <w:rsid w:val="00C9172B"/>
    <w:rPr>
      <w:smallCaps/>
      <w:color w:val="6C6C6C" w:themeColor="text1" w:themeTint="A5"/>
    </w:rPr>
  </w:style>
  <w:style w:type="table" w:styleId="Tabell-3D-effekt1">
    <w:name w:val="Table 3D effects 1"/>
    <w:basedOn w:val="Vanligtabell"/>
    <w:uiPriority w:val="99"/>
    <w:semiHidden/>
    <w:unhideWhenUsed/>
    <w:rsid w:val="00C9172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C9172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C9172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uiPriority w:val="99"/>
    <w:semiHidden/>
    <w:unhideWhenUsed/>
    <w:rsid w:val="00C9172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C9172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C9172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C9172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C9172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C9172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C9172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uiPriority w:val="99"/>
    <w:semiHidden/>
    <w:unhideWhenUsed/>
    <w:rsid w:val="00C9172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C9172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C9172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C9172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C9172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uiPriority w:val="99"/>
    <w:semiHidden/>
    <w:unhideWhenUsed/>
    <w:rsid w:val="00C917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semiHidden/>
    <w:unhideWhenUsed/>
    <w:rsid w:val="00C9172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
    <w:name w:val="Table Grid 1"/>
    <w:basedOn w:val="Vanligtabell"/>
    <w:uiPriority w:val="99"/>
    <w:semiHidden/>
    <w:unhideWhenUsed/>
    <w:rsid w:val="00C9172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C9172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C9172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C9172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C9172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C9172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C9172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Vanligtabell"/>
    <w:uiPriority w:val="99"/>
    <w:semiHidden/>
    <w:unhideWhenUsed/>
    <w:rsid w:val="00C9172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C9172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C9172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C9172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C9172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C9172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C9172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99"/>
    <w:semiHidden/>
    <w:rsid w:val="00C9172B"/>
    <w:pPr>
      <w:ind w:left="220" w:hanging="220"/>
    </w:pPr>
  </w:style>
  <w:style w:type="table" w:styleId="Tabell-profesjonell">
    <w:name w:val="Table Professional"/>
    <w:basedOn w:val="Vanligtabell"/>
    <w:uiPriority w:val="99"/>
    <w:semiHidden/>
    <w:unhideWhenUsed/>
    <w:rsid w:val="00C9172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uiPriority w:val="99"/>
    <w:semiHidden/>
    <w:unhideWhenUsed/>
    <w:rsid w:val="00C9172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C9172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C9172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C9172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C91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C9172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C9172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C9172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tel">
    <w:name w:val="Title"/>
    <w:basedOn w:val="Normal"/>
    <w:next w:val="Normal"/>
    <w:link w:val="TittelTegn"/>
    <w:uiPriority w:val="39"/>
    <w:semiHidden/>
    <w:qFormat/>
    <w:rsid w:val="00C9172B"/>
    <w:pPr>
      <w:spacing w:before="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39"/>
    <w:semiHidden/>
    <w:rsid w:val="00C9172B"/>
    <w:rPr>
      <w:rFonts w:asciiTheme="majorHAnsi" w:eastAsiaTheme="majorEastAsia" w:hAnsiTheme="majorHAnsi" w:cstheme="majorBidi"/>
      <w:color w:val="auto"/>
      <w:spacing w:val="-10"/>
      <w:kern w:val="28"/>
      <w:sz w:val="56"/>
      <w:szCs w:val="56"/>
      <w:lang w:val="nb-NO"/>
    </w:rPr>
  </w:style>
  <w:style w:type="paragraph" w:styleId="Kildelisteoverskrift">
    <w:name w:val="toa heading"/>
    <w:basedOn w:val="Normal"/>
    <w:next w:val="Normal"/>
    <w:uiPriority w:val="99"/>
    <w:semiHidden/>
    <w:rsid w:val="00C9172B"/>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Standardskriftforavsnitt"/>
    <w:uiPriority w:val="99"/>
    <w:semiHidden/>
    <w:rsid w:val="00C9172B"/>
    <w:rPr>
      <w:color w:val="808080"/>
      <w:shd w:val="clear" w:color="auto" w:fill="E6E6E6"/>
    </w:rPr>
  </w:style>
  <w:style w:type="paragraph" w:customStyle="1" w:styleId="CaptionFigure">
    <w:name w:val="~Caption(Figure)"/>
    <w:basedOn w:val="Bildetekst"/>
    <w:next w:val="Normal"/>
    <w:uiPriority w:val="5"/>
    <w:qFormat/>
    <w:rsid w:val="00BB7B1B"/>
  </w:style>
  <w:style w:type="paragraph" w:customStyle="1" w:styleId="CaptionWideFigure">
    <w:name w:val="~CaptionWide(Figure)"/>
    <w:basedOn w:val="CaptionWideTable"/>
    <w:next w:val="Normal"/>
    <w:uiPriority w:val="5"/>
    <w:qFormat/>
    <w:rsid w:val="00BB7B1B"/>
  </w:style>
  <w:style w:type="paragraph" w:customStyle="1" w:styleId="CaptionTextframe">
    <w:name w:val="~Caption(Textframe)"/>
    <w:basedOn w:val="Bildetekst"/>
    <w:next w:val="Normal"/>
    <w:uiPriority w:val="6"/>
    <w:qFormat/>
    <w:rsid w:val="0066015C"/>
  </w:style>
  <w:style w:type="paragraph" w:customStyle="1" w:styleId="CaptionWideTextframe">
    <w:name w:val="~CaptionWide(Textframe)"/>
    <w:basedOn w:val="CaptionWideTable"/>
    <w:next w:val="Normal"/>
    <w:uiPriority w:val="6"/>
    <w:qFormat/>
    <w:rsid w:val="0066015C"/>
  </w:style>
  <w:style w:type="paragraph" w:customStyle="1" w:styleId="Referanser">
    <w:name w:val="~Referanser"/>
    <w:basedOn w:val="Normal"/>
    <w:link w:val="ReferanserTegn"/>
    <w:qFormat/>
    <w:rsid w:val="00DD73D4"/>
    <w:pPr>
      <w:ind w:left="510" w:hanging="510"/>
    </w:pPr>
  </w:style>
  <w:style w:type="character" w:customStyle="1" w:styleId="ReferanserTegn">
    <w:name w:val="~Referanser Tegn"/>
    <w:basedOn w:val="Standardskriftforavsnitt"/>
    <w:link w:val="Referanser"/>
    <w:rsid w:val="00DD73D4"/>
  </w:style>
  <w:style w:type="paragraph" w:customStyle="1" w:styleId="OverskrifttilOmVistaAnalyse">
    <w:name w:val="~Overskrift til 'Om Vista Analyse'"/>
    <w:basedOn w:val="Ingenmellomrom"/>
    <w:next w:val="Normal"/>
    <w:link w:val="OverskrifttilOmVistaAnalyseTegn"/>
    <w:uiPriority w:val="3"/>
    <w:rsid w:val="00A8286E"/>
    <w:pPr>
      <w:keepNext/>
      <w:pageBreakBefore/>
      <w:spacing w:after="240"/>
      <w:jc w:val="left"/>
    </w:pPr>
    <w:rPr>
      <w:rFonts w:asciiTheme="majorHAnsi" w:hAnsiTheme="majorHAnsi"/>
      <w:color w:val="162F5C" w:themeColor="accent1"/>
      <w:sz w:val="64"/>
    </w:rPr>
  </w:style>
  <w:style w:type="character" w:customStyle="1" w:styleId="OverskrifttilOmVistaAnalyseTegn">
    <w:name w:val="~Overskrift til 'Om Vista Analyse' Tegn"/>
    <w:basedOn w:val="Standardskriftforavsnitt"/>
    <w:link w:val="OverskrifttilOmVistaAnalyse"/>
    <w:uiPriority w:val="3"/>
    <w:rsid w:val="00A8286E"/>
    <w:rPr>
      <w:rFonts w:asciiTheme="majorHAnsi" w:eastAsiaTheme="minorHAnsi" w:hAnsiTheme="majorHAnsi" w:cs="Arial"/>
      <w:color w:val="162F5C" w:themeColor="accent1"/>
      <w:sz w:val="64"/>
      <w:lang w:eastAsia="nb-NO"/>
    </w:rPr>
  </w:style>
  <w:style w:type="paragraph" w:customStyle="1" w:styleId="Ingress">
    <w:name w:val="~Ingress"/>
    <w:basedOn w:val="Normal"/>
    <w:next w:val="Normal"/>
    <w:qFormat/>
    <w:rsid w:val="00A8286E"/>
    <w:pPr>
      <w:keepNext/>
      <w:spacing w:line="240" w:lineRule="auto"/>
    </w:pPr>
    <w:rPr>
      <w:rFonts w:asciiTheme="majorHAnsi" w:hAnsiTheme="majorHAnsi"/>
      <w:i/>
    </w:rPr>
  </w:style>
  <w:style w:type="paragraph" w:customStyle="1" w:styleId="Overskrift4utennummer">
    <w:name w:val="~Overskrift 4 (uten nummer)"/>
    <w:basedOn w:val="Normal"/>
    <w:link w:val="Overskrift4utennummerTegn"/>
    <w:qFormat/>
    <w:rsid w:val="00583E7A"/>
    <w:pPr>
      <w:keepNext/>
      <w:spacing w:before="480" w:after="120" w:line="240" w:lineRule="auto"/>
      <w:jc w:val="left"/>
      <w:outlineLvl w:val="0"/>
    </w:pPr>
    <w:rPr>
      <w:rFonts w:asciiTheme="majorHAnsi" w:eastAsiaTheme="minorHAnsi" w:hAnsiTheme="majorHAnsi" w:cs="Arial"/>
      <w:color w:val="3672B0" w:themeColor="accent2"/>
      <w:sz w:val="24"/>
      <w:lang w:eastAsia="nb-NO"/>
    </w:rPr>
  </w:style>
  <w:style w:type="paragraph" w:customStyle="1" w:styleId="Overskrift3utennummer">
    <w:name w:val="~Overskrift 3 (uten nummer)"/>
    <w:basedOn w:val="Normal"/>
    <w:link w:val="Overskrift3utennummerTegn"/>
    <w:qFormat/>
    <w:rsid w:val="00583E7A"/>
    <w:pPr>
      <w:keepNext/>
      <w:spacing w:before="480" w:after="120" w:line="240" w:lineRule="auto"/>
      <w:jc w:val="left"/>
      <w:outlineLvl w:val="0"/>
    </w:pPr>
    <w:rPr>
      <w:rFonts w:asciiTheme="majorHAnsi" w:eastAsiaTheme="minorHAnsi" w:hAnsiTheme="majorHAnsi" w:cs="Arial"/>
      <w:color w:val="3672B0" w:themeColor="accent2"/>
      <w:sz w:val="28"/>
      <w:lang w:eastAsia="nb-NO"/>
    </w:rPr>
  </w:style>
  <w:style w:type="character" w:customStyle="1" w:styleId="Overskrift4utennummerTegn">
    <w:name w:val="~Overskrift 4 (uten nummer) Tegn"/>
    <w:basedOn w:val="Standardskriftforavsnitt"/>
    <w:link w:val="Overskrift4utennummer"/>
    <w:rsid w:val="00583E7A"/>
    <w:rPr>
      <w:rFonts w:asciiTheme="majorHAnsi" w:eastAsiaTheme="minorHAnsi" w:hAnsiTheme="majorHAnsi" w:cs="Arial"/>
      <w:color w:val="3672B0" w:themeColor="accent2"/>
      <w:sz w:val="24"/>
      <w:lang w:eastAsia="nb-NO"/>
    </w:rPr>
  </w:style>
  <w:style w:type="character" w:customStyle="1" w:styleId="Overskrift3utennummerTegn">
    <w:name w:val="~Overskrift 3 (uten nummer) Tegn"/>
    <w:basedOn w:val="Standardskriftforavsnitt"/>
    <w:link w:val="Overskrift3utennummer"/>
    <w:rsid w:val="00583E7A"/>
    <w:rPr>
      <w:rFonts w:asciiTheme="majorHAnsi" w:eastAsiaTheme="minorHAnsi" w:hAnsiTheme="majorHAnsi" w:cs="Arial"/>
      <w:color w:val="3672B0" w:themeColor="accent2"/>
      <w:sz w:val="28"/>
      <w:lang w:eastAsia="nb-NO"/>
    </w:rPr>
  </w:style>
  <w:style w:type="paragraph" w:styleId="Revisjon">
    <w:name w:val="Revision"/>
    <w:hidden/>
    <w:uiPriority w:val="99"/>
    <w:semiHidden/>
    <w:rsid w:val="00A8286E"/>
    <w:pPr>
      <w:spacing w:before="0" w:line="240" w:lineRule="auto"/>
      <w:jc w:val="left"/>
    </w:pPr>
  </w:style>
  <w:style w:type="paragraph" w:customStyle="1" w:styleId="Billedtekst-forklaring">
    <w:name w:val="Billedtekst - forklaring"/>
    <w:basedOn w:val="Bildetekst"/>
    <w:link w:val="Billedtekst-forklaringTegn"/>
    <w:qFormat/>
    <w:rsid w:val="003D56B9"/>
    <w:rPr>
      <w:i/>
    </w:rPr>
  </w:style>
  <w:style w:type="character" w:customStyle="1" w:styleId="Billedtekst-forklaringTegn">
    <w:name w:val="Billedtekst - forklaring Tegn"/>
    <w:basedOn w:val="BildetekstTegn"/>
    <w:link w:val="Billedtekst-forklaring"/>
    <w:rsid w:val="003D56B9"/>
    <w:rPr>
      <w:rFonts w:asciiTheme="majorHAnsi" w:eastAsia="Calibri" w:hAnsiTheme="majorHAnsi"/>
      <w:i/>
      <w:color w:val="162F5C" w:themeColor="accent1"/>
    </w:rPr>
  </w:style>
  <w:style w:type="paragraph" w:customStyle="1" w:styleId="Vista-bl">
    <w:name w:val="Vista-blå"/>
    <w:basedOn w:val="Normal"/>
    <w:link w:val="Vista-blTegn"/>
    <w:qFormat/>
    <w:rsid w:val="004B7894"/>
    <w:pPr>
      <w:spacing w:before="0"/>
    </w:pPr>
    <w:rPr>
      <w:color w:val="3672B0" w:themeColor="accent2"/>
      <w:lang w:eastAsia="nb-NO"/>
    </w:rPr>
  </w:style>
  <w:style w:type="character" w:customStyle="1" w:styleId="Vista-blTegn">
    <w:name w:val="Vista-blå Tegn"/>
    <w:basedOn w:val="Standardskriftforavsnitt"/>
    <w:link w:val="Vista-bl"/>
    <w:rsid w:val="004B7894"/>
    <w:rPr>
      <w:color w:val="3672B0" w:themeColor="accent2"/>
      <w:lang w:eastAsia="nb-NO"/>
    </w:rPr>
  </w:style>
  <w:style w:type="paragraph" w:customStyle="1" w:styleId="Regresjonstabell">
    <w:name w:val="Regresjonstabell"/>
    <w:basedOn w:val="Normal"/>
    <w:link w:val="RegresjonstabellTegn"/>
    <w:qFormat/>
    <w:rsid w:val="00A176BB"/>
    <w:pPr>
      <w:spacing w:before="0" w:line="240" w:lineRule="auto"/>
    </w:pPr>
    <w:rPr>
      <w:rFonts w:ascii="Aptos Narrow" w:eastAsiaTheme="minorHAnsi" w:hAnsi="Aptos Narrow" w:cs="Arial"/>
      <w:szCs w:val="16"/>
      <w:lang w:eastAsia="nb-NO"/>
    </w:rPr>
  </w:style>
  <w:style w:type="character" w:customStyle="1" w:styleId="RegresjonstabellTegn">
    <w:name w:val="Regresjonstabell Tegn"/>
    <w:basedOn w:val="Standardskriftforavsnitt"/>
    <w:link w:val="Regresjonstabell"/>
    <w:rsid w:val="00A176BB"/>
    <w:rPr>
      <w:rFonts w:ascii="Aptos Narrow" w:eastAsiaTheme="minorHAnsi" w:hAnsi="Aptos Narrow" w:cs="Arial"/>
      <w:szCs w:val="16"/>
      <w:lang w:eastAsia="nb-NO"/>
    </w:rPr>
  </w:style>
  <w:style w:type="character" w:customStyle="1" w:styleId="Ulstomtale1">
    <w:name w:val="Uløst omtale1"/>
    <w:basedOn w:val="Standardskriftforavsnitt"/>
    <w:uiPriority w:val="99"/>
    <w:semiHidden/>
    <w:rsid w:val="00372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8556">
      <w:bodyDiv w:val="1"/>
      <w:marLeft w:val="0"/>
      <w:marRight w:val="0"/>
      <w:marTop w:val="0"/>
      <w:marBottom w:val="0"/>
      <w:divBdr>
        <w:top w:val="none" w:sz="0" w:space="0" w:color="auto"/>
        <w:left w:val="none" w:sz="0" w:space="0" w:color="auto"/>
        <w:bottom w:val="none" w:sz="0" w:space="0" w:color="auto"/>
        <w:right w:val="none" w:sz="0" w:space="0" w:color="auto"/>
      </w:divBdr>
    </w:div>
    <w:div w:id="17509745">
      <w:bodyDiv w:val="1"/>
      <w:marLeft w:val="0"/>
      <w:marRight w:val="0"/>
      <w:marTop w:val="0"/>
      <w:marBottom w:val="0"/>
      <w:divBdr>
        <w:top w:val="none" w:sz="0" w:space="0" w:color="auto"/>
        <w:left w:val="none" w:sz="0" w:space="0" w:color="auto"/>
        <w:bottom w:val="none" w:sz="0" w:space="0" w:color="auto"/>
        <w:right w:val="none" w:sz="0" w:space="0" w:color="auto"/>
      </w:divBdr>
    </w:div>
    <w:div w:id="34504590">
      <w:bodyDiv w:val="1"/>
      <w:marLeft w:val="0"/>
      <w:marRight w:val="0"/>
      <w:marTop w:val="0"/>
      <w:marBottom w:val="0"/>
      <w:divBdr>
        <w:top w:val="none" w:sz="0" w:space="0" w:color="auto"/>
        <w:left w:val="none" w:sz="0" w:space="0" w:color="auto"/>
        <w:bottom w:val="none" w:sz="0" w:space="0" w:color="auto"/>
        <w:right w:val="none" w:sz="0" w:space="0" w:color="auto"/>
      </w:divBdr>
      <w:divsChild>
        <w:div w:id="1501769351">
          <w:marLeft w:val="0"/>
          <w:marRight w:val="0"/>
          <w:marTop w:val="0"/>
          <w:marBottom w:val="0"/>
          <w:divBdr>
            <w:top w:val="none" w:sz="0" w:space="0" w:color="auto"/>
            <w:left w:val="none" w:sz="0" w:space="0" w:color="auto"/>
            <w:bottom w:val="none" w:sz="0" w:space="0" w:color="auto"/>
            <w:right w:val="none" w:sz="0" w:space="0" w:color="auto"/>
          </w:divBdr>
          <w:divsChild>
            <w:div w:id="932588819">
              <w:marLeft w:val="0"/>
              <w:marRight w:val="0"/>
              <w:marTop w:val="0"/>
              <w:marBottom w:val="0"/>
              <w:divBdr>
                <w:top w:val="none" w:sz="0" w:space="0" w:color="auto"/>
                <w:left w:val="none" w:sz="0" w:space="0" w:color="auto"/>
                <w:bottom w:val="none" w:sz="0" w:space="0" w:color="auto"/>
                <w:right w:val="none" w:sz="0" w:space="0" w:color="auto"/>
              </w:divBdr>
              <w:divsChild>
                <w:div w:id="1193690802">
                  <w:marLeft w:val="0"/>
                  <w:marRight w:val="0"/>
                  <w:marTop w:val="0"/>
                  <w:marBottom w:val="0"/>
                  <w:divBdr>
                    <w:top w:val="none" w:sz="0" w:space="0" w:color="auto"/>
                    <w:left w:val="none" w:sz="0" w:space="0" w:color="auto"/>
                    <w:bottom w:val="none" w:sz="0" w:space="0" w:color="auto"/>
                    <w:right w:val="none" w:sz="0" w:space="0" w:color="auto"/>
                  </w:divBdr>
                  <w:divsChild>
                    <w:div w:id="10679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1221">
      <w:bodyDiv w:val="1"/>
      <w:marLeft w:val="0"/>
      <w:marRight w:val="0"/>
      <w:marTop w:val="0"/>
      <w:marBottom w:val="0"/>
      <w:divBdr>
        <w:top w:val="none" w:sz="0" w:space="0" w:color="auto"/>
        <w:left w:val="none" w:sz="0" w:space="0" w:color="auto"/>
        <w:bottom w:val="none" w:sz="0" w:space="0" w:color="auto"/>
        <w:right w:val="none" w:sz="0" w:space="0" w:color="auto"/>
      </w:divBdr>
    </w:div>
    <w:div w:id="55903532">
      <w:bodyDiv w:val="1"/>
      <w:marLeft w:val="0"/>
      <w:marRight w:val="0"/>
      <w:marTop w:val="0"/>
      <w:marBottom w:val="0"/>
      <w:divBdr>
        <w:top w:val="none" w:sz="0" w:space="0" w:color="auto"/>
        <w:left w:val="none" w:sz="0" w:space="0" w:color="auto"/>
        <w:bottom w:val="none" w:sz="0" w:space="0" w:color="auto"/>
        <w:right w:val="none" w:sz="0" w:space="0" w:color="auto"/>
      </w:divBdr>
    </w:div>
    <w:div w:id="60058301">
      <w:bodyDiv w:val="1"/>
      <w:marLeft w:val="0"/>
      <w:marRight w:val="0"/>
      <w:marTop w:val="0"/>
      <w:marBottom w:val="0"/>
      <w:divBdr>
        <w:top w:val="none" w:sz="0" w:space="0" w:color="auto"/>
        <w:left w:val="none" w:sz="0" w:space="0" w:color="auto"/>
        <w:bottom w:val="none" w:sz="0" w:space="0" w:color="auto"/>
        <w:right w:val="none" w:sz="0" w:space="0" w:color="auto"/>
      </w:divBdr>
    </w:div>
    <w:div w:id="60561982">
      <w:bodyDiv w:val="1"/>
      <w:marLeft w:val="0"/>
      <w:marRight w:val="0"/>
      <w:marTop w:val="0"/>
      <w:marBottom w:val="0"/>
      <w:divBdr>
        <w:top w:val="none" w:sz="0" w:space="0" w:color="auto"/>
        <w:left w:val="none" w:sz="0" w:space="0" w:color="auto"/>
        <w:bottom w:val="none" w:sz="0" w:space="0" w:color="auto"/>
        <w:right w:val="none" w:sz="0" w:space="0" w:color="auto"/>
      </w:divBdr>
    </w:div>
    <w:div w:id="95057561">
      <w:bodyDiv w:val="1"/>
      <w:marLeft w:val="0"/>
      <w:marRight w:val="0"/>
      <w:marTop w:val="0"/>
      <w:marBottom w:val="0"/>
      <w:divBdr>
        <w:top w:val="none" w:sz="0" w:space="0" w:color="auto"/>
        <w:left w:val="none" w:sz="0" w:space="0" w:color="auto"/>
        <w:bottom w:val="none" w:sz="0" w:space="0" w:color="auto"/>
        <w:right w:val="none" w:sz="0" w:space="0" w:color="auto"/>
      </w:divBdr>
      <w:divsChild>
        <w:div w:id="477645969">
          <w:marLeft w:val="432"/>
          <w:marRight w:val="0"/>
          <w:marTop w:val="180"/>
          <w:marBottom w:val="0"/>
          <w:divBdr>
            <w:top w:val="none" w:sz="0" w:space="0" w:color="auto"/>
            <w:left w:val="none" w:sz="0" w:space="0" w:color="auto"/>
            <w:bottom w:val="none" w:sz="0" w:space="0" w:color="auto"/>
            <w:right w:val="none" w:sz="0" w:space="0" w:color="auto"/>
          </w:divBdr>
        </w:div>
        <w:div w:id="726337142">
          <w:marLeft w:val="850"/>
          <w:marRight w:val="0"/>
          <w:marTop w:val="60"/>
          <w:marBottom w:val="0"/>
          <w:divBdr>
            <w:top w:val="none" w:sz="0" w:space="0" w:color="auto"/>
            <w:left w:val="none" w:sz="0" w:space="0" w:color="auto"/>
            <w:bottom w:val="none" w:sz="0" w:space="0" w:color="auto"/>
            <w:right w:val="none" w:sz="0" w:space="0" w:color="auto"/>
          </w:divBdr>
        </w:div>
        <w:div w:id="828522224">
          <w:marLeft w:val="850"/>
          <w:marRight w:val="0"/>
          <w:marTop w:val="60"/>
          <w:marBottom w:val="0"/>
          <w:divBdr>
            <w:top w:val="none" w:sz="0" w:space="0" w:color="auto"/>
            <w:left w:val="none" w:sz="0" w:space="0" w:color="auto"/>
            <w:bottom w:val="none" w:sz="0" w:space="0" w:color="auto"/>
            <w:right w:val="none" w:sz="0" w:space="0" w:color="auto"/>
          </w:divBdr>
        </w:div>
        <w:div w:id="1193111228">
          <w:marLeft w:val="432"/>
          <w:marRight w:val="0"/>
          <w:marTop w:val="180"/>
          <w:marBottom w:val="0"/>
          <w:divBdr>
            <w:top w:val="none" w:sz="0" w:space="0" w:color="auto"/>
            <w:left w:val="none" w:sz="0" w:space="0" w:color="auto"/>
            <w:bottom w:val="none" w:sz="0" w:space="0" w:color="auto"/>
            <w:right w:val="none" w:sz="0" w:space="0" w:color="auto"/>
          </w:divBdr>
        </w:div>
        <w:div w:id="1318075031">
          <w:marLeft w:val="432"/>
          <w:marRight w:val="0"/>
          <w:marTop w:val="180"/>
          <w:marBottom w:val="0"/>
          <w:divBdr>
            <w:top w:val="none" w:sz="0" w:space="0" w:color="auto"/>
            <w:left w:val="none" w:sz="0" w:space="0" w:color="auto"/>
            <w:bottom w:val="none" w:sz="0" w:space="0" w:color="auto"/>
            <w:right w:val="none" w:sz="0" w:space="0" w:color="auto"/>
          </w:divBdr>
        </w:div>
        <w:div w:id="1356997738">
          <w:marLeft w:val="850"/>
          <w:marRight w:val="0"/>
          <w:marTop w:val="60"/>
          <w:marBottom w:val="0"/>
          <w:divBdr>
            <w:top w:val="none" w:sz="0" w:space="0" w:color="auto"/>
            <w:left w:val="none" w:sz="0" w:space="0" w:color="auto"/>
            <w:bottom w:val="none" w:sz="0" w:space="0" w:color="auto"/>
            <w:right w:val="none" w:sz="0" w:space="0" w:color="auto"/>
          </w:divBdr>
        </w:div>
        <w:div w:id="1890074369">
          <w:marLeft w:val="432"/>
          <w:marRight w:val="0"/>
          <w:marTop w:val="180"/>
          <w:marBottom w:val="0"/>
          <w:divBdr>
            <w:top w:val="none" w:sz="0" w:space="0" w:color="auto"/>
            <w:left w:val="none" w:sz="0" w:space="0" w:color="auto"/>
            <w:bottom w:val="none" w:sz="0" w:space="0" w:color="auto"/>
            <w:right w:val="none" w:sz="0" w:space="0" w:color="auto"/>
          </w:divBdr>
        </w:div>
        <w:div w:id="1912352731">
          <w:marLeft w:val="432"/>
          <w:marRight w:val="0"/>
          <w:marTop w:val="180"/>
          <w:marBottom w:val="0"/>
          <w:divBdr>
            <w:top w:val="none" w:sz="0" w:space="0" w:color="auto"/>
            <w:left w:val="none" w:sz="0" w:space="0" w:color="auto"/>
            <w:bottom w:val="none" w:sz="0" w:space="0" w:color="auto"/>
            <w:right w:val="none" w:sz="0" w:space="0" w:color="auto"/>
          </w:divBdr>
        </w:div>
        <w:div w:id="2071613780">
          <w:marLeft w:val="850"/>
          <w:marRight w:val="0"/>
          <w:marTop w:val="60"/>
          <w:marBottom w:val="0"/>
          <w:divBdr>
            <w:top w:val="none" w:sz="0" w:space="0" w:color="auto"/>
            <w:left w:val="none" w:sz="0" w:space="0" w:color="auto"/>
            <w:bottom w:val="none" w:sz="0" w:space="0" w:color="auto"/>
            <w:right w:val="none" w:sz="0" w:space="0" w:color="auto"/>
          </w:divBdr>
        </w:div>
      </w:divsChild>
    </w:div>
    <w:div w:id="106587199">
      <w:bodyDiv w:val="1"/>
      <w:marLeft w:val="0"/>
      <w:marRight w:val="0"/>
      <w:marTop w:val="0"/>
      <w:marBottom w:val="0"/>
      <w:divBdr>
        <w:top w:val="none" w:sz="0" w:space="0" w:color="auto"/>
        <w:left w:val="none" w:sz="0" w:space="0" w:color="auto"/>
        <w:bottom w:val="none" w:sz="0" w:space="0" w:color="auto"/>
        <w:right w:val="none" w:sz="0" w:space="0" w:color="auto"/>
      </w:divBdr>
    </w:div>
    <w:div w:id="124394772">
      <w:bodyDiv w:val="1"/>
      <w:marLeft w:val="0"/>
      <w:marRight w:val="0"/>
      <w:marTop w:val="0"/>
      <w:marBottom w:val="0"/>
      <w:divBdr>
        <w:top w:val="none" w:sz="0" w:space="0" w:color="auto"/>
        <w:left w:val="none" w:sz="0" w:space="0" w:color="auto"/>
        <w:bottom w:val="none" w:sz="0" w:space="0" w:color="auto"/>
        <w:right w:val="none" w:sz="0" w:space="0" w:color="auto"/>
      </w:divBdr>
    </w:div>
    <w:div w:id="136338856">
      <w:bodyDiv w:val="1"/>
      <w:marLeft w:val="0"/>
      <w:marRight w:val="0"/>
      <w:marTop w:val="0"/>
      <w:marBottom w:val="0"/>
      <w:divBdr>
        <w:top w:val="none" w:sz="0" w:space="0" w:color="auto"/>
        <w:left w:val="none" w:sz="0" w:space="0" w:color="auto"/>
        <w:bottom w:val="none" w:sz="0" w:space="0" w:color="auto"/>
        <w:right w:val="none" w:sz="0" w:space="0" w:color="auto"/>
      </w:divBdr>
    </w:div>
    <w:div w:id="140777487">
      <w:bodyDiv w:val="1"/>
      <w:marLeft w:val="0"/>
      <w:marRight w:val="0"/>
      <w:marTop w:val="0"/>
      <w:marBottom w:val="0"/>
      <w:divBdr>
        <w:top w:val="none" w:sz="0" w:space="0" w:color="auto"/>
        <w:left w:val="none" w:sz="0" w:space="0" w:color="auto"/>
        <w:bottom w:val="none" w:sz="0" w:space="0" w:color="auto"/>
        <w:right w:val="none" w:sz="0" w:space="0" w:color="auto"/>
      </w:divBdr>
    </w:div>
    <w:div w:id="141893116">
      <w:bodyDiv w:val="1"/>
      <w:marLeft w:val="0"/>
      <w:marRight w:val="0"/>
      <w:marTop w:val="0"/>
      <w:marBottom w:val="0"/>
      <w:divBdr>
        <w:top w:val="none" w:sz="0" w:space="0" w:color="auto"/>
        <w:left w:val="none" w:sz="0" w:space="0" w:color="auto"/>
        <w:bottom w:val="none" w:sz="0" w:space="0" w:color="auto"/>
        <w:right w:val="none" w:sz="0" w:space="0" w:color="auto"/>
      </w:divBdr>
    </w:div>
    <w:div w:id="153034613">
      <w:bodyDiv w:val="1"/>
      <w:marLeft w:val="0"/>
      <w:marRight w:val="0"/>
      <w:marTop w:val="0"/>
      <w:marBottom w:val="0"/>
      <w:divBdr>
        <w:top w:val="none" w:sz="0" w:space="0" w:color="auto"/>
        <w:left w:val="none" w:sz="0" w:space="0" w:color="auto"/>
        <w:bottom w:val="none" w:sz="0" w:space="0" w:color="auto"/>
        <w:right w:val="none" w:sz="0" w:space="0" w:color="auto"/>
      </w:divBdr>
    </w:div>
    <w:div w:id="189880182">
      <w:bodyDiv w:val="1"/>
      <w:marLeft w:val="0"/>
      <w:marRight w:val="0"/>
      <w:marTop w:val="0"/>
      <w:marBottom w:val="0"/>
      <w:divBdr>
        <w:top w:val="none" w:sz="0" w:space="0" w:color="auto"/>
        <w:left w:val="none" w:sz="0" w:space="0" w:color="auto"/>
        <w:bottom w:val="none" w:sz="0" w:space="0" w:color="auto"/>
        <w:right w:val="none" w:sz="0" w:space="0" w:color="auto"/>
      </w:divBdr>
    </w:div>
    <w:div w:id="208807607">
      <w:bodyDiv w:val="1"/>
      <w:marLeft w:val="0"/>
      <w:marRight w:val="0"/>
      <w:marTop w:val="0"/>
      <w:marBottom w:val="0"/>
      <w:divBdr>
        <w:top w:val="none" w:sz="0" w:space="0" w:color="auto"/>
        <w:left w:val="none" w:sz="0" w:space="0" w:color="auto"/>
        <w:bottom w:val="none" w:sz="0" w:space="0" w:color="auto"/>
        <w:right w:val="none" w:sz="0" w:space="0" w:color="auto"/>
      </w:divBdr>
    </w:div>
    <w:div w:id="215509037">
      <w:bodyDiv w:val="1"/>
      <w:marLeft w:val="0"/>
      <w:marRight w:val="0"/>
      <w:marTop w:val="0"/>
      <w:marBottom w:val="0"/>
      <w:divBdr>
        <w:top w:val="none" w:sz="0" w:space="0" w:color="auto"/>
        <w:left w:val="none" w:sz="0" w:space="0" w:color="auto"/>
        <w:bottom w:val="none" w:sz="0" w:space="0" w:color="auto"/>
        <w:right w:val="none" w:sz="0" w:space="0" w:color="auto"/>
      </w:divBdr>
    </w:div>
    <w:div w:id="235827494">
      <w:bodyDiv w:val="1"/>
      <w:marLeft w:val="0"/>
      <w:marRight w:val="0"/>
      <w:marTop w:val="0"/>
      <w:marBottom w:val="0"/>
      <w:divBdr>
        <w:top w:val="none" w:sz="0" w:space="0" w:color="auto"/>
        <w:left w:val="none" w:sz="0" w:space="0" w:color="auto"/>
        <w:bottom w:val="none" w:sz="0" w:space="0" w:color="auto"/>
        <w:right w:val="none" w:sz="0" w:space="0" w:color="auto"/>
      </w:divBdr>
    </w:div>
    <w:div w:id="254674617">
      <w:bodyDiv w:val="1"/>
      <w:marLeft w:val="0"/>
      <w:marRight w:val="0"/>
      <w:marTop w:val="0"/>
      <w:marBottom w:val="0"/>
      <w:divBdr>
        <w:top w:val="none" w:sz="0" w:space="0" w:color="auto"/>
        <w:left w:val="none" w:sz="0" w:space="0" w:color="auto"/>
        <w:bottom w:val="none" w:sz="0" w:space="0" w:color="auto"/>
        <w:right w:val="none" w:sz="0" w:space="0" w:color="auto"/>
      </w:divBdr>
    </w:div>
    <w:div w:id="288097982">
      <w:bodyDiv w:val="1"/>
      <w:marLeft w:val="0"/>
      <w:marRight w:val="0"/>
      <w:marTop w:val="0"/>
      <w:marBottom w:val="0"/>
      <w:divBdr>
        <w:top w:val="none" w:sz="0" w:space="0" w:color="auto"/>
        <w:left w:val="none" w:sz="0" w:space="0" w:color="auto"/>
        <w:bottom w:val="none" w:sz="0" w:space="0" w:color="auto"/>
        <w:right w:val="none" w:sz="0" w:space="0" w:color="auto"/>
      </w:divBdr>
    </w:div>
    <w:div w:id="320472195">
      <w:bodyDiv w:val="1"/>
      <w:marLeft w:val="0"/>
      <w:marRight w:val="0"/>
      <w:marTop w:val="0"/>
      <w:marBottom w:val="0"/>
      <w:divBdr>
        <w:top w:val="none" w:sz="0" w:space="0" w:color="auto"/>
        <w:left w:val="none" w:sz="0" w:space="0" w:color="auto"/>
        <w:bottom w:val="none" w:sz="0" w:space="0" w:color="auto"/>
        <w:right w:val="none" w:sz="0" w:space="0" w:color="auto"/>
      </w:divBdr>
    </w:div>
    <w:div w:id="328143117">
      <w:bodyDiv w:val="1"/>
      <w:marLeft w:val="0"/>
      <w:marRight w:val="0"/>
      <w:marTop w:val="0"/>
      <w:marBottom w:val="0"/>
      <w:divBdr>
        <w:top w:val="none" w:sz="0" w:space="0" w:color="auto"/>
        <w:left w:val="none" w:sz="0" w:space="0" w:color="auto"/>
        <w:bottom w:val="none" w:sz="0" w:space="0" w:color="auto"/>
        <w:right w:val="none" w:sz="0" w:space="0" w:color="auto"/>
      </w:divBdr>
    </w:div>
    <w:div w:id="334723061">
      <w:bodyDiv w:val="1"/>
      <w:marLeft w:val="0"/>
      <w:marRight w:val="0"/>
      <w:marTop w:val="0"/>
      <w:marBottom w:val="0"/>
      <w:divBdr>
        <w:top w:val="none" w:sz="0" w:space="0" w:color="auto"/>
        <w:left w:val="none" w:sz="0" w:space="0" w:color="auto"/>
        <w:bottom w:val="none" w:sz="0" w:space="0" w:color="auto"/>
        <w:right w:val="none" w:sz="0" w:space="0" w:color="auto"/>
      </w:divBdr>
    </w:div>
    <w:div w:id="339546481">
      <w:bodyDiv w:val="1"/>
      <w:marLeft w:val="0"/>
      <w:marRight w:val="0"/>
      <w:marTop w:val="0"/>
      <w:marBottom w:val="0"/>
      <w:divBdr>
        <w:top w:val="none" w:sz="0" w:space="0" w:color="auto"/>
        <w:left w:val="none" w:sz="0" w:space="0" w:color="auto"/>
        <w:bottom w:val="none" w:sz="0" w:space="0" w:color="auto"/>
        <w:right w:val="none" w:sz="0" w:space="0" w:color="auto"/>
      </w:divBdr>
    </w:div>
    <w:div w:id="344330858">
      <w:bodyDiv w:val="1"/>
      <w:marLeft w:val="0"/>
      <w:marRight w:val="0"/>
      <w:marTop w:val="0"/>
      <w:marBottom w:val="0"/>
      <w:divBdr>
        <w:top w:val="none" w:sz="0" w:space="0" w:color="auto"/>
        <w:left w:val="none" w:sz="0" w:space="0" w:color="auto"/>
        <w:bottom w:val="none" w:sz="0" w:space="0" w:color="auto"/>
        <w:right w:val="none" w:sz="0" w:space="0" w:color="auto"/>
      </w:divBdr>
    </w:div>
    <w:div w:id="361824366">
      <w:bodyDiv w:val="1"/>
      <w:marLeft w:val="0"/>
      <w:marRight w:val="0"/>
      <w:marTop w:val="0"/>
      <w:marBottom w:val="0"/>
      <w:divBdr>
        <w:top w:val="none" w:sz="0" w:space="0" w:color="auto"/>
        <w:left w:val="none" w:sz="0" w:space="0" w:color="auto"/>
        <w:bottom w:val="none" w:sz="0" w:space="0" w:color="auto"/>
        <w:right w:val="none" w:sz="0" w:space="0" w:color="auto"/>
      </w:divBdr>
    </w:div>
    <w:div w:id="370542165">
      <w:bodyDiv w:val="1"/>
      <w:marLeft w:val="0"/>
      <w:marRight w:val="0"/>
      <w:marTop w:val="0"/>
      <w:marBottom w:val="0"/>
      <w:divBdr>
        <w:top w:val="none" w:sz="0" w:space="0" w:color="auto"/>
        <w:left w:val="none" w:sz="0" w:space="0" w:color="auto"/>
        <w:bottom w:val="none" w:sz="0" w:space="0" w:color="auto"/>
        <w:right w:val="none" w:sz="0" w:space="0" w:color="auto"/>
      </w:divBdr>
    </w:div>
    <w:div w:id="379867588">
      <w:bodyDiv w:val="1"/>
      <w:marLeft w:val="0"/>
      <w:marRight w:val="0"/>
      <w:marTop w:val="0"/>
      <w:marBottom w:val="0"/>
      <w:divBdr>
        <w:top w:val="none" w:sz="0" w:space="0" w:color="auto"/>
        <w:left w:val="none" w:sz="0" w:space="0" w:color="auto"/>
        <w:bottom w:val="none" w:sz="0" w:space="0" w:color="auto"/>
        <w:right w:val="none" w:sz="0" w:space="0" w:color="auto"/>
      </w:divBdr>
    </w:div>
    <w:div w:id="381829813">
      <w:bodyDiv w:val="1"/>
      <w:marLeft w:val="0"/>
      <w:marRight w:val="0"/>
      <w:marTop w:val="0"/>
      <w:marBottom w:val="0"/>
      <w:divBdr>
        <w:top w:val="none" w:sz="0" w:space="0" w:color="auto"/>
        <w:left w:val="none" w:sz="0" w:space="0" w:color="auto"/>
        <w:bottom w:val="none" w:sz="0" w:space="0" w:color="auto"/>
        <w:right w:val="none" w:sz="0" w:space="0" w:color="auto"/>
      </w:divBdr>
    </w:div>
    <w:div w:id="401757053">
      <w:bodyDiv w:val="1"/>
      <w:marLeft w:val="0"/>
      <w:marRight w:val="0"/>
      <w:marTop w:val="0"/>
      <w:marBottom w:val="0"/>
      <w:divBdr>
        <w:top w:val="none" w:sz="0" w:space="0" w:color="auto"/>
        <w:left w:val="none" w:sz="0" w:space="0" w:color="auto"/>
        <w:bottom w:val="none" w:sz="0" w:space="0" w:color="auto"/>
        <w:right w:val="none" w:sz="0" w:space="0" w:color="auto"/>
      </w:divBdr>
    </w:div>
    <w:div w:id="442648382">
      <w:bodyDiv w:val="1"/>
      <w:marLeft w:val="0"/>
      <w:marRight w:val="0"/>
      <w:marTop w:val="0"/>
      <w:marBottom w:val="0"/>
      <w:divBdr>
        <w:top w:val="none" w:sz="0" w:space="0" w:color="auto"/>
        <w:left w:val="none" w:sz="0" w:space="0" w:color="auto"/>
        <w:bottom w:val="none" w:sz="0" w:space="0" w:color="auto"/>
        <w:right w:val="none" w:sz="0" w:space="0" w:color="auto"/>
      </w:divBdr>
      <w:divsChild>
        <w:div w:id="54553660">
          <w:marLeft w:val="432"/>
          <w:marRight w:val="0"/>
          <w:marTop w:val="180"/>
          <w:marBottom w:val="0"/>
          <w:divBdr>
            <w:top w:val="none" w:sz="0" w:space="0" w:color="auto"/>
            <w:left w:val="none" w:sz="0" w:space="0" w:color="auto"/>
            <w:bottom w:val="none" w:sz="0" w:space="0" w:color="auto"/>
            <w:right w:val="none" w:sz="0" w:space="0" w:color="auto"/>
          </w:divBdr>
        </w:div>
        <w:div w:id="595136869">
          <w:marLeft w:val="850"/>
          <w:marRight w:val="0"/>
          <w:marTop w:val="60"/>
          <w:marBottom w:val="0"/>
          <w:divBdr>
            <w:top w:val="none" w:sz="0" w:space="0" w:color="auto"/>
            <w:left w:val="none" w:sz="0" w:space="0" w:color="auto"/>
            <w:bottom w:val="none" w:sz="0" w:space="0" w:color="auto"/>
            <w:right w:val="none" w:sz="0" w:space="0" w:color="auto"/>
          </w:divBdr>
        </w:div>
        <w:div w:id="766776272">
          <w:marLeft w:val="850"/>
          <w:marRight w:val="0"/>
          <w:marTop w:val="60"/>
          <w:marBottom w:val="0"/>
          <w:divBdr>
            <w:top w:val="none" w:sz="0" w:space="0" w:color="auto"/>
            <w:left w:val="none" w:sz="0" w:space="0" w:color="auto"/>
            <w:bottom w:val="none" w:sz="0" w:space="0" w:color="auto"/>
            <w:right w:val="none" w:sz="0" w:space="0" w:color="auto"/>
          </w:divBdr>
        </w:div>
        <w:div w:id="1007170317">
          <w:marLeft w:val="850"/>
          <w:marRight w:val="0"/>
          <w:marTop w:val="60"/>
          <w:marBottom w:val="0"/>
          <w:divBdr>
            <w:top w:val="none" w:sz="0" w:space="0" w:color="auto"/>
            <w:left w:val="none" w:sz="0" w:space="0" w:color="auto"/>
            <w:bottom w:val="none" w:sz="0" w:space="0" w:color="auto"/>
            <w:right w:val="none" w:sz="0" w:space="0" w:color="auto"/>
          </w:divBdr>
        </w:div>
        <w:div w:id="1599941932">
          <w:marLeft w:val="432"/>
          <w:marRight w:val="0"/>
          <w:marTop w:val="180"/>
          <w:marBottom w:val="0"/>
          <w:divBdr>
            <w:top w:val="none" w:sz="0" w:space="0" w:color="auto"/>
            <w:left w:val="none" w:sz="0" w:space="0" w:color="auto"/>
            <w:bottom w:val="none" w:sz="0" w:space="0" w:color="auto"/>
            <w:right w:val="none" w:sz="0" w:space="0" w:color="auto"/>
          </w:divBdr>
        </w:div>
        <w:div w:id="1906332677">
          <w:marLeft w:val="432"/>
          <w:marRight w:val="0"/>
          <w:marTop w:val="180"/>
          <w:marBottom w:val="0"/>
          <w:divBdr>
            <w:top w:val="none" w:sz="0" w:space="0" w:color="auto"/>
            <w:left w:val="none" w:sz="0" w:space="0" w:color="auto"/>
            <w:bottom w:val="none" w:sz="0" w:space="0" w:color="auto"/>
            <w:right w:val="none" w:sz="0" w:space="0" w:color="auto"/>
          </w:divBdr>
        </w:div>
        <w:div w:id="2054191871">
          <w:marLeft w:val="850"/>
          <w:marRight w:val="0"/>
          <w:marTop w:val="60"/>
          <w:marBottom w:val="0"/>
          <w:divBdr>
            <w:top w:val="none" w:sz="0" w:space="0" w:color="auto"/>
            <w:left w:val="none" w:sz="0" w:space="0" w:color="auto"/>
            <w:bottom w:val="none" w:sz="0" w:space="0" w:color="auto"/>
            <w:right w:val="none" w:sz="0" w:space="0" w:color="auto"/>
          </w:divBdr>
        </w:div>
      </w:divsChild>
    </w:div>
    <w:div w:id="465203115">
      <w:bodyDiv w:val="1"/>
      <w:marLeft w:val="0"/>
      <w:marRight w:val="0"/>
      <w:marTop w:val="0"/>
      <w:marBottom w:val="0"/>
      <w:divBdr>
        <w:top w:val="none" w:sz="0" w:space="0" w:color="auto"/>
        <w:left w:val="none" w:sz="0" w:space="0" w:color="auto"/>
        <w:bottom w:val="none" w:sz="0" w:space="0" w:color="auto"/>
        <w:right w:val="none" w:sz="0" w:space="0" w:color="auto"/>
      </w:divBdr>
    </w:div>
    <w:div w:id="476067928">
      <w:bodyDiv w:val="1"/>
      <w:marLeft w:val="0"/>
      <w:marRight w:val="0"/>
      <w:marTop w:val="0"/>
      <w:marBottom w:val="0"/>
      <w:divBdr>
        <w:top w:val="none" w:sz="0" w:space="0" w:color="auto"/>
        <w:left w:val="none" w:sz="0" w:space="0" w:color="auto"/>
        <w:bottom w:val="none" w:sz="0" w:space="0" w:color="auto"/>
        <w:right w:val="none" w:sz="0" w:space="0" w:color="auto"/>
      </w:divBdr>
    </w:div>
    <w:div w:id="522089265">
      <w:bodyDiv w:val="1"/>
      <w:marLeft w:val="0"/>
      <w:marRight w:val="0"/>
      <w:marTop w:val="0"/>
      <w:marBottom w:val="0"/>
      <w:divBdr>
        <w:top w:val="none" w:sz="0" w:space="0" w:color="auto"/>
        <w:left w:val="none" w:sz="0" w:space="0" w:color="auto"/>
        <w:bottom w:val="none" w:sz="0" w:space="0" w:color="auto"/>
        <w:right w:val="none" w:sz="0" w:space="0" w:color="auto"/>
      </w:divBdr>
    </w:div>
    <w:div w:id="522549024">
      <w:bodyDiv w:val="1"/>
      <w:marLeft w:val="0"/>
      <w:marRight w:val="0"/>
      <w:marTop w:val="0"/>
      <w:marBottom w:val="0"/>
      <w:divBdr>
        <w:top w:val="none" w:sz="0" w:space="0" w:color="auto"/>
        <w:left w:val="none" w:sz="0" w:space="0" w:color="auto"/>
        <w:bottom w:val="none" w:sz="0" w:space="0" w:color="auto"/>
        <w:right w:val="none" w:sz="0" w:space="0" w:color="auto"/>
      </w:divBdr>
      <w:divsChild>
        <w:div w:id="1279485553">
          <w:marLeft w:val="0"/>
          <w:marRight w:val="0"/>
          <w:marTop w:val="0"/>
          <w:marBottom w:val="0"/>
          <w:divBdr>
            <w:top w:val="none" w:sz="0" w:space="0" w:color="auto"/>
            <w:left w:val="none" w:sz="0" w:space="0" w:color="auto"/>
            <w:bottom w:val="none" w:sz="0" w:space="0" w:color="auto"/>
            <w:right w:val="none" w:sz="0" w:space="0" w:color="auto"/>
          </w:divBdr>
          <w:divsChild>
            <w:div w:id="1992320683">
              <w:marLeft w:val="0"/>
              <w:marRight w:val="0"/>
              <w:marTop w:val="0"/>
              <w:marBottom w:val="0"/>
              <w:divBdr>
                <w:top w:val="none" w:sz="0" w:space="0" w:color="auto"/>
                <w:left w:val="none" w:sz="0" w:space="0" w:color="auto"/>
                <w:bottom w:val="none" w:sz="0" w:space="0" w:color="auto"/>
                <w:right w:val="none" w:sz="0" w:space="0" w:color="auto"/>
              </w:divBdr>
              <w:divsChild>
                <w:div w:id="912086729">
                  <w:marLeft w:val="0"/>
                  <w:marRight w:val="0"/>
                  <w:marTop w:val="0"/>
                  <w:marBottom w:val="0"/>
                  <w:divBdr>
                    <w:top w:val="none" w:sz="0" w:space="0" w:color="auto"/>
                    <w:left w:val="none" w:sz="0" w:space="0" w:color="auto"/>
                    <w:bottom w:val="none" w:sz="0" w:space="0" w:color="auto"/>
                    <w:right w:val="none" w:sz="0" w:space="0" w:color="auto"/>
                  </w:divBdr>
                  <w:divsChild>
                    <w:div w:id="1285697094">
                      <w:marLeft w:val="0"/>
                      <w:marRight w:val="0"/>
                      <w:marTop w:val="0"/>
                      <w:marBottom w:val="0"/>
                      <w:divBdr>
                        <w:top w:val="none" w:sz="0" w:space="0" w:color="auto"/>
                        <w:left w:val="none" w:sz="0" w:space="0" w:color="auto"/>
                        <w:bottom w:val="none" w:sz="0" w:space="0" w:color="auto"/>
                        <w:right w:val="none" w:sz="0" w:space="0" w:color="auto"/>
                      </w:divBdr>
                      <w:divsChild>
                        <w:div w:id="897128965">
                          <w:marLeft w:val="0"/>
                          <w:marRight w:val="0"/>
                          <w:marTop w:val="0"/>
                          <w:marBottom w:val="0"/>
                          <w:divBdr>
                            <w:top w:val="none" w:sz="0" w:space="0" w:color="auto"/>
                            <w:left w:val="none" w:sz="0" w:space="0" w:color="auto"/>
                            <w:bottom w:val="none" w:sz="0" w:space="0" w:color="auto"/>
                            <w:right w:val="none" w:sz="0" w:space="0" w:color="auto"/>
                          </w:divBdr>
                          <w:divsChild>
                            <w:div w:id="59792765">
                              <w:marLeft w:val="0"/>
                              <w:marRight w:val="0"/>
                              <w:marTop w:val="0"/>
                              <w:marBottom w:val="0"/>
                              <w:divBdr>
                                <w:top w:val="none" w:sz="0" w:space="0" w:color="auto"/>
                                <w:left w:val="none" w:sz="0" w:space="0" w:color="auto"/>
                                <w:bottom w:val="none" w:sz="0" w:space="0" w:color="auto"/>
                                <w:right w:val="none" w:sz="0" w:space="0" w:color="auto"/>
                              </w:divBdr>
                              <w:divsChild>
                                <w:div w:id="72708901">
                                  <w:marLeft w:val="0"/>
                                  <w:marRight w:val="0"/>
                                  <w:marTop w:val="0"/>
                                  <w:marBottom w:val="0"/>
                                  <w:divBdr>
                                    <w:top w:val="none" w:sz="0" w:space="0" w:color="auto"/>
                                    <w:left w:val="none" w:sz="0" w:space="0" w:color="auto"/>
                                    <w:bottom w:val="none" w:sz="0" w:space="0" w:color="auto"/>
                                    <w:right w:val="none" w:sz="0" w:space="0" w:color="auto"/>
                                  </w:divBdr>
                                  <w:divsChild>
                                    <w:div w:id="203254988">
                                      <w:marLeft w:val="0"/>
                                      <w:marRight w:val="0"/>
                                      <w:marTop w:val="0"/>
                                      <w:marBottom w:val="0"/>
                                      <w:divBdr>
                                        <w:top w:val="none" w:sz="0" w:space="0" w:color="auto"/>
                                        <w:left w:val="none" w:sz="0" w:space="0" w:color="auto"/>
                                        <w:bottom w:val="none" w:sz="0" w:space="0" w:color="auto"/>
                                        <w:right w:val="none" w:sz="0" w:space="0" w:color="auto"/>
                                      </w:divBdr>
                                      <w:divsChild>
                                        <w:div w:id="1369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547965">
      <w:bodyDiv w:val="1"/>
      <w:marLeft w:val="0"/>
      <w:marRight w:val="0"/>
      <w:marTop w:val="0"/>
      <w:marBottom w:val="0"/>
      <w:divBdr>
        <w:top w:val="none" w:sz="0" w:space="0" w:color="auto"/>
        <w:left w:val="none" w:sz="0" w:space="0" w:color="auto"/>
        <w:bottom w:val="none" w:sz="0" w:space="0" w:color="auto"/>
        <w:right w:val="none" w:sz="0" w:space="0" w:color="auto"/>
      </w:divBdr>
    </w:div>
    <w:div w:id="555357495">
      <w:bodyDiv w:val="1"/>
      <w:marLeft w:val="0"/>
      <w:marRight w:val="0"/>
      <w:marTop w:val="0"/>
      <w:marBottom w:val="0"/>
      <w:divBdr>
        <w:top w:val="none" w:sz="0" w:space="0" w:color="auto"/>
        <w:left w:val="none" w:sz="0" w:space="0" w:color="auto"/>
        <w:bottom w:val="none" w:sz="0" w:space="0" w:color="auto"/>
        <w:right w:val="none" w:sz="0" w:space="0" w:color="auto"/>
      </w:divBdr>
    </w:div>
    <w:div w:id="568613278">
      <w:bodyDiv w:val="1"/>
      <w:marLeft w:val="0"/>
      <w:marRight w:val="0"/>
      <w:marTop w:val="0"/>
      <w:marBottom w:val="0"/>
      <w:divBdr>
        <w:top w:val="none" w:sz="0" w:space="0" w:color="auto"/>
        <w:left w:val="none" w:sz="0" w:space="0" w:color="auto"/>
        <w:bottom w:val="none" w:sz="0" w:space="0" w:color="auto"/>
        <w:right w:val="none" w:sz="0" w:space="0" w:color="auto"/>
      </w:divBdr>
    </w:div>
    <w:div w:id="618995172">
      <w:bodyDiv w:val="1"/>
      <w:marLeft w:val="0"/>
      <w:marRight w:val="0"/>
      <w:marTop w:val="0"/>
      <w:marBottom w:val="0"/>
      <w:divBdr>
        <w:top w:val="none" w:sz="0" w:space="0" w:color="auto"/>
        <w:left w:val="none" w:sz="0" w:space="0" w:color="auto"/>
        <w:bottom w:val="none" w:sz="0" w:space="0" w:color="auto"/>
        <w:right w:val="none" w:sz="0" w:space="0" w:color="auto"/>
      </w:divBdr>
    </w:div>
    <w:div w:id="625157862">
      <w:bodyDiv w:val="1"/>
      <w:marLeft w:val="0"/>
      <w:marRight w:val="0"/>
      <w:marTop w:val="0"/>
      <w:marBottom w:val="0"/>
      <w:divBdr>
        <w:top w:val="none" w:sz="0" w:space="0" w:color="auto"/>
        <w:left w:val="none" w:sz="0" w:space="0" w:color="auto"/>
        <w:bottom w:val="none" w:sz="0" w:space="0" w:color="auto"/>
        <w:right w:val="none" w:sz="0" w:space="0" w:color="auto"/>
      </w:divBdr>
    </w:div>
    <w:div w:id="633632513">
      <w:bodyDiv w:val="1"/>
      <w:marLeft w:val="0"/>
      <w:marRight w:val="0"/>
      <w:marTop w:val="0"/>
      <w:marBottom w:val="0"/>
      <w:divBdr>
        <w:top w:val="none" w:sz="0" w:space="0" w:color="auto"/>
        <w:left w:val="none" w:sz="0" w:space="0" w:color="auto"/>
        <w:bottom w:val="none" w:sz="0" w:space="0" w:color="auto"/>
        <w:right w:val="none" w:sz="0" w:space="0" w:color="auto"/>
      </w:divBdr>
    </w:div>
    <w:div w:id="634994572">
      <w:bodyDiv w:val="1"/>
      <w:marLeft w:val="0"/>
      <w:marRight w:val="0"/>
      <w:marTop w:val="0"/>
      <w:marBottom w:val="0"/>
      <w:divBdr>
        <w:top w:val="none" w:sz="0" w:space="0" w:color="auto"/>
        <w:left w:val="none" w:sz="0" w:space="0" w:color="auto"/>
        <w:bottom w:val="none" w:sz="0" w:space="0" w:color="auto"/>
        <w:right w:val="none" w:sz="0" w:space="0" w:color="auto"/>
      </w:divBdr>
    </w:div>
    <w:div w:id="642930872">
      <w:bodyDiv w:val="1"/>
      <w:marLeft w:val="0"/>
      <w:marRight w:val="0"/>
      <w:marTop w:val="0"/>
      <w:marBottom w:val="0"/>
      <w:divBdr>
        <w:top w:val="none" w:sz="0" w:space="0" w:color="auto"/>
        <w:left w:val="none" w:sz="0" w:space="0" w:color="auto"/>
        <w:bottom w:val="none" w:sz="0" w:space="0" w:color="auto"/>
        <w:right w:val="none" w:sz="0" w:space="0" w:color="auto"/>
      </w:divBdr>
    </w:div>
    <w:div w:id="678894816">
      <w:bodyDiv w:val="1"/>
      <w:marLeft w:val="0"/>
      <w:marRight w:val="0"/>
      <w:marTop w:val="0"/>
      <w:marBottom w:val="0"/>
      <w:divBdr>
        <w:top w:val="none" w:sz="0" w:space="0" w:color="auto"/>
        <w:left w:val="none" w:sz="0" w:space="0" w:color="auto"/>
        <w:bottom w:val="none" w:sz="0" w:space="0" w:color="auto"/>
        <w:right w:val="none" w:sz="0" w:space="0" w:color="auto"/>
      </w:divBdr>
    </w:div>
    <w:div w:id="682437693">
      <w:bodyDiv w:val="1"/>
      <w:marLeft w:val="0"/>
      <w:marRight w:val="0"/>
      <w:marTop w:val="0"/>
      <w:marBottom w:val="0"/>
      <w:divBdr>
        <w:top w:val="none" w:sz="0" w:space="0" w:color="auto"/>
        <w:left w:val="none" w:sz="0" w:space="0" w:color="auto"/>
        <w:bottom w:val="none" w:sz="0" w:space="0" w:color="auto"/>
        <w:right w:val="none" w:sz="0" w:space="0" w:color="auto"/>
      </w:divBdr>
    </w:div>
    <w:div w:id="709494274">
      <w:bodyDiv w:val="1"/>
      <w:marLeft w:val="0"/>
      <w:marRight w:val="0"/>
      <w:marTop w:val="0"/>
      <w:marBottom w:val="0"/>
      <w:divBdr>
        <w:top w:val="none" w:sz="0" w:space="0" w:color="auto"/>
        <w:left w:val="none" w:sz="0" w:space="0" w:color="auto"/>
        <w:bottom w:val="none" w:sz="0" w:space="0" w:color="auto"/>
        <w:right w:val="none" w:sz="0" w:space="0" w:color="auto"/>
      </w:divBdr>
    </w:div>
    <w:div w:id="724304966">
      <w:bodyDiv w:val="1"/>
      <w:marLeft w:val="0"/>
      <w:marRight w:val="0"/>
      <w:marTop w:val="0"/>
      <w:marBottom w:val="0"/>
      <w:divBdr>
        <w:top w:val="none" w:sz="0" w:space="0" w:color="auto"/>
        <w:left w:val="none" w:sz="0" w:space="0" w:color="auto"/>
        <w:bottom w:val="none" w:sz="0" w:space="0" w:color="auto"/>
        <w:right w:val="none" w:sz="0" w:space="0" w:color="auto"/>
      </w:divBdr>
    </w:div>
    <w:div w:id="734548886">
      <w:bodyDiv w:val="1"/>
      <w:marLeft w:val="0"/>
      <w:marRight w:val="0"/>
      <w:marTop w:val="0"/>
      <w:marBottom w:val="0"/>
      <w:divBdr>
        <w:top w:val="none" w:sz="0" w:space="0" w:color="auto"/>
        <w:left w:val="none" w:sz="0" w:space="0" w:color="auto"/>
        <w:bottom w:val="none" w:sz="0" w:space="0" w:color="auto"/>
        <w:right w:val="none" w:sz="0" w:space="0" w:color="auto"/>
      </w:divBdr>
    </w:div>
    <w:div w:id="735976931">
      <w:bodyDiv w:val="1"/>
      <w:marLeft w:val="0"/>
      <w:marRight w:val="0"/>
      <w:marTop w:val="0"/>
      <w:marBottom w:val="0"/>
      <w:divBdr>
        <w:top w:val="none" w:sz="0" w:space="0" w:color="auto"/>
        <w:left w:val="none" w:sz="0" w:space="0" w:color="auto"/>
        <w:bottom w:val="none" w:sz="0" w:space="0" w:color="auto"/>
        <w:right w:val="none" w:sz="0" w:space="0" w:color="auto"/>
      </w:divBdr>
    </w:div>
    <w:div w:id="762801848">
      <w:bodyDiv w:val="1"/>
      <w:marLeft w:val="0"/>
      <w:marRight w:val="0"/>
      <w:marTop w:val="0"/>
      <w:marBottom w:val="0"/>
      <w:divBdr>
        <w:top w:val="none" w:sz="0" w:space="0" w:color="auto"/>
        <w:left w:val="none" w:sz="0" w:space="0" w:color="auto"/>
        <w:bottom w:val="none" w:sz="0" w:space="0" w:color="auto"/>
        <w:right w:val="none" w:sz="0" w:space="0" w:color="auto"/>
      </w:divBdr>
    </w:div>
    <w:div w:id="768426436">
      <w:bodyDiv w:val="1"/>
      <w:marLeft w:val="0"/>
      <w:marRight w:val="0"/>
      <w:marTop w:val="0"/>
      <w:marBottom w:val="0"/>
      <w:divBdr>
        <w:top w:val="none" w:sz="0" w:space="0" w:color="auto"/>
        <w:left w:val="none" w:sz="0" w:space="0" w:color="auto"/>
        <w:bottom w:val="none" w:sz="0" w:space="0" w:color="auto"/>
        <w:right w:val="none" w:sz="0" w:space="0" w:color="auto"/>
      </w:divBdr>
    </w:div>
    <w:div w:id="774790065">
      <w:bodyDiv w:val="1"/>
      <w:marLeft w:val="0"/>
      <w:marRight w:val="0"/>
      <w:marTop w:val="0"/>
      <w:marBottom w:val="0"/>
      <w:divBdr>
        <w:top w:val="none" w:sz="0" w:space="0" w:color="auto"/>
        <w:left w:val="none" w:sz="0" w:space="0" w:color="auto"/>
        <w:bottom w:val="none" w:sz="0" w:space="0" w:color="auto"/>
        <w:right w:val="none" w:sz="0" w:space="0" w:color="auto"/>
      </w:divBdr>
      <w:divsChild>
        <w:div w:id="1544899817">
          <w:marLeft w:val="0"/>
          <w:marRight w:val="0"/>
          <w:marTop w:val="0"/>
          <w:marBottom w:val="0"/>
          <w:divBdr>
            <w:top w:val="none" w:sz="0" w:space="0" w:color="auto"/>
            <w:left w:val="none" w:sz="0" w:space="0" w:color="auto"/>
            <w:bottom w:val="none" w:sz="0" w:space="0" w:color="auto"/>
            <w:right w:val="none" w:sz="0" w:space="0" w:color="auto"/>
          </w:divBdr>
          <w:divsChild>
            <w:div w:id="1964337131">
              <w:marLeft w:val="0"/>
              <w:marRight w:val="0"/>
              <w:marTop w:val="0"/>
              <w:marBottom w:val="0"/>
              <w:divBdr>
                <w:top w:val="none" w:sz="0" w:space="0" w:color="auto"/>
                <w:left w:val="none" w:sz="0" w:space="0" w:color="auto"/>
                <w:bottom w:val="none" w:sz="0" w:space="0" w:color="auto"/>
                <w:right w:val="none" w:sz="0" w:space="0" w:color="auto"/>
              </w:divBdr>
              <w:divsChild>
                <w:div w:id="1094015085">
                  <w:marLeft w:val="0"/>
                  <w:marRight w:val="0"/>
                  <w:marTop w:val="0"/>
                  <w:marBottom w:val="0"/>
                  <w:divBdr>
                    <w:top w:val="none" w:sz="0" w:space="0" w:color="auto"/>
                    <w:left w:val="none" w:sz="0" w:space="0" w:color="auto"/>
                    <w:bottom w:val="none" w:sz="0" w:space="0" w:color="auto"/>
                    <w:right w:val="none" w:sz="0" w:space="0" w:color="auto"/>
                  </w:divBdr>
                  <w:divsChild>
                    <w:div w:id="5459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6552">
      <w:bodyDiv w:val="1"/>
      <w:marLeft w:val="0"/>
      <w:marRight w:val="0"/>
      <w:marTop w:val="0"/>
      <w:marBottom w:val="0"/>
      <w:divBdr>
        <w:top w:val="none" w:sz="0" w:space="0" w:color="auto"/>
        <w:left w:val="none" w:sz="0" w:space="0" w:color="auto"/>
        <w:bottom w:val="none" w:sz="0" w:space="0" w:color="auto"/>
        <w:right w:val="none" w:sz="0" w:space="0" w:color="auto"/>
      </w:divBdr>
    </w:div>
    <w:div w:id="784736860">
      <w:bodyDiv w:val="1"/>
      <w:marLeft w:val="0"/>
      <w:marRight w:val="0"/>
      <w:marTop w:val="0"/>
      <w:marBottom w:val="0"/>
      <w:divBdr>
        <w:top w:val="none" w:sz="0" w:space="0" w:color="auto"/>
        <w:left w:val="none" w:sz="0" w:space="0" w:color="auto"/>
        <w:bottom w:val="none" w:sz="0" w:space="0" w:color="auto"/>
        <w:right w:val="none" w:sz="0" w:space="0" w:color="auto"/>
      </w:divBdr>
    </w:div>
    <w:div w:id="793989128">
      <w:bodyDiv w:val="1"/>
      <w:marLeft w:val="0"/>
      <w:marRight w:val="0"/>
      <w:marTop w:val="0"/>
      <w:marBottom w:val="0"/>
      <w:divBdr>
        <w:top w:val="none" w:sz="0" w:space="0" w:color="auto"/>
        <w:left w:val="none" w:sz="0" w:space="0" w:color="auto"/>
        <w:bottom w:val="none" w:sz="0" w:space="0" w:color="auto"/>
        <w:right w:val="none" w:sz="0" w:space="0" w:color="auto"/>
      </w:divBdr>
    </w:div>
    <w:div w:id="828441592">
      <w:bodyDiv w:val="1"/>
      <w:marLeft w:val="0"/>
      <w:marRight w:val="0"/>
      <w:marTop w:val="0"/>
      <w:marBottom w:val="0"/>
      <w:divBdr>
        <w:top w:val="none" w:sz="0" w:space="0" w:color="auto"/>
        <w:left w:val="none" w:sz="0" w:space="0" w:color="auto"/>
        <w:bottom w:val="none" w:sz="0" w:space="0" w:color="auto"/>
        <w:right w:val="none" w:sz="0" w:space="0" w:color="auto"/>
      </w:divBdr>
    </w:div>
    <w:div w:id="864246037">
      <w:bodyDiv w:val="1"/>
      <w:marLeft w:val="0"/>
      <w:marRight w:val="0"/>
      <w:marTop w:val="0"/>
      <w:marBottom w:val="0"/>
      <w:divBdr>
        <w:top w:val="none" w:sz="0" w:space="0" w:color="auto"/>
        <w:left w:val="none" w:sz="0" w:space="0" w:color="auto"/>
        <w:bottom w:val="none" w:sz="0" w:space="0" w:color="auto"/>
        <w:right w:val="none" w:sz="0" w:space="0" w:color="auto"/>
      </w:divBdr>
    </w:div>
    <w:div w:id="866454218">
      <w:bodyDiv w:val="1"/>
      <w:marLeft w:val="0"/>
      <w:marRight w:val="0"/>
      <w:marTop w:val="0"/>
      <w:marBottom w:val="0"/>
      <w:divBdr>
        <w:top w:val="none" w:sz="0" w:space="0" w:color="auto"/>
        <w:left w:val="none" w:sz="0" w:space="0" w:color="auto"/>
        <w:bottom w:val="none" w:sz="0" w:space="0" w:color="auto"/>
        <w:right w:val="none" w:sz="0" w:space="0" w:color="auto"/>
      </w:divBdr>
    </w:div>
    <w:div w:id="891235938">
      <w:bodyDiv w:val="1"/>
      <w:marLeft w:val="0"/>
      <w:marRight w:val="0"/>
      <w:marTop w:val="0"/>
      <w:marBottom w:val="0"/>
      <w:divBdr>
        <w:top w:val="none" w:sz="0" w:space="0" w:color="auto"/>
        <w:left w:val="none" w:sz="0" w:space="0" w:color="auto"/>
        <w:bottom w:val="none" w:sz="0" w:space="0" w:color="auto"/>
        <w:right w:val="none" w:sz="0" w:space="0" w:color="auto"/>
      </w:divBdr>
    </w:div>
    <w:div w:id="911349261">
      <w:bodyDiv w:val="1"/>
      <w:marLeft w:val="0"/>
      <w:marRight w:val="0"/>
      <w:marTop w:val="0"/>
      <w:marBottom w:val="0"/>
      <w:divBdr>
        <w:top w:val="none" w:sz="0" w:space="0" w:color="auto"/>
        <w:left w:val="none" w:sz="0" w:space="0" w:color="auto"/>
        <w:bottom w:val="none" w:sz="0" w:space="0" w:color="auto"/>
        <w:right w:val="none" w:sz="0" w:space="0" w:color="auto"/>
      </w:divBdr>
    </w:div>
    <w:div w:id="951134618">
      <w:bodyDiv w:val="1"/>
      <w:marLeft w:val="0"/>
      <w:marRight w:val="0"/>
      <w:marTop w:val="0"/>
      <w:marBottom w:val="0"/>
      <w:divBdr>
        <w:top w:val="none" w:sz="0" w:space="0" w:color="auto"/>
        <w:left w:val="none" w:sz="0" w:space="0" w:color="auto"/>
        <w:bottom w:val="none" w:sz="0" w:space="0" w:color="auto"/>
        <w:right w:val="none" w:sz="0" w:space="0" w:color="auto"/>
      </w:divBdr>
    </w:div>
    <w:div w:id="952516795">
      <w:bodyDiv w:val="1"/>
      <w:marLeft w:val="0"/>
      <w:marRight w:val="0"/>
      <w:marTop w:val="0"/>
      <w:marBottom w:val="0"/>
      <w:divBdr>
        <w:top w:val="none" w:sz="0" w:space="0" w:color="auto"/>
        <w:left w:val="none" w:sz="0" w:space="0" w:color="auto"/>
        <w:bottom w:val="none" w:sz="0" w:space="0" w:color="auto"/>
        <w:right w:val="none" w:sz="0" w:space="0" w:color="auto"/>
      </w:divBdr>
    </w:div>
    <w:div w:id="955256150">
      <w:bodyDiv w:val="1"/>
      <w:marLeft w:val="0"/>
      <w:marRight w:val="0"/>
      <w:marTop w:val="0"/>
      <w:marBottom w:val="0"/>
      <w:divBdr>
        <w:top w:val="none" w:sz="0" w:space="0" w:color="auto"/>
        <w:left w:val="none" w:sz="0" w:space="0" w:color="auto"/>
        <w:bottom w:val="none" w:sz="0" w:space="0" w:color="auto"/>
        <w:right w:val="none" w:sz="0" w:space="0" w:color="auto"/>
      </w:divBdr>
    </w:div>
    <w:div w:id="985008703">
      <w:bodyDiv w:val="1"/>
      <w:marLeft w:val="0"/>
      <w:marRight w:val="0"/>
      <w:marTop w:val="0"/>
      <w:marBottom w:val="0"/>
      <w:divBdr>
        <w:top w:val="none" w:sz="0" w:space="0" w:color="auto"/>
        <w:left w:val="none" w:sz="0" w:space="0" w:color="auto"/>
        <w:bottom w:val="none" w:sz="0" w:space="0" w:color="auto"/>
        <w:right w:val="none" w:sz="0" w:space="0" w:color="auto"/>
      </w:divBdr>
    </w:div>
    <w:div w:id="987900092">
      <w:bodyDiv w:val="1"/>
      <w:marLeft w:val="0"/>
      <w:marRight w:val="0"/>
      <w:marTop w:val="0"/>
      <w:marBottom w:val="0"/>
      <w:divBdr>
        <w:top w:val="none" w:sz="0" w:space="0" w:color="auto"/>
        <w:left w:val="none" w:sz="0" w:space="0" w:color="auto"/>
        <w:bottom w:val="none" w:sz="0" w:space="0" w:color="auto"/>
        <w:right w:val="none" w:sz="0" w:space="0" w:color="auto"/>
      </w:divBdr>
    </w:div>
    <w:div w:id="991981941">
      <w:bodyDiv w:val="1"/>
      <w:marLeft w:val="0"/>
      <w:marRight w:val="0"/>
      <w:marTop w:val="0"/>
      <w:marBottom w:val="0"/>
      <w:divBdr>
        <w:top w:val="none" w:sz="0" w:space="0" w:color="auto"/>
        <w:left w:val="none" w:sz="0" w:space="0" w:color="auto"/>
        <w:bottom w:val="none" w:sz="0" w:space="0" w:color="auto"/>
        <w:right w:val="none" w:sz="0" w:space="0" w:color="auto"/>
      </w:divBdr>
    </w:div>
    <w:div w:id="1004363793">
      <w:bodyDiv w:val="1"/>
      <w:marLeft w:val="0"/>
      <w:marRight w:val="0"/>
      <w:marTop w:val="0"/>
      <w:marBottom w:val="0"/>
      <w:divBdr>
        <w:top w:val="none" w:sz="0" w:space="0" w:color="auto"/>
        <w:left w:val="none" w:sz="0" w:space="0" w:color="auto"/>
        <w:bottom w:val="none" w:sz="0" w:space="0" w:color="auto"/>
        <w:right w:val="none" w:sz="0" w:space="0" w:color="auto"/>
      </w:divBdr>
    </w:div>
    <w:div w:id="1044282948">
      <w:bodyDiv w:val="1"/>
      <w:marLeft w:val="0"/>
      <w:marRight w:val="0"/>
      <w:marTop w:val="0"/>
      <w:marBottom w:val="0"/>
      <w:divBdr>
        <w:top w:val="none" w:sz="0" w:space="0" w:color="auto"/>
        <w:left w:val="none" w:sz="0" w:space="0" w:color="auto"/>
        <w:bottom w:val="none" w:sz="0" w:space="0" w:color="auto"/>
        <w:right w:val="none" w:sz="0" w:space="0" w:color="auto"/>
      </w:divBdr>
    </w:div>
    <w:div w:id="1055936015">
      <w:bodyDiv w:val="1"/>
      <w:marLeft w:val="0"/>
      <w:marRight w:val="0"/>
      <w:marTop w:val="0"/>
      <w:marBottom w:val="0"/>
      <w:divBdr>
        <w:top w:val="none" w:sz="0" w:space="0" w:color="auto"/>
        <w:left w:val="none" w:sz="0" w:space="0" w:color="auto"/>
        <w:bottom w:val="none" w:sz="0" w:space="0" w:color="auto"/>
        <w:right w:val="none" w:sz="0" w:space="0" w:color="auto"/>
      </w:divBdr>
    </w:div>
    <w:div w:id="1099445968">
      <w:bodyDiv w:val="1"/>
      <w:marLeft w:val="0"/>
      <w:marRight w:val="0"/>
      <w:marTop w:val="0"/>
      <w:marBottom w:val="0"/>
      <w:divBdr>
        <w:top w:val="none" w:sz="0" w:space="0" w:color="auto"/>
        <w:left w:val="none" w:sz="0" w:space="0" w:color="auto"/>
        <w:bottom w:val="none" w:sz="0" w:space="0" w:color="auto"/>
        <w:right w:val="none" w:sz="0" w:space="0" w:color="auto"/>
      </w:divBdr>
      <w:divsChild>
        <w:div w:id="19402565">
          <w:marLeft w:val="850"/>
          <w:marRight w:val="0"/>
          <w:marTop w:val="60"/>
          <w:marBottom w:val="0"/>
          <w:divBdr>
            <w:top w:val="none" w:sz="0" w:space="0" w:color="auto"/>
            <w:left w:val="none" w:sz="0" w:space="0" w:color="auto"/>
            <w:bottom w:val="none" w:sz="0" w:space="0" w:color="auto"/>
            <w:right w:val="none" w:sz="0" w:space="0" w:color="auto"/>
          </w:divBdr>
        </w:div>
        <w:div w:id="30688404">
          <w:marLeft w:val="432"/>
          <w:marRight w:val="0"/>
          <w:marTop w:val="180"/>
          <w:marBottom w:val="0"/>
          <w:divBdr>
            <w:top w:val="none" w:sz="0" w:space="0" w:color="auto"/>
            <w:left w:val="none" w:sz="0" w:space="0" w:color="auto"/>
            <w:bottom w:val="none" w:sz="0" w:space="0" w:color="auto"/>
            <w:right w:val="none" w:sz="0" w:space="0" w:color="auto"/>
          </w:divBdr>
        </w:div>
        <w:div w:id="357316936">
          <w:marLeft w:val="850"/>
          <w:marRight w:val="0"/>
          <w:marTop w:val="60"/>
          <w:marBottom w:val="0"/>
          <w:divBdr>
            <w:top w:val="none" w:sz="0" w:space="0" w:color="auto"/>
            <w:left w:val="none" w:sz="0" w:space="0" w:color="auto"/>
            <w:bottom w:val="none" w:sz="0" w:space="0" w:color="auto"/>
            <w:right w:val="none" w:sz="0" w:space="0" w:color="auto"/>
          </w:divBdr>
        </w:div>
        <w:div w:id="548882789">
          <w:marLeft w:val="432"/>
          <w:marRight w:val="0"/>
          <w:marTop w:val="180"/>
          <w:marBottom w:val="0"/>
          <w:divBdr>
            <w:top w:val="none" w:sz="0" w:space="0" w:color="auto"/>
            <w:left w:val="none" w:sz="0" w:space="0" w:color="auto"/>
            <w:bottom w:val="none" w:sz="0" w:space="0" w:color="auto"/>
            <w:right w:val="none" w:sz="0" w:space="0" w:color="auto"/>
          </w:divBdr>
        </w:div>
        <w:div w:id="549652345">
          <w:marLeft w:val="1282"/>
          <w:marRight w:val="0"/>
          <w:marTop w:val="60"/>
          <w:marBottom w:val="0"/>
          <w:divBdr>
            <w:top w:val="none" w:sz="0" w:space="0" w:color="auto"/>
            <w:left w:val="none" w:sz="0" w:space="0" w:color="auto"/>
            <w:bottom w:val="none" w:sz="0" w:space="0" w:color="auto"/>
            <w:right w:val="none" w:sz="0" w:space="0" w:color="auto"/>
          </w:divBdr>
        </w:div>
        <w:div w:id="835605981">
          <w:marLeft w:val="432"/>
          <w:marRight w:val="0"/>
          <w:marTop w:val="180"/>
          <w:marBottom w:val="0"/>
          <w:divBdr>
            <w:top w:val="none" w:sz="0" w:space="0" w:color="auto"/>
            <w:left w:val="none" w:sz="0" w:space="0" w:color="auto"/>
            <w:bottom w:val="none" w:sz="0" w:space="0" w:color="auto"/>
            <w:right w:val="none" w:sz="0" w:space="0" w:color="auto"/>
          </w:divBdr>
        </w:div>
        <w:div w:id="836456942">
          <w:marLeft w:val="1282"/>
          <w:marRight w:val="0"/>
          <w:marTop w:val="60"/>
          <w:marBottom w:val="0"/>
          <w:divBdr>
            <w:top w:val="none" w:sz="0" w:space="0" w:color="auto"/>
            <w:left w:val="none" w:sz="0" w:space="0" w:color="auto"/>
            <w:bottom w:val="none" w:sz="0" w:space="0" w:color="auto"/>
            <w:right w:val="none" w:sz="0" w:space="0" w:color="auto"/>
          </w:divBdr>
        </w:div>
        <w:div w:id="1103914016">
          <w:marLeft w:val="850"/>
          <w:marRight w:val="0"/>
          <w:marTop w:val="60"/>
          <w:marBottom w:val="0"/>
          <w:divBdr>
            <w:top w:val="none" w:sz="0" w:space="0" w:color="auto"/>
            <w:left w:val="none" w:sz="0" w:space="0" w:color="auto"/>
            <w:bottom w:val="none" w:sz="0" w:space="0" w:color="auto"/>
            <w:right w:val="none" w:sz="0" w:space="0" w:color="auto"/>
          </w:divBdr>
        </w:div>
        <w:div w:id="1371106164">
          <w:marLeft w:val="1282"/>
          <w:marRight w:val="0"/>
          <w:marTop w:val="60"/>
          <w:marBottom w:val="0"/>
          <w:divBdr>
            <w:top w:val="none" w:sz="0" w:space="0" w:color="auto"/>
            <w:left w:val="none" w:sz="0" w:space="0" w:color="auto"/>
            <w:bottom w:val="none" w:sz="0" w:space="0" w:color="auto"/>
            <w:right w:val="none" w:sz="0" w:space="0" w:color="auto"/>
          </w:divBdr>
        </w:div>
        <w:div w:id="1525558957">
          <w:marLeft w:val="1282"/>
          <w:marRight w:val="0"/>
          <w:marTop w:val="60"/>
          <w:marBottom w:val="0"/>
          <w:divBdr>
            <w:top w:val="none" w:sz="0" w:space="0" w:color="auto"/>
            <w:left w:val="none" w:sz="0" w:space="0" w:color="auto"/>
            <w:bottom w:val="none" w:sz="0" w:space="0" w:color="auto"/>
            <w:right w:val="none" w:sz="0" w:space="0" w:color="auto"/>
          </w:divBdr>
        </w:div>
        <w:div w:id="1527132633">
          <w:marLeft w:val="1282"/>
          <w:marRight w:val="0"/>
          <w:marTop w:val="60"/>
          <w:marBottom w:val="0"/>
          <w:divBdr>
            <w:top w:val="none" w:sz="0" w:space="0" w:color="auto"/>
            <w:left w:val="none" w:sz="0" w:space="0" w:color="auto"/>
            <w:bottom w:val="none" w:sz="0" w:space="0" w:color="auto"/>
            <w:right w:val="none" w:sz="0" w:space="0" w:color="auto"/>
          </w:divBdr>
        </w:div>
        <w:div w:id="1566330389">
          <w:marLeft w:val="1282"/>
          <w:marRight w:val="0"/>
          <w:marTop w:val="60"/>
          <w:marBottom w:val="0"/>
          <w:divBdr>
            <w:top w:val="none" w:sz="0" w:space="0" w:color="auto"/>
            <w:left w:val="none" w:sz="0" w:space="0" w:color="auto"/>
            <w:bottom w:val="none" w:sz="0" w:space="0" w:color="auto"/>
            <w:right w:val="none" w:sz="0" w:space="0" w:color="auto"/>
          </w:divBdr>
        </w:div>
        <w:div w:id="1984967359">
          <w:marLeft w:val="850"/>
          <w:marRight w:val="0"/>
          <w:marTop w:val="60"/>
          <w:marBottom w:val="0"/>
          <w:divBdr>
            <w:top w:val="none" w:sz="0" w:space="0" w:color="auto"/>
            <w:left w:val="none" w:sz="0" w:space="0" w:color="auto"/>
            <w:bottom w:val="none" w:sz="0" w:space="0" w:color="auto"/>
            <w:right w:val="none" w:sz="0" w:space="0" w:color="auto"/>
          </w:divBdr>
        </w:div>
      </w:divsChild>
    </w:div>
    <w:div w:id="1100759504">
      <w:bodyDiv w:val="1"/>
      <w:marLeft w:val="0"/>
      <w:marRight w:val="0"/>
      <w:marTop w:val="0"/>
      <w:marBottom w:val="0"/>
      <w:divBdr>
        <w:top w:val="none" w:sz="0" w:space="0" w:color="auto"/>
        <w:left w:val="none" w:sz="0" w:space="0" w:color="auto"/>
        <w:bottom w:val="none" w:sz="0" w:space="0" w:color="auto"/>
        <w:right w:val="none" w:sz="0" w:space="0" w:color="auto"/>
      </w:divBdr>
    </w:div>
    <w:div w:id="1120420976">
      <w:bodyDiv w:val="1"/>
      <w:marLeft w:val="0"/>
      <w:marRight w:val="0"/>
      <w:marTop w:val="0"/>
      <w:marBottom w:val="0"/>
      <w:divBdr>
        <w:top w:val="none" w:sz="0" w:space="0" w:color="auto"/>
        <w:left w:val="none" w:sz="0" w:space="0" w:color="auto"/>
        <w:bottom w:val="none" w:sz="0" w:space="0" w:color="auto"/>
        <w:right w:val="none" w:sz="0" w:space="0" w:color="auto"/>
      </w:divBdr>
      <w:divsChild>
        <w:div w:id="32000586">
          <w:marLeft w:val="432"/>
          <w:marRight w:val="0"/>
          <w:marTop w:val="180"/>
          <w:marBottom w:val="0"/>
          <w:divBdr>
            <w:top w:val="none" w:sz="0" w:space="0" w:color="auto"/>
            <w:left w:val="none" w:sz="0" w:space="0" w:color="auto"/>
            <w:bottom w:val="none" w:sz="0" w:space="0" w:color="auto"/>
            <w:right w:val="none" w:sz="0" w:space="0" w:color="auto"/>
          </w:divBdr>
        </w:div>
        <w:div w:id="665283140">
          <w:marLeft w:val="1282"/>
          <w:marRight w:val="0"/>
          <w:marTop w:val="60"/>
          <w:marBottom w:val="0"/>
          <w:divBdr>
            <w:top w:val="none" w:sz="0" w:space="0" w:color="auto"/>
            <w:left w:val="none" w:sz="0" w:space="0" w:color="auto"/>
            <w:bottom w:val="none" w:sz="0" w:space="0" w:color="auto"/>
            <w:right w:val="none" w:sz="0" w:space="0" w:color="auto"/>
          </w:divBdr>
        </w:div>
        <w:div w:id="668560569">
          <w:marLeft w:val="850"/>
          <w:marRight w:val="0"/>
          <w:marTop w:val="60"/>
          <w:marBottom w:val="0"/>
          <w:divBdr>
            <w:top w:val="none" w:sz="0" w:space="0" w:color="auto"/>
            <w:left w:val="none" w:sz="0" w:space="0" w:color="auto"/>
            <w:bottom w:val="none" w:sz="0" w:space="0" w:color="auto"/>
            <w:right w:val="none" w:sz="0" w:space="0" w:color="auto"/>
          </w:divBdr>
        </w:div>
        <w:div w:id="909118641">
          <w:marLeft w:val="850"/>
          <w:marRight w:val="0"/>
          <w:marTop w:val="60"/>
          <w:marBottom w:val="0"/>
          <w:divBdr>
            <w:top w:val="none" w:sz="0" w:space="0" w:color="auto"/>
            <w:left w:val="none" w:sz="0" w:space="0" w:color="auto"/>
            <w:bottom w:val="none" w:sz="0" w:space="0" w:color="auto"/>
            <w:right w:val="none" w:sz="0" w:space="0" w:color="auto"/>
          </w:divBdr>
        </w:div>
        <w:div w:id="1094085305">
          <w:marLeft w:val="432"/>
          <w:marRight w:val="0"/>
          <w:marTop w:val="180"/>
          <w:marBottom w:val="0"/>
          <w:divBdr>
            <w:top w:val="none" w:sz="0" w:space="0" w:color="auto"/>
            <w:left w:val="none" w:sz="0" w:space="0" w:color="auto"/>
            <w:bottom w:val="none" w:sz="0" w:space="0" w:color="auto"/>
            <w:right w:val="none" w:sz="0" w:space="0" w:color="auto"/>
          </w:divBdr>
        </w:div>
        <w:div w:id="1517422613">
          <w:marLeft w:val="1282"/>
          <w:marRight w:val="0"/>
          <w:marTop w:val="60"/>
          <w:marBottom w:val="0"/>
          <w:divBdr>
            <w:top w:val="none" w:sz="0" w:space="0" w:color="auto"/>
            <w:left w:val="none" w:sz="0" w:space="0" w:color="auto"/>
            <w:bottom w:val="none" w:sz="0" w:space="0" w:color="auto"/>
            <w:right w:val="none" w:sz="0" w:space="0" w:color="auto"/>
          </w:divBdr>
        </w:div>
        <w:div w:id="1711832083">
          <w:marLeft w:val="432"/>
          <w:marRight w:val="0"/>
          <w:marTop w:val="180"/>
          <w:marBottom w:val="0"/>
          <w:divBdr>
            <w:top w:val="none" w:sz="0" w:space="0" w:color="auto"/>
            <w:left w:val="none" w:sz="0" w:space="0" w:color="auto"/>
            <w:bottom w:val="none" w:sz="0" w:space="0" w:color="auto"/>
            <w:right w:val="none" w:sz="0" w:space="0" w:color="auto"/>
          </w:divBdr>
        </w:div>
        <w:div w:id="1803189072">
          <w:marLeft w:val="850"/>
          <w:marRight w:val="0"/>
          <w:marTop w:val="60"/>
          <w:marBottom w:val="0"/>
          <w:divBdr>
            <w:top w:val="none" w:sz="0" w:space="0" w:color="auto"/>
            <w:left w:val="none" w:sz="0" w:space="0" w:color="auto"/>
            <w:bottom w:val="none" w:sz="0" w:space="0" w:color="auto"/>
            <w:right w:val="none" w:sz="0" w:space="0" w:color="auto"/>
          </w:divBdr>
        </w:div>
        <w:div w:id="1807119894">
          <w:marLeft w:val="1282"/>
          <w:marRight w:val="0"/>
          <w:marTop w:val="60"/>
          <w:marBottom w:val="0"/>
          <w:divBdr>
            <w:top w:val="none" w:sz="0" w:space="0" w:color="auto"/>
            <w:left w:val="none" w:sz="0" w:space="0" w:color="auto"/>
            <w:bottom w:val="none" w:sz="0" w:space="0" w:color="auto"/>
            <w:right w:val="none" w:sz="0" w:space="0" w:color="auto"/>
          </w:divBdr>
        </w:div>
        <w:div w:id="1813909953">
          <w:marLeft w:val="1282"/>
          <w:marRight w:val="0"/>
          <w:marTop w:val="60"/>
          <w:marBottom w:val="0"/>
          <w:divBdr>
            <w:top w:val="none" w:sz="0" w:space="0" w:color="auto"/>
            <w:left w:val="none" w:sz="0" w:space="0" w:color="auto"/>
            <w:bottom w:val="none" w:sz="0" w:space="0" w:color="auto"/>
            <w:right w:val="none" w:sz="0" w:space="0" w:color="auto"/>
          </w:divBdr>
        </w:div>
        <w:div w:id="1822309503">
          <w:marLeft w:val="1282"/>
          <w:marRight w:val="0"/>
          <w:marTop w:val="60"/>
          <w:marBottom w:val="0"/>
          <w:divBdr>
            <w:top w:val="none" w:sz="0" w:space="0" w:color="auto"/>
            <w:left w:val="none" w:sz="0" w:space="0" w:color="auto"/>
            <w:bottom w:val="none" w:sz="0" w:space="0" w:color="auto"/>
            <w:right w:val="none" w:sz="0" w:space="0" w:color="auto"/>
          </w:divBdr>
        </w:div>
        <w:div w:id="1833257967">
          <w:marLeft w:val="850"/>
          <w:marRight w:val="0"/>
          <w:marTop w:val="60"/>
          <w:marBottom w:val="0"/>
          <w:divBdr>
            <w:top w:val="none" w:sz="0" w:space="0" w:color="auto"/>
            <w:left w:val="none" w:sz="0" w:space="0" w:color="auto"/>
            <w:bottom w:val="none" w:sz="0" w:space="0" w:color="auto"/>
            <w:right w:val="none" w:sz="0" w:space="0" w:color="auto"/>
          </w:divBdr>
        </w:div>
        <w:div w:id="2104496641">
          <w:marLeft w:val="1282"/>
          <w:marRight w:val="0"/>
          <w:marTop w:val="60"/>
          <w:marBottom w:val="0"/>
          <w:divBdr>
            <w:top w:val="none" w:sz="0" w:space="0" w:color="auto"/>
            <w:left w:val="none" w:sz="0" w:space="0" w:color="auto"/>
            <w:bottom w:val="none" w:sz="0" w:space="0" w:color="auto"/>
            <w:right w:val="none" w:sz="0" w:space="0" w:color="auto"/>
          </w:divBdr>
        </w:div>
      </w:divsChild>
    </w:div>
    <w:div w:id="1207718940">
      <w:bodyDiv w:val="1"/>
      <w:marLeft w:val="0"/>
      <w:marRight w:val="0"/>
      <w:marTop w:val="0"/>
      <w:marBottom w:val="0"/>
      <w:divBdr>
        <w:top w:val="none" w:sz="0" w:space="0" w:color="auto"/>
        <w:left w:val="none" w:sz="0" w:space="0" w:color="auto"/>
        <w:bottom w:val="none" w:sz="0" w:space="0" w:color="auto"/>
        <w:right w:val="none" w:sz="0" w:space="0" w:color="auto"/>
      </w:divBdr>
    </w:div>
    <w:div w:id="1224874584">
      <w:bodyDiv w:val="1"/>
      <w:marLeft w:val="0"/>
      <w:marRight w:val="0"/>
      <w:marTop w:val="0"/>
      <w:marBottom w:val="0"/>
      <w:divBdr>
        <w:top w:val="none" w:sz="0" w:space="0" w:color="auto"/>
        <w:left w:val="none" w:sz="0" w:space="0" w:color="auto"/>
        <w:bottom w:val="none" w:sz="0" w:space="0" w:color="auto"/>
        <w:right w:val="none" w:sz="0" w:space="0" w:color="auto"/>
      </w:divBdr>
    </w:div>
    <w:div w:id="1253733851">
      <w:bodyDiv w:val="1"/>
      <w:marLeft w:val="0"/>
      <w:marRight w:val="0"/>
      <w:marTop w:val="0"/>
      <w:marBottom w:val="0"/>
      <w:divBdr>
        <w:top w:val="none" w:sz="0" w:space="0" w:color="auto"/>
        <w:left w:val="none" w:sz="0" w:space="0" w:color="auto"/>
        <w:bottom w:val="none" w:sz="0" w:space="0" w:color="auto"/>
        <w:right w:val="none" w:sz="0" w:space="0" w:color="auto"/>
      </w:divBdr>
      <w:divsChild>
        <w:div w:id="97992796">
          <w:marLeft w:val="850"/>
          <w:marRight w:val="0"/>
          <w:marTop w:val="60"/>
          <w:marBottom w:val="0"/>
          <w:divBdr>
            <w:top w:val="none" w:sz="0" w:space="0" w:color="auto"/>
            <w:left w:val="none" w:sz="0" w:space="0" w:color="auto"/>
            <w:bottom w:val="none" w:sz="0" w:space="0" w:color="auto"/>
            <w:right w:val="none" w:sz="0" w:space="0" w:color="auto"/>
          </w:divBdr>
        </w:div>
        <w:div w:id="785580538">
          <w:marLeft w:val="850"/>
          <w:marRight w:val="0"/>
          <w:marTop w:val="60"/>
          <w:marBottom w:val="0"/>
          <w:divBdr>
            <w:top w:val="none" w:sz="0" w:space="0" w:color="auto"/>
            <w:left w:val="none" w:sz="0" w:space="0" w:color="auto"/>
            <w:bottom w:val="none" w:sz="0" w:space="0" w:color="auto"/>
            <w:right w:val="none" w:sz="0" w:space="0" w:color="auto"/>
          </w:divBdr>
        </w:div>
        <w:div w:id="1401248819">
          <w:marLeft w:val="432"/>
          <w:marRight w:val="0"/>
          <w:marTop w:val="180"/>
          <w:marBottom w:val="0"/>
          <w:divBdr>
            <w:top w:val="none" w:sz="0" w:space="0" w:color="auto"/>
            <w:left w:val="none" w:sz="0" w:space="0" w:color="auto"/>
            <w:bottom w:val="none" w:sz="0" w:space="0" w:color="auto"/>
            <w:right w:val="none" w:sz="0" w:space="0" w:color="auto"/>
          </w:divBdr>
        </w:div>
        <w:div w:id="1471824915">
          <w:marLeft w:val="432"/>
          <w:marRight w:val="0"/>
          <w:marTop w:val="180"/>
          <w:marBottom w:val="0"/>
          <w:divBdr>
            <w:top w:val="none" w:sz="0" w:space="0" w:color="auto"/>
            <w:left w:val="none" w:sz="0" w:space="0" w:color="auto"/>
            <w:bottom w:val="none" w:sz="0" w:space="0" w:color="auto"/>
            <w:right w:val="none" w:sz="0" w:space="0" w:color="auto"/>
          </w:divBdr>
        </w:div>
        <w:div w:id="1668895255">
          <w:marLeft w:val="850"/>
          <w:marRight w:val="0"/>
          <w:marTop w:val="60"/>
          <w:marBottom w:val="0"/>
          <w:divBdr>
            <w:top w:val="none" w:sz="0" w:space="0" w:color="auto"/>
            <w:left w:val="none" w:sz="0" w:space="0" w:color="auto"/>
            <w:bottom w:val="none" w:sz="0" w:space="0" w:color="auto"/>
            <w:right w:val="none" w:sz="0" w:space="0" w:color="auto"/>
          </w:divBdr>
        </w:div>
        <w:div w:id="1901868908">
          <w:marLeft w:val="850"/>
          <w:marRight w:val="0"/>
          <w:marTop w:val="60"/>
          <w:marBottom w:val="0"/>
          <w:divBdr>
            <w:top w:val="none" w:sz="0" w:space="0" w:color="auto"/>
            <w:left w:val="none" w:sz="0" w:space="0" w:color="auto"/>
            <w:bottom w:val="none" w:sz="0" w:space="0" w:color="auto"/>
            <w:right w:val="none" w:sz="0" w:space="0" w:color="auto"/>
          </w:divBdr>
        </w:div>
        <w:div w:id="2089962737">
          <w:marLeft w:val="432"/>
          <w:marRight w:val="0"/>
          <w:marTop w:val="180"/>
          <w:marBottom w:val="0"/>
          <w:divBdr>
            <w:top w:val="none" w:sz="0" w:space="0" w:color="auto"/>
            <w:left w:val="none" w:sz="0" w:space="0" w:color="auto"/>
            <w:bottom w:val="none" w:sz="0" w:space="0" w:color="auto"/>
            <w:right w:val="none" w:sz="0" w:space="0" w:color="auto"/>
          </w:divBdr>
        </w:div>
      </w:divsChild>
    </w:div>
    <w:div w:id="1266646339">
      <w:bodyDiv w:val="1"/>
      <w:marLeft w:val="0"/>
      <w:marRight w:val="0"/>
      <w:marTop w:val="0"/>
      <w:marBottom w:val="0"/>
      <w:divBdr>
        <w:top w:val="none" w:sz="0" w:space="0" w:color="auto"/>
        <w:left w:val="none" w:sz="0" w:space="0" w:color="auto"/>
        <w:bottom w:val="none" w:sz="0" w:space="0" w:color="auto"/>
        <w:right w:val="none" w:sz="0" w:space="0" w:color="auto"/>
      </w:divBdr>
    </w:div>
    <w:div w:id="1274360576">
      <w:bodyDiv w:val="1"/>
      <w:marLeft w:val="0"/>
      <w:marRight w:val="0"/>
      <w:marTop w:val="0"/>
      <w:marBottom w:val="0"/>
      <w:divBdr>
        <w:top w:val="none" w:sz="0" w:space="0" w:color="auto"/>
        <w:left w:val="none" w:sz="0" w:space="0" w:color="auto"/>
        <w:bottom w:val="none" w:sz="0" w:space="0" w:color="auto"/>
        <w:right w:val="none" w:sz="0" w:space="0" w:color="auto"/>
      </w:divBdr>
      <w:divsChild>
        <w:div w:id="47729835">
          <w:marLeft w:val="850"/>
          <w:marRight w:val="0"/>
          <w:marTop w:val="60"/>
          <w:marBottom w:val="0"/>
          <w:divBdr>
            <w:top w:val="none" w:sz="0" w:space="0" w:color="auto"/>
            <w:left w:val="none" w:sz="0" w:space="0" w:color="auto"/>
            <w:bottom w:val="none" w:sz="0" w:space="0" w:color="auto"/>
            <w:right w:val="none" w:sz="0" w:space="0" w:color="auto"/>
          </w:divBdr>
        </w:div>
        <w:div w:id="396250286">
          <w:marLeft w:val="432"/>
          <w:marRight w:val="0"/>
          <w:marTop w:val="180"/>
          <w:marBottom w:val="0"/>
          <w:divBdr>
            <w:top w:val="none" w:sz="0" w:space="0" w:color="auto"/>
            <w:left w:val="none" w:sz="0" w:space="0" w:color="auto"/>
            <w:bottom w:val="none" w:sz="0" w:space="0" w:color="auto"/>
            <w:right w:val="none" w:sz="0" w:space="0" w:color="auto"/>
          </w:divBdr>
        </w:div>
        <w:div w:id="543716797">
          <w:marLeft w:val="850"/>
          <w:marRight w:val="0"/>
          <w:marTop w:val="60"/>
          <w:marBottom w:val="0"/>
          <w:divBdr>
            <w:top w:val="none" w:sz="0" w:space="0" w:color="auto"/>
            <w:left w:val="none" w:sz="0" w:space="0" w:color="auto"/>
            <w:bottom w:val="none" w:sz="0" w:space="0" w:color="auto"/>
            <w:right w:val="none" w:sz="0" w:space="0" w:color="auto"/>
          </w:divBdr>
        </w:div>
        <w:div w:id="965893479">
          <w:marLeft w:val="432"/>
          <w:marRight w:val="0"/>
          <w:marTop w:val="180"/>
          <w:marBottom w:val="0"/>
          <w:divBdr>
            <w:top w:val="none" w:sz="0" w:space="0" w:color="auto"/>
            <w:left w:val="none" w:sz="0" w:space="0" w:color="auto"/>
            <w:bottom w:val="none" w:sz="0" w:space="0" w:color="auto"/>
            <w:right w:val="none" w:sz="0" w:space="0" w:color="auto"/>
          </w:divBdr>
        </w:div>
        <w:div w:id="1491402845">
          <w:marLeft w:val="850"/>
          <w:marRight w:val="0"/>
          <w:marTop w:val="60"/>
          <w:marBottom w:val="0"/>
          <w:divBdr>
            <w:top w:val="none" w:sz="0" w:space="0" w:color="auto"/>
            <w:left w:val="none" w:sz="0" w:space="0" w:color="auto"/>
            <w:bottom w:val="none" w:sz="0" w:space="0" w:color="auto"/>
            <w:right w:val="none" w:sz="0" w:space="0" w:color="auto"/>
          </w:divBdr>
        </w:div>
      </w:divsChild>
    </w:div>
    <w:div w:id="1276520784">
      <w:bodyDiv w:val="1"/>
      <w:marLeft w:val="0"/>
      <w:marRight w:val="0"/>
      <w:marTop w:val="0"/>
      <w:marBottom w:val="0"/>
      <w:divBdr>
        <w:top w:val="none" w:sz="0" w:space="0" w:color="auto"/>
        <w:left w:val="none" w:sz="0" w:space="0" w:color="auto"/>
        <w:bottom w:val="none" w:sz="0" w:space="0" w:color="auto"/>
        <w:right w:val="none" w:sz="0" w:space="0" w:color="auto"/>
      </w:divBdr>
    </w:div>
    <w:div w:id="1283195330">
      <w:bodyDiv w:val="1"/>
      <w:marLeft w:val="0"/>
      <w:marRight w:val="0"/>
      <w:marTop w:val="0"/>
      <w:marBottom w:val="0"/>
      <w:divBdr>
        <w:top w:val="none" w:sz="0" w:space="0" w:color="auto"/>
        <w:left w:val="none" w:sz="0" w:space="0" w:color="auto"/>
        <w:bottom w:val="none" w:sz="0" w:space="0" w:color="auto"/>
        <w:right w:val="none" w:sz="0" w:space="0" w:color="auto"/>
      </w:divBdr>
    </w:div>
    <w:div w:id="1300458116">
      <w:bodyDiv w:val="1"/>
      <w:marLeft w:val="0"/>
      <w:marRight w:val="0"/>
      <w:marTop w:val="0"/>
      <w:marBottom w:val="0"/>
      <w:divBdr>
        <w:top w:val="none" w:sz="0" w:space="0" w:color="auto"/>
        <w:left w:val="none" w:sz="0" w:space="0" w:color="auto"/>
        <w:bottom w:val="none" w:sz="0" w:space="0" w:color="auto"/>
        <w:right w:val="none" w:sz="0" w:space="0" w:color="auto"/>
      </w:divBdr>
      <w:divsChild>
        <w:div w:id="356002696">
          <w:marLeft w:val="850"/>
          <w:marRight w:val="0"/>
          <w:marTop w:val="60"/>
          <w:marBottom w:val="0"/>
          <w:divBdr>
            <w:top w:val="none" w:sz="0" w:space="0" w:color="auto"/>
            <w:left w:val="none" w:sz="0" w:space="0" w:color="auto"/>
            <w:bottom w:val="none" w:sz="0" w:space="0" w:color="auto"/>
            <w:right w:val="none" w:sz="0" w:space="0" w:color="auto"/>
          </w:divBdr>
        </w:div>
        <w:div w:id="448819418">
          <w:marLeft w:val="432"/>
          <w:marRight w:val="0"/>
          <w:marTop w:val="180"/>
          <w:marBottom w:val="0"/>
          <w:divBdr>
            <w:top w:val="none" w:sz="0" w:space="0" w:color="auto"/>
            <w:left w:val="none" w:sz="0" w:space="0" w:color="auto"/>
            <w:bottom w:val="none" w:sz="0" w:space="0" w:color="auto"/>
            <w:right w:val="none" w:sz="0" w:space="0" w:color="auto"/>
          </w:divBdr>
        </w:div>
        <w:div w:id="791359928">
          <w:marLeft w:val="850"/>
          <w:marRight w:val="0"/>
          <w:marTop w:val="60"/>
          <w:marBottom w:val="0"/>
          <w:divBdr>
            <w:top w:val="none" w:sz="0" w:space="0" w:color="auto"/>
            <w:left w:val="none" w:sz="0" w:space="0" w:color="auto"/>
            <w:bottom w:val="none" w:sz="0" w:space="0" w:color="auto"/>
            <w:right w:val="none" w:sz="0" w:space="0" w:color="auto"/>
          </w:divBdr>
        </w:div>
        <w:div w:id="812673530">
          <w:marLeft w:val="432"/>
          <w:marRight w:val="0"/>
          <w:marTop w:val="180"/>
          <w:marBottom w:val="0"/>
          <w:divBdr>
            <w:top w:val="none" w:sz="0" w:space="0" w:color="auto"/>
            <w:left w:val="none" w:sz="0" w:space="0" w:color="auto"/>
            <w:bottom w:val="none" w:sz="0" w:space="0" w:color="auto"/>
            <w:right w:val="none" w:sz="0" w:space="0" w:color="auto"/>
          </w:divBdr>
        </w:div>
        <w:div w:id="1014186451">
          <w:marLeft w:val="850"/>
          <w:marRight w:val="0"/>
          <w:marTop w:val="60"/>
          <w:marBottom w:val="0"/>
          <w:divBdr>
            <w:top w:val="none" w:sz="0" w:space="0" w:color="auto"/>
            <w:left w:val="none" w:sz="0" w:space="0" w:color="auto"/>
            <w:bottom w:val="none" w:sz="0" w:space="0" w:color="auto"/>
            <w:right w:val="none" w:sz="0" w:space="0" w:color="auto"/>
          </w:divBdr>
        </w:div>
        <w:div w:id="2111117677">
          <w:marLeft w:val="432"/>
          <w:marRight w:val="0"/>
          <w:marTop w:val="180"/>
          <w:marBottom w:val="0"/>
          <w:divBdr>
            <w:top w:val="none" w:sz="0" w:space="0" w:color="auto"/>
            <w:left w:val="none" w:sz="0" w:space="0" w:color="auto"/>
            <w:bottom w:val="none" w:sz="0" w:space="0" w:color="auto"/>
            <w:right w:val="none" w:sz="0" w:space="0" w:color="auto"/>
          </w:divBdr>
        </w:div>
      </w:divsChild>
    </w:div>
    <w:div w:id="1301690318">
      <w:bodyDiv w:val="1"/>
      <w:marLeft w:val="0"/>
      <w:marRight w:val="0"/>
      <w:marTop w:val="0"/>
      <w:marBottom w:val="0"/>
      <w:divBdr>
        <w:top w:val="none" w:sz="0" w:space="0" w:color="auto"/>
        <w:left w:val="none" w:sz="0" w:space="0" w:color="auto"/>
        <w:bottom w:val="none" w:sz="0" w:space="0" w:color="auto"/>
        <w:right w:val="none" w:sz="0" w:space="0" w:color="auto"/>
      </w:divBdr>
    </w:div>
    <w:div w:id="1304694841">
      <w:bodyDiv w:val="1"/>
      <w:marLeft w:val="0"/>
      <w:marRight w:val="0"/>
      <w:marTop w:val="0"/>
      <w:marBottom w:val="0"/>
      <w:divBdr>
        <w:top w:val="none" w:sz="0" w:space="0" w:color="auto"/>
        <w:left w:val="none" w:sz="0" w:space="0" w:color="auto"/>
        <w:bottom w:val="none" w:sz="0" w:space="0" w:color="auto"/>
        <w:right w:val="none" w:sz="0" w:space="0" w:color="auto"/>
      </w:divBdr>
    </w:div>
    <w:div w:id="1313288370">
      <w:bodyDiv w:val="1"/>
      <w:marLeft w:val="0"/>
      <w:marRight w:val="0"/>
      <w:marTop w:val="0"/>
      <w:marBottom w:val="0"/>
      <w:divBdr>
        <w:top w:val="none" w:sz="0" w:space="0" w:color="auto"/>
        <w:left w:val="none" w:sz="0" w:space="0" w:color="auto"/>
        <w:bottom w:val="none" w:sz="0" w:space="0" w:color="auto"/>
        <w:right w:val="none" w:sz="0" w:space="0" w:color="auto"/>
      </w:divBdr>
    </w:div>
    <w:div w:id="1349941222">
      <w:bodyDiv w:val="1"/>
      <w:marLeft w:val="0"/>
      <w:marRight w:val="0"/>
      <w:marTop w:val="0"/>
      <w:marBottom w:val="0"/>
      <w:divBdr>
        <w:top w:val="none" w:sz="0" w:space="0" w:color="auto"/>
        <w:left w:val="none" w:sz="0" w:space="0" w:color="auto"/>
        <w:bottom w:val="none" w:sz="0" w:space="0" w:color="auto"/>
        <w:right w:val="none" w:sz="0" w:space="0" w:color="auto"/>
      </w:divBdr>
    </w:div>
    <w:div w:id="1352225884">
      <w:bodyDiv w:val="1"/>
      <w:marLeft w:val="0"/>
      <w:marRight w:val="0"/>
      <w:marTop w:val="0"/>
      <w:marBottom w:val="0"/>
      <w:divBdr>
        <w:top w:val="none" w:sz="0" w:space="0" w:color="auto"/>
        <w:left w:val="none" w:sz="0" w:space="0" w:color="auto"/>
        <w:bottom w:val="none" w:sz="0" w:space="0" w:color="auto"/>
        <w:right w:val="none" w:sz="0" w:space="0" w:color="auto"/>
      </w:divBdr>
    </w:div>
    <w:div w:id="1381130984">
      <w:bodyDiv w:val="1"/>
      <w:marLeft w:val="0"/>
      <w:marRight w:val="0"/>
      <w:marTop w:val="0"/>
      <w:marBottom w:val="0"/>
      <w:divBdr>
        <w:top w:val="none" w:sz="0" w:space="0" w:color="auto"/>
        <w:left w:val="none" w:sz="0" w:space="0" w:color="auto"/>
        <w:bottom w:val="none" w:sz="0" w:space="0" w:color="auto"/>
        <w:right w:val="none" w:sz="0" w:space="0" w:color="auto"/>
      </w:divBdr>
      <w:divsChild>
        <w:div w:id="2029288529">
          <w:marLeft w:val="0"/>
          <w:marRight w:val="0"/>
          <w:marTop w:val="0"/>
          <w:marBottom w:val="0"/>
          <w:divBdr>
            <w:top w:val="none" w:sz="0" w:space="0" w:color="auto"/>
            <w:left w:val="none" w:sz="0" w:space="0" w:color="auto"/>
            <w:bottom w:val="none" w:sz="0" w:space="0" w:color="auto"/>
            <w:right w:val="none" w:sz="0" w:space="0" w:color="auto"/>
          </w:divBdr>
          <w:divsChild>
            <w:div w:id="1823040182">
              <w:marLeft w:val="0"/>
              <w:marRight w:val="0"/>
              <w:marTop w:val="0"/>
              <w:marBottom w:val="0"/>
              <w:divBdr>
                <w:top w:val="none" w:sz="0" w:space="0" w:color="auto"/>
                <w:left w:val="none" w:sz="0" w:space="0" w:color="auto"/>
                <w:bottom w:val="none" w:sz="0" w:space="0" w:color="auto"/>
                <w:right w:val="none" w:sz="0" w:space="0" w:color="auto"/>
              </w:divBdr>
              <w:divsChild>
                <w:div w:id="491798305">
                  <w:marLeft w:val="0"/>
                  <w:marRight w:val="0"/>
                  <w:marTop w:val="0"/>
                  <w:marBottom w:val="0"/>
                  <w:divBdr>
                    <w:top w:val="none" w:sz="0" w:space="0" w:color="auto"/>
                    <w:left w:val="none" w:sz="0" w:space="0" w:color="auto"/>
                    <w:bottom w:val="none" w:sz="0" w:space="0" w:color="auto"/>
                    <w:right w:val="none" w:sz="0" w:space="0" w:color="auto"/>
                  </w:divBdr>
                  <w:divsChild>
                    <w:div w:id="9183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49099">
      <w:bodyDiv w:val="1"/>
      <w:marLeft w:val="0"/>
      <w:marRight w:val="0"/>
      <w:marTop w:val="0"/>
      <w:marBottom w:val="0"/>
      <w:divBdr>
        <w:top w:val="none" w:sz="0" w:space="0" w:color="auto"/>
        <w:left w:val="none" w:sz="0" w:space="0" w:color="auto"/>
        <w:bottom w:val="none" w:sz="0" w:space="0" w:color="auto"/>
        <w:right w:val="none" w:sz="0" w:space="0" w:color="auto"/>
      </w:divBdr>
    </w:div>
    <w:div w:id="1387070639">
      <w:bodyDiv w:val="1"/>
      <w:marLeft w:val="0"/>
      <w:marRight w:val="0"/>
      <w:marTop w:val="0"/>
      <w:marBottom w:val="0"/>
      <w:divBdr>
        <w:top w:val="none" w:sz="0" w:space="0" w:color="auto"/>
        <w:left w:val="none" w:sz="0" w:space="0" w:color="auto"/>
        <w:bottom w:val="none" w:sz="0" w:space="0" w:color="auto"/>
        <w:right w:val="none" w:sz="0" w:space="0" w:color="auto"/>
      </w:divBdr>
    </w:div>
    <w:div w:id="1410687889">
      <w:bodyDiv w:val="1"/>
      <w:marLeft w:val="0"/>
      <w:marRight w:val="0"/>
      <w:marTop w:val="0"/>
      <w:marBottom w:val="0"/>
      <w:divBdr>
        <w:top w:val="none" w:sz="0" w:space="0" w:color="auto"/>
        <w:left w:val="none" w:sz="0" w:space="0" w:color="auto"/>
        <w:bottom w:val="none" w:sz="0" w:space="0" w:color="auto"/>
        <w:right w:val="none" w:sz="0" w:space="0" w:color="auto"/>
      </w:divBdr>
    </w:div>
    <w:div w:id="1415200098">
      <w:bodyDiv w:val="1"/>
      <w:marLeft w:val="0"/>
      <w:marRight w:val="0"/>
      <w:marTop w:val="0"/>
      <w:marBottom w:val="0"/>
      <w:divBdr>
        <w:top w:val="none" w:sz="0" w:space="0" w:color="auto"/>
        <w:left w:val="none" w:sz="0" w:space="0" w:color="auto"/>
        <w:bottom w:val="none" w:sz="0" w:space="0" w:color="auto"/>
        <w:right w:val="none" w:sz="0" w:space="0" w:color="auto"/>
      </w:divBdr>
    </w:div>
    <w:div w:id="1423641534">
      <w:bodyDiv w:val="1"/>
      <w:marLeft w:val="0"/>
      <w:marRight w:val="0"/>
      <w:marTop w:val="0"/>
      <w:marBottom w:val="0"/>
      <w:divBdr>
        <w:top w:val="none" w:sz="0" w:space="0" w:color="auto"/>
        <w:left w:val="none" w:sz="0" w:space="0" w:color="auto"/>
        <w:bottom w:val="none" w:sz="0" w:space="0" w:color="auto"/>
        <w:right w:val="none" w:sz="0" w:space="0" w:color="auto"/>
      </w:divBdr>
    </w:div>
    <w:div w:id="1452632453">
      <w:bodyDiv w:val="1"/>
      <w:marLeft w:val="0"/>
      <w:marRight w:val="0"/>
      <w:marTop w:val="0"/>
      <w:marBottom w:val="0"/>
      <w:divBdr>
        <w:top w:val="none" w:sz="0" w:space="0" w:color="auto"/>
        <w:left w:val="none" w:sz="0" w:space="0" w:color="auto"/>
        <w:bottom w:val="none" w:sz="0" w:space="0" w:color="auto"/>
        <w:right w:val="none" w:sz="0" w:space="0" w:color="auto"/>
      </w:divBdr>
    </w:div>
    <w:div w:id="1458134947">
      <w:bodyDiv w:val="1"/>
      <w:marLeft w:val="0"/>
      <w:marRight w:val="0"/>
      <w:marTop w:val="0"/>
      <w:marBottom w:val="0"/>
      <w:divBdr>
        <w:top w:val="none" w:sz="0" w:space="0" w:color="auto"/>
        <w:left w:val="none" w:sz="0" w:space="0" w:color="auto"/>
        <w:bottom w:val="none" w:sz="0" w:space="0" w:color="auto"/>
        <w:right w:val="none" w:sz="0" w:space="0" w:color="auto"/>
      </w:divBdr>
    </w:div>
    <w:div w:id="1465346508">
      <w:bodyDiv w:val="1"/>
      <w:marLeft w:val="0"/>
      <w:marRight w:val="0"/>
      <w:marTop w:val="0"/>
      <w:marBottom w:val="0"/>
      <w:divBdr>
        <w:top w:val="none" w:sz="0" w:space="0" w:color="auto"/>
        <w:left w:val="none" w:sz="0" w:space="0" w:color="auto"/>
        <w:bottom w:val="none" w:sz="0" w:space="0" w:color="auto"/>
        <w:right w:val="none" w:sz="0" w:space="0" w:color="auto"/>
      </w:divBdr>
      <w:divsChild>
        <w:div w:id="2078241295">
          <w:marLeft w:val="0"/>
          <w:marRight w:val="0"/>
          <w:marTop w:val="0"/>
          <w:marBottom w:val="0"/>
          <w:divBdr>
            <w:top w:val="none" w:sz="0" w:space="0" w:color="auto"/>
            <w:left w:val="none" w:sz="0" w:space="0" w:color="auto"/>
            <w:bottom w:val="none" w:sz="0" w:space="0" w:color="auto"/>
            <w:right w:val="none" w:sz="0" w:space="0" w:color="auto"/>
          </w:divBdr>
          <w:divsChild>
            <w:div w:id="871110370">
              <w:marLeft w:val="0"/>
              <w:marRight w:val="0"/>
              <w:marTop w:val="0"/>
              <w:marBottom w:val="0"/>
              <w:divBdr>
                <w:top w:val="none" w:sz="0" w:space="0" w:color="auto"/>
                <w:left w:val="none" w:sz="0" w:space="0" w:color="auto"/>
                <w:bottom w:val="none" w:sz="0" w:space="0" w:color="auto"/>
                <w:right w:val="none" w:sz="0" w:space="0" w:color="auto"/>
              </w:divBdr>
              <w:divsChild>
                <w:div w:id="76483756">
                  <w:marLeft w:val="0"/>
                  <w:marRight w:val="0"/>
                  <w:marTop w:val="0"/>
                  <w:marBottom w:val="0"/>
                  <w:divBdr>
                    <w:top w:val="none" w:sz="0" w:space="0" w:color="auto"/>
                    <w:left w:val="none" w:sz="0" w:space="0" w:color="auto"/>
                    <w:bottom w:val="none" w:sz="0" w:space="0" w:color="auto"/>
                    <w:right w:val="none" w:sz="0" w:space="0" w:color="auto"/>
                  </w:divBdr>
                  <w:divsChild>
                    <w:div w:id="1472137917">
                      <w:marLeft w:val="0"/>
                      <w:marRight w:val="0"/>
                      <w:marTop w:val="0"/>
                      <w:marBottom w:val="0"/>
                      <w:divBdr>
                        <w:top w:val="none" w:sz="0" w:space="0" w:color="auto"/>
                        <w:left w:val="none" w:sz="0" w:space="0" w:color="auto"/>
                        <w:bottom w:val="none" w:sz="0" w:space="0" w:color="auto"/>
                        <w:right w:val="none" w:sz="0" w:space="0" w:color="auto"/>
                      </w:divBdr>
                      <w:divsChild>
                        <w:div w:id="1204713916">
                          <w:marLeft w:val="0"/>
                          <w:marRight w:val="0"/>
                          <w:marTop w:val="0"/>
                          <w:marBottom w:val="0"/>
                          <w:divBdr>
                            <w:top w:val="none" w:sz="0" w:space="0" w:color="auto"/>
                            <w:left w:val="none" w:sz="0" w:space="0" w:color="auto"/>
                            <w:bottom w:val="none" w:sz="0" w:space="0" w:color="auto"/>
                            <w:right w:val="none" w:sz="0" w:space="0" w:color="auto"/>
                          </w:divBdr>
                          <w:divsChild>
                            <w:div w:id="1357270247">
                              <w:marLeft w:val="0"/>
                              <w:marRight w:val="0"/>
                              <w:marTop w:val="0"/>
                              <w:marBottom w:val="0"/>
                              <w:divBdr>
                                <w:top w:val="none" w:sz="0" w:space="0" w:color="auto"/>
                                <w:left w:val="none" w:sz="0" w:space="0" w:color="auto"/>
                                <w:bottom w:val="none" w:sz="0" w:space="0" w:color="auto"/>
                                <w:right w:val="none" w:sz="0" w:space="0" w:color="auto"/>
                              </w:divBdr>
                              <w:divsChild>
                                <w:div w:id="611785945">
                                  <w:marLeft w:val="0"/>
                                  <w:marRight w:val="0"/>
                                  <w:marTop w:val="0"/>
                                  <w:marBottom w:val="0"/>
                                  <w:divBdr>
                                    <w:top w:val="none" w:sz="0" w:space="0" w:color="auto"/>
                                    <w:left w:val="none" w:sz="0" w:space="0" w:color="auto"/>
                                    <w:bottom w:val="none" w:sz="0" w:space="0" w:color="auto"/>
                                    <w:right w:val="none" w:sz="0" w:space="0" w:color="auto"/>
                                  </w:divBdr>
                                  <w:divsChild>
                                    <w:div w:id="1544714249">
                                      <w:marLeft w:val="0"/>
                                      <w:marRight w:val="0"/>
                                      <w:marTop w:val="0"/>
                                      <w:marBottom w:val="0"/>
                                      <w:divBdr>
                                        <w:top w:val="none" w:sz="0" w:space="0" w:color="auto"/>
                                        <w:left w:val="none" w:sz="0" w:space="0" w:color="auto"/>
                                        <w:bottom w:val="none" w:sz="0" w:space="0" w:color="auto"/>
                                        <w:right w:val="none" w:sz="0" w:space="0" w:color="auto"/>
                                      </w:divBdr>
                                      <w:divsChild>
                                        <w:div w:id="12831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061500">
      <w:bodyDiv w:val="1"/>
      <w:marLeft w:val="0"/>
      <w:marRight w:val="0"/>
      <w:marTop w:val="0"/>
      <w:marBottom w:val="0"/>
      <w:divBdr>
        <w:top w:val="none" w:sz="0" w:space="0" w:color="auto"/>
        <w:left w:val="none" w:sz="0" w:space="0" w:color="auto"/>
        <w:bottom w:val="none" w:sz="0" w:space="0" w:color="auto"/>
        <w:right w:val="none" w:sz="0" w:space="0" w:color="auto"/>
      </w:divBdr>
      <w:divsChild>
        <w:div w:id="172840073">
          <w:marLeft w:val="850"/>
          <w:marRight w:val="0"/>
          <w:marTop w:val="60"/>
          <w:marBottom w:val="0"/>
          <w:divBdr>
            <w:top w:val="none" w:sz="0" w:space="0" w:color="auto"/>
            <w:left w:val="none" w:sz="0" w:space="0" w:color="auto"/>
            <w:bottom w:val="none" w:sz="0" w:space="0" w:color="auto"/>
            <w:right w:val="none" w:sz="0" w:space="0" w:color="auto"/>
          </w:divBdr>
        </w:div>
        <w:div w:id="830220774">
          <w:marLeft w:val="850"/>
          <w:marRight w:val="0"/>
          <w:marTop w:val="60"/>
          <w:marBottom w:val="0"/>
          <w:divBdr>
            <w:top w:val="none" w:sz="0" w:space="0" w:color="auto"/>
            <w:left w:val="none" w:sz="0" w:space="0" w:color="auto"/>
            <w:bottom w:val="none" w:sz="0" w:space="0" w:color="auto"/>
            <w:right w:val="none" w:sz="0" w:space="0" w:color="auto"/>
          </w:divBdr>
        </w:div>
        <w:div w:id="1109275890">
          <w:marLeft w:val="850"/>
          <w:marRight w:val="0"/>
          <w:marTop w:val="60"/>
          <w:marBottom w:val="0"/>
          <w:divBdr>
            <w:top w:val="none" w:sz="0" w:space="0" w:color="auto"/>
            <w:left w:val="none" w:sz="0" w:space="0" w:color="auto"/>
            <w:bottom w:val="none" w:sz="0" w:space="0" w:color="auto"/>
            <w:right w:val="none" w:sz="0" w:space="0" w:color="auto"/>
          </w:divBdr>
        </w:div>
        <w:div w:id="1433403860">
          <w:marLeft w:val="432"/>
          <w:marRight w:val="0"/>
          <w:marTop w:val="180"/>
          <w:marBottom w:val="0"/>
          <w:divBdr>
            <w:top w:val="none" w:sz="0" w:space="0" w:color="auto"/>
            <w:left w:val="none" w:sz="0" w:space="0" w:color="auto"/>
            <w:bottom w:val="none" w:sz="0" w:space="0" w:color="auto"/>
            <w:right w:val="none" w:sz="0" w:space="0" w:color="auto"/>
          </w:divBdr>
        </w:div>
        <w:div w:id="1450582535">
          <w:marLeft w:val="432"/>
          <w:marRight w:val="0"/>
          <w:marTop w:val="180"/>
          <w:marBottom w:val="0"/>
          <w:divBdr>
            <w:top w:val="none" w:sz="0" w:space="0" w:color="auto"/>
            <w:left w:val="none" w:sz="0" w:space="0" w:color="auto"/>
            <w:bottom w:val="none" w:sz="0" w:space="0" w:color="auto"/>
            <w:right w:val="none" w:sz="0" w:space="0" w:color="auto"/>
          </w:divBdr>
        </w:div>
        <w:div w:id="1831870618">
          <w:marLeft w:val="850"/>
          <w:marRight w:val="0"/>
          <w:marTop w:val="60"/>
          <w:marBottom w:val="0"/>
          <w:divBdr>
            <w:top w:val="none" w:sz="0" w:space="0" w:color="auto"/>
            <w:left w:val="none" w:sz="0" w:space="0" w:color="auto"/>
            <w:bottom w:val="none" w:sz="0" w:space="0" w:color="auto"/>
            <w:right w:val="none" w:sz="0" w:space="0" w:color="auto"/>
          </w:divBdr>
        </w:div>
      </w:divsChild>
    </w:div>
    <w:div w:id="1491747868">
      <w:bodyDiv w:val="1"/>
      <w:marLeft w:val="0"/>
      <w:marRight w:val="0"/>
      <w:marTop w:val="0"/>
      <w:marBottom w:val="0"/>
      <w:divBdr>
        <w:top w:val="none" w:sz="0" w:space="0" w:color="auto"/>
        <w:left w:val="none" w:sz="0" w:space="0" w:color="auto"/>
        <w:bottom w:val="none" w:sz="0" w:space="0" w:color="auto"/>
        <w:right w:val="none" w:sz="0" w:space="0" w:color="auto"/>
      </w:divBdr>
    </w:div>
    <w:div w:id="1497301787">
      <w:bodyDiv w:val="1"/>
      <w:marLeft w:val="0"/>
      <w:marRight w:val="0"/>
      <w:marTop w:val="0"/>
      <w:marBottom w:val="0"/>
      <w:divBdr>
        <w:top w:val="none" w:sz="0" w:space="0" w:color="auto"/>
        <w:left w:val="none" w:sz="0" w:space="0" w:color="auto"/>
        <w:bottom w:val="none" w:sz="0" w:space="0" w:color="auto"/>
        <w:right w:val="none" w:sz="0" w:space="0" w:color="auto"/>
      </w:divBdr>
    </w:div>
    <w:div w:id="1565332010">
      <w:bodyDiv w:val="1"/>
      <w:marLeft w:val="0"/>
      <w:marRight w:val="0"/>
      <w:marTop w:val="0"/>
      <w:marBottom w:val="0"/>
      <w:divBdr>
        <w:top w:val="none" w:sz="0" w:space="0" w:color="auto"/>
        <w:left w:val="none" w:sz="0" w:space="0" w:color="auto"/>
        <w:bottom w:val="none" w:sz="0" w:space="0" w:color="auto"/>
        <w:right w:val="none" w:sz="0" w:space="0" w:color="auto"/>
      </w:divBdr>
    </w:div>
    <w:div w:id="1567109947">
      <w:bodyDiv w:val="1"/>
      <w:marLeft w:val="0"/>
      <w:marRight w:val="0"/>
      <w:marTop w:val="0"/>
      <w:marBottom w:val="0"/>
      <w:divBdr>
        <w:top w:val="none" w:sz="0" w:space="0" w:color="auto"/>
        <w:left w:val="none" w:sz="0" w:space="0" w:color="auto"/>
        <w:bottom w:val="none" w:sz="0" w:space="0" w:color="auto"/>
        <w:right w:val="none" w:sz="0" w:space="0" w:color="auto"/>
      </w:divBdr>
    </w:div>
    <w:div w:id="1568035051">
      <w:bodyDiv w:val="1"/>
      <w:marLeft w:val="0"/>
      <w:marRight w:val="0"/>
      <w:marTop w:val="0"/>
      <w:marBottom w:val="0"/>
      <w:divBdr>
        <w:top w:val="none" w:sz="0" w:space="0" w:color="auto"/>
        <w:left w:val="none" w:sz="0" w:space="0" w:color="auto"/>
        <w:bottom w:val="none" w:sz="0" w:space="0" w:color="auto"/>
        <w:right w:val="none" w:sz="0" w:space="0" w:color="auto"/>
      </w:divBdr>
    </w:div>
    <w:div w:id="1569807370">
      <w:bodyDiv w:val="1"/>
      <w:marLeft w:val="0"/>
      <w:marRight w:val="0"/>
      <w:marTop w:val="0"/>
      <w:marBottom w:val="0"/>
      <w:divBdr>
        <w:top w:val="none" w:sz="0" w:space="0" w:color="auto"/>
        <w:left w:val="none" w:sz="0" w:space="0" w:color="auto"/>
        <w:bottom w:val="none" w:sz="0" w:space="0" w:color="auto"/>
        <w:right w:val="none" w:sz="0" w:space="0" w:color="auto"/>
      </w:divBdr>
    </w:div>
    <w:div w:id="1569925273">
      <w:bodyDiv w:val="1"/>
      <w:marLeft w:val="0"/>
      <w:marRight w:val="0"/>
      <w:marTop w:val="0"/>
      <w:marBottom w:val="0"/>
      <w:divBdr>
        <w:top w:val="none" w:sz="0" w:space="0" w:color="auto"/>
        <w:left w:val="none" w:sz="0" w:space="0" w:color="auto"/>
        <w:bottom w:val="none" w:sz="0" w:space="0" w:color="auto"/>
        <w:right w:val="none" w:sz="0" w:space="0" w:color="auto"/>
      </w:divBdr>
    </w:div>
    <w:div w:id="1593121349">
      <w:bodyDiv w:val="1"/>
      <w:marLeft w:val="0"/>
      <w:marRight w:val="0"/>
      <w:marTop w:val="0"/>
      <w:marBottom w:val="0"/>
      <w:divBdr>
        <w:top w:val="none" w:sz="0" w:space="0" w:color="auto"/>
        <w:left w:val="none" w:sz="0" w:space="0" w:color="auto"/>
        <w:bottom w:val="none" w:sz="0" w:space="0" w:color="auto"/>
        <w:right w:val="none" w:sz="0" w:space="0" w:color="auto"/>
      </w:divBdr>
    </w:div>
    <w:div w:id="1623028299">
      <w:bodyDiv w:val="1"/>
      <w:marLeft w:val="0"/>
      <w:marRight w:val="0"/>
      <w:marTop w:val="0"/>
      <w:marBottom w:val="0"/>
      <w:divBdr>
        <w:top w:val="none" w:sz="0" w:space="0" w:color="auto"/>
        <w:left w:val="none" w:sz="0" w:space="0" w:color="auto"/>
        <w:bottom w:val="none" w:sz="0" w:space="0" w:color="auto"/>
        <w:right w:val="none" w:sz="0" w:space="0" w:color="auto"/>
      </w:divBdr>
    </w:div>
    <w:div w:id="1639728295">
      <w:bodyDiv w:val="1"/>
      <w:marLeft w:val="0"/>
      <w:marRight w:val="0"/>
      <w:marTop w:val="0"/>
      <w:marBottom w:val="0"/>
      <w:divBdr>
        <w:top w:val="none" w:sz="0" w:space="0" w:color="auto"/>
        <w:left w:val="none" w:sz="0" w:space="0" w:color="auto"/>
        <w:bottom w:val="none" w:sz="0" w:space="0" w:color="auto"/>
        <w:right w:val="none" w:sz="0" w:space="0" w:color="auto"/>
      </w:divBdr>
    </w:div>
    <w:div w:id="1654603311">
      <w:bodyDiv w:val="1"/>
      <w:marLeft w:val="0"/>
      <w:marRight w:val="0"/>
      <w:marTop w:val="0"/>
      <w:marBottom w:val="0"/>
      <w:divBdr>
        <w:top w:val="none" w:sz="0" w:space="0" w:color="auto"/>
        <w:left w:val="none" w:sz="0" w:space="0" w:color="auto"/>
        <w:bottom w:val="none" w:sz="0" w:space="0" w:color="auto"/>
        <w:right w:val="none" w:sz="0" w:space="0" w:color="auto"/>
      </w:divBdr>
    </w:div>
    <w:div w:id="1688291309">
      <w:bodyDiv w:val="1"/>
      <w:marLeft w:val="0"/>
      <w:marRight w:val="0"/>
      <w:marTop w:val="0"/>
      <w:marBottom w:val="0"/>
      <w:divBdr>
        <w:top w:val="none" w:sz="0" w:space="0" w:color="auto"/>
        <w:left w:val="none" w:sz="0" w:space="0" w:color="auto"/>
        <w:bottom w:val="none" w:sz="0" w:space="0" w:color="auto"/>
        <w:right w:val="none" w:sz="0" w:space="0" w:color="auto"/>
      </w:divBdr>
    </w:div>
    <w:div w:id="1689327947">
      <w:bodyDiv w:val="1"/>
      <w:marLeft w:val="0"/>
      <w:marRight w:val="0"/>
      <w:marTop w:val="0"/>
      <w:marBottom w:val="0"/>
      <w:divBdr>
        <w:top w:val="none" w:sz="0" w:space="0" w:color="auto"/>
        <w:left w:val="none" w:sz="0" w:space="0" w:color="auto"/>
        <w:bottom w:val="none" w:sz="0" w:space="0" w:color="auto"/>
        <w:right w:val="none" w:sz="0" w:space="0" w:color="auto"/>
      </w:divBdr>
    </w:div>
    <w:div w:id="1694266906">
      <w:bodyDiv w:val="1"/>
      <w:marLeft w:val="0"/>
      <w:marRight w:val="0"/>
      <w:marTop w:val="0"/>
      <w:marBottom w:val="0"/>
      <w:divBdr>
        <w:top w:val="none" w:sz="0" w:space="0" w:color="auto"/>
        <w:left w:val="none" w:sz="0" w:space="0" w:color="auto"/>
        <w:bottom w:val="none" w:sz="0" w:space="0" w:color="auto"/>
        <w:right w:val="none" w:sz="0" w:space="0" w:color="auto"/>
      </w:divBdr>
    </w:div>
    <w:div w:id="1703624876">
      <w:bodyDiv w:val="1"/>
      <w:marLeft w:val="0"/>
      <w:marRight w:val="0"/>
      <w:marTop w:val="0"/>
      <w:marBottom w:val="0"/>
      <w:divBdr>
        <w:top w:val="none" w:sz="0" w:space="0" w:color="auto"/>
        <w:left w:val="none" w:sz="0" w:space="0" w:color="auto"/>
        <w:bottom w:val="none" w:sz="0" w:space="0" w:color="auto"/>
        <w:right w:val="none" w:sz="0" w:space="0" w:color="auto"/>
      </w:divBdr>
    </w:div>
    <w:div w:id="1708529766">
      <w:bodyDiv w:val="1"/>
      <w:marLeft w:val="0"/>
      <w:marRight w:val="0"/>
      <w:marTop w:val="0"/>
      <w:marBottom w:val="0"/>
      <w:divBdr>
        <w:top w:val="none" w:sz="0" w:space="0" w:color="auto"/>
        <w:left w:val="none" w:sz="0" w:space="0" w:color="auto"/>
        <w:bottom w:val="none" w:sz="0" w:space="0" w:color="auto"/>
        <w:right w:val="none" w:sz="0" w:space="0" w:color="auto"/>
      </w:divBdr>
    </w:div>
    <w:div w:id="1710957342">
      <w:bodyDiv w:val="1"/>
      <w:marLeft w:val="0"/>
      <w:marRight w:val="0"/>
      <w:marTop w:val="0"/>
      <w:marBottom w:val="0"/>
      <w:divBdr>
        <w:top w:val="none" w:sz="0" w:space="0" w:color="auto"/>
        <w:left w:val="none" w:sz="0" w:space="0" w:color="auto"/>
        <w:bottom w:val="none" w:sz="0" w:space="0" w:color="auto"/>
        <w:right w:val="none" w:sz="0" w:space="0" w:color="auto"/>
      </w:divBdr>
    </w:div>
    <w:div w:id="1715689462">
      <w:bodyDiv w:val="1"/>
      <w:marLeft w:val="0"/>
      <w:marRight w:val="0"/>
      <w:marTop w:val="0"/>
      <w:marBottom w:val="0"/>
      <w:divBdr>
        <w:top w:val="none" w:sz="0" w:space="0" w:color="auto"/>
        <w:left w:val="none" w:sz="0" w:space="0" w:color="auto"/>
        <w:bottom w:val="none" w:sz="0" w:space="0" w:color="auto"/>
        <w:right w:val="none" w:sz="0" w:space="0" w:color="auto"/>
      </w:divBdr>
    </w:div>
    <w:div w:id="1730809435">
      <w:bodyDiv w:val="1"/>
      <w:marLeft w:val="0"/>
      <w:marRight w:val="0"/>
      <w:marTop w:val="0"/>
      <w:marBottom w:val="0"/>
      <w:divBdr>
        <w:top w:val="none" w:sz="0" w:space="0" w:color="auto"/>
        <w:left w:val="none" w:sz="0" w:space="0" w:color="auto"/>
        <w:bottom w:val="none" w:sz="0" w:space="0" w:color="auto"/>
        <w:right w:val="none" w:sz="0" w:space="0" w:color="auto"/>
      </w:divBdr>
    </w:div>
    <w:div w:id="1738702008">
      <w:bodyDiv w:val="1"/>
      <w:marLeft w:val="0"/>
      <w:marRight w:val="0"/>
      <w:marTop w:val="0"/>
      <w:marBottom w:val="0"/>
      <w:divBdr>
        <w:top w:val="none" w:sz="0" w:space="0" w:color="auto"/>
        <w:left w:val="none" w:sz="0" w:space="0" w:color="auto"/>
        <w:bottom w:val="none" w:sz="0" w:space="0" w:color="auto"/>
        <w:right w:val="none" w:sz="0" w:space="0" w:color="auto"/>
      </w:divBdr>
      <w:divsChild>
        <w:div w:id="523982960">
          <w:marLeft w:val="432"/>
          <w:marRight w:val="0"/>
          <w:marTop w:val="180"/>
          <w:marBottom w:val="0"/>
          <w:divBdr>
            <w:top w:val="none" w:sz="0" w:space="0" w:color="auto"/>
            <w:left w:val="none" w:sz="0" w:space="0" w:color="auto"/>
            <w:bottom w:val="none" w:sz="0" w:space="0" w:color="auto"/>
            <w:right w:val="none" w:sz="0" w:space="0" w:color="auto"/>
          </w:divBdr>
        </w:div>
        <w:div w:id="571694553">
          <w:marLeft w:val="850"/>
          <w:marRight w:val="0"/>
          <w:marTop w:val="60"/>
          <w:marBottom w:val="0"/>
          <w:divBdr>
            <w:top w:val="none" w:sz="0" w:space="0" w:color="auto"/>
            <w:left w:val="none" w:sz="0" w:space="0" w:color="auto"/>
            <w:bottom w:val="none" w:sz="0" w:space="0" w:color="auto"/>
            <w:right w:val="none" w:sz="0" w:space="0" w:color="auto"/>
          </w:divBdr>
        </w:div>
        <w:div w:id="633366004">
          <w:marLeft w:val="850"/>
          <w:marRight w:val="0"/>
          <w:marTop w:val="60"/>
          <w:marBottom w:val="0"/>
          <w:divBdr>
            <w:top w:val="none" w:sz="0" w:space="0" w:color="auto"/>
            <w:left w:val="none" w:sz="0" w:space="0" w:color="auto"/>
            <w:bottom w:val="none" w:sz="0" w:space="0" w:color="auto"/>
            <w:right w:val="none" w:sz="0" w:space="0" w:color="auto"/>
          </w:divBdr>
        </w:div>
        <w:div w:id="754861158">
          <w:marLeft w:val="850"/>
          <w:marRight w:val="0"/>
          <w:marTop w:val="60"/>
          <w:marBottom w:val="0"/>
          <w:divBdr>
            <w:top w:val="none" w:sz="0" w:space="0" w:color="auto"/>
            <w:left w:val="none" w:sz="0" w:space="0" w:color="auto"/>
            <w:bottom w:val="none" w:sz="0" w:space="0" w:color="auto"/>
            <w:right w:val="none" w:sz="0" w:space="0" w:color="auto"/>
          </w:divBdr>
        </w:div>
        <w:div w:id="1551766892">
          <w:marLeft w:val="432"/>
          <w:marRight w:val="0"/>
          <w:marTop w:val="180"/>
          <w:marBottom w:val="0"/>
          <w:divBdr>
            <w:top w:val="none" w:sz="0" w:space="0" w:color="auto"/>
            <w:left w:val="none" w:sz="0" w:space="0" w:color="auto"/>
            <w:bottom w:val="none" w:sz="0" w:space="0" w:color="auto"/>
            <w:right w:val="none" w:sz="0" w:space="0" w:color="auto"/>
          </w:divBdr>
        </w:div>
        <w:div w:id="1744981869">
          <w:marLeft w:val="432"/>
          <w:marRight w:val="0"/>
          <w:marTop w:val="180"/>
          <w:marBottom w:val="0"/>
          <w:divBdr>
            <w:top w:val="none" w:sz="0" w:space="0" w:color="auto"/>
            <w:left w:val="none" w:sz="0" w:space="0" w:color="auto"/>
            <w:bottom w:val="none" w:sz="0" w:space="0" w:color="auto"/>
            <w:right w:val="none" w:sz="0" w:space="0" w:color="auto"/>
          </w:divBdr>
        </w:div>
        <w:div w:id="1856114799">
          <w:marLeft w:val="850"/>
          <w:marRight w:val="0"/>
          <w:marTop w:val="60"/>
          <w:marBottom w:val="0"/>
          <w:divBdr>
            <w:top w:val="none" w:sz="0" w:space="0" w:color="auto"/>
            <w:left w:val="none" w:sz="0" w:space="0" w:color="auto"/>
            <w:bottom w:val="none" w:sz="0" w:space="0" w:color="auto"/>
            <w:right w:val="none" w:sz="0" w:space="0" w:color="auto"/>
          </w:divBdr>
        </w:div>
        <w:div w:id="1990014833">
          <w:marLeft w:val="432"/>
          <w:marRight w:val="0"/>
          <w:marTop w:val="180"/>
          <w:marBottom w:val="0"/>
          <w:divBdr>
            <w:top w:val="none" w:sz="0" w:space="0" w:color="auto"/>
            <w:left w:val="none" w:sz="0" w:space="0" w:color="auto"/>
            <w:bottom w:val="none" w:sz="0" w:space="0" w:color="auto"/>
            <w:right w:val="none" w:sz="0" w:space="0" w:color="auto"/>
          </w:divBdr>
        </w:div>
      </w:divsChild>
    </w:div>
    <w:div w:id="1739130440">
      <w:bodyDiv w:val="1"/>
      <w:marLeft w:val="0"/>
      <w:marRight w:val="0"/>
      <w:marTop w:val="0"/>
      <w:marBottom w:val="0"/>
      <w:divBdr>
        <w:top w:val="none" w:sz="0" w:space="0" w:color="auto"/>
        <w:left w:val="none" w:sz="0" w:space="0" w:color="auto"/>
        <w:bottom w:val="none" w:sz="0" w:space="0" w:color="auto"/>
        <w:right w:val="none" w:sz="0" w:space="0" w:color="auto"/>
      </w:divBdr>
      <w:divsChild>
        <w:div w:id="1711297484">
          <w:marLeft w:val="0"/>
          <w:marRight w:val="0"/>
          <w:marTop w:val="0"/>
          <w:marBottom w:val="0"/>
          <w:divBdr>
            <w:top w:val="none" w:sz="0" w:space="0" w:color="auto"/>
            <w:left w:val="none" w:sz="0" w:space="0" w:color="auto"/>
            <w:bottom w:val="none" w:sz="0" w:space="0" w:color="auto"/>
            <w:right w:val="none" w:sz="0" w:space="0" w:color="auto"/>
          </w:divBdr>
          <w:divsChild>
            <w:div w:id="1247956640">
              <w:marLeft w:val="0"/>
              <w:marRight w:val="0"/>
              <w:marTop w:val="0"/>
              <w:marBottom w:val="0"/>
              <w:divBdr>
                <w:top w:val="none" w:sz="0" w:space="0" w:color="auto"/>
                <w:left w:val="none" w:sz="0" w:space="0" w:color="auto"/>
                <w:bottom w:val="none" w:sz="0" w:space="0" w:color="auto"/>
                <w:right w:val="none" w:sz="0" w:space="0" w:color="auto"/>
              </w:divBdr>
              <w:divsChild>
                <w:div w:id="344597678">
                  <w:marLeft w:val="0"/>
                  <w:marRight w:val="0"/>
                  <w:marTop w:val="0"/>
                  <w:marBottom w:val="0"/>
                  <w:divBdr>
                    <w:top w:val="none" w:sz="0" w:space="0" w:color="auto"/>
                    <w:left w:val="none" w:sz="0" w:space="0" w:color="auto"/>
                    <w:bottom w:val="none" w:sz="0" w:space="0" w:color="auto"/>
                    <w:right w:val="none" w:sz="0" w:space="0" w:color="auto"/>
                  </w:divBdr>
                  <w:divsChild>
                    <w:div w:id="13099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3927">
      <w:bodyDiv w:val="1"/>
      <w:marLeft w:val="0"/>
      <w:marRight w:val="0"/>
      <w:marTop w:val="0"/>
      <w:marBottom w:val="0"/>
      <w:divBdr>
        <w:top w:val="none" w:sz="0" w:space="0" w:color="auto"/>
        <w:left w:val="none" w:sz="0" w:space="0" w:color="auto"/>
        <w:bottom w:val="none" w:sz="0" w:space="0" w:color="auto"/>
        <w:right w:val="none" w:sz="0" w:space="0" w:color="auto"/>
      </w:divBdr>
      <w:divsChild>
        <w:div w:id="406731329">
          <w:marLeft w:val="850"/>
          <w:marRight w:val="0"/>
          <w:marTop w:val="60"/>
          <w:marBottom w:val="0"/>
          <w:divBdr>
            <w:top w:val="none" w:sz="0" w:space="0" w:color="auto"/>
            <w:left w:val="none" w:sz="0" w:space="0" w:color="auto"/>
            <w:bottom w:val="none" w:sz="0" w:space="0" w:color="auto"/>
            <w:right w:val="none" w:sz="0" w:space="0" w:color="auto"/>
          </w:divBdr>
        </w:div>
        <w:div w:id="1425609973">
          <w:marLeft w:val="432"/>
          <w:marRight w:val="0"/>
          <w:marTop w:val="180"/>
          <w:marBottom w:val="0"/>
          <w:divBdr>
            <w:top w:val="none" w:sz="0" w:space="0" w:color="auto"/>
            <w:left w:val="none" w:sz="0" w:space="0" w:color="auto"/>
            <w:bottom w:val="none" w:sz="0" w:space="0" w:color="auto"/>
            <w:right w:val="none" w:sz="0" w:space="0" w:color="auto"/>
          </w:divBdr>
        </w:div>
      </w:divsChild>
    </w:div>
    <w:div w:id="1757432928">
      <w:bodyDiv w:val="1"/>
      <w:marLeft w:val="0"/>
      <w:marRight w:val="0"/>
      <w:marTop w:val="0"/>
      <w:marBottom w:val="0"/>
      <w:divBdr>
        <w:top w:val="none" w:sz="0" w:space="0" w:color="auto"/>
        <w:left w:val="none" w:sz="0" w:space="0" w:color="auto"/>
        <w:bottom w:val="none" w:sz="0" w:space="0" w:color="auto"/>
        <w:right w:val="none" w:sz="0" w:space="0" w:color="auto"/>
      </w:divBdr>
    </w:div>
    <w:div w:id="1764571099">
      <w:bodyDiv w:val="1"/>
      <w:marLeft w:val="0"/>
      <w:marRight w:val="0"/>
      <w:marTop w:val="0"/>
      <w:marBottom w:val="0"/>
      <w:divBdr>
        <w:top w:val="none" w:sz="0" w:space="0" w:color="auto"/>
        <w:left w:val="none" w:sz="0" w:space="0" w:color="auto"/>
        <w:bottom w:val="none" w:sz="0" w:space="0" w:color="auto"/>
        <w:right w:val="none" w:sz="0" w:space="0" w:color="auto"/>
      </w:divBdr>
    </w:div>
    <w:div w:id="1801652428">
      <w:bodyDiv w:val="1"/>
      <w:marLeft w:val="0"/>
      <w:marRight w:val="0"/>
      <w:marTop w:val="0"/>
      <w:marBottom w:val="0"/>
      <w:divBdr>
        <w:top w:val="none" w:sz="0" w:space="0" w:color="auto"/>
        <w:left w:val="none" w:sz="0" w:space="0" w:color="auto"/>
        <w:bottom w:val="none" w:sz="0" w:space="0" w:color="auto"/>
        <w:right w:val="none" w:sz="0" w:space="0" w:color="auto"/>
      </w:divBdr>
    </w:div>
    <w:div w:id="1810903946">
      <w:bodyDiv w:val="1"/>
      <w:marLeft w:val="0"/>
      <w:marRight w:val="0"/>
      <w:marTop w:val="0"/>
      <w:marBottom w:val="0"/>
      <w:divBdr>
        <w:top w:val="none" w:sz="0" w:space="0" w:color="auto"/>
        <w:left w:val="none" w:sz="0" w:space="0" w:color="auto"/>
        <w:bottom w:val="none" w:sz="0" w:space="0" w:color="auto"/>
        <w:right w:val="none" w:sz="0" w:space="0" w:color="auto"/>
      </w:divBdr>
    </w:div>
    <w:div w:id="1851488451">
      <w:bodyDiv w:val="1"/>
      <w:marLeft w:val="0"/>
      <w:marRight w:val="0"/>
      <w:marTop w:val="0"/>
      <w:marBottom w:val="0"/>
      <w:divBdr>
        <w:top w:val="none" w:sz="0" w:space="0" w:color="auto"/>
        <w:left w:val="none" w:sz="0" w:space="0" w:color="auto"/>
        <w:bottom w:val="none" w:sz="0" w:space="0" w:color="auto"/>
        <w:right w:val="none" w:sz="0" w:space="0" w:color="auto"/>
      </w:divBdr>
    </w:div>
    <w:div w:id="1866406375">
      <w:bodyDiv w:val="1"/>
      <w:marLeft w:val="0"/>
      <w:marRight w:val="0"/>
      <w:marTop w:val="0"/>
      <w:marBottom w:val="0"/>
      <w:divBdr>
        <w:top w:val="none" w:sz="0" w:space="0" w:color="auto"/>
        <w:left w:val="none" w:sz="0" w:space="0" w:color="auto"/>
        <w:bottom w:val="none" w:sz="0" w:space="0" w:color="auto"/>
        <w:right w:val="none" w:sz="0" w:space="0" w:color="auto"/>
      </w:divBdr>
    </w:div>
    <w:div w:id="1886135806">
      <w:bodyDiv w:val="1"/>
      <w:marLeft w:val="0"/>
      <w:marRight w:val="0"/>
      <w:marTop w:val="0"/>
      <w:marBottom w:val="0"/>
      <w:divBdr>
        <w:top w:val="none" w:sz="0" w:space="0" w:color="auto"/>
        <w:left w:val="none" w:sz="0" w:space="0" w:color="auto"/>
        <w:bottom w:val="none" w:sz="0" w:space="0" w:color="auto"/>
        <w:right w:val="none" w:sz="0" w:space="0" w:color="auto"/>
      </w:divBdr>
    </w:div>
    <w:div w:id="1896429493">
      <w:bodyDiv w:val="1"/>
      <w:marLeft w:val="0"/>
      <w:marRight w:val="0"/>
      <w:marTop w:val="0"/>
      <w:marBottom w:val="0"/>
      <w:divBdr>
        <w:top w:val="none" w:sz="0" w:space="0" w:color="auto"/>
        <w:left w:val="none" w:sz="0" w:space="0" w:color="auto"/>
        <w:bottom w:val="none" w:sz="0" w:space="0" w:color="auto"/>
        <w:right w:val="none" w:sz="0" w:space="0" w:color="auto"/>
      </w:divBdr>
    </w:div>
    <w:div w:id="1927183457">
      <w:bodyDiv w:val="1"/>
      <w:marLeft w:val="0"/>
      <w:marRight w:val="0"/>
      <w:marTop w:val="0"/>
      <w:marBottom w:val="0"/>
      <w:divBdr>
        <w:top w:val="none" w:sz="0" w:space="0" w:color="auto"/>
        <w:left w:val="none" w:sz="0" w:space="0" w:color="auto"/>
        <w:bottom w:val="none" w:sz="0" w:space="0" w:color="auto"/>
        <w:right w:val="none" w:sz="0" w:space="0" w:color="auto"/>
      </w:divBdr>
      <w:divsChild>
        <w:div w:id="41369214">
          <w:marLeft w:val="432"/>
          <w:marRight w:val="0"/>
          <w:marTop w:val="180"/>
          <w:marBottom w:val="0"/>
          <w:divBdr>
            <w:top w:val="none" w:sz="0" w:space="0" w:color="auto"/>
            <w:left w:val="none" w:sz="0" w:space="0" w:color="auto"/>
            <w:bottom w:val="none" w:sz="0" w:space="0" w:color="auto"/>
            <w:right w:val="none" w:sz="0" w:space="0" w:color="auto"/>
          </w:divBdr>
        </w:div>
        <w:div w:id="202668937">
          <w:marLeft w:val="850"/>
          <w:marRight w:val="0"/>
          <w:marTop w:val="60"/>
          <w:marBottom w:val="0"/>
          <w:divBdr>
            <w:top w:val="none" w:sz="0" w:space="0" w:color="auto"/>
            <w:left w:val="none" w:sz="0" w:space="0" w:color="auto"/>
            <w:bottom w:val="none" w:sz="0" w:space="0" w:color="auto"/>
            <w:right w:val="none" w:sz="0" w:space="0" w:color="auto"/>
          </w:divBdr>
        </w:div>
        <w:div w:id="324013571">
          <w:marLeft w:val="432"/>
          <w:marRight w:val="0"/>
          <w:marTop w:val="180"/>
          <w:marBottom w:val="0"/>
          <w:divBdr>
            <w:top w:val="none" w:sz="0" w:space="0" w:color="auto"/>
            <w:left w:val="none" w:sz="0" w:space="0" w:color="auto"/>
            <w:bottom w:val="none" w:sz="0" w:space="0" w:color="auto"/>
            <w:right w:val="none" w:sz="0" w:space="0" w:color="auto"/>
          </w:divBdr>
        </w:div>
        <w:div w:id="749737852">
          <w:marLeft w:val="965"/>
          <w:marRight w:val="0"/>
          <w:marTop w:val="60"/>
          <w:marBottom w:val="0"/>
          <w:divBdr>
            <w:top w:val="none" w:sz="0" w:space="0" w:color="auto"/>
            <w:left w:val="none" w:sz="0" w:space="0" w:color="auto"/>
            <w:bottom w:val="none" w:sz="0" w:space="0" w:color="auto"/>
            <w:right w:val="none" w:sz="0" w:space="0" w:color="auto"/>
          </w:divBdr>
        </w:div>
        <w:div w:id="1341809787">
          <w:marLeft w:val="432"/>
          <w:marRight w:val="0"/>
          <w:marTop w:val="180"/>
          <w:marBottom w:val="0"/>
          <w:divBdr>
            <w:top w:val="none" w:sz="0" w:space="0" w:color="auto"/>
            <w:left w:val="none" w:sz="0" w:space="0" w:color="auto"/>
            <w:bottom w:val="none" w:sz="0" w:space="0" w:color="auto"/>
            <w:right w:val="none" w:sz="0" w:space="0" w:color="auto"/>
          </w:divBdr>
        </w:div>
        <w:div w:id="1893616451">
          <w:marLeft w:val="432"/>
          <w:marRight w:val="0"/>
          <w:marTop w:val="180"/>
          <w:marBottom w:val="0"/>
          <w:divBdr>
            <w:top w:val="none" w:sz="0" w:space="0" w:color="auto"/>
            <w:left w:val="none" w:sz="0" w:space="0" w:color="auto"/>
            <w:bottom w:val="none" w:sz="0" w:space="0" w:color="auto"/>
            <w:right w:val="none" w:sz="0" w:space="0" w:color="auto"/>
          </w:divBdr>
        </w:div>
        <w:div w:id="2068452858">
          <w:marLeft w:val="965"/>
          <w:marRight w:val="0"/>
          <w:marTop w:val="60"/>
          <w:marBottom w:val="0"/>
          <w:divBdr>
            <w:top w:val="none" w:sz="0" w:space="0" w:color="auto"/>
            <w:left w:val="none" w:sz="0" w:space="0" w:color="auto"/>
            <w:bottom w:val="none" w:sz="0" w:space="0" w:color="auto"/>
            <w:right w:val="none" w:sz="0" w:space="0" w:color="auto"/>
          </w:divBdr>
        </w:div>
      </w:divsChild>
    </w:div>
    <w:div w:id="1961183966">
      <w:bodyDiv w:val="1"/>
      <w:marLeft w:val="0"/>
      <w:marRight w:val="0"/>
      <w:marTop w:val="0"/>
      <w:marBottom w:val="0"/>
      <w:divBdr>
        <w:top w:val="none" w:sz="0" w:space="0" w:color="auto"/>
        <w:left w:val="none" w:sz="0" w:space="0" w:color="auto"/>
        <w:bottom w:val="none" w:sz="0" w:space="0" w:color="auto"/>
        <w:right w:val="none" w:sz="0" w:space="0" w:color="auto"/>
      </w:divBdr>
    </w:div>
    <w:div w:id="1970279249">
      <w:bodyDiv w:val="1"/>
      <w:marLeft w:val="0"/>
      <w:marRight w:val="0"/>
      <w:marTop w:val="0"/>
      <w:marBottom w:val="0"/>
      <w:divBdr>
        <w:top w:val="none" w:sz="0" w:space="0" w:color="auto"/>
        <w:left w:val="none" w:sz="0" w:space="0" w:color="auto"/>
        <w:bottom w:val="none" w:sz="0" w:space="0" w:color="auto"/>
        <w:right w:val="none" w:sz="0" w:space="0" w:color="auto"/>
      </w:divBdr>
    </w:div>
    <w:div w:id="1999727663">
      <w:bodyDiv w:val="1"/>
      <w:marLeft w:val="0"/>
      <w:marRight w:val="0"/>
      <w:marTop w:val="0"/>
      <w:marBottom w:val="0"/>
      <w:divBdr>
        <w:top w:val="none" w:sz="0" w:space="0" w:color="auto"/>
        <w:left w:val="none" w:sz="0" w:space="0" w:color="auto"/>
        <w:bottom w:val="none" w:sz="0" w:space="0" w:color="auto"/>
        <w:right w:val="none" w:sz="0" w:space="0" w:color="auto"/>
      </w:divBdr>
    </w:div>
    <w:div w:id="2001427586">
      <w:bodyDiv w:val="1"/>
      <w:marLeft w:val="0"/>
      <w:marRight w:val="0"/>
      <w:marTop w:val="0"/>
      <w:marBottom w:val="0"/>
      <w:divBdr>
        <w:top w:val="none" w:sz="0" w:space="0" w:color="auto"/>
        <w:left w:val="none" w:sz="0" w:space="0" w:color="auto"/>
        <w:bottom w:val="none" w:sz="0" w:space="0" w:color="auto"/>
        <w:right w:val="none" w:sz="0" w:space="0" w:color="auto"/>
      </w:divBdr>
    </w:div>
    <w:div w:id="2011911127">
      <w:bodyDiv w:val="1"/>
      <w:marLeft w:val="0"/>
      <w:marRight w:val="0"/>
      <w:marTop w:val="0"/>
      <w:marBottom w:val="0"/>
      <w:divBdr>
        <w:top w:val="none" w:sz="0" w:space="0" w:color="auto"/>
        <w:left w:val="none" w:sz="0" w:space="0" w:color="auto"/>
        <w:bottom w:val="none" w:sz="0" w:space="0" w:color="auto"/>
        <w:right w:val="none" w:sz="0" w:space="0" w:color="auto"/>
      </w:divBdr>
    </w:div>
    <w:div w:id="2036615780">
      <w:bodyDiv w:val="1"/>
      <w:marLeft w:val="0"/>
      <w:marRight w:val="0"/>
      <w:marTop w:val="0"/>
      <w:marBottom w:val="0"/>
      <w:divBdr>
        <w:top w:val="none" w:sz="0" w:space="0" w:color="auto"/>
        <w:left w:val="none" w:sz="0" w:space="0" w:color="auto"/>
        <w:bottom w:val="none" w:sz="0" w:space="0" w:color="auto"/>
        <w:right w:val="none" w:sz="0" w:space="0" w:color="auto"/>
      </w:divBdr>
      <w:divsChild>
        <w:div w:id="401489742">
          <w:marLeft w:val="432"/>
          <w:marRight w:val="0"/>
          <w:marTop w:val="180"/>
          <w:marBottom w:val="0"/>
          <w:divBdr>
            <w:top w:val="none" w:sz="0" w:space="0" w:color="auto"/>
            <w:left w:val="none" w:sz="0" w:space="0" w:color="auto"/>
            <w:bottom w:val="none" w:sz="0" w:space="0" w:color="auto"/>
            <w:right w:val="none" w:sz="0" w:space="0" w:color="auto"/>
          </w:divBdr>
        </w:div>
        <w:div w:id="2030982557">
          <w:marLeft w:val="850"/>
          <w:marRight w:val="0"/>
          <w:marTop w:val="60"/>
          <w:marBottom w:val="0"/>
          <w:divBdr>
            <w:top w:val="none" w:sz="0" w:space="0" w:color="auto"/>
            <w:left w:val="none" w:sz="0" w:space="0" w:color="auto"/>
            <w:bottom w:val="none" w:sz="0" w:space="0" w:color="auto"/>
            <w:right w:val="none" w:sz="0" w:space="0" w:color="auto"/>
          </w:divBdr>
        </w:div>
      </w:divsChild>
    </w:div>
    <w:div w:id="2050184763">
      <w:bodyDiv w:val="1"/>
      <w:marLeft w:val="0"/>
      <w:marRight w:val="0"/>
      <w:marTop w:val="0"/>
      <w:marBottom w:val="0"/>
      <w:divBdr>
        <w:top w:val="none" w:sz="0" w:space="0" w:color="auto"/>
        <w:left w:val="none" w:sz="0" w:space="0" w:color="auto"/>
        <w:bottom w:val="none" w:sz="0" w:space="0" w:color="auto"/>
        <w:right w:val="none" w:sz="0" w:space="0" w:color="auto"/>
      </w:divBdr>
    </w:div>
    <w:div w:id="2072000965">
      <w:bodyDiv w:val="1"/>
      <w:marLeft w:val="0"/>
      <w:marRight w:val="0"/>
      <w:marTop w:val="0"/>
      <w:marBottom w:val="0"/>
      <w:divBdr>
        <w:top w:val="none" w:sz="0" w:space="0" w:color="auto"/>
        <w:left w:val="none" w:sz="0" w:space="0" w:color="auto"/>
        <w:bottom w:val="none" w:sz="0" w:space="0" w:color="auto"/>
        <w:right w:val="none" w:sz="0" w:space="0" w:color="auto"/>
      </w:divBdr>
      <w:divsChild>
        <w:div w:id="278225540">
          <w:marLeft w:val="850"/>
          <w:marRight w:val="0"/>
          <w:marTop w:val="60"/>
          <w:marBottom w:val="0"/>
          <w:divBdr>
            <w:top w:val="none" w:sz="0" w:space="0" w:color="auto"/>
            <w:left w:val="none" w:sz="0" w:space="0" w:color="auto"/>
            <w:bottom w:val="none" w:sz="0" w:space="0" w:color="auto"/>
            <w:right w:val="none" w:sz="0" w:space="0" w:color="auto"/>
          </w:divBdr>
        </w:div>
        <w:div w:id="404037594">
          <w:marLeft w:val="432"/>
          <w:marRight w:val="0"/>
          <w:marTop w:val="180"/>
          <w:marBottom w:val="0"/>
          <w:divBdr>
            <w:top w:val="none" w:sz="0" w:space="0" w:color="auto"/>
            <w:left w:val="none" w:sz="0" w:space="0" w:color="auto"/>
            <w:bottom w:val="none" w:sz="0" w:space="0" w:color="auto"/>
            <w:right w:val="none" w:sz="0" w:space="0" w:color="auto"/>
          </w:divBdr>
        </w:div>
        <w:div w:id="711460545">
          <w:marLeft w:val="432"/>
          <w:marRight w:val="0"/>
          <w:marTop w:val="180"/>
          <w:marBottom w:val="0"/>
          <w:divBdr>
            <w:top w:val="none" w:sz="0" w:space="0" w:color="auto"/>
            <w:left w:val="none" w:sz="0" w:space="0" w:color="auto"/>
            <w:bottom w:val="none" w:sz="0" w:space="0" w:color="auto"/>
            <w:right w:val="none" w:sz="0" w:space="0" w:color="auto"/>
          </w:divBdr>
        </w:div>
        <w:div w:id="1047872344">
          <w:marLeft w:val="432"/>
          <w:marRight w:val="0"/>
          <w:marTop w:val="180"/>
          <w:marBottom w:val="0"/>
          <w:divBdr>
            <w:top w:val="none" w:sz="0" w:space="0" w:color="auto"/>
            <w:left w:val="none" w:sz="0" w:space="0" w:color="auto"/>
            <w:bottom w:val="none" w:sz="0" w:space="0" w:color="auto"/>
            <w:right w:val="none" w:sz="0" w:space="0" w:color="auto"/>
          </w:divBdr>
        </w:div>
        <w:div w:id="1719864850">
          <w:marLeft w:val="850"/>
          <w:marRight w:val="0"/>
          <w:marTop w:val="60"/>
          <w:marBottom w:val="0"/>
          <w:divBdr>
            <w:top w:val="none" w:sz="0" w:space="0" w:color="auto"/>
            <w:left w:val="none" w:sz="0" w:space="0" w:color="auto"/>
            <w:bottom w:val="none" w:sz="0" w:space="0" w:color="auto"/>
            <w:right w:val="none" w:sz="0" w:space="0" w:color="auto"/>
          </w:divBdr>
        </w:div>
      </w:divsChild>
    </w:div>
    <w:div w:id="2110618109">
      <w:bodyDiv w:val="1"/>
      <w:marLeft w:val="0"/>
      <w:marRight w:val="0"/>
      <w:marTop w:val="0"/>
      <w:marBottom w:val="0"/>
      <w:divBdr>
        <w:top w:val="none" w:sz="0" w:space="0" w:color="auto"/>
        <w:left w:val="none" w:sz="0" w:space="0" w:color="auto"/>
        <w:bottom w:val="none" w:sz="0" w:space="0" w:color="auto"/>
        <w:right w:val="none" w:sz="0" w:space="0" w:color="auto"/>
      </w:divBdr>
      <w:divsChild>
        <w:div w:id="1354039616">
          <w:marLeft w:val="965"/>
          <w:marRight w:val="0"/>
          <w:marTop w:val="60"/>
          <w:marBottom w:val="0"/>
          <w:divBdr>
            <w:top w:val="none" w:sz="0" w:space="0" w:color="auto"/>
            <w:left w:val="none" w:sz="0" w:space="0" w:color="auto"/>
            <w:bottom w:val="none" w:sz="0" w:space="0" w:color="auto"/>
            <w:right w:val="none" w:sz="0" w:space="0" w:color="auto"/>
          </w:divBdr>
        </w:div>
        <w:div w:id="1609700947">
          <w:marLeft w:val="965"/>
          <w:marRight w:val="0"/>
          <w:marTop w:val="60"/>
          <w:marBottom w:val="0"/>
          <w:divBdr>
            <w:top w:val="none" w:sz="0" w:space="0" w:color="auto"/>
            <w:left w:val="none" w:sz="0" w:space="0" w:color="auto"/>
            <w:bottom w:val="none" w:sz="0" w:space="0" w:color="auto"/>
            <w:right w:val="none" w:sz="0" w:space="0" w:color="auto"/>
          </w:divBdr>
        </w:div>
        <w:div w:id="1877231243">
          <w:marLeft w:val="432"/>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2.xml"/><Relationship Id="rId21" Type="http://schemas.openxmlformats.org/officeDocument/2006/relationships/image" Target="media/image11.svg"/><Relationship Id="rId42" Type="http://schemas.openxmlformats.org/officeDocument/2006/relationships/image" Target="media/image21.png"/><Relationship Id="rId63" Type="http://schemas.openxmlformats.org/officeDocument/2006/relationships/chart" Target="charts/chart26.xml"/><Relationship Id="rId84" Type="http://schemas.openxmlformats.org/officeDocument/2006/relationships/chart" Target="charts/chart41.xml"/><Relationship Id="rId138"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chart" Target="charts/chart64.xml"/><Relationship Id="rId11" Type="http://schemas.openxmlformats.org/officeDocument/2006/relationships/image" Target="media/image1.png"/><Relationship Id="rId32" Type="http://schemas.openxmlformats.org/officeDocument/2006/relationships/chart" Target="charts/chart2.xml"/><Relationship Id="rId37" Type="http://schemas.openxmlformats.org/officeDocument/2006/relationships/chart" Target="charts/chart6.xml"/><Relationship Id="rId53" Type="http://schemas.openxmlformats.org/officeDocument/2006/relationships/chart" Target="charts/chart16.xml"/><Relationship Id="rId58" Type="http://schemas.openxmlformats.org/officeDocument/2006/relationships/chart" Target="charts/chart21.xml"/><Relationship Id="rId74" Type="http://schemas.openxmlformats.org/officeDocument/2006/relationships/chart" Target="charts/chart33.xml"/><Relationship Id="rId79" Type="http://schemas.openxmlformats.org/officeDocument/2006/relationships/chart" Target="charts/chart36.xml"/><Relationship Id="rId102" Type="http://schemas.openxmlformats.org/officeDocument/2006/relationships/chart" Target="charts/chart59.xml"/><Relationship Id="rId123" Type="http://schemas.openxmlformats.org/officeDocument/2006/relationships/chart" Target="charts/chart78.xml"/><Relationship Id="rId128" Type="http://schemas.openxmlformats.org/officeDocument/2006/relationships/chart" Target="charts/chart81.xml"/><Relationship Id="rId5" Type="http://schemas.openxmlformats.org/officeDocument/2006/relationships/numbering" Target="numbering.xml"/><Relationship Id="rId90" Type="http://schemas.openxmlformats.org/officeDocument/2006/relationships/chart" Target="charts/chart47.xml"/><Relationship Id="rId95" Type="http://schemas.openxmlformats.org/officeDocument/2006/relationships/chart" Target="charts/chart5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chart" Target="charts/chart13.xml"/><Relationship Id="rId64" Type="http://schemas.openxmlformats.org/officeDocument/2006/relationships/chart" Target="charts/chart27.xml"/><Relationship Id="rId69" Type="http://schemas.openxmlformats.org/officeDocument/2006/relationships/header" Target="header3.xml"/><Relationship Id="rId113" Type="http://schemas.openxmlformats.org/officeDocument/2006/relationships/chart" Target="charts/chart68.xml"/><Relationship Id="rId118" Type="http://schemas.openxmlformats.org/officeDocument/2006/relationships/chart" Target="charts/chart73.xml"/><Relationship Id="rId134" Type="http://schemas.openxmlformats.org/officeDocument/2006/relationships/header" Target="header8.xml"/><Relationship Id="rId80" Type="http://schemas.openxmlformats.org/officeDocument/2006/relationships/chart" Target="charts/chart37.xml"/><Relationship Id="rId85" Type="http://schemas.openxmlformats.org/officeDocument/2006/relationships/chart" Target="charts/chart42.xml"/><Relationship Id="rId12" Type="http://schemas.openxmlformats.org/officeDocument/2006/relationships/image" Target="media/image2.png"/><Relationship Id="rId17" Type="http://schemas.openxmlformats.org/officeDocument/2006/relationships/image" Target="media/image7.svg"/><Relationship Id="rId33" Type="http://schemas.openxmlformats.org/officeDocument/2006/relationships/image" Target="media/image19.png"/><Relationship Id="rId38" Type="http://schemas.openxmlformats.org/officeDocument/2006/relationships/chart" Target="charts/chart7.xml"/><Relationship Id="rId59" Type="http://schemas.openxmlformats.org/officeDocument/2006/relationships/chart" Target="charts/chart22.xml"/><Relationship Id="rId103" Type="http://schemas.openxmlformats.org/officeDocument/2006/relationships/chart" Target="charts/chart60.xml"/><Relationship Id="rId108" Type="http://schemas.openxmlformats.org/officeDocument/2006/relationships/chart" Target="charts/chart65.xml"/><Relationship Id="rId124" Type="http://schemas.openxmlformats.org/officeDocument/2006/relationships/header" Target="header7.xml"/><Relationship Id="rId129" Type="http://schemas.openxmlformats.org/officeDocument/2006/relationships/hyperlink" Target="https://www.ssb.no/offentlig-sektor/artikler-og-publikasjoner/kraftig-okning-i-kommunenes-investeringsutgifter" TargetMode="External"/><Relationship Id="rId54" Type="http://schemas.openxmlformats.org/officeDocument/2006/relationships/chart" Target="charts/chart17.xml"/><Relationship Id="rId70" Type="http://schemas.openxmlformats.org/officeDocument/2006/relationships/footer" Target="footer3.xml"/><Relationship Id="rId75" Type="http://schemas.openxmlformats.org/officeDocument/2006/relationships/chart" Target="charts/chart34.xml"/><Relationship Id="rId91" Type="http://schemas.openxmlformats.org/officeDocument/2006/relationships/chart" Target="charts/chart48.xml"/><Relationship Id="rId96"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chart" Target="charts/chart14.xml"/><Relationship Id="rId114" Type="http://schemas.openxmlformats.org/officeDocument/2006/relationships/chart" Target="charts/chart69.xml"/><Relationship Id="rId119" Type="http://schemas.openxmlformats.org/officeDocument/2006/relationships/chart" Target="charts/chart74.xml"/><Relationship Id="rId44" Type="http://schemas.openxmlformats.org/officeDocument/2006/relationships/image" Target="media/image23.png"/><Relationship Id="rId60" Type="http://schemas.openxmlformats.org/officeDocument/2006/relationships/chart" Target="charts/chart23.xml"/><Relationship Id="rId65" Type="http://schemas.openxmlformats.org/officeDocument/2006/relationships/chart" Target="charts/chart28.xml"/><Relationship Id="rId81" Type="http://schemas.openxmlformats.org/officeDocument/2006/relationships/chart" Target="charts/chart38.xml"/><Relationship Id="rId86" Type="http://schemas.openxmlformats.org/officeDocument/2006/relationships/chart" Target="charts/chart43.xml"/><Relationship Id="rId130" Type="http://schemas.openxmlformats.org/officeDocument/2006/relationships/hyperlink" Target="https://pages.stern.nyu.edu/~adamodar/New_Home_Page/datafile/wacc.html" TargetMode="External"/><Relationship Id="rId135" Type="http://schemas.openxmlformats.org/officeDocument/2006/relationships/footer" Target="footer8.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chart" Target="charts/chart8.xml"/><Relationship Id="rId109" Type="http://schemas.openxmlformats.org/officeDocument/2006/relationships/header" Target="header6.xml"/><Relationship Id="rId34" Type="http://schemas.openxmlformats.org/officeDocument/2006/relationships/chart" Target="charts/chart3.xml"/><Relationship Id="rId50" Type="http://schemas.openxmlformats.org/officeDocument/2006/relationships/chart" Target="charts/chart15.xml"/><Relationship Id="rId55" Type="http://schemas.openxmlformats.org/officeDocument/2006/relationships/chart" Target="charts/chart18.xml"/><Relationship Id="rId76" Type="http://schemas.openxmlformats.org/officeDocument/2006/relationships/chart" Target="charts/chart35.xml"/><Relationship Id="rId97" Type="http://schemas.openxmlformats.org/officeDocument/2006/relationships/chart" Target="charts/chart54.xml"/><Relationship Id="rId104" Type="http://schemas.openxmlformats.org/officeDocument/2006/relationships/chart" Target="charts/chart61.xml"/><Relationship Id="rId120" Type="http://schemas.openxmlformats.org/officeDocument/2006/relationships/chart" Target="charts/chart75.xml"/><Relationship Id="rId125"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chart" Target="charts/chart49.xm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4.png"/><Relationship Id="rId40" Type="http://schemas.openxmlformats.org/officeDocument/2006/relationships/chart" Target="charts/chart9.xml"/><Relationship Id="rId45" Type="http://schemas.openxmlformats.org/officeDocument/2006/relationships/chart" Target="charts/chart10.xml"/><Relationship Id="rId66" Type="http://schemas.openxmlformats.org/officeDocument/2006/relationships/chart" Target="charts/chart29.xml"/><Relationship Id="rId87" Type="http://schemas.openxmlformats.org/officeDocument/2006/relationships/chart" Target="charts/chart44.xml"/><Relationship Id="rId110" Type="http://schemas.openxmlformats.org/officeDocument/2006/relationships/footer" Target="footer6.xml"/><Relationship Id="rId115" Type="http://schemas.openxmlformats.org/officeDocument/2006/relationships/chart" Target="charts/chart70.xml"/><Relationship Id="rId131" Type="http://schemas.openxmlformats.org/officeDocument/2006/relationships/hyperlink" Target="https://www.ssb.no/offentlig-sektor/artikler-og-publikasjoner/gjelden-oker-raskere-enn-inntektene" TargetMode="External"/><Relationship Id="rId136" Type="http://schemas.openxmlformats.org/officeDocument/2006/relationships/fontTable" Target="fontTable.xml"/><Relationship Id="rId61" Type="http://schemas.openxmlformats.org/officeDocument/2006/relationships/chart" Target="charts/chart24.xml"/><Relationship Id="rId82" Type="http://schemas.openxmlformats.org/officeDocument/2006/relationships/chart" Target="charts/chart39.xml"/><Relationship Id="rId19" Type="http://schemas.openxmlformats.org/officeDocument/2006/relationships/image" Target="media/image9.svg"/><Relationship Id="rId14"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chart" Target="charts/chart4.xml"/><Relationship Id="rId56" Type="http://schemas.openxmlformats.org/officeDocument/2006/relationships/chart" Target="charts/chart19.xml"/><Relationship Id="rId77" Type="http://schemas.openxmlformats.org/officeDocument/2006/relationships/header" Target="header5.xml"/><Relationship Id="rId100" Type="http://schemas.openxmlformats.org/officeDocument/2006/relationships/chart" Target="charts/chart57.xml"/><Relationship Id="rId105" Type="http://schemas.openxmlformats.org/officeDocument/2006/relationships/chart" Target="charts/chart62.xml"/><Relationship Id="rId126" Type="http://schemas.openxmlformats.org/officeDocument/2006/relationships/chart" Target="charts/chart79.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footer" Target="footer4.xml"/><Relationship Id="rId93" Type="http://schemas.openxmlformats.org/officeDocument/2006/relationships/chart" Target="charts/chart50.xml"/><Relationship Id="rId98" Type="http://schemas.openxmlformats.org/officeDocument/2006/relationships/chart" Target="charts/chart55.xml"/><Relationship Id="rId121" Type="http://schemas.openxmlformats.org/officeDocument/2006/relationships/chart" Target="charts/chart76.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chart" Target="charts/chart11.xml"/><Relationship Id="rId67" Type="http://schemas.openxmlformats.org/officeDocument/2006/relationships/chart" Target="charts/chart30.xml"/><Relationship Id="rId116" Type="http://schemas.openxmlformats.org/officeDocument/2006/relationships/chart" Target="charts/chart71.xml"/><Relationship Id="rId137"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20.png"/><Relationship Id="rId62" Type="http://schemas.openxmlformats.org/officeDocument/2006/relationships/chart" Target="charts/chart25.xml"/><Relationship Id="rId83" Type="http://schemas.openxmlformats.org/officeDocument/2006/relationships/chart" Target="charts/chart40.xml"/><Relationship Id="rId88" Type="http://schemas.openxmlformats.org/officeDocument/2006/relationships/chart" Target="charts/chart45.xml"/><Relationship Id="rId111" Type="http://schemas.openxmlformats.org/officeDocument/2006/relationships/chart" Target="charts/chart66.xml"/><Relationship Id="rId132" Type="http://schemas.openxmlformats.org/officeDocument/2006/relationships/hyperlink" Target="https://www.pwc.no/no/publikasjoner/risikopremien.html" TargetMode="External"/><Relationship Id="rId15" Type="http://schemas.openxmlformats.org/officeDocument/2006/relationships/image" Target="media/image5.svg"/><Relationship Id="rId36" Type="http://schemas.openxmlformats.org/officeDocument/2006/relationships/chart" Target="charts/chart5.xml"/><Relationship Id="rId57" Type="http://schemas.openxmlformats.org/officeDocument/2006/relationships/chart" Target="charts/chart20.xml"/><Relationship Id="rId106" Type="http://schemas.openxmlformats.org/officeDocument/2006/relationships/chart" Target="charts/chart63.xml"/><Relationship Id="rId127" Type="http://schemas.openxmlformats.org/officeDocument/2006/relationships/chart" Target="charts/chart80.xml"/><Relationship Id="rId10" Type="http://schemas.openxmlformats.org/officeDocument/2006/relationships/endnotes" Target="endnotes.xml"/><Relationship Id="rId31" Type="http://schemas.openxmlformats.org/officeDocument/2006/relationships/chart" Target="charts/chart1.xml"/><Relationship Id="rId52" Type="http://schemas.openxmlformats.org/officeDocument/2006/relationships/footer" Target="footer2.xml"/><Relationship Id="rId73" Type="http://schemas.openxmlformats.org/officeDocument/2006/relationships/chart" Target="charts/chart32.xml"/><Relationship Id="rId78" Type="http://schemas.openxmlformats.org/officeDocument/2006/relationships/footer" Target="footer5.xml"/><Relationship Id="rId94" Type="http://schemas.openxmlformats.org/officeDocument/2006/relationships/chart" Target="charts/chart51.xml"/><Relationship Id="rId99" Type="http://schemas.openxmlformats.org/officeDocument/2006/relationships/chart" Target="charts/chart56.xml"/><Relationship Id="rId101" Type="http://schemas.openxmlformats.org/officeDocument/2006/relationships/chart" Target="charts/chart58.xml"/><Relationship Id="rId122" Type="http://schemas.openxmlformats.org/officeDocument/2006/relationships/chart" Target="charts/chart7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chart" Target="charts/chart12.xml"/><Relationship Id="rId68" Type="http://schemas.openxmlformats.org/officeDocument/2006/relationships/chart" Target="charts/chart31.xml"/><Relationship Id="rId89" Type="http://schemas.openxmlformats.org/officeDocument/2006/relationships/chart" Target="charts/chart46.xml"/><Relationship Id="rId112" Type="http://schemas.openxmlformats.org/officeDocument/2006/relationships/chart" Target="charts/chart67.xml"/><Relationship Id="rId133" Type="http://schemas.openxmlformats.org/officeDocument/2006/relationships/hyperlink" Target="https://www.ssb.no/offentlig-sektor/kostra/statistikk/kostra-kommune-stat-rapportering/om-kostra/dokumentasjon-av-kost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musB&#248;ghHolmen\Vista%20Analyse%20AS\Vista%20Analyse%20-%20Kontor\2.2.2%20Maler\Rapportmal_norsk%20221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Fordelingen%20av%20bruttodriftsutgift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Fordelingen%20av%20bruttodriftsutgifte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ommunedata/Kommunal%20kapit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ommunedata/Kommunal%20kapital.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81.xml"/><Relationship Id="rId1" Type="http://schemas.microsoft.com/office/2011/relationships/chartStyle" Target="style81.xml"/></Relationships>
</file>

<file path=word/charts/_rels/chart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Fordeling av bruttodriftsutgiftene</a:t>
            </a:r>
            <a:r>
              <a:rPr lang="nb-NO" sz="1200" b="1" baseline="0"/>
              <a:t>  i</a:t>
            </a:r>
            <a:r>
              <a:rPr lang="nb-NO" sz="1200" b="1"/>
              <a:t> primærkommunene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4B-4F07-A13D-E40433A340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4B-4F07-A13D-E40433A340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4B-4F07-A13D-E40433A340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4B-4F07-A13D-E40433A340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4B-4F07-A13D-E40433A340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64B-4F07-A13D-E40433A340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64B-4F07-A13D-E40433A340B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64B-4F07-A13D-E40433A340B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64B-4F07-A13D-E40433A340B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64B-4F07-A13D-E40433A340B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64B-4F07-A13D-E40433A340B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64B-4F07-A13D-E40433A340B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64B-4F07-A13D-E40433A340B9}"/>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64B-4F07-A13D-E40433A340B9}"/>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E64B-4F07-A13D-E40433A340B9}"/>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1-E64B-4F07-A13D-E40433A340B9}"/>
                </c:ext>
              </c:extLst>
            </c:dLbl>
            <c:dLbl>
              <c:idx val="1"/>
              <c:layout>
                <c:manualLayout>
                  <c:x val="8.523736237717533E-2"/>
                  <c:y val="-4.0236133658595873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5="http://schemas.microsoft.com/office/drawing/2012/chart" uri="{CE6537A1-D6FC-4f65-9D91-7224C49458BB}">
                  <c15:layout>
                    <c:manualLayout>
                      <c:w val="0.15982005445720374"/>
                      <c:h val="0.15325248070562295"/>
                    </c:manualLayout>
                  </c15:layout>
                </c:ext>
                <c:ext xmlns:c16="http://schemas.microsoft.com/office/drawing/2014/chart" uri="{C3380CC4-5D6E-409C-BE32-E72D297353CC}">
                  <c16:uniqueId val="{00000003-E64B-4F07-A13D-E40433A340B9}"/>
                </c:ext>
              </c:extLst>
            </c:dLbl>
            <c:dLbl>
              <c:idx val="9"/>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13-E64B-4F07-A13D-E40433A340B9}"/>
                </c:ext>
              </c:extLst>
            </c:dLbl>
            <c:dLbl>
              <c:idx val="10"/>
              <c:layout>
                <c:manualLayout>
                  <c:x val="0.13140769354819165"/>
                  <c:y val="-0.13176535953953936"/>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5="http://schemas.microsoft.com/office/drawing/2012/chart" uri="{CE6537A1-D6FC-4f65-9D91-7224C49458BB}">
                  <c15:layout>
                    <c:manualLayout>
                      <c:w val="0.13673493548005208"/>
                      <c:h val="0.27563395810363839"/>
                    </c:manualLayout>
                  </c15:layout>
                </c:ext>
                <c:ext xmlns:c16="http://schemas.microsoft.com/office/drawing/2014/chart" uri="{C3380CC4-5D6E-409C-BE32-E72D297353CC}">
                  <c16:uniqueId val="{00000015-E64B-4F07-A13D-E40433A340B9}"/>
                </c:ext>
              </c:extLst>
            </c:dLbl>
            <c:dLbl>
              <c:idx val="12"/>
              <c:layout>
                <c:manualLayout>
                  <c:x val="-1.8586480407245178E-2"/>
                  <c:y val="-4.076014202745054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64B-4F07-A13D-E40433A340B9}"/>
                </c:ext>
              </c:extLst>
            </c:dLbl>
            <c:dLbl>
              <c:idx val="13"/>
              <c:layout>
                <c:manualLayout>
                  <c:x val="-9.3216713010909147E-8"/>
                  <c:y val="-3.1270346994938751E-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8.6657985083461578E-2"/>
                      <c:h val="0.12679162072767364"/>
                    </c:manualLayout>
                  </c15:layout>
                </c:ext>
                <c:ext xmlns:c16="http://schemas.microsoft.com/office/drawing/2014/chart" uri="{C3380CC4-5D6E-409C-BE32-E72D297353CC}">
                  <c16:uniqueId val="{0000001B-E64B-4F07-A13D-E40433A340B9}"/>
                </c:ext>
              </c:extLst>
            </c:dLbl>
            <c:dLbl>
              <c:idx val="1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1D-E64B-4F07-A13D-E40433A340B9}"/>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'[Fordelingen av bruttodriftsutgifter.xlsx]Bearbeidede tjenester, pk'!$C$5:$C$18</c:f>
              <c:strCache>
                <c:ptCount val="14"/>
                <c:pt idx="0">
                  <c:v>Helse og omsorg</c:v>
                </c:pt>
                <c:pt idx="1">
                  <c:v>Grunnskole</c:v>
                </c:pt>
                <c:pt idx="2">
                  <c:v>Barnehage</c:v>
                </c:pt>
                <c:pt idx="3">
                  <c:v>Administrasjon og felles</c:v>
                </c:pt>
                <c:pt idx="4">
                  <c:v>VAR-tjenester</c:v>
                </c:pt>
                <c:pt idx="5">
                  <c:v>Sosialsektoren</c:v>
                </c:pt>
                <c:pt idx="6">
                  <c:v>Kultursektoren</c:v>
                </c:pt>
                <c:pt idx="7">
                  <c:v>Barnevern</c:v>
                </c:pt>
                <c:pt idx="8">
                  <c:v>Samferdsel</c:v>
                </c:pt>
                <c:pt idx="9">
                  <c:v>Kommunale boliger</c:v>
                </c:pt>
                <c:pt idx="10">
                  <c:v>Plan, byggesak og miljø</c:v>
                </c:pt>
                <c:pt idx="11">
                  <c:v>Næringsforvaltning</c:v>
                </c:pt>
                <c:pt idx="12">
                  <c:v>Brann- og ulykkesvern</c:v>
                </c:pt>
                <c:pt idx="13">
                  <c:v>Kirke</c:v>
                </c:pt>
              </c:strCache>
            </c:strRef>
          </c:cat>
          <c:val>
            <c:numRef>
              <c:f>'[Fordelingen av bruttodriftsutgifter.xlsx]Bearbeidede tjenester, pk'!$F$5:$F$18</c:f>
              <c:numCache>
                <c:formatCode>0.0\ %</c:formatCode>
                <c:ptCount val="14"/>
                <c:pt idx="0">
                  <c:v>0.34476474110418182</c:v>
                </c:pt>
                <c:pt idx="1">
                  <c:v>0.18443060075196824</c:v>
                </c:pt>
                <c:pt idx="2">
                  <c:v>0.11269729171577557</c:v>
                </c:pt>
                <c:pt idx="3">
                  <c:v>9.2122621682138903E-2</c:v>
                </c:pt>
                <c:pt idx="4">
                  <c:v>5.0787924227175173E-2</c:v>
                </c:pt>
                <c:pt idx="5">
                  <c:v>4.6339346922605086E-2</c:v>
                </c:pt>
                <c:pt idx="6">
                  <c:v>4.0593267904202056E-2</c:v>
                </c:pt>
                <c:pt idx="7">
                  <c:v>2.9101109867395992E-2</c:v>
                </c:pt>
                <c:pt idx="8">
                  <c:v>2.224288652285044E-2</c:v>
                </c:pt>
                <c:pt idx="9">
                  <c:v>2.1501456972088759E-2</c:v>
                </c:pt>
                <c:pt idx="10">
                  <c:v>1.7796742960780727E-2</c:v>
                </c:pt>
                <c:pt idx="11">
                  <c:v>1.6154580305980711E-2</c:v>
                </c:pt>
                <c:pt idx="12">
                  <c:v>1.4453364641036401E-2</c:v>
                </c:pt>
                <c:pt idx="13">
                  <c:v>7.0140644218201504E-3</c:v>
                </c:pt>
              </c:numCache>
            </c:numRef>
          </c:val>
          <c:extLst>
            <c:ext xmlns:c16="http://schemas.microsoft.com/office/drawing/2014/chart" uri="{C3380CC4-5D6E-409C-BE32-E72D297353CC}">
              <c16:uniqueId val="{0000001E-E64B-4F07-A13D-E40433A340B9}"/>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Rentekostnader!$J$3:$J$110</c:f>
              <c:numCache>
                <c:formatCode>General</c:formatCode>
                <c:ptCount val="108"/>
                <c:pt idx="0">
                  <c:v>9.9553000000000003E-3</c:v>
                </c:pt>
                <c:pt idx="1">
                  <c:v>8.3318999999999997E-3</c:v>
                </c:pt>
                <c:pt idx="2">
                  <c:v>7.3188000000000003E-3</c:v>
                </c:pt>
                <c:pt idx="3">
                  <c:v>6.1669000000000003E-3</c:v>
                </c:pt>
                <c:pt idx="4">
                  <c:v>7.1923999999999998E-3</c:v>
                </c:pt>
                <c:pt idx="5">
                  <c:v>9.2812999999999993E-3</c:v>
                </c:pt>
                <c:pt idx="6">
                  <c:v>8.1933000000000006E-3</c:v>
                </c:pt>
                <c:pt idx="7">
                  <c:v>9.2525000000000003E-3</c:v>
                </c:pt>
                <c:pt idx="8">
                  <c:v>1.08246E-2</c:v>
                </c:pt>
                <c:pt idx="9">
                  <c:v>1.16174E-2</c:v>
                </c:pt>
                <c:pt idx="10">
                  <c:v>1.08018E-2</c:v>
                </c:pt>
                <c:pt idx="11">
                  <c:v>5.0587000000000002E-3</c:v>
                </c:pt>
                <c:pt idx="12">
                  <c:v>7.8171999999999998E-3</c:v>
                </c:pt>
                <c:pt idx="13">
                  <c:v>1.1612300000000001E-2</c:v>
                </c:pt>
                <c:pt idx="14">
                  <c:v>1.03108E-2</c:v>
                </c:pt>
                <c:pt idx="15">
                  <c:v>8.4852E-3</c:v>
                </c:pt>
                <c:pt idx="16">
                  <c:v>1.16787E-2</c:v>
                </c:pt>
                <c:pt idx="17">
                  <c:v>7.6188999999999996E-3</c:v>
                </c:pt>
                <c:pt idx="18">
                  <c:v>8.4995000000000001E-3</c:v>
                </c:pt>
                <c:pt idx="19">
                  <c:v>1.12651E-2</c:v>
                </c:pt>
                <c:pt idx="20">
                  <c:v>9.9349999999999994E-3</c:v>
                </c:pt>
                <c:pt idx="21">
                  <c:v>7.7244999999999996E-3</c:v>
                </c:pt>
                <c:pt idx="22">
                  <c:v>6.1567000000000002E-3</c:v>
                </c:pt>
                <c:pt idx="23">
                  <c:v>1.1384399999999999E-2</c:v>
                </c:pt>
                <c:pt idx="24">
                  <c:v>7.8659999999999997E-3</c:v>
                </c:pt>
                <c:pt idx="25">
                  <c:v>6.8218000000000003E-3</c:v>
                </c:pt>
                <c:pt idx="26">
                  <c:v>1.0857800000000001E-2</c:v>
                </c:pt>
                <c:pt idx="27">
                  <c:v>8.2719000000000004E-3</c:v>
                </c:pt>
                <c:pt idx="28">
                  <c:v>1.11206E-2</c:v>
                </c:pt>
                <c:pt idx="29">
                  <c:v>9.5267000000000008E-3</c:v>
                </c:pt>
                <c:pt idx="30">
                  <c:v>1.00269E-2</c:v>
                </c:pt>
                <c:pt idx="31">
                  <c:v>1.18145E-2</c:v>
                </c:pt>
                <c:pt idx="32">
                  <c:v>1.4512799999999999E-2</c:v>
                </c:pt>
                <c:pt idx="33">
                  <c:v>1.8708700000000002E-2</c:v>
                </c:pt>
                <c:pt idx="34">
                  <c:v>7.1015000000000002E-3</c:v>
                </c:pt>
                <c:pt idx="35">
                  <c:v>9.2303999999999997E-3</c:v>
                </c:pt>
                <c:pt idx="36">
                  <c:v>5.9766999999999997E-3</c:v>
                </c:pt>
                <c:pt idx="37">
                  <c:v>1.21157E-2</c:v>
                </c:pt>
                <c:pt idx="38">
                  <c:v>9.5540999999999994E-3</c:v>
                </c:pt>
                <c:pt idx="39">
                  <c:v>7.9395999999999998E-3</c:v>
                </c:pt>
                <c:pt idx="40">
                  <c:v>8.3490000000000005E-3</c:v>
                </c:pt>
                <c:pt idx="41">
                  <c:v>3.9693000000000003E-3</c:v>
                </c:pt>
                <c:pt idx="42">
                  <c:v>9.7149000000000003E-3</c:v>
                </c:pt>
                <c:pt idx="43">
                  <c:v>1.01435E-2</c:v>
                </c:pt>
                <c:pt idx="44">
                  <c:v>8.9721999999999996E-3</c:v>
                </c:pt>
                <c:pt idx="45">
                  <c:v>4.9538000000000004E-3</c:v>
                </c:pt>
                <c:pt idx="46">
                  <c:v>1.5251799999999999E-2</c:v>
                </c:pt>
                <c:pt idx="47">
                  <c:v>8.7959000000000006E-3</c:v>
                </c:pt>
                <c:pt idx="48">
                  <c:v>7.4190999999999997E-3</c:v>
                </c:pt>
                <c:pt idx="49">
                  <c:v>7.5507999999999999E-3</c:v>
                </c:pt>
                <c:pt idx="50">
                  <c:v>8.8369E-3</c:v>
                </c:pt>
                <c:pt idx="51">
                  <c:v>0</c:v>
                </c:pt>
                <c:pt idx="52">
                  <c:v>1.1772400000000001E-2</c:v>
                </c:pt>
                <c:pt idx="53">
                  <c:v>1.49698E-2</c:v>
                </c:pt>
                <c:pt idx="54">
                  <c:v>9.1918999999999994E-3</c:v>
                </c:pt>
                <c:pt idx="55">
                  <c:v>1.02959E-2</c:v>
                </c:pt>
                <c:pt idx="56">
                  <c:v>1.11156E-2</c:v>
                </c:pt>
                <c:pt idx="57">
                  <c:v>1.31509E-2</c:v>
                </c:pt>
                <c:pt idx="58">
                  <c:v>7.6201999999999997E-3</c:v>
                </c:pt>
                <c:pt idx="59">
                  <c:v>9.2090000000000002E-3</c:v>
                </c:pt>
                <c:pt idx="60">
                  <c:v>8.2359000000000009E-3</c:v>
                </c:pt>
                <c:pt idx="61">
                  <c:v>8.8537000000000008E-3</c:v>
                </c:pt>
                <c:pt idx="62">
                  <c:v>9.8781000000000008E-3</c:v>
                </c:pt>
                <c:pt idx="63">
                  <c:v>9.6214000000000004E-3</c:v>
                </c:pt>
                <c:pt idx="64">
                  <c:v>1.00532E-2</c:v>
                </c:pt>
                <c:pt idx="65">
                  <c:v>8.9847E-3</c:v>
                </c:pt>
                <c:pt idx="66">
                  <c:v>1.03438E-2</c:v>
                </c:pt>
                <c:pt idx="67">
                  <c:v>1.0189800000000001E-2</c:v>
                </c:pt>
                <c:pt idx="68">
                  <c:v>1.29941E-2</c:v>
                </c:pt>
                <c:pt idx="69">
                  <c:v>6.1120000000000002E-3</c:v>
                </c:pt>
                <c:pt idx="70">
                  <c:v>8.5901999999999992E-3</c:v>
                </c:pt>
                <c:pt idx="71">
                  <c:v>1.6175499999999999E-2</c:v>
                </c:pt>
                <c:pt idx="72">
                  <c:v>8.1280999999999992E-3</c:v>
                </c:pt>
                <c:pt idx="73">
                  <c:v>1.27145E-2</c:v>
                </c:pt>
                <c:pt idx="74">
                  <c:v>1.0606600000000001E-2</c:v>
                </c:pt>
                <c:pt idx="75">
                  <c:v>9.3740999999999998E-3</c:v>
                </c:pt>
                <c:pt idx="76">
                  <c:v>6.8043000000000001E-3</c:v>
                </c:pt>
                <c:pt idx="77">
                  <c:v>9.0267999999999998E-3</c:v>
                </c:pt>
                <c:pt idx="78">
                  <c:v>8.5816999999999994E-3</c:v>
                </c:pt>
                <c:pt idx="79">
                  <c:v>6.2959000000000001E-3</c:v>
                </c:pt>
                <c:pt idx="80">
                  <c:v>1.1762699999999999E-2</c:v>
                </c:pt>
                <c:pt idx="81">
                  <c:v>9.3918999999999999E-3</c:v>
                </c:pt>
                <c:pt idx="82">
                  <c:v>8.8879000000000007E-3</c:v>
                </c:pt>
                <c:pt idx="83">
                  <c:v>9.1354000000000001E-3</c:v>
                </c:pt>
                <c:pt idx="84">
                  <c:v>9.7902000000000006E-3</c:v>
                </c:pt>
                <c:pt idx="85">
                  <c:v>5.9348999999999999E-3</c:v>
                </c:pt>
                <c:pt idx="86">
                  <c:v>8.2804000000000003E-3</c:v>
                </c:pt>
                <c:pt idx="87">
                  <c:v>8.9060000000000007E-3</c:v>
                </c:pt>
                <c:pt idx="88">
                  <c:v>8.0341000000000006E-3</c:v>
                </c:pt>
                <c:pt idx="89">
                  <c:v>1.00871E-2</c:v>
                </c:pt>
                <c:pt idx="90">
                  <c:v>6.8224000000000002E-3</c:v>
                </c:pt>
                <c:pt idx="91">
                  <c:v>7.3566999999999999E-3</c:v>
                </c:pt>
                <c:pt idx="92">
                  <c:v>9.4424999999999995E-3</c:v>
                </c:pt>
                <c:pt idx="93">
                  <c:v>8.7354000000000008E-3</c:v>
                </c:pt>
                <c:pt idx="94">
                  <c:v>9.4067999999999999E-3</c:v>
                </c:pt>
                <c:pt idx="95">
                  <c:v>7.3949999999999997E-3</c:v>
                </c:pt>
                <c:pt idx="96">
                  <c:v>1.2085E-2</c:v>
                </c:pt>
                <c:pt idx="97">
                  <c:v>9.8400999999999992E-3</c:v>
                </c:pt>
                <c:pt idx="98">
                  <c:v>6.9156E-3</c:v>
                </c:pt>
                <c:pt idx="99">
                  <c:v>4.9030999999999996E-3</c:v>
                </c:pt>
                <c:pt idx="100">
                  <c:v>8.7799000000000002E-3</c:v>
                </c:pt>
                <c:pt idx="101">
                  <c:v>7.2258000000000001E-3</c:v>
                </c:pt>
                <c:pt idx="102">
                  <c:v>8.9058999999999996E-3</c:v>
                </c:pt>
                <c:pt idx="103">
                  <c:v>8.3198000000000005E-3</c:v>
                </c:pt>
                <c:pt idx="104">
                  <c:v>5.7127000000000002E-3</c:v>
                </c:pt>
                <c:pt idx="105">
                  <c:v>9.3144999999999999E-3</c:v>
                </c:pt>
                <c:pt idx="106">
                  <c:v>1.61029E-2</c:v>
                </c:pt>
                <c:pt idx="107">
                  <c:v>9.7462999999999994E-3</c:v>
                </c:pt>
              </c:numCache>
            </c:numRef>
          </c:yVal>
          <c:smooth val="0"/>
          <c:extLst>
            <c:ext xmlns:c16="http://schemas.microsoft.com/office/drawing/2014/chart" uri="{C3380CC4-5D6E-409C-BE32-E72D297353CC}">
              <c16:uniqueId val="{00000000-37F0-49E9-87C6-9DE4B9120940}"/>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Rentekostnader!$J$111:$J$213</c:f>
              <c:numCache>
                <c:formatCode>General</c:formatCode>
                <c:ptCount val="103"/>
                <c:pt idx="0">
                  <c:v>9.8937999999999995E-3</c:v>
                </c:pt>
                <c:pt idx="1">
                  <c:v>9.0045999999999998E-3</c:v>
                </c:pt>
                <c:pt idx="2">
                  <c:v>8.1902999999999993E-3</c:v>
                </c:pt>
                <c:pt idx="3">
                  <c:v>7.8691000000000004E-3</c:v>
                </c:pt>
                <c:pt idx="4">
                  <c:v>9.0881E-3</c:v>
                </c:pt>
                <c:pt idx="5">
                  <c:v>8.4510999999999996E-3</c:v>
                </c:pt>
                <c:pt idx="6">
                  <c:v>1.2887600000000001E-2</c:v>
                </c:pt>
                <c:pt idx="7">
                  <c:v>9.8274E-3</c:v>
                </c:pt>
                <c:pt idx="8">
                  <c:v>9.2972999999999997E-3</c:v>
                </c:pt>
                <c:pt idx="9">
                  <c:v>8.8728000000000001E-3</c:v>
                </c:pt>
                <c:pt idx="10">
                  <c:v>8.2547000000000002E-3</c:v>
                </c:pt>
                <c:pt idx="11">
                  <c:v>9.7841000000000004E-3</c:v>
                </c:pt>
                <c:pt idx="12">
                  <c:v>1.16469E-2</c:v>
                </c:pt>
                <c:pt idx="13">
                  <c:v>1.7172300000000001E-2</c:v>
                </c:pt>
                <c:pt idx="14">
                  <c:v>8.9110000000000005E-3</c:v>
                </c:pt>
                <c:pt idx="15">
                  <c:v>1.03608E-2</c:v>
                </c:pt>
                <c:pt idx="16">
                  <c:v>1.03778E-2</c:v>
                </c:pt>
                <c:pt idx="17">
                  <c:v>9.5292999999999992E-3</c:v>
                </c:pt>
                <c:pt idx="18">
                  <c:v>9.0684000000000008E-3</c:v>
                </c:pt>
                <c:pt idx="19">
                  <c:v>1.40435E-2</c:v>
                </c:pt>
                <c:pt idx="20">
                  <c:v>1.02381E-2</c:v>
                </c:pt>
                <c:pt idx="21">
                  <c:v>7.3844000000000002E-3</c:v>
                </c:pt>
                <c:pt idx="22">
                  <c:v>9.1502000000000007E-3</c:v>
                </c:pt>
                <c:pt idx="23">
                  <c:v>8.8603999999999992E-3</c:v>
                </c:pt>
                <c:pt idx="24">
                  <c:v>1.23471E-2</c:v>
                </c:pt>
                <c:pt idx="25">
                  <c:v>6.5094999999999997E-3</c:v>
                </c:pt>
                <c:pt idx="26">
                  <c:v>1.0184199999999999E-2</c:v>
                </c:pt>
                <c:pt idx="27">
                  <c:v>1.37886E-2</c:v>
                </c:pt>
                <c:pt idx="28">
                  <c:v>1.0091599999999999E-2</c:v>
                </c:pt>
                <c:pt idx="29">
                  <c:v>7.1343999999999999E-3</c:v>
                </c:pt>
                <c:pt idx="30">
                  <c:v>1.0730200000000001E-2</c:v>
                </c:pt>
                <c:pt idx="31">
                  <c:v>7.0812000000000002E-3</c:v>
                </c:pt>
                <c:pt idx="32">
                  <c:v>1.14603E-2</c:v>
                </c:pt>
                <c:pt idx="33">
                  <c:v>9.4783999999999997E-3</c:v>
                </c:pt>
                <c:pt idx="34">
                  <c:v>6.7835999999999999E-3</c:v>
                </c:pt>
                <c:pt idx="35">
                  <c:v>9.0471000000000006E-3</c:v>
                </c:pt>
                <c:pt idx="36">
                  <c:v>6.2570000000000004E-3</c:v>
                </c:pt>
                <c:pt idx="37">
                  <c:v>8.2389999999999998E-3</c:v>
                </c:pt>
                <c:pt idx="38">
                  <c:v>7.3267999999999996E-3</c:v>
                </c:pt>
                <c:pt idx="39">
                  <c:v>8.6872000000000008E-3</c:v>
                </c:pt>
                <c:pt idx="40">
                  <c:v>1.20395E-2</c:v>
                </c:pt>
                <c:pt idx="41">
                  <c:v>7.5380999999999998E-3</c:v>
                </c:pt>
                <c:pt idx="42">
                  <c:v>1.13551E-2</c:v>
                </c:pt>
                <c:pt idx="43">
                  <c:v>1.2315599999999999E-2</c:v>
                </c:pt>
                <c:pt idx="44">
                  <c:v>8.9306000000000003E-3</c:v>
                </c:pt>
                <c:pt idx="45">
                  <c:v>1.1881600000000001E-2</c:v>
                </c:pt>
                <c:pt idx="46">
                  <c:v>9.3670000000000003E-3</c:v>
                </c:pt>
                <c:pt idx="47">
                  <c:v>8.2115E-3</c:v>
                </c:pt>
                <c:pt idx="48">
                  <c:v>9.2213E-3</c:v>
                </c:pt>
                <c:pt idx="49">
                  <c:v>9.7210999999999999E-3</c:v>
                </c:pt>
                <c:pt idx="50">
                  <c:v>9.0612999999999996E-3</c:v>
                </c:pt>
                <c:pt idx="51">
                  <c:v>1.00362E-2</c:v>
                </c:pt>
                <c:pt idx="52">
                  <c:v>9.6345000000000007E-3</c:v>
                </c:pt>
                <c:pt idx="53">
                  <c:v>1.11708E-2</c:v>
                </c:pt>
                <c:pt idx="54">
                  <c:v>1.2074400000000001E-2</c:v>
                </c:pt>
                <c:pt idx="55">
                  <c:v>9.6828000000000001E-3</c:v>
                </c:pt>
                <c:pt idx="56">
                  <c:v>1.1266E-2</c:v>
                </c:pt>
                <c:pt idx="57">
                  <c:v>8.2734000000000002E-3</c:v>
                </c:pt>
                <c:pt idx="58">
                  <c:v>1.12908E-2</c:v>
                </c:pt>
                <c:pt idx="59">
                  <c:v>9.8949999999999993E-3</c:v>
                </c:pt>
                <c:pt idx="60">
                  <c:v>9.4917999999999999E-3</c:v>
                </c:pt>
                <c:pt idx="61">
                  <c:v>1.1136099999999999E-2</c:v>
                </c:pt>
                <c:pt idx="62">
                  <c:v>8.9862999999999991E-3</c:v>
                </c:pt>
                <c:pt idx="63">
                  <c:v>1.0308599999999999E-2</c:v>
                </c:pt>
                <c:pt idx="64">
                  <c:v>1.1384399999999999E-2</c:v>
                </c:pt>
                <c:pt idx="65">
                  <c:v>7.2436000000000002E-3</c:v>
                </c:pt>
                <c:pt idx="66">
                  <c:v>8.9418999999999992E-3</c:v>
                </c:pt>
                <c:pt idx="67">
                  <c:v>9.3358E-3</c:v>
                </c:pt>
                <c:pt idx="68">
                  <c:v>7.0790999999999996E-3</c:v>
                </c:pt>
                <c:pt idx="69">
                  <c:v>1.08153E-2</c:v>
                </c:pt>
                <c:pt idx="70">
                  <c:v>7.4758999999999997E-3</c:v>
                </c:pt>
                <c:pt idx="71">
                  <c:v>1.4098599999999999E-2</c:v>
                </c:pt>
                <c:pt idx="72">
                  <c:v>7.5449999999999996E-3</c:v>
                </c:pt>
                <c:pt idx="73">
                  <c:v>9.4105000000000005E-3</c:v>
                </c:pt>
                <c:pt idx="74">
                  <c:v>9.0463999999999996E-3</c:v>
                </c:pt>
                <c:pt idx="75">
                  <c:v>7.2383999999999999E-3</c:v>
                </c:pt>
                <c:pt idx="76">
                  <c:v>8.6292000000000001E-3</c:v>
                </c:pt>
                <c:pt idx="77">
                  <c:v>9.4485000000000003E-3</c:v>
                </c:pt>
                <c:pt idx="78">
                  <c:v>1.4827699999999999E-2</c:v>
                </c:pt>
                <c:pt idx="79">
                  <c:v>8.8486999999999993E-3</c:v>
                </c:pt>
                <c:pt idx="80">
                  <c:v>8.9609000000000008E-3</c:v>
                </c:pt>
                <c:pt idx="81">
                  <c:v>1.15622E-2</c:v>
                </c:pt>
                <c:pt idx="82">
                  <c:v>9.4617E-3</c:v>
                </c:pt>
                <c:pt idx="83">
                  <c:v>9.2715000000000002E-3</c:v>
                </c:pt>
                <c:pt idx="84">
                  <c:v>1.1625099999999999E-2</c:v>
                </c:pt>
                <c:pt idx="85">
                  <c:v>9.5350000000000001E-3</c:v>
                </c:pt>
                <c:pt idx="86">
                  <c:v>1.0786199999999999E-2</c:v>
                </c:pt>
                <c:pt idx="87">
                  <c:v>1.5184400000000001E-2</c:v>
                </c:pt>
                <c:pt idx="88">
                  <c:v>1.2136900000000001E-2</c:v>
                </c:pt>
                <c:pt idx="89">
                  <c:v>7.9580999999999992E-3</c:v>
                </c:pt>
                <c:pt idx="90">
                  <c:v>1.05346E-2</c:v>
                </c:pt>
                <c:pt idx="91">
                  <c:v>1.31472E-2</c:v>
                </c:pt>
                <c:pt idx="92">
                  <c:v>1.0457899999999999E-2</c:v>
                </c:pt>
                <c:pt idx="93">
                  <c:v>1.2127799999999999E-2</c:v>
                </c:pt>
                <c:pt idx="94">
                  <c:v>6.8840000000000004E-3</c:v>
                </c:pt>
                <c:pt idx="95">
                  <c:v>8.8918000000000001E-3</c:v>
                </c:pt>
                <c:pt idx="96">
                  <c:v>9.4038000000000004E-3</c:v>
                </c:pt>
                <c:pt idx="97">
                  <c:v>9.7918999999999992E-3</c:v>
                </c:pt>
                <c:pt idx="98">
                  <c:v>1.1853300000000001E-2</c:v>
                </c:pt>
                <c:pt idx="99">
                  <c:v>1.0584100000000001E-2</c:v>
                </c:pt>
                <c:pt idx="100">
                  <c:v>8.4411E-3</c:v>
                </c:pt>
                <c:pt idx="101">
                  <c:v>1.07907E-2</c:v>
                </c:pt>
                <c:pt idx="102">
                  <c:v>8.3111000000000001E-3</c:v>
                </c:pt>
              </c:numCache>
            </c:numRef>
          </c:yVal>
          <c:smooth val="0"/>
          <c:extLst>
            <c:ext xmlns:c16="http://schemas.microsoft.com/office/drawing/2014/chart" uri="{C3380CC4-5D6E-409C-BE32-E72D297353CC}">
              <c16:uniqueId val="{00000001-37F0-49E9-87C6-9DE4B9120940}"/>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Rentekostnader!$J$214:$J$278</c:f>
              <c:numCache>
                <c:formatCode>General</c:formatCode>
                <c:ptCount val="65"/>
                <c:pt idx="0">
                  <c:v>1.0419299999999999E-2</c:v>
                </c:pt>
                <c:pt idx="1">
                  <c:v>1.2032899999999999E-2</c:v>
                </c:pt>
                <c:pt idx="2">
                  <c:v>1.1457699999999999E-2</c:v>
                </c:pt>
                <c:pt idx="3">
                  <c:v>1.26567E-2</c:v>
                </c:pt>
                <c:pt idx="4">
                  <c:v>8.1837000000000003E-3</c:v>
                </c:pt>
                <c:pt idx="5">
                  <c:v>1.02091E-2</c:v>
                </c:pt>
                <c:pt idx="6">
                  <c:v>1.16959E-2</c:v>
                </c:pt>
                <c:pt idx="7">
                  <c:v>1.2321E-2</c:v>
                </c:pt>
                <c:pt idx="8">
                  <c:v>1.00196E-2</c:v>
                </c:pt>
                <c:pt idx="9">
                  <c:v>6.8087E-3</c:v>
                </c:pt>
                <c:pt idx="10">
                  <c:v>1.13119E-2</c:v>
                </c:pt>
                <c:pt idx="11">
                  <c:v>1.2792599999999999E-2</c:v>
                </c:pt>
                <c:pt idx="12">
                  <c:v>9.0986999999999995E-3</c:v>
                </c:pt>
                <c:pt idx="13">
                  <c:v>9.6456000000000007E-3</c:v>
                </c:pt>
                <c:pt idx="14">
                  <c:v>1.03622E-2</c:v>
                </c:pt>
                <c:pt idx="15">
                  <c:v>1.10683E-2</c:v>
                </c:pt>
                <c:pt idx="16">
                  <c:v>1.07882E-2</c:v>
                </c:pt>
                <c:pt idx="17">
                  <c:v>5.7641000000000003E-3</c:v>
                </c:pt>
                <c:pt idx="18">
                  <c:v>1.1848600000000001E-2</c:v>
                </c:pt>
                <c:pt idx="19">
                  <c:v>9.0770999999999994E-3</c:v>
                </c:pt>
                <c:pt idx="20">
                  <c:v>1.0219900000000001E-2</c:v>
                </c:pt>
                <c:pt idx="21">
                  <c:v>5.7848999999999999E-3</c:v>
                </c:pt>
                <c:pt idx="22">
                  <c:v>1.0649E-2</c:v>
                </c:pt>
                <c:pt idx="23">
                  <c:v>9.0437999999999994E-3</c:v>
                </c:pt>
                <c:pt idx="24">
                  <c:v>1.29721E-2</c:v>
                </c:pt>
                <c:pt idx="25">
                  <c:v>9.8160000000000001E-3</c:v>
                </c:pt>
                <c:pt idx="26">
                  <c:v>1.0120199999999999E-2</c:v>
                </c:pt>
                <c:pt idx="27">
                  <c:v>9.5837000000000006E-3</c:v>
                </c:pt>
                <c:pt idx="28">
                  <c:v>9.9889000000000002E-3</c:v>
                </c:pt>
                <c:pt idx="29">
                  <c:v>1.2297199999999999E-2</c:v>
                </c:pt>
                <c:pt idx="30">
                  <c:v>1.0671699999999999E-2</c:v>
                </c:pt>
                <c:pt idx="31">
                  <c:v>1.1166199999999999E-2</c:v>
                </c:pt>
                <c:pt idx="32">
                  <c:v>1.38727E-2</c:v>
                </c:pt>
                <c:pt idx="33">
                  <c:v>7.9614000000000004E-3</c:v>
                </c:pt>
                <c:pt idx="34">
                  <c:v>1.38529E-2</c:v>
                </c:pt>
                <c:pt idx="35">
                  <c:v>1.3141099999999999E-2</c:v>
                </c:pt>
                <c:pt idx="36">
                  <c:v>8.2255000000000002E-3</c:v>
                </c:pt>
                <c:pt idx="37">
                  <c:v>1.12794E-2</c:v>
                </c:pt>
                <c:pt idx="38">
                  <c:v>1.1332200000000001E-2</c:v>
                </c:pt>
                <c:pt idx="39">
                  <c:v>1.3551199999999999E-2</c:v>
                </c:pt>
                <c:pt idx="40">
                  <c:v>9.3364999999999993E-3</c:v>
                </c:pt>
                <c:pt idx="41">
                  <c:v>1.18067E-2</c:v>
                </c:pt>
                <c:pt idx="42">
                  <c:v>9.3784000000000003E-3</c:v>
                </c:pt>
                <c:pt idx="43">
                  <c:v>1.29198E-2</c:v>
                </c:pt>
                <c:pt idx="44">
                  <c:v>1.14065E-2</c:v>
                </c:pt>
                <c:pt idx="45">
                  <c:v>8.9304999999999992E-3</c:v>
                </c:pt>
                <c:pt idx="46">
                  <c:v>9.8933000000000007E-3</c:v>
                </c:pt>
                <c:pt idx="47">
                  <c:v>9.7856999999999996E-3</c:v>
                </c:pt>
                <c:pt idx="48">
                  <c:v>1.3149299999999999E-2</c:v>
                </c:pt>
                <c:pt idx="49">
                  <c:v>8.5257000000000006E-3</c:v>
                </c:pt>
                <c:pt idx="50">
                  <c:v>9.3044000000000009E-3</c:v>
                </c:pt>
                <c:pt idx="51">
                  <c:v>1.34775E-2</c:v>
                </c:pt>
                <c:pt idx="52">
                  <c:v>1.2311600000000001E-2</c:v>
                </c:pt>
                <c:pt idx="53">
                  <c:v>1.06534E-2</c:v>
                </c:pt>
                <c:pt idx="54">
                  <c:v>9.3661000000000005E-3</c:v>
                </c:pt>
                <c:pt idx="55">
                  <c:v>1.04475E-2</c:v>
                </c:pt>
                <c:pt idx="56">
                  <c:v>1.0572099999999999E-2</c:v>
                </c:pt>
                <c:pt idx="57">
                  <c:v>8.1717000000000005E-3</c:v>
                </c:pt>
                <c:pt idx="58">
                  <c:v>1.4449999999999999E-2</c:v>
                </c:pt>
                <c:pt idx="59">
                  <c:v>1.0578300000000001E-2</c:v>
                </c:pt>
                <c:pt idx="60">
                  <c:v>1.0189399999999999E-2</c:v>
                </c:pt>
                <c:pt idx="61">
                  <c:v>1.36636E-2</c:v>
                </c:pt>
                <c:pt idx="62">
                  <c:v>1.3261800000000001E-2</c:v>
                </c:pt>
                <c:pt idx="63">
                  <c:v>9.4608999999999995E-3</c:v>
                </c:pt>
                <c:pt idx="64">
                  <c:v>1.01034E-2</c:v>
                </c:pt>
              </c:numCache>
            </c:numRef>
          </c:yVal>
          <c:smooth val="0"/>
          <c:extLst>
            <c:ext xmlns:c16="http://schemas.microsoft.com/office/drawing/2014/chart" uri="{C3380CC4-5D6E-409C-BE32-E72D297353CC}">
              <c16:uniqueId val="{00000002-37F0-49E9-87C6-9DE4B9120940}"/>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Rentekostnader!$J$279:$J$332</c:f>
              <c:numCache>
                <c:formatCode>General</c:formatCode>
                <c:ptCount val="54"/>
                <c:pt idx="0">
                  <c:v>1.17806E-2</c:v>
                </c:pt>
                <c:pt idx="1">
                  <c:v>9.6824000000000007E-3</c:v>
                </c:pt>
                <c:pt idx="2">
                  <c:v>1.14556E-2</c:v>
                </c:pt>
                <c:pt idx="3">
                  <c:v>1.26771E-2</c:v>
                </c:pt>
                <c:pt idx="4">
                  <c:v>1.7766400000000002E-2</c:v>
                </c:pt>
                <c:pt idx="5">
                  <c:v>1.14524E-2</c:v>
                </c:pt>
                <c:pt idx="6">
                  <c:v>1.06284E-2</c:v>
                </c:pt>
                <c:pt idx="7">
                  <c:v>5.6825000000000001E-3</c:v>
                </c:pt>
                <c:pt idx="8">
                  <c:v>1.41768E-2</c:v>
                </c:pt>
                <c:pt idx="9">
                  <c:v>9.4791000000000007E-3</c:v>
                </c:pt>
                <c:pt idx="10">
                  <c:v>8.541E-3</c:v>
                </c:pt>
                <c:pt idx="11">
                  <c:v>8.7481E-3</c:v>
                </c:pt>
                <c:pt idx="12">
                  <c:v>1.03112E-2</c:v>
                </c:pt>
                <c:pt idx="13">
                  <c:v>1.1257E-2</c:v>
                </c:pt>
                <c:pt idx="14">
                  <c:v>1.5252399999999999E-2</c:v>
                </c:pt>
                <c:pt idx="15">
                  <c:v>9.9295000000000008E-3</c:v>
                </c:pt>
                <c:pt idx="16">
                  <c:v>1.4638399999999999E-2</c:v>
                </c:pt>
                <c:pt idx="17">
                  <c:v>1.10385E-2</c:v>
                </c:pt>
                <c:pt idx="18">
                  <c:v>9.2540999999999995E-3</c:v>
                </c:pt>
                <c:pt idx="19">
                  <c:v>1.09742E-2</c:v>
                </c:pt>
                <c:pt idx="20">
                  <c:v>1.45135E-2</c:v>
                </c:pt>
                <c:pt idx="21">
                  <c:v>8.6852000000000006E-3</c:v>
                </c:pt>
                <c:pt idx="22">
                  <c:v>1.0735E-2</c:v>
                </c:pt>
                <c:pt idx="23">
                  <c:v>1.04691E-2</c:v>
                </c:pt>
                <c:pt idx="24">
                  <c:v>9.8694999999999998E-3</c:v>
                </c:pt>
                <c:pt idx="25">
                  <c:v>9.9031999999999992E-3</c:v>
                </c:pt>
                <c:pt idx="26">
                  <c:v>7.5538000000000003E-3</c:v>
                </c:pt>
                <c:pt idx="27">
                  <c:v>1.3146400000000001E-2</c:v>
                </c:pt>
                <c:pt idx="28">
                  <c:v>1.2976700000000001E-2</c:v>
                </c:pt>
                <c:pt idx="29">
                  <c:v>1.68471E-2</c:v>
                </c:pt>
                <c:pt idx="30">
                  <c:v>1.24507E-2</c:v>
                </c:pt>
                <c:pt idx="31">
                  <c:v>1.22262E-2</c:v>
                </c:pt>
                <c:pt idx="32">
                  <c:v>1.2286200000000001E-2</c:v>
                </c:pt>
                <c:pt idx="33">
                  <c:v>1.1352299999999999E-2</c:v>
                </c:pt>
                <c:pt idx="34">
                  <c:v>1.0093700000000001E-2</c:v>
                </c:pt>
                <c:pt idx="35">
                  <c:v>1.7007499999999998E-2</c:v>
                </c:pt>
                <c:pt idx="36">
                  <c:v>1.24779E-2</c:v>
                </c:pt>
                <c:pt idx="37">
                  <c:v>1.04256E-2</c:v>
                </c:pt>
                <c:pt idx="38">
                  <c:v>1.17988E-2</c:v>
                </c:pt>
                <c:pt idx="39">
                  <c:v>1.31672E-2</c:v>
                </c:pt>
                <c:pt idx="40">
                  <c:v>1.09754E-2</c:v>
                </c:pt>
                <c:pt idx="41">
                  <c:v>9.9853000000000008E-3</c:v>
                </c:pt>
                <c:pt idx="42">
                  <c:v>8.3076999999999995E-3</c:v>
                </c:pt>
                <c:pt idx="43">
                  <c:v>1.0565400000000001E-2</c:v>
                </c:pt>
                <c:pt idx="44">
                  <c:v>7.3480000000000004E-3</c:v>
                </c:pt>
                <c:pt idx="45">
                  <c:v>1.0134000000000001E-2</c:v>
                </c:pt>
                <c:pt idx="46">
                  <c:v>1.0321500000000001E-2</c:v>
                </c:pt>
                <c:pt idx="47">
                  <c:v>1.0781199999999999E-2</c:v>
                </c:pt>
                <c:pt idx="48">
                  <c:v>1.2226799999999999E-2</c:v>
                </c:pt>
                <c:pt idx="49">
                  <c:v>1.22513E-2</c:v>
                </c:pt>
                <c:pt idx="50">
                  <c:v>1.1631600000000001E-2</c:v>
                </c:pt>
                <c:pt idx="51">
                  <c:v>1.25138E-2</c:v>
                </c:pt>
                <c:pt idx="52">
                  <c:v>1.0029E-2</c:v>
                </c:pt>
                <c:pt idx="53">
                  <c:v>1.21406E-2</c:v>
                </c:pt>
              </c:numCache>
            </c:numRef>
          </c:yVal>
          <c:smooth val="0"/>
          <c:extLst>
            <c:ext xmlns:c16="http://schemas.microsoft.com/office/drawing/2014/chart" uri="{C3380CC4-5D6E-409C-BE32-E72D297353CC}">
              <c16:uniqueId val="{00000003-37F0-49E9-87C6-9DE4B9120940}"/>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Rentekostnader!$J$333:$J$353</c:f>
              <c:numCache>
                <c:formatCode>General</c:formatCode>
                <c:ptCount val="21"/>
                <c:pt idx="0">
                  <c:v>1.0714400000000001E-2</c:v>
                </c:pt>
                <c:pt idx="1">
                  <c:v>9.2998999999999998E-3</c:v>
                </c:pt>
                <c:pt idx="2">
                  <c:v>1.51542E-2</c:v>
                </c:pt>
                <c:pt idx="3">
                  <c:v>1.2365900000000001E-2</c:v>
                </c:pt>
                <c:pt idx="4">
                  <c:v>1.02241E-2</c:v>
                </c:pt>
                <c:pt idx="5">
                  <c:v>9.5052000000000001E-3</c:v>
                </c:pt>
                <c:pt idx="6">
                  <c:v>1.07397E-2</c:v>
                </c:pt>
                <c:pt idx="7">
                  <c:v>1.54144E-2</c:v>
                </c:pt>
                <c:pt idx="8">
                  <c:v>1.2181300000000001E-2</c:v>
                </c:pt>
                <c:pt idx="9">
                  <c:v>1.136E-2</c:v>
                </c:pt>
                <c:pt idx="10">
                  <c:v>1.05808E-2</c:v>
                </c:pt>
                <c:pt idx="11">
                  <c:v>1.09024E-2</c:v>
                </c:pt>
                <c:pt idx="12">
                  <c:v>1.20772E-2</c:v>
                </c:pt>
                <c:pt idx="13">
                  <c:v>1.09868E-2</c:v>
                </c:pt>
                <c:pt idx="14">
                  <c:v>1.11579E-2</c:v>
                </c:pt>
                <c:pt idx="15">
                  <c:v>9.5005000000000003E-3</c:v>
                </c:pt>
                <c:pt idx="16">
                  <c:v>1.34988E-2</c:v>
                </c:pt>
                <c:pt idx="17">
                  <c:v>1.18657E-2</c:v>
                </c:pt>
                <c:pt idx="18">
                  <c:v>9.9851999999999996E-3</c:v>
                </c:pt>
                <c:pt idx="19">
                  <c:v>1.26902E-2</c:v>
                </c:pt>
                <c:pt idx="20">
                  <c:v>1.3703E-2</c:v>
                </c:pt>
              </c:numCache>
            </c:numRef>
          </c:yVal>
          <c:smooth val="0"/>
          <c:extLst>
            <c:ext xmlns:c16="http://schemas.microsoft.com/office/drawing/2014/chart" uri="{C3380CC4-5D6E-409C-BE32-E72D297353CC}">
              <c16:uniqueId val="{00000004-37F0-49E9-87C6-9DE4B9120940}"/>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Rentekostnader!$J$354:$J$358</c:f>
              <c:numCache>
                <c:formatCode>General</c:formatCode>
                <c:ptCount val="5"/>
                <c:pt idx="0">
                  <c:v>1.00073E-2</c:v>
                </c:pt>
                <c:pt idx="1">
                  <c:v>1.6062799999999999E-2</c:v>
                </c:pt>
                <c:pt idx="2">
                  <c:v>1.3977399999999999E-2</c:v>
                </c:pt>
                <c:pt idx="3">
                  <c:v>1.0817800000000001E-2</c:v>
                </c:pt>
                <c:pt idx="4">
                  <c:v>1.01829E-2</c:v>
                </c:pt>
              </c:numCache>
            </c:numRef>
          </c:yVal>
          <c:smooth val="0"/>
          <c:extLst>
            <c:ext xmlns:c16="http://schemas.microsoft.com/office/drawing/2014/chart" uri="{C3380CC4-5D6E-409C-BE32-E72D297353CC}">
              <c16:uniqueId val="{00000005-37F0-49E9-87C6-9DE4B9120940}"/>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Gjeldsrente</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Rentekostnader!$K$3:$K$110</c:f>
              <c:numCache>
                <c:formatCode>General</c:formatCode>
                <c:ptCount val="108"/>
                <c:pt idx="0">
                  <c:v>0.5818219</c:v>
                </c:pt>
                <c:pt idx="1">
                  <c:v>0.72575630000000002</c:v>
                </c:pt>
                <c:pt idx="2">
                  <c:v>0.33204450000000002</c:v>
                </c:pt>
                <c:pt idx="3">
                  <c:v>0.63553970000000004</c:v>
                </c:pt>
                <c:pt idx="4">
                  <c:v>0.73757819999999996</c:v>
                </c:pt>
                <c:pt idx="5">
                  <c:v>0.66901290000000002</c:v>
                </c:pt>
                <c:pt idx="6">
                  <c:v>0.71378569999999997</c:v>
                </c:pt>
                <c:pt idx="7">
                  <c:v>0.65620089999999998</c:v>
                </c:pt>
                <c:pt idx="8">
                  <c:v>0.54807399999999995</c:v>
                </c:pt>
                <c:pt idx="9">
                  <c:v>0.82951960000000002</c:v>
                </c:pt>
                <c:pt idx="10">
                  <c:v>0.77333220000000003</c:v>
                </c:pt>
                <c:pt idx="11">
                  <c:v>0.60517299999999996</c:v>
                </c:pt>
                <c:pt idx="12">
                  <c:v>0.72615499999999999</c:v>
                </c:pt>
                <c:pt idx="13">
                  <c:v>0.73176589999999997</c:v>
                </c:pt>
                <c:pt idx="14">
                  <c:v>0.92491780000000001</c:v>
                </c:pt>
                <c:pt idx="15">
                  <c:v>0.67335400000000001</c:v>
                </c:pt>
                <c:pt idx="16">
                  <c:v>0.81153770000000003</c:v>
                </c:pt>
                <c:pt idx="17">
                  <c:v>0.65835449999999995</c:v>
                </c:pt>
                <c:pt idx="18">
                  <c:v>0.78841600000000001</c:v>
                </c:pt>
                <c:pt idx="19">
                  <c:v>0.65130940000000004</c:v>
                </c:pt>
                <c:pt idx="20">
                  <c:v>0.77041579999999998</c:v>
                </c:pt>
                <c:pt idx="21">
                  <c:v>0.71496519999999997</c:v>
                </c:pt>
                <c:pt idx="22">
                  <c:v>0.65883369999999997</c:v>
                </c:pt>
                <c:pt idx="23">
                  <c:v>0.74518620000000002</c:v>
                </c:pt>
                <c:pt idx="24">
                  <c:v>0.38156909999999999</c:v>
                </c:pt>
                <c:pt idx="25">
                  <c:v>0.64751020000000004</c:v>
                </c:pt>
                <c:pt idx="26">
                  <c:v>0.86210319999999996</c:v>
                </c:pt>
                <c:pt idx="27">
                  <c:v>0.64737100000000003</c:v>
                </c:pt>
                <c:pt idx="28">
                  <c:v>0.71749309999999999</c:v>
                </c:pt>
                <c:pt idx="29">
                  <c:v>0.59780239999999996</c:v>
                </c:pt>
                <c:pt idx="30">
                  <c:v>0.6920866</c:v>
                </c:pt>
                <c:pt idx="31">
                  <c:v>0.76437909999999998</c:v>
                </c:pt>
                <c:pt idx="32">
                  <c:v>0.66436130000000004</c:v>
                </c:pt>
                <c:pt idx="33">
                  <c:v>0.65004669999999998</c:v>
                </c:pt>
                <c:pt idx="34">
                  <c:v>0.79429499999999997</c:v>
                </c:pt>
                <c:pt idx="35">
                  <c:v>0.52845620000000004</c:v>
                </c:pt>
                <c:pt idx="36">
                  <c:v>0.57288209999999995</c:v>
                </c:pt>
                <c:pt idx="37">
                  <c:v>0.74225640000000004</c:v>
                </c:pt>
                <c:pt idx="38">
                  <c:v>0.75195480000000003</c:v>
                </c:pt>
                <c:pt idx="39">
                  <c:v>0.87219290000000005</c:v>
                </c:pt>
                <c:pt idx="40">
                  <c:v>0.69090209999999996</c:v>
                </c:pt>
                <c:pt idx="41">
                  <c:v>0.67205910000000002</c:v>
                </c:pt>
                <c:pt idx="42">
                  <c:v>0.66816660000000005</c:v>
                </c:pt>
                <c:pt idx="43">
                  <c:v>0.61779819999999996</c:v>
                </c:pt>
                <c:pt idx="44">
                  <c:v>0.73416239999999999</c:v>
                </c:pt>
                <c:pt idx="45">
                  <c:v>0.58896959999999998</c:v>
                </c:pt>
                <c:pt idx="46">
                  <c:v>0.78731419999999996</c:v>
                </c:pt>
                <c:pt idx="47">
                  <c:v>0.64639740000000001</c:v>
                </c:pt>
                <c:pt idx="48">
                  <c:v>0.80558019999999997</c:v>
                </c:pt>
                <c:pt idx="49">
                  <c:v>0.70965319999999998</c:v>
                </c:pt>
                <c:pt idx="50">
                  <c:v>0.73851250000000002</c:v>
                </c:pt>
                <c:pt idx="51">
                  <c:v>0.67822519999999997</c:v>
                </c:pt>
                <c:pt idx="52">
                  <c:v>0.7409924</c:v>
                </c:pt>
                <c:pt idx="53">
                  <c:v>0.77067350000000001</c:v>
                </c:pt>
                <c:pt idx="54">
                  <c:v>0.74483010000000005</c:v>
                </c:pt>
                <c:pt idx="55">
                  <c:v>0.6696725</c:v>
                </c:pt>
                <c:pt idx="56">
                  <c:v>0.73184689999999997</c:v>
                </c:pt>
                <c:pt idx="57">
                  <c:v>0.69196369999999996</c:v>
                </c:pt>
                <c:pt idx="58">
                  <c:v>0.49687340000000002</c:v>
                </c:pt>
                <c:pt idx="59">
                  <c:v>0.74510960000000004</c:v>
                </c:pt>
                <c:pt idx="60">
                  <c:v>0.63594930000000005</c:v>
                </c:pt>
                <c:pt idx="61">
                  <c:v>0.54752509999999999</c:v>
                </c:pt>
                <c:pt idx="62">
                  <c:v>0.83969859999999996</c:v>
                </c:pt>
                <c:pt idx="63">
                  <c:v>0.78652409999999995</c:v>
                </c:pt>
                <c:pt idx="64">
                  <c:v>0.71392149999999999</c:v>
                </c:pt>
                <c:pt idx="65">
                  <c:v>0.78271880000000005</c:v>
                </c:pt>
                <c:pt idx="66">
                  <c:v>0.70729549999999997</c:v>
                </c:pt>
                <c:pt idx="67">
                  <c:v>0.74751409999999996</c:v>
                </c:pt>
                <c:pt idx="68">
                  <c:v>0.76117970000000001</c:v>
                </c:pt>
                <c:pt idx="69">
                  <c:v>0.38151620000000003</c:v>
                </c:pt>
                <c:pt idx="70">
                  <c:v>0.74279110000000004</c:v>
                </c:pt>
                <c:pt idx="71">
                  <c:v>0.61116340000000002</c:v>
                </c:pt>
                <c:pt idx="72">
                  <c:v>0.6437368</c:v>
                </c:pt>
                <c:pt idx="73">
                  <c:v>0.72799740000000002</c:v>
                </c:pt>
                <c:pt idx="74">
                  <c:v>0.76781440000000001</c:v>
                </c:pt>
                <c:pt idx="75">
                  <c:v>0.85715059999999998</c:v>
                </c:pt>
                <c:pt idx="76">
                  <c:v>0.60972559999999998</c:v>
                </c:pt>
                <c:pt idx="77">
                  <c:v>0.73111130000000002</c:v>
                </c:pt>
                <c:pt idx="78">
                  <c:v>0.69894999999999996</c:v>
                </c:pt>
                <c:pt idx="79">
                  <c:v>0.59891689999999997</c:v>
                </c:pt>
                <c:pt idx="80">
                  <c:v>0.56291139999999995</c:v>
                </c:pt>
                <c:pt idx="81">
                  <c:v>0.5536179</c:v>
                </c:pt>
                <c:pt idx="82">
                  <c:v>0.52852129999999997</c:v>
                </c:pt>
                <c:pt idx="83">
                  <c:v>0.66856499999999996</c:v>
                </c:pt>
                <c:pt idx="84">
                  <c:v>0.36177870000000001</c:v>
                </c:pt>
                <c:pt idx="85">
                  <c:v>0.66175819999999996</c:v>
                </c:pt>
                <c:pt idx="86">
                  <c:v>0.56682310000000002</c:v>
                </c:pt>
                <c:pt idx="87">
                  <c:v>0.77926490000000004</c:v>
                </c:pt>
                <c:pt idx="88">
                  <c:v>0.80362690000000003</c:v>
                </c:pt>
                <c:pt idx="89">
                  <c:v>0.82958460000000001</c:v>
                </c:pt>
                <c:pt idx="90">
                  <c:v>0.49315870000000001</c:v>
                </c:pt>
                <c:pt idx="91">
                  <c:v>0.61970740000000002</c:v>
                </c:pt>
                <c:pt idx="92">
                  <c:v>0.63021170000000004</c:v>
                </c:pt>
                <c:pt idx="93">
                  <c:v>0.83613409999999999</c:v>
                </c:pt>
                <c:pt idx="94">
                  <c:v>0.59753250000000002</c:v>
                </c:pt>
                <c:pt idx="95">
                  <c:v>0.76311810000000002</c:v>
                </c:pt>
                <c:pt idx="96">
                  <c:v>0.70585399999999998</c:v>
                </c:pt>
                <c:pt idx="97">
                  <c:v>0.62166580000000005</c:v>
                </c:pt>
                <c:pt idx="98">
                  <c:v>0.70491429999999999</c:v>
                </c:pt>
                <c:pt idx="99">
                  <c:v>0.57117680000000004</c:v>
                </c:pt>
                <c:pt idx="100">
                  <c:v>0.77043810000000001</c:v>
                </c:pt>
                <c:pt idx="101">
                  <c:v>0.66643399999999997</c:v>
                </c:pt>
                <c:pt idx="102">
                  <c:v>0.76377510000000004</c:v>
                </c:pt>
                <c:pt idx="103">
                  <c:v>0.56319779999999997</c:v>
                </c:pt>
                <c:pt idx="104">
                  <c:v>0.42975989999999997</c:v>
                </c:pt>
                <c:pt idx="105">
                  <c:v>0.76701160000000002</c:v>
                </c:pt>
                <c:pt idx="106">
                  <c:v>0.9750202</c:v>
                </c:pt>
                <c:pt idx="107">
                  <c:v>0.73826210000000003</c:v>
                </c:pt>
              </c:numCache>
            </c:numRef>
          </c:yVal>
          <c:smooth val="0"/>
          <c:extLst>
            <c:ext xmlns:c16="http://schemas.microsoft.com/office/drawing/2014/chart" uri="{C3380CC4-5D6E-409C-BE32-E72D297353CC}">
              <c16:uniqueId val="{00000000-0382-432C-91E3-5BC76957924A}"/>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Rentekostnader!$K$111:$K$213</c:f>
              <c:numCache>
                <c:formatCode>General</c:formatCode>
                <c:ptCount val="103"/>
                <c:pt idx="0">
                  <c:v>0.65127210000000002</c:v>
                </c:pt>
                <c:pt idx="1">
                  <c:v>0.87637370000000003</c:v>
                </c:pt>
                <c:pt idx="2">
                  <c:v>0.77168899999999996</c:v>
                </c:pt>
                <c:pt idx="3">
                  <c:v>0.72519420000000001</c:v>
                </c:pt>
                <c:pt idx="4">
                  <c:v>0.71218079999999995</c:v>
                </c:pt>
                <c:pt idx="5">
                  <c:v>0.73411559999999998</c:v>
                </c:pt>
                <c:pt idx="6">
                  <c:v>0.68976389999999999</c:v>
                </c:pt>
                <c:pt idx="7">
                  <c:v>0.74544379999999999</c:v>
                </c:pt>
                <c:pt idx="8">
                  <c:v>0.78818600000000005</c:v>
                </c:pt>
                <c:pt idx="9">
                  <c:v>0.82418689999999994</c:v>
                </c:pt>
                <c:pt idx="10">
                  <c:v>0.72674950000000005</c:v>
                </c:pt>
                <c:pt idx="11">
                  <c:v>0.65853360000000005</c:v>
                </c:pt>
                <c:pt idx="12">
                  <c:v>0.82816869999999998</c:v>
                </c:pt>
                <c:pt idx="13">
                  <c:v>0.79214890000000004</c:v>
                </c:pt>
                <c:pt idx="14">
                  <c:v>0.70707529999999996</c:v>
                </c:pt>
                <c:pt idx="15">
                  <c:v>0.81977109999999997</c:v>
                </c:pt>
                <c:pt idx="16">
                  <c:v>0.88687190000000005</c:v>
                </c:pt>
                <c:pt idx="17">
                  <c:v>0.7577218</c:v>
                </c:pt>
                <c:pt idx="18">
                  <c:v>0.57291360000000002</c:v>
                </c:pt>
                <c:pt idx="19">
                  <c:v>0.67546150000000005</c:v>
                </c:pt>
                <c:pt idx="20">
                  <c:v>0.69838160000000005</c:v>
                </c:pt>
                <c:pt idx="21">
                  <c:v>0.75993710000000003</c:v>
                </c:pt>
                <c:pt idx="22">
                  <c:v>0.77992119999999998</c:v>
                </c:pt>
                <c:pt idx="23">
                  <c:v>0.50522599999999995</c:v>
                </c:pt>
                <c:pt idx="24">
                  <c:v>0.70815629999999996</c:v>
                </c:pt>
                <c:pt idx="25">
                  <c:v>0.649115</c:v>
                </c:pt>
                <c:pt idx="26">
                  <c:v>0.69497989999999998</c:v>
                </c:pt>
                <c:pt idx="27">
                  <c:v>0.77753499999999998</c:v>
                </c:pt>
                <c:pt idx="28">
                  <c:v>0.73762930000000004</c:v>
                </c:pt>
                <c:pt idx="29">
                  <c:v>0.81841370000000002</c:v>
                </c:pt>
                <c:pt idx="30">
                  <c:v>0.87617440000000002</c:v>
                </c:pt>
                <c:pt idx="31">
                  <c:v>0.72070769999999995</c:v>
                </c:pt>
                <c:pt idx="32">
                  <c:v>0.85094579999999997</c:v>
                </c:pt>
                <c:pt idx="33">
                  <c:v>0.83957709999999997</c:v>
                </c:pt>
                <c:pt idx="34">
                  <c:v>0.7935527</c:v>
                </c:pt>
                <c:pt idx="35">
                  <c:v>0.71054919999999999</c:v>
                </c:pt>
                <c:pt idx="36">
                  <c:v>0.83495589999999997</c:v>
                </c:pt>
                <c:pt idx="37">
                  <c:v>0.79050770000000004</c:v>
                </c:pt>
                <c:pt idx="38">
                  <c:v>0.52928200000000003</c:v>
                </c:pt>
                <c:pt idx="39">
                  <c:v>0.86700600000000005</c:v>
                </c:pt>
                <c:pt idx="40">
                  <c:v>0.8088265</c:v>
                </c:pt>
                <c:pt idx="41">
                  <c:v>0.66503820000000002</c:v>
                </c:pt>
                <c:pt idx="42">
                  <c:v>0.77302760000000004</c:v>
                </c:pt>
                <c:pt idx="43">
                  <c:v>0.77000069999999998</c:v>
                </c:pt>
                <c:pt idx="44">
                  <c:v>0.69848639999999995</c:v>
                </c:pt>
                <c:pt idx="45">
                  <c:v>0.68804189999999998</c:v>
                </c:pt>
                <c:pt idx="46">
                  <c:v>0.73791799999999996</c:v>
                </c:pt>
                <c:pt idx="47">
                  <c:v>0.83248080000000002</c:v>
                </c:pt>
                <c:pt idx="48">
                  <c:v>0.74107299999999998</c:v>
                </c:pt>
                <c:pt idx="49">
                  <c:v>0.70983030000000003</c:v>
                </c:pt>
                <c:pt idx="50">
                  <c:v>0.74875769999999997</c:v>
                </c:pt>
                <c:pt idx="51">
                  <c:v>0.65788659999999999</c:v>
                </c:pt>
                <c:pt idx="52">
                  <c:v>0.74607270000000003</c:v>
                </c:pt>
                <c:pt idx="53">
                  <c:v>0.79147080000000003</c:v>
                </c:pt>
                <c:pt idx="54">
                  <c:v>0.39405449999999997</c:v>
                </c:pt>
                <c:pt idx="55">
                  <c:v>0.61928190000000005</c:v>
                </c:pt>
                <c:pt idx="56">
                  <c:v>0.54451609999999995</c:v>
                </c:pt>
                <c:pt idx="57">
                  <c:v>0.58231750000000004</c:v>
                </c:pt>
                <c:pt idx="58">
                  <c:v>0.79567549999999998</c:v>
                </c:pt>
                <c:pt idx="59">
                  <c:v>0.56820910000000002</c:v>
                </c:pt>
                <c:pt idx="60">
                  <c:v>0.54807850000000002</c:v>
                </c:pt>
                <c:pt idx="61">
                  <c:v>0.81009100000000001</c:v>
                </c:pt>
                <c:pt idx="62">
                  <c:v>0.87178120000000003</c:v>
                </c:pt>
                <c:pt idx="63">
                  <c:v>0.78426340000000005</c:v>
                </c:pt>
                <c:pt idx="64">
                  <c:v>0.7990273</c:v>
                </c:pt>
                <c:pt idx="65">
                  <c:v>0.5667953</c:v>
                </c:pt>
                <c:pt idx="66">
                  <c:v>0.5992748</c:v>
                </c:pt>
                <c:pt idx="67">
                  <c:v>0.64188310000000004</c:v>
                </c:pt>
                <c:pt idx="68">
                  <c:v>0.70888689999999999</c:v>
                </c:pt>
                <c:pt idx="69">
                  <c:v>0.72938409999999998</c:v>
                </c:pt>
                <c:pt idx="70">
                  <c:v>0.55013650000000003</c:v>
                </c:pt>
                <c:pt idx="71">
                  <c:v>0.73866350000000003</c:v>
                </c:pt>
                <c:pt idx="72">
                  <c:v>0.71265599999999996</c:v>
                </c:pt>
                <c:pt idx="73">
                  <c:v>0.66718900000000003</c:v>
                </c:pt>
                <c:pt idx="74">
                  <c:v>0.86717949999999999</c:v>
                </c:pt>
                <c:pt idx="75">
                  <c:v>0.74270659999999999</c:v>
                </c:pt>
                <c:pt idx="76">
                  <c:v>0.81754110000000002</c:v>
                </c:pt>
                <c:pt idx="77">
                  <c:v>0.71738760000000001</c:v>
                </c:pt>
                <c:pt idx="78">
                  <c:v>0.75876370000000004</c:v>
                </c:pt>
                <c:pt idx="79">
                  <c:v>0.69073910000000005</c:v>
                </c:pt>
                <c:pt idx="80">
                  <c:v>0.81553249999999999</c:v>
                </c:pt>
                <c:pt idx="81">
                  <c:v>0.58992080000000002</c:v>
                </c:pt>
                <c:pt idx="82">
                  <c:v>0.65742520000000004</c:v>
                </c:pt>
                <c:pt idx="83">
                  <c:v>0.80437289999999995</c:v>
                </c:pt>
                <c:pt idx="84">
                  <c:v>0.68943290000000002</c:v>
                </c:pt>
                <c:pt idx="85">
                  <c:v>0.73008839999999997</c:v>
                </c:pt>
                <c:pt idx="86">
                  <c:v>0.53136839999999996</c:v>
                </c:pt>
                <c:pt idx="87">
                  <c:v>0.83380849999999995</c:v>
                </c:pt>
                <c:pt idx="88">
                  <c:v>0.76940739999999996</c:v>
                </c:pt>
                <c:pt idx="89">
                  <c:v>0.71022540000000001</c:v>
                </c:pt>
                <c:pt idx="90">
                  <c:v>0.76265590000000005</c:v>
                </c:pt>
                <c:pt idx="91">
                  <c:v>0.68608159999999996</c:v>
                </c:pt>
                <c:pt idx="92">
                  <c:v>0.74758259999999999</c:v>
                </c:pt>
                <c:pt idx="93">
                  <c:v>0.85943060000000004</c:v>
                </c:pt>
                <c:pt idx="94">
                  <c:v>0.66630579999999995</c:v>
                </c:pt>
                <c:pt idx="95">
                  <c:v>0.8267468</c:v>
                </c:pt>
                <c:pt idx="96">
                  <c:v>0.77794200000000002</c:v>
                </c:pt>
                <c:pt idx="97">
                  <c:v>0.67745679999999997</c:v>
                </c:pt>
                <c:pt idx="98">
                  <c:v>0.78103509999999998</c:v>
                </c:pt>
                <c:pt idx="99">
                  <c:v>0.78708029999999995</c:v>
                </c:pt>
                <c:pt idx="100">
                  <c:v>0.75816640000000002</c:v>
                </c:pt>
                <c:pt idx="101">
                  <c:v>0.82281300000000002</c:v>
                </c:pt>
                <c:pt idx="102">
                  <c:v>0.63041590000000003</c:v>
                </c:pt>
              </c:numCache>
            </c:numRef>
          </c:yVal>
          <c:smooth val="0"/>
          <c:extLst>
            <c:ext xmlns:c16="http://schemas.microsoft.com/office/drawing/2014/chart" uri="{C3380CC4-5D6E-409C-BE32-E72D297353CC}">
              <c16:uniqueId val="{00000001-0382-432C-91E3-5BC76957924A}"/>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Rentekostnader!$K$214:$K$278</c:f>
              <c:numCache>
                <c:formatCode>General</c:formatCode>
                <c:ptCount val="65"/>
                <c:pt idx="0">
                  <c:v>0.82452329999999996</c:v>
                </c:pt>
                <c:pt idx="1">
                  <c:v>0.7597583</c:v>
                </c:pt>
                <c:pt idx="2">
                  <c:v>0.64250280000000004</c:v>
                </c:pt>
                <c:pt idx="3">
                  <c:v>0.78910009999999997</c:v>
                </c:pt>
                <c:pt idx="4">
                  <c:v>0.89293020000000001</c:v>
                </c:pt>
                <c:pt idx="5">
                  <c:v>0.6826835</c:v>
                </c:pt>
                <c:pt idx="6">
                  <c:v>0.66067960000000003</c:v>
                </c:pt>
                <c:pt idx="7">
                  <c:v>0.77900250000000004</c:v>
                </c:pt>
                <c:pt idx="8">
                  <c:v>0.68964349999999996</c:v>
                </c:pt>
                <c:pt idx="9">
                  <c:v>0.70639350000000001</c:v>
                </c:pt>
                <c:pt idx="10">
                  <c:v>0.74908640000000004</c:v>
                </c:pt>
                <c:pt idx="11">
                  <c:v>0.72321279999999999</c:v>
                </c:pt>
                <c:pt idx="12">
                  <c:v>0.69552809999999998</c:v>
                </c:pt>
                <c:pt idx="13">
                  <c:v>0.74372490000000002</c:v>
                </c:pt>
                <c:pt idx="14">
                  <c:v>0.67780929999999995</c:v>
                </c:pt>
                <c:pt idx="15">
                  <c:v>0.72315410000000002</c:v>
                </c:pt>
                <c:pt idx="16">
                  <c:v>0.731437</c:v>
                </c:pt>
                <c:pt idx="17">
                  <c:v>0.65673389999999998</c:v>
                </c:pt>
                <c:pt idx="18">
                  <c:v>0.76367620000000003</c:v>
                </c:pt>
                <c:pt idx="19">
                  <c:v>0.8200923</c:v>
                </c:pt>
                <c:pt idx="20">
                  <c:v>0.78225239999999996</c:v>
                </c:pt>
                <c:pt idx="21">
                  <c:v>0.56906239999999997</c:v>
                </c:pt>
                <c:pt idx="22">
                  <c:v>0.72861609999999999</c:v>
                </c:pt>
                <c:pt idx="23">
                  <c:v>0.74137500000000001</c:v>
                </c:pt>
                <c:pt idx="24">
                  <c:v>0.76189099999999998</c:v>
                </c:pt>
                <c:pt idx="25">
                  <c:v>0.85226769999999996</c:v>
                </c:pt>
                <c:pt idx="26">
                  <c:v>0.77900049999999998</c:v>
                </c:pt>
                <c:pt idx="27">
                  <c:v>0.70551739999999996</c:v>
                </c:pt>
                <c:pt idx="28">
                  <c:v>0.68616710000000003</c:v>
                </c:pt>
                <c:pt idx="29">
                  <c:v>0.81313100000000005</c:v>
                </c:pt>
                <c:pt idx="30">
                  <c:v>0.78923390000000004</c:v>
                </c:pt>
                <c:pt idx="31">
                  <c:v>0.7780532</c:v>
                </c:pt>
                <c:pt idx="32">
                  <c:v>0.80841359999999995</c:v>
                </c:pt>
                <c:pt idx="33">
                  <c:v>0.69647380000000003</c:v>
                </c:pt>
                <c:pt idx="34">
                  <c:v>0.80831439999999999</c:v>
                </c:pt>
                <c:pt idx="35">
                  <c:v>0.71305719999999995</c:v>
                </c:pt>
                <c:pt idx="36">
                  <c:v>0.86193249999999999</c:v>
                </c:pt>
                <c:pt idx="37">
                  <c:v>0.82167239999999997</c:v>
                </c:pt>
                <c:pt idx="38">
                  <c:v>0.74032240000000005</c:v>
                </c:pt>
                <c:pt idx="39">
                  <c:v>0.78678820000000005</c:v>
                </c:pt>
                <c:pt idx="40">
                  <c:v>0.71304199999999995</c:v>
                </c:pt>
                <c:pt idx="41">
                  <c:v>0.85406939999999998</c:v>
                </c:pt>
                <c:pt idx="42">
                  <c:v>0.73927339999999997</c:v>
                </c:pt>
                <c:pt idx="43">
                  <c:v>0.79764659999999998</c:v>
                </c:pt>
                <c:pt idx="44">
                  <c:v>0.86305169999999998</c:v>
                </c:pt>
                <c:pt idx="45">
                  <c:v>0.72633369999999997</c:v>
                </c:pt>
                <c:pt idx="46">
                  <c:v>0.71542839999999996</c:v>
                </c:pt>
                <c:pt idx="47">
                  <c:v>0.56200799999999995</c:v>
                </c:pt>
                <c:pt idx="48">
                  <c:v>0.74530229999999997</c:v>
                </c:pt>
                <c:pt idx="49">
                  <c:v>0.87172150000000004</c:v>
                </c:pt>
                <c:pt idx="50">
                  <c:v>0.78959420000000002</c:v>
                </c:pt>
                <c:pt idx="51">
                  <c:v>0.80543039999999999</c:v>
                </c:pt>
                <c:pt idx="52">
                  <c:v>0.69449899999999998</c:v>
                </c:pt>
                <c:pt idx="53">
                  <c:v>0.82663149999999996</c:v>
                </c:pt>
                <c:pt idx="54">
                  <c:v>0.78989909999999997</c:v>
                </c:pt>
                <c:pt idx="55">
                  <c:v>0.81074299999999999</c:v>
                </c:pt>
                <c:pt idx="56">
                  <c:v>0.80240670000000003</c:v>
                </c:pt>
                <c:pt idx="57">
                  <c:v>0.83819049999999995</c:v>
                </c:pt>
                <c:pt idx="58">
                  <c:v>0.75355649999999996</c:v>
                </c:pt>
                <c:pt idx="59">
                  <c:v>0.75965700000000003</c:v>
                </c:pt>
                <c:pt idx="60">
                  <c:v>0.75326899999999997</c:v>
                </c:pt>
                <c:pt idx="61">
                  <c:v>0.77157810000000004</c:v>
                </c:pt>
                <c:pt idx="62">
                  <c:v>0.71011970000000002</c:v>
                </c:pt>
                <c:pt idx="63">
                  <c:v>0.66689160000000003</c:v>
                </c:pt>
                <c:pt idx="64">
                  <c:v>0.89860549999999995</c:v>
                </c:pt>
              </c:numCache>
            </c:numRef>
          </c:yVal>
          <c:smooth val="0"/>
          <c:extLst>
            <c:ext xmlns:c16="http://schemas.microsoft.com/office/drawing/2014/chart" uri="{C3380CC4-5D6E-409C-BE32-E72D297353CC}">
              <c16:uniqueId val="{00000002-0382-432C-91E3-5BC76957924A}"/>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Rentekostnader!$K$279:$K$332</c:f>
              <c:numCache>
                <c:formatCode>General</c:formatCode>
                <c:ptCount val="54"/>
                <c:pt idx="0">
                  <c:v>0.71476669999999998</c:v>
                </c:pt>
                <c:pt idx="1">
                  <c:v>0.79880830000000003</c:v>
                </c:pt>
                <c:pt idx="2">
                  <c:v>0.83767519999999995</c:v>
                </c:pt>
                <c:pt idx="3">
                  <c:v>0.72799130000000001</c:v>
                </c:pt>
                <c:pt idx="4">
                  <c:v>0.73774519999999999</c:v>
                </c:pt>
                <c:pt idx="5">
                  <c:v>0.78902490000000003</c:v>
                </c:pt>
                <c:pt idx="6">
                  <c:v>0.772038</c:v>
                </c:pt>
                <c:pt idx="7">
                  <c:v>0.56777200000000005</c:v>
                </c:pt>
                <c:pt idx="8">
                  <c:v>0.77302000000000004</c:v>
                </c:pt>
                <c:pt idx="9">
                  <c:v>0.75311410000000001</c:v>
                </c:pt>
                <c:pt idx="10">
                  <c:v>0.72495149999999997</c:v>
                </c:pt>
                <c:pt idx="11">
                  <c:v>0.71401769999999998</c:v>
                </c:pt>
                <c:pt idx="12">
                  <c:v>0.76252549999999997</c:v>
                </c:pt>
                <c:pt idx="13">
                  <c:v>0.75070269999999995</c:v>
                </c:pt>
                <c:pt idx="14">
                  <c:v>0.75795040000000002</c:v>
                </c:pt>
                <c:pt idx="15">
                  <c:v>0.81986139999999996</c:v>
                </c:pt>
                <c:pt idx="16">
                  <c:v>0.78731850000000003</c:v>
                </c:pt>
                <c:pt idx="17">
                  <c:v>0.70973960000000003</c:v>
                </c:pt>
                <c:pt idx="18">
                  <c:v>0.72396539999999998</c:v>
                </c:pt>
                <c:pt idx="19">
                  <c:v>0.79482699999999995</c:v>
                </c:pt>
                <c:pt idx="20">
                  <c:v>0.74469600000000002</c:v>
                </c:pt>
                <c:pt idx="21">
                  <c:v>0.74825189999999997</c:v>
                </c:pt>
                <c:pt idx="22">
                  <c:v>0.80826779999999998</c:v>
                </c:pt>
                <c:pt idx="23">
                  <c:v>0.78645240000000005</c:v>
                </c:pt>
                <c:pt idx="24">
                  <c:v>0.61286479999999999</c:v>
                </c:pt>
                <c:pt idx="25">
                  <c:v>0.64263519999999996</c:v>
                </c:pt>
                <c:pt idx="26">
                  <c:v>0.7490289</c:v>
                </c:pt>
                <c:pt idx="27">
                  <c:v>0.75342810000000005</c:v>
                </c:pt>
                <c:pt idx="28">
                  <c:v>0.68133310000000002</c:v>
                </c:pt>
                <c:pt idx="29">
                  <c:v>0.84809460000000003</c:v>
                </c:pt>
                <c:pt idx="30">
                  <c:v>0.54783090000000001</c:v>
                </c:pt>
                <c:pt idx="31">
                  <c:v>0.71760800000000002</c:v>
                </c:pt>
                <c:pt idx="32">
                  <c:v>0.74691989999999997</c:v>
                </c:pt>
                <c:pt idx="33">
                  <c:v>0.75434650000000003</c:v>
                </c:pt>
                <c:pt idx="34">
                  <c:v>0.77533660000000004</c:v>
                </c:pt>
                <c:pt idx="35">
                  <c:v>0.75238839999999996</c:v>
                </c:pt>
                <c:pt idx="36">
                  <c:v>0.72371669999999999</c:v>
                </c:pt>
                <c:pt idx="37">
                  <c:v>0.71612569999999998</c:v>
                </c:pt>
                <c:pt idx="38">
                  <c:v>0.73956489999999997</c:v>
                </c:pt>
                <c:pt idx="39">
                  <c:v>0.70798159999999999</c:v>
                </c:pt>
                <c:pt idx="40">
                  <c:v>0.70209350000000004</c:v>
                </c:pt>
                <c:pt idx="41">
                  <c:v>0.60897679999999998</c:v>
                </c:pt>
                <c:pt idx="42">
                  <c:v>0.72779939999999999</c:v>
                </c:pt>
                <c:pt idx="43">
                  <c:v>0.90778029999999998</c:v>
                </c:pt>
                <c:pt idx="44">
                  <c:v>0.82352449999999999</c:v>
                </c:pt>
                <c:pt idx="45">
                  <c:v>0.72738159999999996</c:v>
                </c:pt>
                <c:pt idx="46">
                  <c:v>0.78484259999999995</c:v>
                </c:pt>
                <c:pt idx="47">
                  <c:v>0.72842569999999995</c:v>
                </c:pt>
                <c:pt idx="48">
                  <c:v>0.78806500000000002</c:v>
                </c:pt>
                <c:pt idx="49">
                  <c:v>0.73366710000000002</c:v>
                </c:pt>
                <c:pt idx="50">
                  <c:v>0.6700583</c:v>
                </c:pt>
                <c:pt idx="51">
                  <c:v>0.79633410000000004</c:v>
                </c:pt>
                <c:pt idx="52">
                  <c:v>0.7354096</c:v>
                </c:pt>
                <c:pt idx="53">
                  <c:v>0.74486189999999997</c:v>
                </c:pt>
              </c:numCache>
            </c:numRef>
          </c:yVal>
          <c:smooth val="0"/>
          <c:extLst>
            <c:ext xmlns:c16="http://schemas.microsoft.com/office/drawing/2014/chart" uri="{C3380CC4-5D6E-409C-BE32-E72D297353CC}">
              <c16:uniqueId val="{00000003-0382-432C-91E3-5BC76957924A}"/>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Rentekostnader!$K$333:$K$353</c:f>
              <c:numCache>
                <c:formatCode>General</c:formatCode>
                <c:ptCount val="21"/>
                <c:pt idx="0">
                  <c:v>0.63327089999999997</c:v>
                </c:pt>
                <c:pt idx="1">
                  <c:v>0.571492</c:v>
                </c:pt>
                <c:pt idx="2">
                  <c:v>0.65987090000000004</c:v>
                </c:pt>
                <c:pt idx="3">
                  <c:v>0.72590330000000003</c:v>
                </c:pt>
                <c:pt idx="4">
                  <c:v>0.5708685</c:v>
                </c:pt>
                <c:pt idx="5">
                  <c:v>0.79885819999999996</c:v>
                </c:pt>
                <c:pt idx="6">
                  <c:v>0.74483169999999999</c:v>
                </c:pt>
                <c:pt idx="7">
                  <c:v>0.78858870000000003</c:v>
                </c:pt>
                <c:pt idx="8">
                  <c:v>0.72742669999999998</c:v>
                </c:pt>
                <c:pt idx="9">
                  <c:v>0.60199480000000005</c:v>
                </c:pt>
                <c:pt idx="10">
                  <c:v>0.80299790000000004</c:v>
                </c:pt>
                <c:pt idx="11">
                  <c:v>0.74362430000000002</c:v>
                </c:pt>
                <c:pt idx="12">
                  <c:v>0.74770999999999999</c:v>
                </c:pt>
                <c:pt idx="13">
                  <c:v>0.51586529999999997</c:v>
                </c:pt>
                <c:pt idx="14">
                  <c:v>0.77395590000000003</c:v>
                </c:pt>
                <c:pt idx="15">
                  <c:v>0.67638520000000002</c:v>
                </c:pt>
                <c:pt idx="16">
                  <c:v>0.75776960000000004</c:v>
                </c:pt>
                <c:pt idx="17">
                  <c:v>0.77394450000000004</c:v>
                </c:pt>
                <c:pt idx="18">
                  <c:v>0.63846689999999995</c:v>
                </c:pt>
                <c:pt idx="19">
                  <c:v>0.78722800000000004</c:v>
                </c:pt>
                <c:pt idx="20">
                  <c:v>0.67226569999999997</c:v>
                </c:pt>
              </c:numCache>
            </c:numRef>
          </c:yVal>
          <c:smooth val="0"/>
          <c:extLst>
            <c:ext xmlns:c16="http://schemas.microsoft.com/office/drawing/2014/chart" uri="{C3380CC4-5D6E-409C-BE32-E72D297353CC}">
              <c16:uniqueId val="{00000004-0382-432C-91E3-5BC76957924A}"/>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Rentekostnader!$K$354:$K$358</c:f>
              <c:numCache>
                <c:formatCode>General</c:formatCode>
                <c:ptCount val="5"/>
                <c:pt idx="0">
                  <c:v>0.58099529999999999</c:v>
                </c:pt>
                <c:pt idx="1">
                  <c:v>0.72905019999999998</c:v>
                </c:pt>
                <c:pt idx="2">
                  <c:v>0.77841890000000002</c:v>
                </c:pt>
                <c:pt idx="3">
                  <c:v>0.70603640000000001</c:v>
                </c:pt>
                <c:pt idx="4">
                  <c:v>0.52132990000000001</c:v>
                </c:pt>
              </c:numCache>
            </c:numRef>
          </c:yVal>
          <c:smooth val="0"/>
          <c:extLst>
            <c:ext xmlns:c16="http://schemas.microsoft.com/office/drawing/2014/chart" uri="{C3380CC4-5D6E-409C-BE32-E72D297353CC}">
              <c16:uniqueId val="{00000005-0382-432C-91E3-5BC76957924A}"/>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ax val="1"/>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Samlet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Rentekostnader!$L$3:$L$110</c:f>
              <c:numCache>
                <c:formatCode>General</c:formatCode>
                <c:ptCount val="108"/>
                <c:pt idx="0">
                  <c:v>2.8310399999999999E-2</c:v>
                </c:pt>
                <c:pt idx="1">
                  <c:v>5.19277E-2</c:v>
                </c:pt>
                <c:pt idx="2">
                  <c:v>2.80749E-2</c:v>
                </c:pt>
                <c:pt idx="3">
                  <c:v>5.2743999999999999E-2</c:v>
                </c:pt>
                <c:pt idx="4">
                  <c:v>4.5005900000000001E-2</c:v>
                </c:pt>
                <c:pt idx="5">
                  <c:v>3.7940000000000002E-2</c:v>
                </c:pt>
                <c:pt idx="6">
                  <c:v>4.4891E-2</c:v>
                </c:pt>
                <c:pt idx="7">
                  <c:v>3.6463700000000002E-2</c:v>
                </c:pt>
                <c:pt idx="8">
                  <c:v>4.9425200000000002E-2</c:v>
                </c:pt>
                <c:pt idx="9">
                  <c:v>8.3212999999999995E-2</c:v>
                </c:pt>
                <c:pt idx="10">
                  <c:v>4.4694400000000002E-2</c:v>
                </c:pt>
                <c:pt idx="11">
                  <c:v>3.5649899999999998E-2</c:v>
                </c:pt>
                <c:pt idx="12">
                  <c:v>5.0304500000000002E-2</c:v>
                </c:pt>
                <c:pt idx="13">
                  <c:v>3.1919000000000003E-2</c:v>
                </c:pt>
                <c:pt idx="14">
                  <c:v>8.3751000000000006E-2</c:v>
                </c:pt>
                <c:pt idx="15">
                  <c:v>5.3244300000000001E-2</c:v>
                </c:pt>
                <c:pt idx="16">
                  <c:v>1.9780599999999999E-2</c:v>
                </c:pt>
                <c:pt idx="17">
                  <c:v>5.6744099999999999E-2</c:v>
                </c:pt>
                <c:pt idx="18">
                  <c:v>7.4964000000000003E-2</c:v>
                </c:pt>
                <c:pt idx="19">
                  <c:v>3.6502100000000003E-2</c:v>
                </c:pt>
                <c:pt idx="20">
                  <c:v>4.3285400000000002E-2</c:v>
                </c:pt>
                <c:pt idx="21">
                  <c:v>7.5584399999999996E-2</c:v>
                </c:pt>
                <c:pt idx="22">
                  <c:v>4.6346400000000003E-2</c:v>
                </c:pt>
                <c:pt idx="23">
                  <c:v>4.1442E-2</c:v>
                </c:pt>
                <c:pt idx="24">
                  <c:v>2.83355E-2</c:v>
                </c:pt>
                <c:pt idx="25">
                  <c:v>3.87604E-2</c:v>
                </c:pt>
                <c:pt idx="26">
                  <c:v>4.5898599999999998E-2</c:v>
                </c:pt>
                <c:pt idx="27">
                  <c:v>4.2032100000000003E-2</c:v>
                </c:pt>
                <c:pt idx="28">
                  <c:v>4.6954000000000003E-2</c:v>
                </c:pt>
                <c:pt idx="29">
                  <c:v>6.4766599999999994E-2</c:v>
                </c:pt>
                <c:pt idx="30">
                  <c:v>3.2312500000000001E-2</c:v>
                </c:pt>
                <c:pt idx="31">
                  <c:v>5.7969399999999997E-2</c:v>
                </c:pt>
                <c:pt idx="32">
                  <c:v>8.3351599999999998E-2</c:v>
                </c:pt>
                <c:pt idx="33">
                  <c:v>5.8942300000000003E-2</c:v>
                </c:pt>
                <c:pt idx="34">
                  <c:v>6.2425599999999998E-2</c:v>
                </c:pt>
                <c:pt idx="35">
                  <c:v>4.2219199999999998E-2</c:v>
                </c:pt>
                <c:pt idx="36">
                  <c:v>4.6885700000000002E-2</c:v>
                </c:pt>
                <c:pt idx="37">
                  <c:v>4.1836699999999998E-2</c:v>
                </c:pt>
                <c:pt idx="38">
                  <c:v>5.2570499999999999E-2</c:v>
                </c:pt>
                <c:pt idx="39">
                  <c:v>4.9582500000000002E-2</c:v>
                </c:pt>
                <c:pt idx="40">
                  <c:v>4.2597200000000002E-2</c:v>
                </c:pt>
                <c:pt idx="41">
                  <c:v>5.4674500000000001E-2</c:v>
                </c:pt>
                <c:pt idx="42">
                  <c:v>6.2369599999999997E-2</c:v>
                </c:pt>
                <c:pt idx="43">
                  <c:v>3.9675500000000002E-2</c:v>
                </c:pt>
                <c:pt idx="44">
                  <c:v>4.6932799999999997E-2</c:v>
                </c:pt>
                <c:pt idx="45">
                  <c:v>4.6128299999999997E-2</c:v>
                </c:pt>
                <c:pt idx="46">
                  <c:v>4.4837399999999999E-2</c:v>
                </c:pt>
                <c:pt idx="47">
                  <c:v>4.6900600000000001E-2</c:v>
                </c:pt>
                <c:pt idx="48">
                  <c:v>7.6659500000000005E-2</c:v>
                </c:pt>
                <c:pt idx="49">
                  <c:v>5.32966E-2</c:v>
                </c:pt>
                <c:pt idx="50">
                  <c:v>5.0082700000000001E-2</c:v>
                </c:pt>
                <c:pt idx="51">
                  <c:v>5.7061899999999999E-2</c:v>
                </c:pt>
                <c:pt idx="52">
                  <c:v>7.26406E-2</c:v>
                </c:pt>
                <c:pt idx="53">
                  <c:v>5.1534799999999999E-2</c:v>
                </c:pt>
                <c:pt idx="54">
                  <c:v>4.5439899999999998E-2</c:v>
                </c:pt>
                <c:pt idx="55">
                  <c:v>4.1003499999999998E-2</c:v>
                </c:pt>
                <c:pt idx="56">
                  <c:v>2.91305E-2</c:v>
                </c:pt>
                <c:pt idx="57">
                  <c:v>5.3109900000000002E-2</c:v>
                </c:pt>
                <c:pt idx="58">
                  <c:v>3.4891100000000001E-2</c:v>
                </c:pt>
                <c:pt idx="59">
                  <c:v>4.3167499999999998E-2</c:v>
                </c:pt>
                <c:pt idx="60">
                  <c:v>5.4355800000000003E-2</c:v>
                </c:pt>
                <c:pt idx="61">
                  <c:v>4.2912800000000001E-2</c:v>
                </c:pt>
                <c:pt idx="62">
                  <c:v>8.4551799999999996E-2</c:v>
                </c:pt>
                <c:pt idx="63">
                  <c:v>4.7772299999999997E-2</c:v>
                </c:pt>
                <c:pt idx="64">
                  <c:v>6.1861399999999997E-2</c:v>
                </c:pt>
                <c:pt idx="65">
                  <c:v>5.7938900000000002E-2</c:v>
                </c:pt>
                <c:pt idx="66">
                  <c:v>4.45896E-2</c:v>
                </c:pt>
                <c:pt idx="67">
                  <c:v>1.6780400000000001E-2</c:v>
                </c:pt>
                <c:pt idx="68">
                  <c:v>4.6905700000000002E-2</c:v>
                </c:pt>
                <c:pt idx="69">
                  <c:v>2.8598800000000001E-2</c:v>
                </c:pt>
                <c:pt idx="70">
                  <c:v>5.0758999999999999E-2</c:v>
                </c:pt>
                <c:pt idx="71">
                  <c:v>5.2868699999999998E-2</c:v>
                </c:pt>
                <c:pt idx="72">
                  <c:v>4.6598800000000003E-2</c:v>
                </c:pt>
                <c:pt idx="73">
                  <c:v>4.3544600000000003E-2</c:v>
                </c:pt>
                <c:pt idx="74">
                  <c:v>6.1518400000000001E-2</c:v>
                </c:pt>
                <c:pt idx="75">
                  <c:v>3.8998400000000003E-2</c:v>
                </c:pt>
                <c:pt idx="76">
                  <c:v>5.4497700000000003E-2</c:v>
                </c:pt>
                <c:pt idx="77">
                  <c:v>6.4828700000000003E-2</c:v>
                </c:pt>
                <c:pt idx="78">
                  <c:v>3.9195399999999998E-2</c:v>
                </c:pt>
                <c:pt idx="79">
                  <c:v>5.1568000000000003E-2</c:v>
                </c:pt>
                <c:pt idx="80">
                  <c:v>3.0355400000000001E-2</c:v>
                </c:pt>
                <c:pt idx="81">
                  <c:v>3.7429299999999999E-2</c:v>
                </c:pt>
                <c:pt idx="82">
                  <c:v>3.9678100000000001E-2</c:v>
                </c:pt>
                <c:pt idx="83">
                  <c:v>4.0037900000000001E-2</c:v>
                </c:pt>
                <c:pt idx="84">
                  <c:v>3.80478E-2</c:v>
                </c:pt>
                <c:pt idx="85">
                  <c:v>1.8585399999999998E-2</c:v>
                </c:pt>
                <c:pt idx="86">
                  <c:v>3.2738499999999997E-2</c:v>
                </c:pt>
                <c:pt idx="87">
                  <c:v>5.1336399999999997E-2</c:v>
                </c:pt>
                <c:pt idx="88">
                  <c:v>6.0657000000000003E-2</c:v>
                </c:pt>
                <c:pt idx="89">
                  <c:v>4.1900100000000003E-2</c:v>
                </c:pt>
                <c:pt idx="90">
                  <c:v>4.6997799999999999E-2</c:v>
                </c:pt>
                <c:pt idx="91">
                  <c:v>4.4662800000000002E-2</c:v>
                </c:pt>
                <c:pt idx="92">
                  <c:v>3.7426599999999997E-2</c:v>
                </c:pt>
                <c:pt idx="93">
                  <c:v>4.1002299999999998E-2</c:v>
                </c:pt>
                <c:pt idx="94">
                  <c:v>2.9976200000000001E-2</c:v>
                </c:pt>
                <c:pt idx="95">
                  <c:v>3.6039399999999999E-2</c:v>
                </c:pt>
                <c:pt idx="96">
                  <c:v>7.99821E-2</c:v>
                </c:pt>
                <c:pt idx="97">
                  <c:v>5.7617599999999998E-2</c:v>
                </c:pt>
                <c:pt idx="98">
                  <c:v>3.2934400000000003E-2</c:v>
                </c:pt>
                <c:pt idx="99">
                  <c:v>3.7138999999999998E-2</c:v>
                </c:pt>
                <c:pt idx="100">
                  <c:v>4.8835299999999998E-2</c:v>
                </c:pt>
                <c:pt idx="101">
                  <c:v>4.6377599999999998E-2</c:v>
                </c:pt>
                <c:pt idx="102">
                  <c:v>5.3855199999999999E-2</c:v>
                </c:pt>
                <c:pt idx="103">
                  <c:v>3.22946E-2</c:v>
                </c:pt>
                <c:pt idx="104">
                  <c:v>3.2535799999999997E-2</c:v>
                </c:pt>
                <c:pt idx="105">
                  <c:v>0.1049713</c:v>
                </c:pt>
                <c:pt idx="106">
                  <c:v>0.21308669999999999</c:v>
                </c:pt>
                <c:pt idx="107">
                  <c:v>3.1606000000000002E-2</c:v>
                </c:pt>
              </c:numCache>
            </c:numRef>
          </c:yVal>
          <c:smooth val="0"/>
          <c:extLst>
            <c:ext xmlns:c16="http://schemas.microsoft.com/office/drawing/2014/chart" uri="{C3380CC4-5D6E-409C-BE32-E72D297353CC}">
              <c16:uniqueId val="{00000000-7C92-450D-887D-9C79C13089BC}"/>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Rentekostnader!$L$111:$L$213</c:f>
              <c:numCache>
                <c:formatCode>General</c:formatCode>
                <c:ptCount val="103"/>
                <c:pt idx="0">
                  <c:v>6.1498799999999999E-2</c:v>
                </c:pt>
                <c:pt idx="1">
                  <c:v>3.6059800000000003E-2</c:v>
                </c:pt>
                <c:pt idx="2">
                  <c:v>6.52364E-2</c:v>
                </c:pt>
                <c:pt idx="3">
                  <c:v>4.6875699999999999E-2</c:v>
                </c:pt>
                <c:pt idx="4">
                  <c:v>5.1668499999999999E-2</c:v>
                </c:pt>
                <c:pt idx="5">
                  <c:v>6.2165400000000003E-2</c:v>
                </c:pt>
                <c:pt idx="6">
                  <c:v>5.1580000000000001E-2</c:v>
                </c:pt>
                <c:pt idx="7">
                  <c:v>3.92833E-2</c:v>
                </c:pt>
                <c:pt idx="8">
                  <c:v>4.8413100000000001E-2</c:v>
                </c:pt>
                <c:pt idx="9">
                  <c:v>4.7818300000000001E-2</c:v>
                </c:pt>
                <c:pt idx="10">
                  <c:v>4.1865100000000002E-2</c:v>
                </c:pt>
                <c:pt idx="11">
                  <c:v>5.0457500000000002E-2</c:v>
                </c:pt>
                <c:pt idx="12">
                  <c:v>5.2190399999999998E-2</c:v>
                </c:pt>
                <c:pt idx="13">
                  <c:v>4.2216200000000002E-2</c:v>
                </c:pt>
                <c:pt idx="14">
                  <c:v>6.1516000000000001E-2</c:v>
                </c:pt>
                <c:pt idx="15">
                  <c:v>5.0027200000000001E-2</c:v>
                </c:pt>
                <c:pt idx="16">
                  <c:v>8.7647100000000006E-2</c:v>
                </c:pt>
                <c:pt idx="17">
                  <c:v>5.4739000000000003E-2</c:v>
                </c:pt>
                <c:pt idx="18">
                  <c:v>5.1102799999999997E-2</c:v>
                </c:pt>
                <c:pt idx="19">
                  <c:v>4.3208799999999999E-2</c:v>
                </c:pt>
                <c:pt idx="20">
                  <c:v>4.5607500000000002E-2</c:v>
                </c:pt>
                <c:pt idx="21">
                  <c:v>4.8575199999999999E-2</c:v>
                </c:pt>
                <c:pt idx="22">
                  <c:v>5.6156200000000003E-2</c:v>
                </c:pt>
                <c:pt idx="23">
                  <c:v>4.7179499999999999E-2</c:v>
                </c:pt>
                <c:pt idx="24">
                  <c:v>4.2189900000000002E-2</c:v>
                </c:pt>
                <c:pt idx="25">
                  <c:v>5.9375600000000001E-2</c:v>
                </c:pt>
                <c:pt idx="26">
                  <c:v>4.5650200000000002E-2</c:v>
                </c:pt>
                <c:pt idx="27">
                  <c:v>4.1739499999999999E-2</c:v>
                </c:pt>
                <c:pt idx="28">
                  <c:v>5.0868299999999998E-2</c:v>
                </c:pt>
                <c:pt idx="29">
                  <c:v>5.80431E-2</c:v>
                </c:pt>
                <c:pt idx="30">
                  <c:v>5.3662099999999997E-2</c:v>
                </c:pt>
                <c:pt idx="31">
                  <c:v>5.3690300000000003E-2</c:v>
                </c:pt>
                <c:pt idx="32">
                  <c:v>4.4672000000000003E-2</c:v>
                </c:pt>
                <c:pt idx="33">
                  <c:v>6.0912099999999997E-2</c:v>
                </c:pt>
                <c:pt idx="34">
                  <c:v>5.3416699999999998E-2</c:v>
                </c:pt>
                <c:pt idx="35">
                  <c:v>6.1010000000000002E-2</c:v>
                </c:pt>
                <c:pt idx="36">
                  <c:v>4.72758E-2</c:v>
                </c:pt>
                <c:pt idx="37">
                  <c:v>5.3535699999999999E-2</c:v>
                </c:pt>
                <c:pt idx="38">
                  <c:v>4.6450499999999999E-2</c:v>
                </c:pt>
                <c:pt idx="39">
                  <c:v>5.8748599999999998E-2</c:v>
                </c:pt>
                <c:pt idx="40">
                  <c:v>4.4691000000000002E-2</c:v>
                </c:pt>
                <c:pt idx="41">
                  <c:v>5.2376199999999998E-2</c:v>
                </c:pt>
                <c:pt idx="42">
                  <c:v>5.3814899999999999E-2</c:v>
                </c:pt>
                <c:pt idx="43">
                  <c:v>5.7418900000000002E-2</c:v>
                </c:pt>
                <c:pt idx="44">
                  <c:v>5.40128E-2</c:v>
                </c:pt>
                <c:pt idx="45">
                  <c:v>4.2380099999999997E-2</c:v>
                </c:pt>
                <c:pt idx="46">
                  <c:v>4.5828099999999997E-2</c:v>
                </c:pt>
                <c:pt idx="47">
                  <c:v>4.6245500000000002E-2</c:v>
                </c:pt>
                <c:pt idx="48">
                  <c:v>4.4296500000000003E-2</c:v>
                </c:pt>
                <c:pt idx="49">
                  <c:v>4.0412499999999997E-2</c:v>
                </c:pt>
                <c:pt idx="50">
                  <c:v>4.3759300000000001E-2</c:v>
                </c:pt>
                <c:pt idx="51">
                  <c:v>3.5394000000000002E-2</c:v>
                </c:pt>
                <c:pt idx="52">
                  <c:v>6.21168E-2</c:v>
                </c:pt>
                <c:pt idx="53">
                  <c:v>3.1007199999999999E-2</c:v>
                </c:pt>
                <c:pt idx="54">
                  <c:v>4.55051E-2</c:v>
                </c:pt>
                <c:pt idx="55">
                  <c:v>4.3255200000000001E-2</c:v>
                </c:pt>
                <c:pt idx="56">
                  <c:v>4.4997799999999998E-2</c:v>
                </c:pt>
                <c:pt idx="57">
                  <c:v>4.8139899999999999E-2</c:v>
                </c:pt>
                <c:pt idx="58">
                  <c:v>5.2743999999999999E-2</c:v>
                </c:pt>
                <c:pt idx="59">
                  <c:v>5.1854699999999997E-2</c:v>
                </c:pt>
                <c:pt idx="60">
                  <c:v>4.0086900000000002E-2</c:v>
                </c:pt>
                <c:pt idx="61">
                  <c:v>4.29019E-2</c:v>
                </c:pt>
                <c:pt idx="62">
                  <c:v>5.7353500000000002E-2</c:v>
                </c:pt>
                <c:pt idx="63">
                  <c:v>4.41036E-2</c:v>
                </c:pt>
                <c:pt idx="64">
                  <c:v>4.6528100000000003E-2</c:v>
                </c:pt>
                <c:pt idx="65">
                  <c:v>4.5601500000000003E-2</c:v>
                </c:pt>
                <c:pt idx="66">
                  <c:v>3.7869399999999998E-2</c:v>
                </c:pt>
                <c:pt idx="67">
                  <c:v>4.8661700000000002E-2</c:v>
                </c:pt>
                <c:pt idx="68">
                  <c:v>7.8153200000000006E-2</c:v>
                </c:pt>
                <c:pt idx="69">
                  <c:v>5.2691000000000002E-2</c:v>
                </c:pt>
                <c:pt idx="70">
                  <c:v>6.0055799999999999E-2</c:v>
                </c:pt>
                <c:pt idx="71">
                  <c:v>4.09553E-2</c:v>
                </c:pt>
                <c:pt idx="72">
                  <c:v>7.7353699999999997E-2</c:v>
                </c:pt>
                <c:pt idx="73">
                  <c:v>4.0934600000000002E-2</c:v>
                </c:pt>
                <c:pt idx="74">
                  <c:v>4.8866800000000002E-2</c:v>
                </c:pt>
                <c:pt idx="75">
                  <c:v>4.6083800000000001E-2</c:v>
                </c:pt>
                <c:pt idx="76">
                  <c:v>5.2038399999999999E-2</c:v>
                </c:pt>
                <c:pt idx="77">
                  <c:v>5.6649699999999997E-2</c:v>
                </c:pt>
                <c:pt idx="78">
                  <c:v>4.4529899999999997E-2</c:v>
                </c:pt>
                <c:pt idx="79">
                  <c:v>3.9678600000000001E-2</c:v>
                </c:pt>
                <c:pt idx="80">
                  <c:v>4.9421800000000002E-2</c:v>
                </c:pt>
                <c:pt idx="81">
                  <c:v>5.3890399999999998E-2</c:v>
                </c:pt>
                <c:pt idx="82">
                  <c:v>4.7708199999999999E-2</c:v>
                </c:pt>
                <c:pt idx="83">
                  <c:v>7.3590699999999995E-2</c:v>
                </c:pt>
                <c:pt idx="84">
                  <c:v>2.9512400000000001E-2</c:v>
                </c:pt>
                <c:pt idx="85">
                  <c:v>3.45805E-2</c:v>
                </c:pt>
                <c:pt idx="86">
                  <c:v>6.1867900000000003E-2</c:v>
                </c:pt>
                <c:pt idx="87">
                  <c:v>2.9427499999999999E-2</c:v>
                </c:pt>
                <c:pt idx="88">
                  <c:v>4.2187799999999998E-2</c:v>
                </c:pt>
                <c:pt idx="89">
                  <c:v>4.9654200000000003E-2</c:v>
                </c:pt>
                <c:pt idx="90">
                  <c:v>4.6496999999999997E-2</c:v>
                </c:pt>
                <c:pt idx="91">
                  <c:v>3.0392200000000001E-2</c:v>
                </c:pt>
                <c:pt idx="92">
                  <c:v>4.6839699999999998E-2</c:v>
                </c:pt>
                <c:pt idx="93">
                  <c:v>5.4913700000000003E-2</c:v>
                </c:pt>
                <c:pt idx="94">
                  <c:v>5.27749E-2</c:v>
                </c:pt>
                <c:pt idx="95">
                  <c:v>3.88463E-2</c:v>
                </c:pt>
                <c:pt idx="96">
                  <c:v>4.9845399999999998E-2</c:v>
                </c:pt>
                <c:pt idx="97">
                  <c:v>3.9071000000000002E-2</c:v>
                </c:pt>
                <c:pt idx="98">
                  <c:v>4.2653400000000001E-2</c:v>
                </c:pt>
                <c:pt idx="99">
                  <c:v>5.8529600000000001E-2</c:v>
                </c:pt>
                <c:pt idx="100">
                  <c:v>4.0045299999999999E-2</c:v>
                </c:pt>
                <c:pt idx="101">
                  <c:v>4.3763799999999999E-2</c:v>
                </c:pt>
                <c:pt idx="102">
                  <c:v>4.6272599999999997E-2</c:v>
                </c:pt>
              </c:numCache>
            </c:numRef>
          </c:yVal>
          <c:smooth val="0"/>
          <c:extLst>
            <c:ext xmlns:c16="http://schemas.microsoft.com/office/drawing/2014/chart" uri="{C3380CC4-5D6E-409C-BE32-E72D297353CC}">
              <c16:uniqueId val="{00000001-7C92-450D-887D-9C79C13089BC}"/>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Rentekostnader!$L$214:$L$278</c:f>
              <c:numCache>
                <c:formatCode>General</c:formatCode>
                <c:ptCount val="65"/>
                <c:pt idx="0">
                  <c:v>5.1676399999999997E-2</c:v>
                </c:pt>
                <c:pt idx="1">
                  <c:v>6.4248700000000006E-2</c:v>
                </c:pt>
                <c:pt idx="2">
                  <c:v>4.3083799999999998E-2</c:v>
                </c:pt>
                <c:pt idx="3">
                  <c:v>3.5660200000000003E-2</c:v>
                </c:pt>
                <c:pt idx="4">
                  <c:v>5.5377099999999999E-2</c:v>
                </c:pt>
                <c:pt idx="5">
                  <c:v>3.5853200000000002E-2</c:v>
                </c:pt>
                <c:pt idx="6">
                  <c:v>4.8286299999999997E-2</c:v>
                </c:pt>
                <c:pt idx="7">
                  <c:v>3.6722100000000001E-2</c:v>
                </c:pt>
                <c:pt idx="8">
                  <c:v>5.6956199999999998E-2</c:v>
                </c:pt>
                <c:pt idx="9">
                  <c:v>5.5864400000000002E-2</c:v>
                </c:pt>
                <c:pt idx="10">
                  <c:v>4.8887399999999998E-2</c:v>
                </c:pt>
                <c:pt idx="11">
                  <c:v>3.57945E-2</c:v>
                </c:pt>
                <c:pt idx="12">
                  <c:v>4.8193300000000001E-2</c:v>
                </c:pt>
                <c:pt idx="13">
                  <c:v>4.1160000000000002E-2</c:v>
                </c:pt>
                <c:pt idx="14">
                  <c:v>5.3404399999999998E-2</c:v>
                </c:pt>
                <c:pt idx="15">
                  <c:v>7.7138200000000004E-2</c:v>
                </c:pt>
                <c:pt idx="16">
                  <c:v>5.6119799999999997E-2</c:v>
                </c:pt>
                <c:pt idx="17">
                  <c:v>6.24556E-2</c:v>
                </c:pt>
                <c:pt idx="18">
                  <c:v>7.3020399999999999E-2</c:v>
                </c:pt>
                <c:pt idx="19">
                  <c:v>5.3378399999999999E-2</c:v>
                </c:pt>
                <c:pt idx="20">
                  <c:v>4.0084599999999998E-2</c:v>
                </c:pt>
                <c:pt idx="21">
                  <c:v>6.2704999999999997E-2</c:v>
                </c:pt>
                <c:pt idx="22">
                  <c:v>4.6364900000000001E-2</c:v>
                </c:pt>
                <c:pt idx="23">
                  <c:v>6.0165799999999998E-2</c:v>
                </c:pt>
                <c:pt idx="24">
                  <c:v>5.1678700000000001E-2</c:v>
                </c:pt>
                <c:pt idx="25">
                  <c:v>5.5253200000000002E-2</c:v>
                </c:pt>
                <c:pt idx="26">
                  <c:v>5.59512E-2</c:v>
                </c:pt>
                <c:pt idx="27">
                  <c:v>3.4543400000000002E-2</c:v>
                </c:pt>
                <c:pt idx="28">
                  <c:v>4.5297299999999999E-2</c:v>
                </c:pt>
                <c:pt idx="29">
                  <c:v>4.3305999999999997E-2</c:v>
                </c:pt>
                <c:pt idx="30">
                  <c:v>7.8861600000000004E-2</c:v>
                </c:pt>
                <c:pt idx="31">
                  <c:v>5.3342899999999999E-2</c:v>
                </c:pt>
                <c:pt idx="32">
                  <c:v>4.3507400000000002E-2</c:v>
                </c:pt>
                <c:pt idx="33">
                  <c:v>5.2853700000000003E-2</c:v>
                </c:pt>
                <c:pt idx="34">
                  <c:v>4.3998200000000001E-2</c:v>
                </c:pt>
                <c:pt idx="35">
                  <c:v>5.1275800000000003E-2</c:v>
                </c:pt>
                <c:pt idx="36">
                  <c:v>6.1387400000000002E-2</c:v>
                </c:pt>
                <c:pt idx="37">
                  <c:v>7.5771199999999997E-2</c:v>
                </c:pt>
                <c:pt idx="38">
                  <c:v>4.9498100000000003E-2</c:v>
                </c:pt>
                <c:pt idx="39">
                  <c:v>5.15158E-2</c:v>
                </c:pt>
                <c:pt idx="40">
                  <c:v>5.1062200000000002E-2</c:v>
                </c:pt>
                <c:pt idx="41">
                  <c:v>4.5413599999999998E-2</c:v>
                </c:pt>
                <c:pt idx="42">
                  <c:v>4.5077800000000001E-2</c:v>
                </c:pt>
                <c:pt idx="43">
                  <c:v>4.3810799999999997E-2</c:v>
                </c:pt>
                <c:pt idx="44">
                  <c:v>6.4521099999999998E-2</c:v>
                </c:pt>
                <c:pt idx="45">
                  <c:v>5.33567E-2</c:v>
                </c:pt>
                <c:pt idx="46">
                  <c:v>5.7604000000000002E-2</c:v>
                </c:pt>
                <c:pt idx="47">
                  <c:v>4.3457999999999997E-2</c:v>
                </c:pt>
                <c:pt idx="48">
                  <c:v>5.5653899999999999E-2</c:v>
                </c:pt>
                <c:pt idx="49">
                  <c:v>5.45292E-2</c:v>
                </c:pt>
                <c:pt idx="50">
                  <c:v>4.7122200000000003E-2</c:v>
                </c:pt>
                <c:pt idx="51">
                  <c:v>5.8302600000000003E-2</c:v>
                </c:pt>
                <c:pt idx="52">
                  <c:v>4.4685099999999998E-2</c:v>
                </c:pt>
                <c:pt idx="53">
                  <c:v>5.3156500000000002E-2</c:v>
                </c:pt>
                <c:pt idx="54">
                  <c:v>7.0814000000000002E-2</c:v>
                </c:pt>
                <c:pt idx="55">
                  <c:v>5.8711300000000001E-2</c:v>
                </c:pt>
                <c:pt idx="56">
                  <c:v>4.6505999999999999E-2</c:v>
                </c:pt>
                <c:pt idx="57">
                  <c:v>6.3315800000000005E-2</c:v>
                </c:pt>
                <c:pt idx="58">
                  <c:v>4.35141E-2</c:v>
                </c:pt>
                <c:pt idx="59">
                  <c:v>4.8300299999999997E-2</c:v>
                </c:pt>
                <c:pt idx="60">
                  <c:v>5.3061999999999998E-2</c:v>
                </c:pt>
                <c:pt idx="61">
                  <c:v>4.7536700000000001E-2</c:v>
                </c:pt>
                <c:pt idx="62">
                  <c:v>4.4772699999999999E-2</c:v>
                </c:pt>
                <c:pt idx="63">
                  <c:v>4.1233100000000002E-2</c:v>
                </c:pt>
                <c:pt idx="64">
                  <c:v>4.80171E-2</c:v>
                </c:pt>
              </c:numCache>
            </c:numRef>
          </c:yVal>
          <c:smooth val="0"/>
          <c:extLst>
            <c:ext xmlns:c16="http://schemas.microsoft.com/office/drawing/2014/chart" uri="{C3380CC4-5D6E-409C-BE32-E72D297353CC}">
              <c16:uniqueId val="{00000002-7C92-450D-887D-9C79C13089BC}"/>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Rentekostnader!$L$279:$L$332</c:f>
              <c:numCache>
                <c:formatCode>General</c:formatCode>
                <c:ptCount val="54"/>
                <c:pt idx="0">
                  <c:v>5.4783900000000003E-2</c:v>
                </c:pt>
                <c:pt idx="1">
                  <c:v>6.8824800000000005E-2</c:v>
                </c:pt>
                <c:pt idx="2">
                  <c:v>4.5779800000000002E-2</c:v>
                </c:pt>
                <c:pt idx="3">
                  <c:v>4.75053E-2</c:v>
                </c:pt>
                <c:pt idx="4">
                  <c:v>4.6349799999999997E-2</c:v>
                </c:pt>
                <c:pt idx="5">
                  <c:v>4.64158E-2</c:v>
                </c:pt>
                <c:pt idx="6">
                  <c:v>4.3289899999999999E-2</c:v>
                </c:pt>
                <c:pt idx="7">
                  <c:v>5.2330399999999999E-2</c:v>
                </c:pt>
                <c:pt idx="8">
                  <c:v>3.9050500000000002E-2</c:v>
                </c:pt>
                <c:pt idx="9">
                  <c:v>5.0767600000000003E-2</c:v>
                </c:pt>
                <c:pt idx="10">
                  <c:v>4.6373400000000002E-2</c:v>
                </c:pt>
                <c:pt idx="11">
                  <c:v>4.6387299999999999E-2</c:v>
                </c:pt>
                <c:pt idx="12">
                  <c:v>5.4110199999999997E-2</c:v>
                </c:pt>
                <c:pt idx="13">
                  <c:v>6.4266299999999998E-2</c:v>
                </c:pt>
                <c:pt idx="14">
                  <c:v>5.2315300000000002E-2</c:v>
                </c:pt>
                <c:pt idx="15">
                  <c:v>5.0379399999999998E-2</c:v>
                </c:pt>
                <c:pt idx="16">
                  <c:v>5.5044200000000001E-2</c:v>
                </c:pt>
                <c:pt idx="17">
                  <c:v>5.3237699999999999E-2</c:v>
                </c:pt>
                <c:pt idx="18">
                  <c:v>5.7396299999999997E-2</c:v>
                </c:pt>
                <c:pt idx="19">
                  <c:v>4.88245E-2</c:v>
                </c:pt>
                <c:pt idx="20">
                  <c:v>5.1846999999999997E-2</c:v>
                </c:pt>
                <c:pt idx="21">
                  <c:v>6.4544500000000005E-2</c:v>
                </c:pt>
                <c:pt idx="22">
                  <c:v>5.0290000000000001E-2</c:v>
                </c:pt>
                <c:pt idx="23">
                  <c:v>5.0665399999999999E-2</c:v>
                </c:pt>
                <c:pt idx="24">
                  <c:v>4.5707699999999997E-2</c:v>
                </c:pt>
                <c:pt idx="25">
                  <c:v>4.77671E-2</c:v>
                </c:pt>
                <c:pt idx="26">
                  <c:v>0.16107189999999999</c:v>
                </c:pt>
                <c:pt idx="27">
                  <c:v>4.9631599999999998E-2</c:v>
                </c:pt>
                <c:pt idx="28">
                  <c:v>4.4110000000000003E-2</c:v>
                </c:pt>
                <c:pt idx="29">
                  <c:v>5.3195699999999999E-2</c:v>
                </c:pt>
                <c:pt idx="30">
                  <c:v>3.39864E-2</c:v>
                </c:pt>
                <c:pt idx="31">
                  <c:v>4.6232200000000001E-2</c:v>
                </c:pt>
                <c:pt idx="32">
                  <c:v>5.7975899999999997E-2</c:v>
                </c:pt>
                <c:pt idx="33">
                  <c:v>4.3880299999999997E-2</c:v>
                </c:pt>
                <c:pt idx="34">
                  <c:v>5.3201199999999997E-2</c:v>
                </c:pt>
                <c:pt idx="35">
                  <c:v>6.3482200000000003E-2</c:v>
                </c:pt>
                <c:pt idx="36">
                  <c:v>3.9907600000000001E-2</c:v>
                </c:pt>
                <c:pt idx="37">
                  <c:v>5.0286900000000002E-2</c:v>
                </c:pt>
                <c:pt idx="38">
                  <c:v>4.6449900000000002E-2</c:v>
                </c:pt>
                <c:pt idx="39">
                  <c:v>6.6052600000000003E-2</c:v>
                </c:pt>
                <c:pt idx="40">
                  <c:v>5.2479400000000002E-2</c:v>
                </c:pt>
                <c:pt idx="41">
                  <c:v>4.4542100000000001E-2</c:v>
                </c:pt>
                <c:pt idx="42">
                  <c:v>4.22412E-2</c:v>
                </c:pt>
                <c:pt idx="43">
                  <c:v>4.4342899999999998E-2</c:v>
                </c:pt>
                <c:pt idx="44">
                  <c:v>6.2910800000000003E-2</c:v>
                </c:pt>
                <c:pt idx="45">
                  <c:v>5.12851E-2</c:v>
                </c:pt>
                <c:pt idx="46">
                  <c:v>4.9717999999999998E-2</c:v>
                </c:pt>
                <c:pt idx="47">
                  <c:v>4.6083800000000001E-2</c:v>
                </c:pt>
                <c:pt idx="48">
                  <c:v>4.3273100000000002E-2</c:v>
                </c:pt>
                <c:pt idx="49">
                  <c:v>4.2799499999999997E-2</c:v>
                </c:pt>
                <c:pt idx="50">
                  <c:v>4.5992699999999997E-2</c:v>
                </c:pt>
                <c:pt idx="51">
                  <c:v>5.9154100000000001E-2</c:v>
                </c:pt>
                <c:pt idx="52">
                  <c:v>4.1949599999999997E-2</c:v>
                </c:pt>
                <c:pt idx="53">
                  <c:v>5.59797E-2</c:v>
                </c:pt>
              </c:numCache>
            </c:numRef>
          </c:yVal>
          <c:smooth val="0"/>
          <c:extLst>
            <c:ext xmlns:c16="http://schemas.microsoft.com/office/drawing/2014/chart" uri="{C3380CC4-5D6E-409C-BE32-E72D297353CC}">
              <c16:uniqueId val="{00000003-7C92-450D-887D-9C79C13089BC}"/>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Rentekostnader!$L$333:$L$353</c:f>
              <c:numCache>
                <c:formatCode>General</c:formatCode>
                <c:ptCount val="21"/>
                <c:pt idx="0">
                  <c:v>5.6616399999999997E-2</c:v>
                </c:pt>
                <c:pt idx="1">
                  <c:v>5.4853600000000002E-2</c:v>
                </c:pt>
                <c:pt idx="2">
                  <c:v>5.4795000000000003E-2</c:v>
                </c:pt>
                <c:pt idx="3">
                  <c:v>5.3093700000000001E-2</c:v>
                </c:pt>
                <c:pt idx="4">
                  <c:v>4.8812800000000003E-2</c:v>
                </c:pt>
                <c:pt idx="5">
                  <c:v>4.7933799999999999E-2</c:v>
                </c:pt>
                <c:pt idx="6">
                  <c:v>7.7198799999999998E-2</c:v>
                </c:pt>
                <c:pt idx="7">
                  <c:v>4.8411200000000001E-2</c:v>
                </c:pt>
                <c:pt idx="8">
                  <c:v>4.1003299999999999E-2</c:v>
                </c:pt>
                <c:pt idx="9">
                  <c:v>3.5010899999999998E-2</c:v>
                </c:pt>
                <c:pt idx="10">
                  <c:v>5.10667E-2</c:v>
                </c:pt>
                <c:pt idx="11">
                  <c:v>5.4036399999999998E-2</c:v>
                </c:pt>
                <c:pt idx="12">
                  <c:v>5.2302899999999999E-2</c:v>
                </c:pt>
                <c:pt idx="13">
                  <c:v>3.2253499999999997E-2</c:v>
                </c:pt>
                <c:pt idx="14">
                  <c:v>4.6637999999999999E-2</c:v>
                </c:pt>
                <c:pt idx="15">
                  <c:v>4.8569300000000003E-2</c:v>
                </c:pt>
                <c:pt idx="16">
                  <c:v>5.0259699999999997E-2</c:v>
                </c:pt>
                <c:pt idx="17">
                  <c:v>4.4001199999999997E-2</c:v>
                </c:pt>
                <c:pt idx="18">
                  <c:v>5.7580699999999999E-2</c:v>
                </c:pt>
                <c:pt idx="19">
                  <c:v>6.8756899999999996E-2</c:v>
                </c:pt>
                <c:pt idx="20">
                  <c:v>4.29772E-2</c:v>
                </c:pt>
              </c:numCache>
            </c:numRef>
          </c:yVal>
          <c:smooth val="0"/>
          <c:extLst>
            <c:ext xmlns:c16="http://schemas.microsoft.com/office/drawing/2014/chart" uri="{C3380CC4-5D6E-409C-BE32-E72D297353CC}">
              <c16:uniqueId val="{00000004-7C92-450D-887D-9C79C13089BC}"/>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Rentekostnader!$L$354:$L$358</c:f>
              <c:numCache>
                <c:formatCode>General</c:formatCode>
                <c:ptCount val="5"/>
                <c:pt idx="0">
                  <c:v>6.5935599999999997E-2</c:v>
                </c:pt>
                <c:pt idx="1">
                  <c:v>4.8787499999999998E-2</c:v>
                </c:pt>
                <c:pt idx="2">
                  <c:v>4.4771600000000002E-2</c:v>
                </c:pt>
                <c:pt idx="3">
                  <c:v>4.7690700000000003E-2</c:v>
                </c:pt>
                <c:pt idx="4">
                  <c:v>5.7631799999999997E-2</c:v>
                </c:pt>
              </c:numCache>
            </c:numRef>
          </c:yVal>
          <c:smooth val="0"/>
          <c:extLst>
            <c:ext xmlns:c16="http://schemas.microsoft.com/office/drawing/2014/chart" uri="{C3380CC4-5D6E-409C-BE32-E72D297353CC}">
              <c16:uniqueId val="{00000005-7C92-450D-887D-9C79C13089BC}"/>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Kortsiktig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Rentekostnader!$K$396:$K$475</c:f>
              <c:numCache>
                <c:formatCode>General</c:formatCode>
                <c:ptCount val="80"/>
                <c:pt idx="0">
                  <c:v>0.67205910000000002</c:v>
                </c:pt>
                <c:pt idx="1">
                  <c:v>0.77043810000000001</c:v>
                </c:pt>
                <c:pt idx="2">
                  <c:v>0.72321279999999999</c:v>
                </c:pt>
                <c:pt idx="3">
                  <c:v>0.5818219</c:v>
                </c:pt>
                <c:pt idx="4">
                  <c:v>0.81153770000000003</c:v>
                </c:pt>
                <c:pt idx="5">
                  <c:v>0.81009100000000001</c:v>
                </c:pt>
                <c:pt idx="6">
                  <c:v>0.56682310000000002</c:v>
                </c:pt>
                <c:pt idx="7">
                  <c:v>0.6920866</c:v>
                </c:pt>
                <c:pt idx="8">
                  <c:v>0.73757819999999996</c:v>
                </c:pt>
                <c:pt idx="9">
                  <c:v>0.77067350000000001</c:v>
                </c:pt>
                <c:pt idx="10">
                  <c:v>0.78652409999999995</c:v>
                </c:pt>
                <c:pt idx="11">
                  <c:v>0.71749309999999999</c:v>
                </c:pt>
                <c:pt idx="12">
                  <c:v>0.64751020000000004</c:v>
                </c:pt>
                <c:pt idx="13">
                  <c:v>0.56319779999999997</c:v>
                </c:pt>
                <c:pt idx="14">
                  <c:v>0.75993710000000003</c:v>
                </c:pt>
                <c:pt idx="15">
                  <c:v>0.74225640000000004</c:v>
                </c:pt>
                <c:pt idx="16">
                  <c:v>0.76311810000000002</c:v>
                </c:pt>
                <c:pt idx="17">
                  <c:v>0.8267468</c:v>
                </c:pt>
                <c:pt idx="18">
                  <c:v>0.64737100000000003</c:v>
                </c:pt>
                <c:pt idx="19">
                  <c:v>0.69894999999999996</c:v>
                </c:pt>
                <c:pt idx="20">
                  <c:v>0.79147080000000003</c:v>
                </c:pt>
                <c:pt idx="21">
                  <c:v>0.85715059999999998</c:v>
                </c:pt>
                <c:pt idx="22">
                  <c:v>0.83613409999999999</c:v>
                </c:pt>
                <c:pt idx="23">
                  <c:v>0.74107299999999998</c:v>
                </c:pt>
                <c:pt idx="24">
                  <c:v>0.75195480000000003</c:v>
                </c:pt>
                <c:pt idx="25">
                  <c:v>0.83495589999999997</c:v>
                </c:pt>
                <c:pt idx="26">
                  <c:v>0.76701160000000002</c:v>
                </c:pt>
                <c:pt idx="27">
                  <c:v>0.70585399999999998</c:v>
                </c:pt>
                <c:pt idx="28">
                  <c:v>0.70551739999999996</c:v>
                </c:pt>
                <c:pt idx="29">
                  <c:v>0.66175819999999996</c:v>
                </c:pt>
                <c:pt idx="30">
                  <c:v>0.70491429999999999</c:v>
                </c:pt>
                <c:pt idx="31">
                  <c:v>0.73184689999999997</c:v>
                </c:pt>
                <c:pt idx="32">
                  <c:v>0.73826210000000003</c:v>
                </c:pt>
                <c:pt idx="33">
                  <c:v>0.9750202</c:v>
                </c:pt>
                <c:pt idx="34">
                  <c:v>0.87617440000000002</c:v>
                </c:pt>
                <c:pt idx="35">
                  <c:v>0.56291139999999995</c:v>
                </c:pt>
                <c:pt idx="36">
                  <c:v>0.79567549999999998</c:v>
                </c:pt>
                <c:pt idx="37">
                  <c:v>0.77000069999999998</c:v>
                </c:pt>
                <c:pt idx="38">
                  <c:v>0.8200923</c:v>
                </c:pt>
                <c:pt idx="39">
                  <c:v>0.74372490000000002</c:v>
                </c:pt>
                <c:pt idx="40">
                  <c:v>0.77926490000000004</c:v>
                </c:pt>
                <c:pt idx="41">
                  <c:v>0.68133310000000002</c:v>
                </c:pt>
                <c:pt idx="42">
                  <c:v>0.72799740000000002</c:v>
                </c:pt>
                <c:pt idx="43">
                  <c:v>0.87219290000000005</c:v>
                </c:pt>
                <c:pt idx="44">
                  <c:v>0.74483010000000005</c:v>
                </c:pt>
                <c:pt idx="45">
                  <c:v>0.70729549999999997</c:v>
                </c:pt>
                <c:pt idx="46">
                  <c:v>0.78271880000000005</c:v>
                </c:pt>
                <c:pt idx="47">
                  <c:v>0.83248080000000002</c:v>
                </c:pt>
                <c:pt idx="48">
                  <c:v>0.78731419999999996</c:v>
                </c:pt>
                <c:pt idx="49">
                  <c:v>0.73176589999999997</c:v>
                </c:pt>
                <c:pt idx="50">
                  <c:v>0.77333220000000003</c:v>
                </c:pt>
                <c:pt idx="51">
                  <c:v>0.76437909999999998</c:v>
                </c:pt>
                <c:pt idx="52">
                  <c:v>0.80362690000000003</c:v>
                </c:pt>
                <c:pt idx="53">
                  <c:v>0.75355649999999996</c:v>
                </c:pt>
                <c:pt idx="54">
                  <c:v>0.79214890000000004</c:v>
                </c:pt>
                <c:pt idx="55">
                  <c:v>0.42975989999999997</c:v>
                </c:pt>
                <c:pt idx="56">
                  <c:v>0.54807399999999995</c:v>
                </c:pt>
                <c:pt idx="57">
                  <c:v>0.67822519999999997</c:v>
                </c:pt>
                <c:pt idx="58">
                  <c:v>0.77041579999999998</c:v>
                </c:pt>
                <c:pt idx="59">
                  <c:v>0.65130940000000004</c:v>
                </c:pt>
                <c:pt idx="60">
                  <c:v>0.58896959999999998</c:v>
                </c:pt>
                <c:pt idx="61">
                  <c:v>0.6696725</c:v>
                </c:pt>
                <c:pt idx="62">
                  <c:v>0.83380849999999995</c:v>
                </c:pt>
                <c:pt idx="63">
                  <c:v>0.82951960000000002</c:v>
                </c:pt>
                <c:pt idx="64">
                  <c:v>0.92491780000000001</c:v>
                </c:pt>
                <c:pt idx="65">
                  <c:v>0.73111130000000002</c:v>
                </c:pt>
                <c:pt idx="66">
                  <c:v>0.77992119999999998</c:v>
                </c:pt>
                <c:pt idx="67">
                  <c:v>0.80543039999999999</c:v>
                </c:pt>
                <c:pt idx="68">
                  <c:v>0.74908640000000004</c:v>
                </c:pt>
                <c:pt idx="69">
                  <c:v>0.74469600000000002</c:v>
                </c:pt>
                <c:pt idx="70">
                  <c:v>0.75816640000000002</c:v>
                </c:pt>
                <c:pt idx="71">
                  <c:v>0.74510960000000004</c:v>
                </c:pt>
                <c:pt idx="72">
                  <c:v>0.78103509999999998</c:v>
                </c:pt>
                <c:pt idx="73">
                  <c:v>0.59891689999999997</c:v>
                </c:pt>
                <c:pt idx="74">
                  <c:v>0.80240670000000003</c:v>
                </c:pt>
                <c:pt idx="75">
                  <c:v>0.57117680000000004</c:v>
                </c:pt>
                <c:pt idx="76">
                  <c:v>0.82816869999999998</c:v>
                </c:pt>
                <c:pt idx="77">
                  <c:v>0.72615499999999999</c:v>
                </c:pt>
                <c:pt idx="78">
                  <c:v>0.71496519999999997</c:v>
                </c:pt>
                <c:pt idx="79">
                  <c:v>0.82958460000000001</c:v>
                </c:pt>
              </c:numCache>
            </c:numRef>
          </c:yVal>
          <c:smooth val="0"/>
          <c:extLst>
            <c:ext xmlns:c16="http://schemas.microsoft.com/office/drawing/2014/chart" uri="{C3380CC4-5D6E-409C-BE32-E72D297353CC}">
              <c16:uniqueId val="{00000000-C5F8-48FE-AF1D-D3D19A2F8243}"/>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Rentekostnader!$K$476:$K$513</c:f>
              <c:numCache>
                <c:formatCode>General</c:formatCode>
                <c:ptCount val="38"/>
                <c:pt idx="0">
                  <c:v>0.69090209999999996</c:v>
                </c:pt>
                <c:pt idx="1">
                  <c:v>0.60517299999999996</c:v>
                </c:pt>
                <c:pt idx="2">
                  <c:v>0.75795040000000002</c:v>
                </c:pt>
                <c:pt idx="3">
                  <c:v>0.52852129999999997</c:v>
                </c:pt>
                <c:pt idx="4">
                  <c:v>0.76117970000000001</c:v>
                </c:pt>
                <c:pt idx="5">
                  <c:v>0.66856499999999996</c:v>
                </c:pt>
                <c:pt idx="6">
                  <c:v>0.74544379999999999</c:v>
                </c:pt>
                <c:pt idx="7">
                  <c:v>0.72371669999999999</c:v>
                </c:pt>
                <c:pt idx="8">
                  <c:v>0.5667953</c:v>
                </c:pt>
                <c:pt idx="9">
                  <c:v>0.731437</c:v>
                </c:pt>
                <c:pt idx="10">
                  <c:v>0.8088265</c:v>
                </c:pt>
                <c:pt idx="11">
                  <c:v>0.74691989999999997</c:v>
                </c:pt>
                <c:pt idx="12">
                  <c:v>0.65620089999999998</c:v>
                </c:pt>
                <c:pt idx="13">
                  <c:v>0.81841370000000002</c:v>
                </c:pt>
                <c:pt idx="14">
                  <c:v>0.73866350000000003</c:v>
                </c:pt>
                <c:pt idx="15">
                  <c:v>0.74518620000000002</c:v>
                </c:pt>
                <c:pt idx="16">
                  <c:v>0.66689160000000003</c:v>
                </c:pt>
                <c:pt idx="17">
                  <c:v>0.68608159999999996</c:v>
                </c:pt>
                <c:pt idx="18">
                  <c:v>0.5536179</c:v>
                </c:pt>
                <c:pt idx="19">
                  <c:v>0.78225239999999996</c:v>
                </c:pt>
                <c:pt idx="20">
                  <c:v>0.81313100000000005</c:v>
                </c:pt>
                <c:pt idx="21">
                  <c:v>0.78426340000000005</c:v>
                </c:pt>
                <c:pt idx="22">
                  <c:v>0.78818600000000005</c:v>
                </c:pt>
                <c:pt idx="23">
                  <c:v>0.72674950000000005</c:v>
                </c:pt>
                <c:pt idx="24">
                  <c:v>0.60199480000000005</c:v>
                </c:pt>
                <c:pt idx="25">
                  <c:v>0.76367620000000003</c:v>
                </c:pt>
                <c:pt idx="26">
                  <c:v>0.74279110000000004</c:v>
                </c:pt>
                <c:pt idx="27">
                  <c:v>0.73416239999999999</c:v>
                </c:pt>
                <c:pt idx="28">
                  <c:v>0.69196369999999996</c:v>
                </c:pt>
                <c:pt idx="29">
                  <c:v>0.75876370000000004</c:v>
                </c:pt>
                <c:pt idx="30">
                  <c:v>0.73008839999999997</c:v>
                </c:pt>
                <c:pt idx="31">
                  <c:v>0.79764659999999998</c:v>
                </c:pt>
                <c:pt idx="32">
                  <c:v>0.66436130000000004</c:v>
                </c:pt>
                <c:pt idx="33">
                  <c:v>0.77753499999999998</c:v>
                </c:pt>
                <c:pt idx="34">
                  <c:v>0.7935527</c:v>
                </c:pt>
                <c:pt idx="35">
                  <c:v>0.70815629999999996</c:v>
                </c:pt>
                <c:pt idx="36">
                  <c:v>0.78959420000000002</c:v>
                </c:pt>
                <c:pt idx="37">
                  <c:v>0.66901290000000002</c:v>
                </c:pt>
              </c:numCache>
            </c:numRef>
          </c:yVal>
          <c:smooth val="0"/>
          <c:extLst>
            <c:ext xmlns:c16="http://schemas.microsoft.com/office/drawing/2014/chart" uri="{C3380CC4-5D6E-409C-BE32-E72D297353CC}">
              <c16:uniqueId val="{00000001-C5F8-48FE-AF1D-D3D19A2F8243}"/>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Rentekostnader!$K$514:$K$605</c:f>
              <c:numCache>
                <c:formatCode>General</c:formatCode>
                <c:ptCount val="92"/>
                <c:pt idx="0">
                  <c:v>0.86700600000000005</c:v>
                </c:pt>
                <c:pt idx="1">
                  <c:v>0.71378569999999997</c:v>
                </c:pt>
                <c:pt idx="2">
                  <c:v>0.83969859999999996</c:v>
                </c:pt>
                <c:pt idx="3">
                  <c:v>0.67638520000000002</c:v>
                </c:pt>
                <c:pt idx="4">
                  <c:v>0.82167239999999997</c:v>
                </c:pt>
                <c:pt idx="5">
                  <c:v>0.66816660000000005</c:v>
                </c:pt>
                <c:pt idx="6">
                  <c:v>0.7990273</c:v>
                </c:pt>
                <c:pt idx="7">
                  <c:v>0.74607270000000003</c:v>
                </c:pt>
                <c:pt idx="8">
                  <c:v>0.60972559999999998</c:v>
                </c:pt>
                <c:pt idx="9">
                  <c:v>0.82418689999999994</c:v>
                </c:pt>
                <c:pt idx="10">
                  <c:v>0.49687340000000002</c:v>
                </c:pt>
                <c:pt idx="11">
                  <c:v>0.72519420000000001</c:v>
                </c:pt>
                <c:pt idx="12">
                  <c:v>0.85943060000000004</c:v>
                </c:pt>
                <c:pt idx="13">
                  <c:v>0.38156909999999999</c:v>
                </c:pt>
                <c:pt idx="14">
                  <c:v>0.85094579999999997</c:v>
                </c:pt>
                <c:pt idx="15">
                  <c:v>0.76781440000000001</c:v>
                </c:pt>
                <c:pt idx="16">
                  <c:v>0.56906239999999997</c:v>
                </c:pt>
                <c:pt idx="17">
                  <c:v>0.82281300000000002</c:v>
                </c:pt>
                <c:pt idx="18">
                  <c:v>0.79880830000000003</c:v>
                </c:pt>
                <c:pt idx="19">
                  <c:v>0.65788659999999999</c:v>
                </c:pt>
                <c:pt idx="20">
                  <c:v>0.86210319999999996</c:v>
                </c:pt>
                <c:pt idx="21">
                  <c:v>0.85226769999999996</c:v>
                </c:pt>
                <c:pt idx="22">
                  <c:v>0.72861609999999999</c:v>
                </c:pt>
                <c:pt idx="23">
                  <c:v>0.65742520000000004</c:v>
                </c:pt>
                <c:pt idx="24">
                  <c:v>0.86717949999999999</c:v>
                </c:pt>
                <c:pt idx="25">
                  <c:v>0.74758259999999999</c:v>
                </c:pt>
                <c:pt idx="26">
                  <c:v>0.70888689999999999</c:v>
                </c:pt>
                <c:pt idx="27">
                  <c:v>0.84809460000000003</c:v>
                </c:pt>
                <c:pt idx="28">
                  <c:v>0.76189099999999998</c:v>
                </c:pt>
                <c:pt idx="29">
                  <c:v>0.69497989999999998</c:v>
                </c:pt>
                <c:pt idx="30">
                  <c:v>0.68976389999999999</c:v>
                </c:pt>
                <c:pt idx="31">
                  <c:v>0.5708685</c:v>
                </c:pt>
                <c:pt idx="32">
                  <c:v>0.81754110000000002</c:v>
                </c:pt>
                <c:pt idx="33">
                  <c:v>0.70209350000000004</c:v>
                </c:pt>
                <c:pt idx="34">
                  <c:v>0.77900049999999998</c:v>
                </c:pt>
                <c:pt idx="35">
                  <c:v>0.71011970000000002</c:v>
                </c:pt>
                <c:pt idx="36">
                  <c:v>0.72938409999999998</c:v>
                </c:pt>
                <c:pt idx="37">
                  <c:v>0.7780532</c:v>
                </c:pt>
                <c:pt idx="38">
                  <c:v>0.76265590000000005</c:v>
                </c:pt>
                <c:pt idx="39">
                  <c:v>0.76940739999999996</c:v>
                </c:pt>
                <c:pt idx="40">
                  <c:v>0.56200799999999995</c:v>
                </c:pt>
                <c:pt idx="41">
                  <c:v>0.83819049999999995</c:v>
                </c:pt>
                <c:pt idx="42">
                  <c:v>0.61779819999999996</c:v>
                </c:pt>
                <c:pt idx="43">
                  <c:v>0.79429499999999997</c:v>
                </c:pt>
                <c:pt idx="44">
                  <c:v>0.69848639999999995</c:v>
                </c:pt>
                <c:pt idx="45">
                  <c:v>0.78989909999999997</c:v>
                </c:pt>
                <c:pt idx="46">
                  <c:v>0.71542839999999996</c:v>
                </c:pt>
                <c:pt idx="47">
                  <c:v>0.80831439999999999</c:v>
                </c:pt>
                <c:pt idx="48">
                  <c:v>0.65004669999999998</c:v>
                </c:pt>
                <c:pt idx="49">
                  <c:v>0.69838160000000005</c:v>
                </c:pt>
                <c:pt idx="50">
                  <c:v>0.61116340000000002</c:v>
                </c:pt>
                <c:pt idx="51">
                  <c:v>0.5992748</c:v>
                </c:pt>
                <c:pt idx="52">
                  <c:v>0.71476669999999998</c:v>
                </c:pt>
                <c:pt idx="53">
                  <c:v>0.66718900000000003</c:v>
                </c:pt>
                <c:pt idx="54">
                  <c:v>0.68964349999999996</c:v>
                </c:pt>
                <c:pt idx="55">
                  <c:v>0.7597583</c:v>
                </c:pt>
                <c:pt idx="56">
                  <c:v>0.83957709999999997</c:v>
                </c:pt>
                <c:pt idx="57">
                  <c:v>0.70798159999999999</c:v>
                </c:pt>
                <c:pt idx="58">
                  <c:v>0.49315870000000001</c:v>
                </c:pt>
                <c:pt idx="59">
                  <c:v>0.60897679999999998</c:v>
                </c:pt>
                <c:pt idx="60">
                  <c:v>0.64639740000000001</c:v>
                </c:pt>
                <c:pt idx="61">
                  <c:v>0.73774519999999999</c:v>
                </c:pt>
                <c:pt idx="62">
                  <c:v>0.74270659999999999</c:v>
                </c:pt>
                <c:pt idx="63">
                  <c:v>0.39405449999999997</c:v>
                </c:pt>
                <c:pt idx="64">
                  <c:v>0.72315410000000002</c:v>
                </c:pt>
                <c:pt idx="65">
                  <c:v>0.74751409999999996</c:v>
                </c:pt>
                <c:pt idx="66">
                  <c:v>0.54752509999999999</c:v>
                </c:pt>
                <c:pt idx="67">
                  <c:v>0.71392149999999999</c:v>
                </c:pt>
                <c:pt idx="68">
                  <c:v>0.77168899999999996</c:v>
                </c:pt>
                <c:pt idx="69">
                  <c:v>0.63327089999999997</c:v>
                </c:pt>
                <c:pt idx="70">
                  <c:v>0.80841359999999995</c:v>
                </c:pt>
                <c:pt idx="71">
                  <c:v>0.70639350000000001</c:v>
                </c:pt>
                <c:pt idx="72">
                  <c:v>0.71218079999999995</c:v>
                </c:pt>
                <c:pt idx="73">
                  <c:v>0.72070769999999995</c:v>
                </c:pt>
                <c:pt idx="74">
                  <c:v>0.78841600000000001</c:v>
                </c:pt>
                <c:pt idx="75">
                  <c:v>0.66067960000000003</c:v>
                </c:pt>
                <c:pt idx="76">
                  <c:v>0.63553970000000004</c:v>
                </c:pt>
                <c:pt idx="77">
                  <c:v>0.75311410000000001</c:v>
                </c:pt>
                <c:pt idx="78">
                  <c:v>0.88687190000000005</c:v>
                </c:pt>
                <c:pt idx="79">
                  <c:v>0.59780239999999996</c:v>
                </c:pt>
                <c:pt idx="80">
                  <c:v>0.571492</c:v>
                </c:pt>
                <c:pt idx="81">
                  <c:v>0.38151620000000003</c:v>
                </c:pt>
                <c:pt idx="82">
                  <c:v>0.86305169999999998</c:v>
                </c:pt>
                <c:pt idx="83">
                  <c:v>0.81553249999999999</c:v>
                </c:pt>
                <c:pt idx="84">
                  <c:v>0.78923390000000004</c:v>
                </c:pt>
                <c:pt idx="85">
                  <c:v>0.74875769999999997</c:v>
                </c:pt>
                <c:pt idx="86">
                  <c:v>0.82663149999999996</c:v>
                </c:pt>
                <c:pt idx="87">
                  <c:v>0.68616710000000003</c:v>
                </c:pt>
                <c:pt idx="88">
                  <c:v>0.67335400000000001</c:v>
                </c:pt>
                <c:pt idx="89">
                  <c:v>0.70707529999999996</c:v>
                </c:pt>
                <c:pt idx="90">
                  <c:v>0.54807850000000002</c:v>
                </c:pt>
                <c:pt idx="91">
                  <c:v>0.66503820000000002</c:v>
                </c:pt>
              </c:numCache>
            </c:numRef>
          </c:yVal>
          <c:smooth val="0"/>
          <c:extLst>
            <c:ext xmlns:c16="http://schemas.microsoft.com/office/drawing/2014/chart" uri="{C3380CC4-5D6E-409C-BE32-E72D297353CC}">
              <c16:uniqueId val="{00000002-C5F8-48FE-AF1D-D3D19A2F8243}"/>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Rentekostnader!$K$606:$K$653</c:f>
              <c:numCache>
                <c:formatCode>General</c:formatCode>
                <c:ptCount val="48"/>
                <c:pt idx="0">
                  <c:v>0.61970740000000002</c:v>
                </c:pt>
                <c:pt idx="1">
                  <c:v>0.69552809999999998</c:v>
                </c:pt>
                <c:pt idx="2">
                  <c:v>0.72738159999999996</c:v>
                </c:pt>
                <c:pt idx="3">
                  <c:v>0.89860549999999995</c:v>
                </c:pt>
                <c:pt idx="4">
                  <c:v>0.71305719999999995</c:v>
                </c:pt>
                <c:pt idx="5">
                  <c:v>0.772038</c:v>
                </c:pt>
                <c:pt idx="6">
                  <c:v>0.66630579999999995</c:v>
                </c:pt>
                <c:pt idx="7">
                  <c:v>0.67745679999999997</c:v>
                </c:pt>
                <c:pt idx="8">
                  <c:v>0.62166580000000005</c:v>
                </c:pt>
                <c:pt idx="9">
                  <c:v>0.87172150000000004</c:v>
                </c:pt>
                <c:pt idx="10">
                  <c:v>0.71054919999999999</c:v>
                </c:pt>
                <c:pt idx="11">
                  <c:v>0.81977109999999997</c:v>
                </c:pt>
                <c:pt idx="12">
                  <c:v>0.73956489999999997</c:v>
                </c:pt>
                <c:pt idx="13">
                  <c:v>0.72779939999999999</c:v>
                </c:pt>
                <c:pt idx="14">
                  <c:v>0.68943290000000002</c:v>
                </c:pt>
                <c:pt idx="15">
                  <c:v>0.56820910000000002</c:v>
                </c:pt>
                <c:pt idx="16">
                  <c:v>0.89293020000000001</c:v>
                </c:pt>
                <c:pt idx="17">
                  <c:v>0.80437289999999995</c:v>
                </c:pt>
                <c:pt idx="18">
                  <c:v>0.57288209999999995</c:v>
                </c:pt>
                <c:pt idx="19">
                  <c:v>0.77900250000000004</c:v>
                </c:pt>
                <c:pt idx="20">
                  <c:v>0.74137500000000001</c:v>
                </c:pt>
                <c:pt idx="21">
                  <c:v>0.64250280000000004</c:v>
                </c:pt>
                <c:pt idx="22">
                  <c:v>0.81986139999999996</c:v>
                </c:pt>
                <c:pt idx="23">
                  <c:v>0.649115</c:v>
                </c:pt>
                <c:pt idx="24">
                  <c:v>0.71401769999999998</c:v>
                </c:pt>
                <c:pt idx="25">
                  <c:v>0.73411559999999998</c:v>
                </c:pt>
                <c:pt idx="26">
                  <c:v>0.7409924</c:v>
                </c:pt>
                <c:pt idx="27">
                  <c:v>0.69647380000000003</c:v>
                </c:pt>
                <c:pt idx="28">
                  <c:v>0.33204450000000002</c:v>
                </c:pt>
                <c:pt idx="29">
                  <c:v>0.6700583</c:v>
                </c:pt>
                <c:pt idx="30">
                  <c:v>0.72575630000000002</c:v>
                </c:pt>
                <c:pt idx="31">
                  <c:v>0.82452329999999996</c:v>
                </c:pt>
                <c:pt idx="32">
                  <c:v>0.64188310000000004</c:v>
                </c:pt>
                <c:pt idx="33">
                  <c:v>0.78645240000000005</c:v>
                </c:pt>
                <c:pt idx="34">
                  <c:v>0.57291360000000002</c:v>
                </c:pt>
                <c:pt idx="35">
                  <c:v>0.74362430000000002</c:v>
                </c:pt>
                <c:pt idx="36">
                  <c:v>0.77394450000000004</c:v>
                </c:pt>
                <c:pt idx="37">
                  <c:v>0.72842569999999995</c:v>
                </c:pt>
                <c:pt idx="38">
                  <c:v>0.65835449999999995</c:v>
                </c:pt>
                <c:pt idx="39">
                  <c:v>0.78902490000000003</c:v>
                </c:pt>
                <c:pt idx="40">
                  <c:v>0.52928200000000003</c:v>
                </c:pt>
                <c:pt idx="41">
                  <c:v>0.77302000000000004</c:v>
                </c:pt>
                <c:pt idx="42">
                  <c:v>0.78678820000000005</c:v>
                </c:pt>
                <c:pt idx="43">
                  <c:v>0.74032240000000005</c:v>
                </c:pt>
                <c:pt idx="44">
                  <c:v>0.56777200000000005</c:v>
                </c:pt>
                <c:pt idx="45">
                  <c:v>0.65673389999999998</c:v>
                </c:pt>
                <c:pt idx="46">
                  <c:v>0.78910009999999997</c:v>
                </c:pt>
                <c:pt idx="47">
                  <c:v>0.36177870000000001</c:v>
                </c:pt>
              </c:numCache>
            </c:numRef>
          </c:yVal>
          <c:smooth val="0"/>
          <c:extLst>
            <c:ext xmlns:c16="http://schemas.microsoft.com/office/drawing/2014/chart" uri="{C3380CC4-5D6E-409C-BE32-E72D297353CC}">
              <c16:uniqueId val="{00000003-C5F8-48FE-AF1D-D3D19A2F8243}"/>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Rentekostnader!$K$654:$K$699</c:f>
              <c:numCache>
                <c:formatCode>General</c:formatCode>
                <c:ptCount val="46"/>
                <c:pt idx="0">
                  <c:v>0.52845620000000004</c:v>
                </c:pt>
                <c:pt idx="1">
                  <c:v>0.61928190000000005</c:v>
                </c:pt>
                <c:pt idx="2">
                  <c:v>0.67780929999999995</c:v>
                </c:pt>
                <c:pt idx="3">
                  <c:v>0.75965700000000003</c:v>
                </c:pt>
                <c:pt idx="4">
                  <c:v>0.54783090000000001</c:v>
                </c:pt>
                <c:pt idx="5">
                  <c:v>0.87637370000000003</c:v>
                </c:pt>
                <c:pt idx="6">
                  <c:v>0.77302760000000004</c:v>
                </c:pt>
                <c:pt idx="7">
                  <c:v>0.73927339999999997</c:v>
                </c:pt>
                <c:pt idx="8">
                  <c:v>0.68804189999999998</c:v>
                </c:pt>
                <c:pt idx="9">
                  <c:v>0.87178120000000003</c:v>
                </c:pt>
                <c:pt idx="10">
                  <c:v>0.71304199999999995</c:v>
                </c:pt>
                <c:pt idx="11">
                  <c:v>0.78708029999999995</c:v>
                </c:pt>
                <c:pt idx="12">
                  <c:v>0.78806500000000002</c:v>
                </c:pt>
                <c:pt idx="13">
                  <c:v>0.71022540000000001</c:v>
                </c:pt>
                <c:pt idx="14">
                  <c:v>0.73851250000000002</c:v>
                </c:pt>
                <c:pt idx="15">
                  <c:v>0.70965319999999998</c:v>
                </c:pt>
                <c:pt idx="16">
                  <c:v>0.58992080000000002</c:v>
                </c:pt>
                <c:pt idx="17">
                  <c:v>0.69073910000000005</c:v>
                </c:pt>
                <c:pt idx="18">
                  <c:v>0.79050770000000004</c:v>
                </c:pt>
                <c:pt idx="19">
                  <c:v>0.80558019999999997</c:v>
                </c:pt>
                <c:pt idx="20">
                  <c:v>0.65853360000000005</c:v>
                </c:pt>
                <c:pt idx="21">
                  <c:v>0.85406939999999998</c:v>
                </c:pt>
                <c:pt idx="22">
                  <c:v>0.73791799999999996</c:v>
                </c:pt>
                <c:pt idx="23">
                  <c:v>0.72633369999999997</c:v>
                </c:pt>
                <c:pt idx="24">
                  <c:v>0.59753250000000002</c:v>
                </c:pt>
                <c:pt idx="25">
                  <c:v>0.73762930000000004</c:v>
                </c:pt>
                <c:pt idx="26">
                  <c:v>0.66643399999999997</c:v>
                </c:pt>
                <c:pt idx="27">
                  <c:v>0.65883369999999997</c:v>
                </c:pt>
                <c:pt idx="28">
                  <c:v>0.67546150000000005</c:v>
                </c:pt>
                <c:pt idx="29">
                  <c:v>0.86193249999999999</c:v>
                </c:pt>
                <c:pt idx="30">
                  <c:v>0.6437368</c:v>
                </c:pt>
                <c:pt idx="31">
                  <c:v>0.76377510000000004</c:v>
                </c:pt>
                <c:pt idx="32">
                  <c:v>0.61286479999999999</c:v>
                </c:pt>
                <c:pt idx="33">
                  <c:v>0.63041590000000003</c:v>
                </c:pt>
                <c:pt idx="34">
                  <c:v>0.69449899999999998</c:v>
                </c:pt>
                <c:pt idx="35">
                  <c:v>0.71738760000000001</c:v>
                </c:pt>
                <c:pt idx="36">
                  <c:v>0.70983030000000003</c:v>
                </c:pt>
                <c:pt idx="37">
                  <c:v>0.78484259999999995</c:v>
                </c:pt>
                <c:pt idx="38">
                  <c:v>0.63021170000000004</c:v>
                </c:pt>
                <c:pt idx="39">
                  <c:v>0.75434650000000003</c:v>
                </c:pt>
                <c:pt idx="40">
                  <c:v>0.90778029999999998</c:v>
                </c:pt>
                <c:pt idx="41">
                  <c:v>0.51586529999999997</c:v>
                </c:pt>
                <c:pt idx="42">
                  <c:v>0.72495149999999997</c:v>
                </c:pt>
                <c:pt idx="43">
                  <c:v>0.72799130000000001</c:v>
                </c:pt>
                <c:pt idx="44">
                  <c:v>0.79482699999999995</c:v>
                </c:pt>
                <c:pt idx="45">
                  <c:v>0.76252549999999997</c:v>
                </c:pt>
              </c:numCache>
            </c:numRef>
          </c:yVal>
          <c:smooth val="0"/>
          <c:extLst>
            <c:ext xmlns:c16="http://schemas.microsoft.com/office/drawing/2014/chart" uri="{C3380CC4-5D6E-409C-BE32-E72D297353CC}">
              <c16:uniqueId val="{00000004-C5F8-48FE-AF1D-D3D19A2F8243}"/>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Rentekostnader!$K$700:$K$751</c:f>
              <c:numCache>
                <c:formatCode>General</c:formatCode>
                <c:ptCount val="52"/>
                <c:pt idx="0">
                  <c:v>0.65987090000000004</c:v>
                </c:pt>
                <c:pt idx="1">
                  <c:v>0.7490289</c:v>
                </c:pt>
                <c:pt idx="2">
                  <c:v>0.74530229999999997</c:v>
                </c:pt>
                <c:pt idx="3">
                  <c:v>0.74486189999999997</c:v>
                </c:pt>
                <c:pt idx="4">
                  <c:v>0.50522599999999995</c:v>
                </c:pt>
                <c:pt idx="5">
                  <c:v>0.80299790000000004</c:v>
                </c:pt>
                <c:pt idx="6">
                  <c:v>0.74770999999999999</c:v>
                </c:pt>
                <c:pt idx="7">
                  <c:v>0.63846689999999995</c:v>
                </c:pt>
                <c:pt idx="8">
                  <c:v>0.54451609999999995</c:v>
                </c:pt>
                <c:pt idx="9">
                  <c:v>0.52132990000000001</c:v>
                </c:pt>
                <c:pt idx="10">
                  <c:v>0.75326899999999997</c:v>
                </c:pt>
                <c:pt idx="11">
                  <c:v>0.77533660000000004</c:v>
                </c:pt>
                <c:pt idx="12">
                  <c:v>0.67226569999999997</c:v>
                </c:pt>
                <c:pt idx="13">
                  <c:v>0.77794200000000002</c:v>
                </c:pt>
                <c:pt idx="14">
                  <c:v>0.77841890000000002</c:v>
                </c:pt>
                <c:pt idx="15">
                  <c:v>0.79885819999999996</c:v>
                </c:pt>
                <c:pt idx="16">
                  <c:v>0.7354096</c:v>
                </c:pt>
                <c:pt idx="17">
                  <c:v>0.7577218</c:v>
                </c:pt>
                <c:pt idx="18">
                  <c:v>0.75342810000000005</c:v>
                </c:pt>
                <c:pt idx="19">
                  <c:v>0.71265599999999996</c:v>
                </c:pt>
                <c:pt idx="20">
                  <c:v>0.80826779999999998</c:v>
                </c:pt>
                <c:pt idx="21">
                  <c:v>0.75070269999999995</c:v>
                </c:pt>
                <c:pt idx="22">
                  <c:v>0.82352449999999999</c:v>
                </c:pt>
                <c:pt idx="23">
                  <c:v>0.74825189999999997</c:v>
                </c:pt>
                <c:pt idx="24">
                  <c:v>0.71760800000000002</c:v>
                </c:pt>
                <c:pt idx="25">
                  <c:v>0.81074299999999999</c:v>
                </c:pt>
                <c:pt idx="26">
                  <c:v>0.72396539999999998</c:v>
                </c:pt>
                <c:pt idx="27">
                  <c:v>0.72742669999999998</c:v>
                </c:pt>
                <c:pt idx="28">
                  <c:v>0.73366710000000002</c:v>
                </c:pt>
                <c:pt idx="29">
                  <c:v>0.55013650000000003</c:v>
                </c:pt>
                <c:pt idx="30">
                  <c:v>0.65127210000000002</c:v>
                </c:pt>
                <c:pt idx="31">
                  <c:v>0.58231750000000004</c:v>
                </c:pt>
                <c:pt idx="32">
                  <c:v>0.74483169999999999</c:v>
                </c:pt>
                <c:pt idx="33">
                  <c:v>0.63594930000000005</c:v>
                </c:pt>
                <c:pt idx="34">
                  <c:v>0.78731850000000003</c:v>
                </c:pt>
                <c:pt idx="35">
                  <c:v>0.64263519999999996</c:v>
                </c:pt>
                <c:pt idx="36">
                  <c:v>0.72905019999999998</c:v>
                </c:pt>
                <c:pt idx="37">
                  <c:v>0.72590330000000003</c:v>
                </c:pt>
                <c:pt idx="38">
                  <c:v>0.75776960000000004</c:v>
                </c:pt>
                <c:pt idx="39">
                  <c:v>0.70973960000000003</c:v>
                </c:pt>
                <c:pt idx="40">
                  <c:v>0.78858870000000003</c:v>
                </c:pt>
                <c:pt idx="41">
                  <c:v>0.53136839999999996</c:v>
                </c:pt>
                <c:pt idx="42">
                  <c:v>0.70603640000000001</c:v>
                </c:pt>
                <c:pt idx="43">
                  <c:v>0.77157810000000004</c:v>
                </c:pt>
                <c:pt idx="44">
                  <c:v>0.58099529999999999</c:v>
                </c:pt>
                <c:pt idx="45">
                  <c:v>0.79633410000000004</c:v>
                </c:pt>
                <c:pt idx="46">
                  <c:v>0.6826835</c:v>
                </c:pt>
                <c:pt idx="47">
                  <c:v>0.77395590000000003</c:v>
                </c:pt>
                <c:pt idx="48">
                  <c:v>0.83767519999999995</c:v>
                </c:pt>
                <c:pt idx="49">
                  <c:v>0.75238839999999996</c:v>
                </c:pt>
                <c:pt idx="50">
                  <c:v>0.71612569999999998</c:v>
                </c:pt>
                <c:pt idx="51">
                  <c:v>0.78722800000000004</c:v>
                </c:pt>
              </c:numCache>
            </c:numRef>
          </c:yVal>
          <c:smooth val="0"/>
          <c:extLst>
            <c:ext xmlns:c16="http://schemas.microsoft.com/office/drawing/2014/chart" uri="{C3380CC4-5D6E-409C-BE32-E72D297353CC}">
              <c16:uniqueId val="{00000005-C5F8-48FE-AF1D-D3D19A2F824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ax val="1"/>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Samlet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Rentekostnader!$J$396:$J$475</c:f>
              <c:numCache>
                <c:formatCode>General</c:formatCode>
                <c:ptCount val="80"/>
                <c:pt idx="0">
                  <c:v>3.9693000000000003E-3</c:v>
                </c:pt>
                <c:pt idx="1">
                  <c:v>8.7799000000000002E-3</c:v>
                </c:pt>
                <c:pt idx="2">
                  <c:v>1.2792599999999999E-2</c:v>
                </c:pt>
                <c:pt idx="3">
                  <c:v>9.9553000000000003E-3</c:v>
                </c:pt>
                <c:pt idx="4">
                  <c:v>1.16787E-2</c:v>
                </c:pt>
                <c:pt idx="5">
                  <c:v>1.1136099999999999E-2</c:v>
                </c:pt>
                <c:pt idx="6">
                  <c:v>8.2804000000000003E-3</c:v>
                </c:pt>
                <c:pt idx="7">
                  <c:v>1.00269E-2</c:v>
                </c:pt>
                <c:pt idx="8">
                  <c:v>7.1923999999999998E-3</c:v>
                </c:pt>
                <c:pt idx="9">
                  <c:v>1.49698E-2</c:v>
                </c:pt>
                <c:pt idx="10">
                  <c:v>9.6214000000000004E-3</c:v>
                </c:pt>
                <c:pt idx="11">
                  <c:v>1.11206E-2</c:v>
                </c:pt>
                <c:pt idx="12">
                  <c:v>6.8218000000000003E-3</c:v>
                </c:pt>
                <c:pt idx="13">
                  <c:v>8.3198000000000005E-3</c:v>
                </c:pt>
                <c:pt idx="14">
                  <c:v>7.3844000000000002E-3</c:v>
                </c:pt>
                <c:pt idx="15">
                  <c:v>1.21157E-2</c:v>
                </c:pt>
                <c:pt idx="16">
                  <c:v>7.3949999999999997E-3</c:v>
                </c:pt>
                <c:pt idx="17">
                  <c:v>8.8918000000000001E-3</c:v>
                </c:pt>
                <c:pt idx="18">
                  <c:v>8.2719000000000004E-3</c:v>
                </c:pt>
                <c:pt idx="19">
                  <c:v>8.5816999999999994E-3</c:v>
                </c:pt>
                <c:pt idx="20">
                  <c:v>1.11708E-2</c:v>
                </c:pt>
                <c:pt idx="21">
                  <c:v>9.3740999999999998E-3</c:v>
                </c:pt>
                <c:pt idx="22">
                  <c:v>8.7354000000000008E-3</c:v>
                </c:pt>
                <c:pt idx="23">
                  <c:v>9.2213E-3</c:v>
                </c:pt>
                <c:pt idx="24">
                  <c:v>9.5540999999999994E-3</c:v>
                </c:pt>
                <c:pt idx="25">
                  <c:v>6.2570000000000004E-3</c:v>
                </c:pt>
                <c:pt idx="26">
                  <c:v>9.3144999999999999E-3</c:v>
                </c:pt>
                <c:pt idx="27">
                  <c:v>1.2085E-2</c:v>
                </c:pt>
                <c:pt idx="28">
                  <c:v>9.5837000000000006E-3</c:v>
                </c:pt>
                <c:pt idx="29">
                  <c:v>5.9348999999999999E-3</c:v>
                </c:pt>
                <c:pt idx="30">
                  <c:v>6.9156E-3</c:v>
                </c:pt>
                <c:pt idx="31">
                  <c:v>1.11156E-2</c:v>
                </c:pt>
                <c:pt idx="32">
                  <c:v>9.7462999999999994E-3</c:v>
                </c:pt>
                <c:pt idx="33">
                  <c:v>1.61029E-2</c:v>
                </c:pt>
                <c:pt idx="34">
                  <c:v>1.0730200000000001E-2</c:v>
                </c:pt>
                <c:pt idx="35">
                  <c:v>1.1762699999999999E-2</c:v>
                </c:pt>
                <c:pt idx="36">
                  <c:v>1.12908E-2</c:v>
                </c:pt>
                <c:pt idx="37">
                  <c:v>1.2315599999999999E-2</c:v>
                </c:pt>
                <c:pt idx="38">
                  <c:v>9.0770999999999994E-3</c:v>
                </c:pt>
                <c:pt idx="39">
                  <c:v>9.6456000000000007E-3</c:v>
                </c:pt>
                <c:pt idx="40">
                  <c:v>8.9060000000000007E-3</c:v>
                </c:pt>
                <c:pt idx="41">
                  <c:v>1.2976700000000001E-2</c:v>
                </c:pt>
                <c:pt idx="42">
                  <c:v>1.27145E-2</c:v>
                </c:pt>
                <c:pt idx="43">
                  <c:v>7.9395999999999998E-3</c:v>
                </c:pt>
                <c:pt idx="44">
                  <c:v>9.1918999999999994E-3</c:v>
                </c:pt>
                <c:pt idx="45">
                  <c:v>1.03438E-2</c:v>
                </c:pt>
                <c:pt idx="46">
                  <c:v>8.9847E-3</c:v>
                </c:pt>
                <c:pt idx="47">
                  <c:v>8.2115E-3</c:v>
                </c:pt>
                <c:pt idx="48">
                  <c:v>1.5251799999999999E-2</c:v>
                </c:pt>
                <c:pt idx="49">
                  <c:v>1.1612300000000001E-2</c:v>
                </c:pt>
                <c:pt idx="50">
                  <c:v>1.08018E-2</c:v>
                </c:pt>
                <c:pt idx="51">
                  <c:v>1.18145E-2</c:v>
                </c:pt>
                <c:pt idx="52">
                  <c:v>8.0341000000000006E-3</c:v>
                </c:pt>
                <c:pt idx="53">
                  <c:v>1.4449999999999999E-2</c:v>
                </c:pt>
                <c:pt idx="54">
                  <c:v>1.7172300000000001E-2</c:v>
                </c:pt>
                <c:pt idx="55">
                  <c:v>5.7127000000000002E-3</c:v>
                </c:pt>
                <c:pt idx="56">
                  <c:v>1.08246E-2</c:v>
                </c:pt>
                <c:pt idx="57">
                  <c:v>0</c:v>
                </c:pt>
                <c:pt idx="58">
                  <c:v>9.9349999999999994E-3</c:v>
                </c:pt>
                <c:pt idx="59">
                  <c:v>1.12651E-2</c:v>
                </c:pt>
                <c:pt idx="60">
                  <c:v>4.9538000000000004E-3</c:v>
                </c:pt>
                <c:pt idx="61">
                  <c:v>1.02959E-2</c:v>
                </c:pt>
                <c:pt idx="62">
                  <c:v>1.5184400000000001E-2</c:v>
                </c:pt>
                <c:pt idx="63">
                  <c:v>1.16174E-2</c:v>
                </c:pt>
                <c:pt idx="64">
                  <c:v>1.03108E-2</c:v>
                </c:pt>
                <c:pt idx="65">
                  <c:v>9.0267999999999998E-3</c:v>
                </c:pt>
                <c:pt idx="66">
                  <c:v>9.1502000000000007E-3</c:v>
                </c:pt>
                <c:pt idx="67">
                  <c:v>1.34775E-2</c:v>
                </c:pt>
                <c:pt idx="68">
                  <c:v>1.13119E-2</c:v>
                </c:pt>
                <c:pt idx="69">
                  <c:v>1.45135E-2</c:v>
                </c:pt>
                <c:pt idx="70">
                  <c:v>8.4411E-3</c:v>
                </c:pt>
                <c:pt idx="71">
                  <c:v>9.2090000000000002E-3</c:v>
                </c:pt>
                <c:pt idx="72">
                  <c:v>1.1853300000000001E-2</c:v>
                </c:pt>
                <c:pt idx="73">
                  <c:v>6.2959000000000001E-3</c:v>
                </c:pt>
                <c:pt idx="74">
                  <c:v>1.0572099999999999E-2</c:v>
                </c:pt>
                <c:pt idx="75">
                  <c:v>4.9030999999999996E-3</c:v>
                </c:pt>
                <c:pt idx="76">
                  <c:v>1.16469E-2</c:v>
                </c:pt>
                <c:pt idx="77">
                  <c:v>7.8171999999999998E-3</c:v>
                </c:pt>
                <c:pt idx="78">
                  <c:v>7.7244999999999996E-3</c:v>
                </c:pt>
                <c:pt idx="79">
                  <c:v>1.00871E-2</c:v>
                </c:pt>
              </c:numCache>
            </c:numRef>
          </c:yVal>
          <c:smooth val="0"/>
          <c:extLst>
            <c:ext xmlns:c16="http://schemas.microsoft.com/office/drawing/2014/chart" uri="{C3380CC4-5D6E-409C-BE32-E72D297353CC}">
              <c16:uniqueId val="{00000000-C2D2-48DB-80F0-2C86D924E89A}"/>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Rentekostnader!$J$476:$J$513</c:f>
              <c:numCache>
                <c:formatCode>General</c:formatCode>
                <c:ptCount val="38"/>
                <c:pt idx="0">
                  <c:v>8.3490000000000005E-3</c:v>
                </c:pt>
                <c:pt idx="1">
                  <c:v>5.0587000000000002E-3</c:v>
                </c:pt>
                <c:pt idx="2">
                  <c:v>1.5252399999999999E-2</c:v>
                </c:pt>
                <c:pt idx="3">
                  <c:v>8.8879000000000007E-3</c:v>
                </c:pt>
                <c:pt idx="4">
                  <c:v>1.29941E-2</c:v>
                </c:pt>
                <c:pt idx="5">
                  <c:v>9.1354000000000001E-3</c:v>
                </c:pt>
                <c:pt idx="6">
                  <c:v>9.8274E-3</c:v>
                </c:pt>
                <c:pt idx="7">
                  <c:v>1.24779E-2</c:v>
                </c:pt>
                <c:pt idx="8">
                  <c:v>7.2436000000000002E-3</c:v>
                </c:pt>
                <c:pt idx="9">
                  <c:v>1.07882E-2</c:v>
                </c:pt>
                <c:pt idx="10">
                  <c:v>1.20395E-2</c:v>
                </c:pt>
                <c:pt idx="11">
                  <c:v>1.2286200000000001E-2</c:v>
                </c:pt>
                <c:pt idx="12">
                  <c:v>9.2525000000000003E-3</c:v>
                </c:pt>
                <c:pt idx="13">
                  <c:v>7.1343999999999999E-3</c:v>
                </c:pt>
                <c:pt idx="14">
                  <c:v>1.4098599999999999E-2</c:v>
                </c:pt>
                <c:pt idx="15">
                  <c:v>1.1384399999999999E-2</c:v>
                </c:pt>
                <c:pt idx="16">
                  <c:v>9.4608999999999995E-3</c:v>
                </c:pt>
                <c:pt idx="17">
                  <c:v>1.31472E-2</c:v>
                </c:pt>
                <c:pt idx="18">
                  <c:v>9.3918999999999999E-3</c:v>
                </c:pt>
                <c:pt idx="19">
                  <c:v>1.0219900000000001E-2</c:v>
                </c:pt>
                <c:pt idx="20">
                  <c:v>1.2297199999999999E-2</c:v>
                </c:pt>
                <c:pt idx="21">
                  <c:v>1.0308599999999999E-2</c:v>
                </c:pt>
                <c:pt idx="22">
                  <c:v>9.2972999999999997E-3</c:v>
                </c:pt>
                <c:pt idx="23">
                  <c:v>8.2547000000000002E-3</c:v>
                </c:pt>
                <c:pt idx="24">
                  <c:v>1.136E-2</c:v>
                </c:pt>
                <c:pt idx="25">
                  <c:v>1.1848600000000001E-2</c:v>
                </c:pt>
                <c:pt idx="26">
                  <c:v>8.5901999999999992E-3</c:v>
                </c:pt>
                <c:pt idx="27">
                  <c:v>8.9721999999999996E-3</c:v>
                </c:pt>
                <c:pt idx="28">
                  <c:v>1.31509E-2</c:v>
                </c:pt>
                <c:pt idx="29">
                  <c:v>1.4827699999999999E-2</c:v>
                </c:pt>
                <c:pt idx="30">
                  <c:v>9.5350000000000001E-3</c:v>
                </c:pt>
                <c:pt idx="31">
                  <c:v>1.29198E-2</c:v>
                </c:pt>
                <c:pt idx="32">
                  <c:v>1.4512799999999999E-2</c:v>
                </c:pt>
                <c:pt idx="33">
                  <c:v>1.37886E-2</c:v>
                </c:pt>
                <c:pt idx="34">
                  <c:v>6.7835999999999999E-3</c:v>
                </c:pt>
                <c:pt idx="35">
                  <c:v>1.23471E-2</c:v>
                </c:pt>
                <c:pt idx="36">
                  <c:v>9.3044000000000009E-3</c:v>
                </c:pt>
                <c:pt idx="37">
                  <c:v>9.2812999999999993E-3</c:v>
                </c:pt>
              </c:numCache>
            </c:numRef>
          </c:yVal>
          <c:smooth val="0"/>
          <c:extLst>
            <c:ext xmlns:c16="http://schemas.microsoft.com/office/drawing/2014/chart" uri="{C3380CC4-5D6E-409C-BE32-E72D297353CC}">
              <c16:uniqueId val="{00000001-C2D2-48DB-80F0-2C86D924E89A}"/>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Rentekostnader!$J$514:$J$605</c:f>
              <c:numCache>
                <c:formatCode>General</c:formatCode>
                <c:ptCount val="92"/>
                <c:pt idx="0">
                  <c:v>8.6872000000000008E-3</c:v>
                </c:pt>
                <c:pt idx="1">
                  <c:v>8.1933000000000006E-3</c:v>
                </c:pt>
                <c:pt idx="2">
                  <c:v>9.8781000000000008E-3</c:v>
                </c:pt>
                <c:pt idx="3">
                  <c:v>9.5005000000000003E-3</c:v>
                </c:pt>
                <c:pt idx="4">
                  <c:v>1.12794E-2</c:v>
                </c:pt>
                <c:pt idx="5">
                  <c:v>9.7149000000000003E-3</c:v>
                </c:pt>
                <c:pt idx="6">
                  <c:v>1.1384399999999999E-2</c:v>
                </c:pt>
                <c:pt idx="7">
                  <c:v>9.6345000000000007E-3</c:v>
                </c:pt>
                <c:pt idx="8">
                  <c:v>6.8043000000000001E-3</c:v>
                </c:pt>
                <c:pt idx="9">
                  <c:v>8.8728000000000001E-3</c:v>
                </c:pt>
                <c:pt idx="10">
                  <c:v>7.6201999999999997E-3</c:v>
                </c:pt>
                <c:pt idx="11">
                  <c:v>7.8691000000000004E-3</c:v>
                </c:pt>
                <c:pt idx="12">
                  <c:v>1.2127799999999999E-2</c:v>
                </c:pt>
                <c:pt idx="13">
                  <c:v>7.8659999999999997E-3</c:v>
                </c:pt>
                <c:pt idx="14">
                  <c:v>1.14603E-2</c:v>
                </c:pt>
                <c:pt idx="15">
                  <c:v>1.0606600000000001E-2</c:v>
                </c:pt>
                <c:pt idx="16">
                  <c:v>5.7848999999999999E-3</c:v>
                </c:pt>
                <c:pt idx="17">
                  <c:v>1.07907E-2</c:v>
                </c:pt>
                <c:pt idx="18">
                  <c:v>9.6824000000000007E-3</c:v>
                </c:pt>
                <c:pt idx="19">
                  <c:v>1.00362E-2</c:v>
                </c:pt>
                <c:pt idx="20">
                  <c:v>1.0857800000000001E-2</c:v>
                </c:pt>
                <c:pt idx="21">
                  <c:v>9.8160000000000001E-3</c:v>
                </c:pt>
                <c:pt idx="22">
                  <c:v>1.0649E-2</c:v>
                </c:pt>
                <c:pt idx="23">
                  <c:v>9.4617E-3</c:v>
                </c:pt>
                <c:pt idx="24">
                  <c:v>9.0463999999999996E-3</c:v>
                </c:pt>
                <c:pt idx="25">
                  <c:v>1.0457899999999999E-2</c:v>
                </c:pt>
                <c:pt idx="26">
                  <c:v>7.0790999999999996E-3</c:v>
                </c:pt>
                <c:pt idx="27">
                  <c:v>1.68471E-2</c:v>
                </c:pt>
                <c:pt idx="28">
                  <c:v>1.29721E-2</c:v>
                </c:pt>
                <c:pt idx="29">
                  <c:v>1.0184199999999999E-2</c:v>
                </c:pt>
                <c:pt idx="30">
                  <c:v>1.2887600000000001E-2</c:v>
                </c:pt>
                <c:pt idx="31">
                  <c:v>1.02241E-2</c:v>
                </c:pt>
                <c:pt idx="32">
                  <c:v>8.6292000000000001E-3</c:v>
                </c:pt>
                <c:pt idx="33">
                  <c:v>1.09754E-2</c:v>
                </c:pt>
                <c:pt idx="34">
                  <c:v>1.0120199999999999E-2</c:v>
                </c:pt>
                <c:pt idx="35">
                  <c:v>1.3261800000000001E-2</c:v>
                </c:pt>
                <c:pt idx="36">
                  <c:v>1.08153E-2</c:v>
                </c:pt>
                <c:pt idx="37">
                  <c:v>1.1166199999999999E-2</c:v>
                </c:pt>
                <c:pt idx="38">
                  <c:v>1.05346E-2</c:v>
                </c:pt>
                <c:pt idx="39">
                  <c:v>1.2136900000000001E-2</c:v>
                </c:pt>
                <c:pt idx="40">
                  <c:v>9.7856999999999996E-3</c:v>
                </c:pt>
                <c:pt idx="41">
                  <c:v>8.1717000000000005E-3</c:v>
                </c:pt>
                <c:pt idx="42">
                  <c:v>1.01435E-2</c:v>
                </c:pt>
                <c:pt idx="43">
                  <c:v>7.1015000000000002E-3</c:v>
                </c:pt>
                <c:pt idx="44">
                  <c:v>8.9306000000000003E-3</c:v>
                </c:pt>
                <c:pt idx="45">
                  <c:v>9.3661000000000005E-3</c:v>
                </c:pt>
                <c:pt idx="46">
                  <c:v>9.8933000000000007E-3</c:v>
                </c:pt>
                <c:pt idx="47">
                  <c:v>1.38529E-2</c:v>
                </c:pt>
                <c:pt idx="48">
                  <c:v>1.8708700000000002E-2</c:v>
                </c:pt>
                <c:pt idx="49">
                  <c:v>1.02381E-2</c:v>
                </c:pt>
                <c:pt idx="50">
                  <c:v>1.6175499999999999E-2</c:v>
                </c:pt>
                <c:pt idx="51">
                  <c:v>8.9418999999999992E-3</c:v>
                </c:pt>
                <c:pt idx="52">
                  <c:v>1.17806E-2</c:v>
                </c:pt>
                <c:pt idx="53">
                  <c:v>9.4105000000000005E-3</c:v>
                </c:pt>
                <c:pt idx="54">
                  <c:v>1.00196E-2</c:v>
                </c:pt>
                <c:pt idx="55">
                  <c:v>1.2032899999999999E-2</c:v>
                </c:pt>
                <c:pt idx="56">
                  <c:v>9.4783999999999997E-3</c:v>
                </c:pt>
                <c:pt idx="57">
                  <c:v>1.31672E-2</c:v>
                </c:pt>
                <c:pt idx="58">
                  <c:v>6.8224000000000002E-3</c:v>
                </c:pt>
                <c:pt idx="59">
                  <c:v>9.9853000000000008E-3</c:v>
                </c:pt>
                <c:pt idx="60">
                  <c:v>8.7959000000000006E-3</c:v>
                </c:pt>
                <c:pt idx="61">
                  <c:v>1.7766400000000002E-2</c:v>
                </c:pt>
                <c:pt idx="62">
                  <c:v>7.2383999999999999E-3</c:v>
                </c:pt>
                <c:pt idx="63">
                  <c:v>1.2074400000000001E-2</c:v>
                </c:pt>
                <c:pt idx="64">
                  <c:v>1.10683E-2</c:v>
                </c:pt>
                <c:pt idx="65">
                  <c:v>1.0189800000000001E-2</c:v>
                </c:pt>
                <c:pt idx="66">
                  <c:v>8.8537000000000008E-3</c:v>
                </c:pt>
                <c:pt idx="67">
                  <c:v>1.00532E-2</c:v>
                </c:pt>
                <c:pt idx="68">
                  <c:v>8.1902999999999993E-3</c:v>
                </c:pt>
                <c:pt idx="69">
                  <c:v>1.0714400000000001E-2</c:v>
                </c:pt>
                <c:pt idx="70">
                  <c:v>1.38727E-2</c:v>
                </c:pt>
                <c:pt idx="71">
                  <c:v>6.8087E-3</c:v>
                </c:pt>
                <c:pt idx="72">
                  <c:v>9.0881E-3</c:v>
                </c:pt>
                <c:pt idx="73">
                  <c:v>7.0812000000000002E-3</c:v>
                </c:pt>
                <c:pt idx="74">
                  <c:v>8.4995000000000001E-3</c:v>
                </c:pt>
                <c:pt idx="75">
                  <c:v>1.16959E-2</c:v>
                </c:pt>
                <c:pt idx="76">
                  <c:v>6.1669000000000003E-3</c:v>
                </c:pt>
                <c:pt idx="77">
                  <c:v>9.4791000000000007E-3</c:v>
                </c:pt>
                <c:pt idx="78">
                  <c:v>1.03778E-2</c:v>
                </c:pt>
                <c:pt idx="79">
                  <c:v>9.5267000000000008E-3</c:v>
                </c:pt>
                <c:pt idx="80">
                  <c:v>9.2998999999999998E-3</c:v>
                </c:pt>
                <c:pt idx="81">
                  <c:v>6.1120000000000002E-3</c:v>
                </c:pt>
                <c:pt idx="82">
                  <c:v>1.14065E-2</c:v>
                </c:pt>
                <c:pt idx="83">
                  <c:v>8.9609000000000008E-3</c:v>
                </c:pt>
                <c:pt idx="84">
                  <c:v>1.0671699999999999E-2</c:v>
                </c:pt>
                <c:pt idx="85">
                  <c:v>9.0612999999999996E-3</c:v>
                </c:pt>
                <c:pt idx="86">
                  <c:v>1.06534E-2</c:v>
                </c:pt>
                <c:pt idx="87">
                  <c:v>9.9889000000000002E-3</c:v>
                </c:pt>
                <c:pt idx="88">
                  <c:v>8.4852E-3</c:v>
                </c:pt>
                <c:pt idx="89">
                  <c:v>8.9110000000000005E-3</c:v>
                </c:pt>
                <c:pt idx="90">
                  <c:v>9.4917999999999999E-3</c:v>
                </c:pt>
                <c:pt idx="91">
                  <c:v>7.5380999999999998E-3</c:v>
                </c:pt>
              </c:numCache>
            </c:numRef>
          </c:yVal>
          <c:smooth val="0"/>
          <c:extLst>
            <c:ext xmlns:c16="http://schemas.microsoft.com/office/drawing/2014/chart" uri="{C3380CC4-5D6E-409C-BE32-E72D297353CC}">
              <c16:uniqueId val="{00000002-C2D2-48DB-80F0-2C86D924E89A}"/>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Rentekostnader!$J$606:$J$653</c:f>
              <c:numCache>
                <c:formatCode>General</c:formatCode>
                <c:ptCount val="48"/>
                <c:pt idx="0">
                  <c:v>7.3566999999999999E-3</c:v>
                </c:pt>
                <c:pt idx="1">
                  <c:v>9.0986999999999995E-3</c:v>
                </c:pt>
                <c:pt idx="2">
                  <c:v>1.0134000000000001E-2</c:v>
                </c:pt>
                <c:pt idx="3">
                  <c:v>1.01034E-2</c:v>
                </c:pt>
                <c:pt idx="4">
                  <c:v>1.3141099999999999E-2</c:v>
                </c:pt>
                <c:pt idx="5">
                  <c:v>1.06284E-2</c:v>
                </c:pt>
                <c:pt idx="6">
                  <c:v>6.8840000000000004E-3</c:v>
                </c:pt>
                <c:pt idx="7">
                  <c:v>9.7918999999999992E-3</c:v>
                </c:pt>
                <c:pt idx="8">
                  <c:v>9.8400999999999992E-3</c:v>
                </c:pt>
                <c:pt idx="9">
                  <c:v>8.5257000000000006E-3</c:v>
                </c:pt>
                <c:pt idx="10">
                  <c:v>9.0471000000000006E-3</c:v>
                </c:pt>
                <c:pt idx="11">
                  <c:v>1.03608E-2</c:v>
                </c:pt>
                <c:pt idx="12">
                  <c:v>1.17988E-2</c:v>
                </c:pt>
                <c:pt idx="13">
                  <c:v>8.3076999999999995E-3</c:v>
                </c:pt>
                <c:pt idx="14">
                  <c:v>1.1625099999999999E-2</c:v>
                </c:pt>
                <c:pt idx="15">
                  <c:v>9.8949999999999993E-3</c:v>
                </c:pt>
                <c:pt idx="16">
                  <c:v>8.1837000000000003E-3</c:v>
                </c:pt>
                <c:pt idx="17">
                  <c:v>9.2715000000000002E-3</c:v>
                </c:pt>
                <c:pt idx="18">
                  <c:v>5.9766999999999997E-3</c:v>
                </c:pt>
                <c:pt idx="19">
                  <c:v>1.2321E-2</c:v>
                </c:pt>
                <c:pt idx="20">
                  <c:v>9.0437999999999994E-3</c:v>
                </c:pt>
                <c:pt idx="21">
                  <c:v>1.1457699999999999E-2</c:v>
                </c:pt>
                <c:pt idx="22">
                  <c:v>9.9295000000000008E-3</c:v>
                </c:pt>
                <c:pt idx="23">
                  <c:v>6.5094999999999997E-3</c:v>
                </c:pt>
                <c:pt idx="24">
                  <c:v>8.7481E-3</c:v>
                </c:pt>
                <c:pt idx="25">
                  <c:v>8.4510999999999996E-3</c:v>
                </c:pt>
                <c:pt idx="26">
                  <c:v>1.1772400000000001E-2</c:v>
                </c:pt>
                <c:pt idx="27">
                  <c:v>7.9614000000000004E-3</c:v>
                </c:pt>
                <c:pt idx="28">
                  <c:v>7.3188000000000003E-3</c:v>
                </c:pt>
                <c:pt idx="29">
                  <c:v>1.1631600000000001E-2</c:v>
                </c:pt>
                <c:pt idx="30">
                  <c:v>8.3318999999999997E-3</c:v>
                </c:pt>
                <c:pt idx="31">
                  <c:v>1.0419299999999999E-2</c:v>
                </c:pt>
                <c:pt idx="32">
                  <c:v>9.3358E-3</c:v>
                </c:pt>
                <c:pt idx="33">
                  <c:v>1.04691E-2</c:v>
                </c:pt>
                <c:pt idx="34">
                  <c:v>9.0684000000000008E-3</c:v>
                </c:pt>
                <c:pt idx="35">
                  <c:v>1.09024E-2</c:v>
                </c:pt>
                <c:pt idx="36">
                  <c:v>1.18657E-2</c:v>
                </c:pt>
                <c:pt idx="37">
                  <c:v>1.0781199999999999E-2</c:v>
                </c:pt>
                <c:pt idx="38">
                  <c:v>7.6188999999999996E-3</c:v>
                </c:pt>
                <c:pt idx="39">
                  <c:v>1.14524E-2</c:v>
                </c:pt>
                <c:pt idx="40">
                  <c:v>7.3267999999999996E-3</c:v>
                </c:pt>
                <c:pt idx="41">
                  <c:v>1.41768E-2</c:v>
                </c:pt>
                <c:pt idx="42">
                  <c:v>1.3551199999999999E-2</c:v>
                </c:pt>
                <c:pt idx="43">
                  <c:v>1.1332200000000001E-2</c:v>
                </c:pt>
                <c:pt idx="44">
                  <c:v>5.6825000000000001E-3</c:v>
                </c:pt>
                <c:pt idx="45">
                  <c:v>5.7641000000000003E-3</c:v>
                </c:pt>
                <c:pt idx="46">
                  <c:v>1.26567E-2</c:v>
                </c:pt>
                <c:pt idx="47">
                  <c:v>9.7902000000000006E-3</c:v>
                </c:pt>
              </c:numCache>
            </c:numRef>
          </c:yVal>
          <c:smooth val="0"/>
          <c:extLst>
            <c:ext xmlns:c16="http://schemas.microsoft.com/office/drawing/2014/chart" uri="{C3380CC4-5D6E-409C-BE32-E72D297353CC}">
              <c16:uniqueId val="{00000003-C2D2-48DB-80F0-2C86D924E89A}"/>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Rentekostnader!$J$654:$J$699</c:f>
              <c:numCache>
                <c:formatCode>General</c:formatCode>
                <c:ptCount val="46"/>
                <c:pt idx="0">
                  <c:v>9.2303999999999997E-3</c:v>
                </c:pt>
                <c:pt idx="1">
                  <c:v>9.6828000000000001E-3</c:v>
                </c:pt>
                <c:pt idx="2">
                  <c:v>1.03622E-2</c:v>
                </c:pt>
                <c:pt idx="3">
                  <c:v>1.0578300000000001E-2</c:v>
                </c:pt>
                <c:pt idx="4">
                  <c:v>1.24507E-2</c:v>
                </c:pt>
                <c:pt idx="5">
                  <c:v>9.0045999999999998E-3</c:v>
                </c:pt>
                <c:pt idx="6">
                  <c:v>1.13551E-2</c:v>
                </c:pt>
                <c:pt idx="7">
                  <c:v>9.3784000000000003E-3</c:v>
                </c:pt>
                <c:pt idx="8">
                  <c:v>1.1881600000000001E-2</c:v>
                </c:pt>
                <c:pt idx="9">
                  <c:v>8.9862999999999991E-3</c:v>
                </c:pt>
                <c:pt idx="10">
                  <c:v>9.3364999999999993E-3</c:v>
                </c:pt>
                <c:pt idx="11">
                  <c:v>1.0584100000000001E-2</c:v>
                </c:pt>
                <c:pt idx="12">
                  <c:v>1.2226799999999999E-2</c:v>
                </c:pt>
                <c:pt idx="13">
                  <c:v>7.9580999999999992E-3</c:v>
                </c:pt>
                <c:pt idx="14">
                  <c:v>8.8369E-3</c:v>
                </c:pt>
                <c:pt idx="15">
                  <c:v>7.5507999999999999E-3</c:v>
                </c:pt>
                <c:pt idx="16">
                  <c:v>1.15622E-2</c:v>
                </c:pt>
                <c:pt idx="17">
                  <c:v>8.8486999999999993E-3</c:v>
                </c:pt>
                <c:pt idx="18">
                  <c:v>8.2389999999999998E-3</c:v>
                </c:pt>
                <c:pt idx="19">
                  <c:v>7.4190999999999997E-3</c:v>
                </c:pt>
                <c:pt idx="20">
                  <c:v>9.7841000000000004E-3</c:v>
                </c:pt>
                <c:pt idx="21">
                  <c:v>1.18067E-2</c:v>
                </c:pt>
                <c:pt idx="22">
                  <c:v>9.3670000000000003E-3</c:v>
                </c:pt>
                <c:pt idx="23">
                  <c:v>8.9304999999999992E-3</c:v>
                </c:pt>
                <c:pt idx="24">
                  <c:v>9.4067999999999999E-3</c:v>
                </c:pt>
                <c:pt idx="25">
                  <c:v>1.0091599999999999E-2</c:v>
                </c:pt>
                <c:pt idx="26">
                  <c:v>7.2258000000000001E-3</c:v>
                </c:pt>
                <c:pt idx="27">
                  <c:v>6.1567000000000002E-3</c:v>
                </c:pt>
                <c:pt idx="28">
                  <c:v>1.40435E-2</c:v>
                </c:pt>
                <c:pt idx="29">
                  <c:v>8.2255000000000002E-3</c:v>
                </c:pt>
                <c:pt idx="30">
                  <c:v>8.1280999999999992E-3</c:v>
                </c:pt>
                <c:pt idx="31">
                  <c:v>8.9058999999999996E-3</c:v>
                </c:pt>
                <c:pt idx="32">
                  <c:v>9.8694999999999998E-3</c:v>
                </c:pt>
                <c:pt idx="33">
                  <c:v>8.3111000000000001E-3</c:v>
                </c:pt>
                <c:pt idx="34">
                  <c:v>1.2311600000000001E-2</c:v>
                </c:pt>
                <c:pt idx="35">
                  <c:v>9.4485000000000003E-3</c:v>
                </c:pt>
                <c:pt idx="36">
                  <c:v>9.7210999999999999E-3</c:v>
                </c:pt>
                <c:pt idx="37">
                  <c:v>1.0321500000000001E-2</c:v>
                </c:pt>
                <c:pt idx="38">
                  <c:v>9.4424999999999995E-3</c:v>
                </c:pt>
                <c:pt idx="39">
                  <c:v>1.1352299999999999E-2</c:v>
                </c:pt>
                <c:pt idx="40">
                  <c:v>1.0565400000000001E-2</c:v>
                </c:pt>
                <c:pt idx="41">
                  <c:v>1.09868E-2</c:v>
                </c:pt>
                <c:pt idx="42">
                  <c:v>8.541E-3</c:v>
                </c:pt>
                <c:pt idx="43">
                  <c:v>1.26771E-2</c:v>
                </c:pt>
                <c:pt idx="44">
                  <c:v>1.09742E-2</c:v>
                </c:pt>
                <c:pt idx="45">
                  <c:v>1.03112E-2</c:v>
                </c:pt>
              </c:numCache>
            </c:numRef>
          </c:yVal>
          <c:smooth val="0"/>
          <c:extLst>
            <c:ext xmlns:c16="http://schemas.microsoft.com/office/drawing/2014/chart" uri="{C3380CC4-5D6E-409C-BE32-E72D297353CC}">
              <c16:uniqueId val="{00000004-C2D2-48DB-80F0-2C86D924E89A}"/>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Rentekostnader!$J$700:$J$751</c:f>
              <c:numCache>
                <c:formatCode>General</c:formatCode>
                <c:ptCount val="52"/>
                <c:pt idx="0">
                  <c:v>1.51542E-2</c:v>
                </c:pt>
                <c:pt idx="1">
                  <c:v>7.5538000000000003E-3</c:v>
                </c:pt>
                <c:pt idx="2">
                  <c:v>1.3149299999999999E-2</c:v>
                </c:pt>
                <c:pt idx="3">
                  <c:v>1.21406E-2</c:v>
                </c:pt>
                <c:pt idx="4">
                  <c:v>8.8603999999999992E-3</c:v>
                </c:pt>
                <c:pt idx="5">
                  <c:v>1.05808E-2</c:v>
                </c:pt>
                <c:pt idx="6">
                  <c:v>1.20772E-2</c:v>
                </c:pt>
                <c:pt idx="7">
                  <c:v>9.9851999999999996E-3</c:v>
                </c:pt>
                <c:pt idx="8">
                  <c:v>1.1266E-2</c:v>
                </c:pt>
                <c:pt idx="9">
                  <c:v>1.01829E-2</c:v>
                </c:pt>
                <c:pt idx="10">
                  <c:v>1.0189399999999999E-2</c:v>
                </c:pt>
                <c:pt idx="11">
                  <c:v>1.0093700000000001E-2</c:v>
                </c:pt>
                <c:pt idx="12">
                  <c:v>1.3703E-2</c:v>
                </c:pt>
                <c:pt idx="13">
                  <c:v>9.4038000000000004E-3</c:v>
                </c:pt>
                <c:pt idx="14">
                  <c:v>1.3977399999999999E-2</c:v>
                </c:pt>
                <c:pt idx="15">
                  <c:v>9.5052000000000001E-3</c:v>
                </c:pt>
                <c:pt idx="16">
                  <c:v>1.0029E-2</c:v>
                </c:pt>
                <c:pt idx="17">
                  <c:v>9.5292999999999992E-3</c:v>
                </c:pt>
                <c:pt idx="18">
                  <c:v>1.3146400000000001E-2</c:v>
                </c:pt>
                <c:pt idx="19">
                  <c:v>7.5449999999999996E-3</c:v>
                </c:pt>
                <c:pt idx="20">
                  <c:v>1.0735E-2</c:v>
                </c:pt>
                <c:pt idx="21">
                  <c:v>1.1257E-2</c:v>
                </c:pt>
                <c:pt idx="22">
                  <c:v>7.3480000000000004E-3</c:v>
                </c:pt>
                <c:pt idx="23">
                  <c:v>8.6852000000000006E-3</c:v>
                </c:pt>
                <c:pt idx="24">
                  <c:v>1.22262E-2</c:v>
                </c:pt>
                <c:pt idx="25">
                  <c:v>1.04475E-2</c:v>
                </c:pt>
                <c:pt idx="26">
                  <c:v>9.2540999999999995E-3</c:v>
                </c:pt>
                <c:pt idx="27">
                  <c:v>1.2181300000000001E-2</c:v>
                </c:pt>
                <c:pt idx="28">
                  <c:v>1.22513E-2</c:v>
                </c:pt>
                <c:pt idx="29">
                  <c:v>7.4758999999999997E-3</c:v>
                </c:pt>
                <c:pt idx="30">
                  <c:v>9.8937999999999995E-3</c:v>
                </c:pt>
                <c:pt idx="31">
                  <c:v>8.2734000000000002E-3</c:v>
                </c:pt>
                <c:pt idx="32">
                  <c:v>1.07397E-2</c:v>
                </c:pt>
                <c:pt idx="33">
                  <c:v>8.2359000000000009E-3</c:v>
                </c:pt>
                <c:pt idx="34">
                  <c:v>1.4638399999999999E-2</c:v>
                </c:pt>
                <c:pt idx="35">
                  <c:v>9.9031999999999992E-3</c:v>
                </c:pt>
                <c:pt idx="36">
                  <c:v>1.6062799999999999E-2</c:v>
                </c:pt>
                <c:pt idx="37">
                  <c:v>1.2365900000000001E-2</c:v>
                </c:pt>
                <c:pt idx="38">
                  <c:v>1.34988E-2</c:v>
                </c:pt>
                <c:pt idx="39">
                  <c:v>1.10385E-2</c:v>
                </c:pt>
                <c:pt idx="40">
                  <c:v>1.54144E-2</c:v>
                </c:pt>
                <c:pt idx="41">
                  <c:v>1.0786199999999999E-2</c:v>
                </c:pt>
                <c:pt idx="42">
                  <c:v>1.0817800000000001E-2</c:v>
                </c:pt>
                <c:pt idx="43">
                  <c:v>1.36636E-2</c:v>
                </c:pt>
                <c:pt idx="44">
                  <c:v>1.00073E-2</c:v>
                </c:pt>
                <c:pt idx="45">
                  <c:v>1.25138E-2</c:v>
                </c:pt>
                <c:pt idx="46">
                  <c:v>1.02091E-2</c:v>
                </c:pt>
                <c:pt idx="47">
                  <c:v>1.11579E-2</c:v>
                </c:pt>
                <c:pt idx="48">
                  <c:v>1.14556E-2</c:v>
                </c:pt>
                <c:pt idx="49">
                  <c:v>1.7007499999999998E-2</c:v>
                </c:pt>
                <c:pt idx="50">
                  <c:v>1.04256E-2</c:v>
                </c:pt>
                <c:pt idx="51">
                  <c:v>1.26902E-2</c:v>
                </c:pt>
              </c:numCache>
            </c:numRef>
          </c:yVal>
          <c:smooth val="0"/>
          <c:extLst>
            <c:ext xmlns:c16="http://schemas.microsoft.com/office/drawing/2014/chart" uri="{C3380CC4-5D6E-409C-BE32-E72D297353CC}">
              <c16:uniqueId val="{00000005-C2D2-48DB-80F0-2C86D924E89A}"/>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Gjeldsrente</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Rentekostnader!$L$396:$L$475</c:f>
              <c:numCache>
                <c:formatCode>General</c:formatCode>
                <c:ptCount val="80"/>
                <c:pt idx="0">
                  <c:v>5.4674500000000001E-2</c:v>
                </c:pt>
                <c:pt idx="1">
                  <c:v>4.8835299999999998E-2</c:v>
                </c:pt>
                <c:pt idx="2">
                  <c:v>3.57945E-2</c:v>
                </c:pt>
                <c:pt idx="3">
                  <c:v>2.8310399999999999E-2</c:v>
                </c:pt>
                <c:pt idx="4">
                  <c:v>1.9780599999999999E-2</c:v>
                </c:pt>
                <c:pt idx="5">
                  <c:v>4.29019E-2</c:v>
                </c:pt>
                <c:pt idx="6">
                  <c:v>3.2738499999999997E-2</c:v>
                </c:pt>
                <c:pt idx="7">
                  <c:v>3.2312500000000001E-2</c:v>
                </c:pt>
                <c:pt idx="8">
                  <c:v>4.5005900000000001E-2</c:v>
                </c:pt>
                <c:pt idx="9">
                  <c:v>5.1534799999999999E-2</c:v>
                </c:pt>
                <c:pt idx="10">
                  <c:v>4.7772299999999997E-2</c:v>
                </c:pt>
                <c:pt idx="11">
                  <c:v>4.6954000000000003E-2</c:v>
                </c:pt>
                <c:pt idx="12">
                  <c:v>3.87604E-2</c:v>
                </c:pt>
                <c:pt idx="13">
                  <c:v>3.22946E-2</c:v>
                </c:pt>
                <c:pt idx="14">
                  <c:v>4.8575199999999999E-2</c:v>
                </c:pt>
                <c:pt idx="15">
                  <c:v>4.1836699999999998E-2</c:v>
                </c:pt>
                <c:pt idx="16">
                  <c:v>3.6039399999999999E-2</c:v>
                </c:pt>
                <c:pt idx="17">
                  <c:v>3.88463E-2</c:v>
                </c:pt>
                <c:pt idx="18">
                  <c:v>4.2032100000000003E-2</c:v>
                </c:pt>
                <c:pt idx="19">
                  <c:v>3.9195399999999998E-2</c:v>
                </c:pt>
                <c:pt idx="20">
                  <c:v>3.1007199999999999E-2</c:v>
                </c:pt>
                <c:pt idx="21">
                  <c:v>3.8998400000000003E-2</c:v>
                </c:pt>
                <c:pt idx="22">
                  <c:v>4.1002299999999998E-2</c:v>
                </c:pt>
                <c:pt idx="23">
                  <c:v>4.4296500000000003E-2</c:v>
                </c:pt>
                <c:pt idx="24">
                  <c:v>5.2570499999999999E-2</c:v>
                </c:pt>
                <c:pt idx="25">
                  <c:v>4.72758E-2</c:v>
                </c:pt>
                <c:pt idx="26">
                  <c:v>0.1049713</c:v>
                </c:pt>
                <c:pt idx="27">
                  <c:v>7.99821E-2</c:v>
                </c:pt>
                <c:pt idx="28">
                  <c:v>3.4543400000000002E-2</c:v>
                </c:pt>
                <c:pt idx="29">
                  <c:v>1.8585399999999998E-2</c:v>
                </c:pt>
                <c:pt idx="30">
                  <c:v>3.2934400000000003E-2</c:v>
                </c:pt>
                <c:pt idx="31">
                  <c:v>2.91305E-2</c:v>
                </c:pt>
                <c:pt idx="32">
                  <c:v>3.1606000000000002E-2</c:v>
                </c:pt>
                <c:pt idx="33">
                  <c:v>0.21308669999999999</c:v>
                </c:pt>
                <c:pt idx="34">
                  <c:v>5.3662099999999997E-2</c:v>
                </c:pt>
                <c:pt idx="35">
                  <c:v>3.0355400000000001E-2</c:v>
                </c:pt>
                <c:pt idx="36">
                  <c:v>5.2743999999999999E-2</c:v>
                </c:pt>
                <c:pt idx="37">
                  <c:v>5.7418900000000002E-2</c:v>
                </c:pt>
                <c:pt idx="38">
                  <c:v>5.3378399999999999E-2</c:v>
                </c:pt>
                <c:pt idx="39">
                  <c:v>4.1160000000000002E-2</c:v>
                </c:pt>
                <c:pt idx="40">
                  <c:v>5.1336399999999997E-2</c:v>
                </c:pt>
                <c:pt idx="41">
                  <c:v>4.4110000000000003E-2</c:v>
                </c:pt>
                <c:pt idx="42">
                  <c:v>4.3544600000000003E-2</c:v>
                </c:pt>
                <c:pt idx="43">
                  <c:v>4.9582500000000002E-2</c:v>
                </c:pt>
                <c:pt idx="44">
                  <c:v>4.5439899999999998E-2</c:v>
                </c:pt>
                <c:pt idx="45">
                  <c:v>4.45896E-2</c:v>
                </c:pt>
                <c:pt idx="46">
                  <c:v>5.7938900000000002E-2</c:v>
                </c:pt>
                <c:pt idx="47">
                  <c:v>4.6245500000000002E-2</c:v>
                </c:pt>
                <c:pt idx="48">
                  <c:v>4.4837399999999999E-2</c:v>
                </c:pt>
                <c:pt idx="49">
                  <c:v>3.1919000000000003E-2</c:v>
                </c:pt>
                <c:pt idx="50">
                  <c:v>4.4694400000000002E-2</c:v>
                </c:pt>
                <c:pt idx="51">
                  <c:v>5.7969399999999997E-2</c:v>
                </c:pt>
                <c:pt idx="52">
                  <c:v>6.0657000000000003E-2</c:v>
                </c:pt>
                <c:pt idx="53">
                  <c:v>4.35141E-2</c:v>
                </c:pt>
                <c:pt idx="54">
                  <c:v>4.2216200000000002E-2</c:v>
                </c:pt>
                <c:pt idx="55">
                  <c:v>3.2535799999999997E-2</c:v>
                </c:pt>
                <c:pt idx="56">
                  <c:v>4.9425200000000002E-2</c:v>
                </c:pt>
                <c:pt idx="57">
                  <c:v>5.7061899999999999E-2</c:v>
                </c:pt>
                <c:pt idx="58">
                  <c:v>4.3285400000000002E-2</c:v>
                </c:pt>
                <c:pt idx="59">
                  <c:v>3.6502100000000003E-2</c:v>
                </c:pt>
                <c:pt idx="60">
                  <c:v>4.6128299999999997E-2</c:v>
                </c:pt>
                <c:pt idx="61">
                  <c:v>4.1003499999999998E-2</c:v>
                </c:pt>
                <c:pt idx="62">
                  <c:v>2.9427499999999999E-2</c:v>
                </c:pt>
                <c:pt idx="63">
                  <c:v>8.3212999999999995E-2</c:v>
                </c:pt>
                <c:pt idx="64">
                  <c:v>8.3751000000000006E-2</c:v>
                </c:pt>
                <c:pt idx="65">
                  <c:v>6.4828700000000003E-2</c:v>
                </c:pt>
                <c:pt idx="66">
                  <c:v>5.6156200000000003E-2</c:v>
                </c:pt>
                <c:pt idx="67">
                  <c:v>5.8302600000000003E-2</c:v>
                </c:pt>
                <c:pt idx="68">
                  <c:v>4.8887399999999998E-2</c:v>
                </c:pt>
                <c:pt idx="69">
                  <c:v>5.1846999999999997E-2</c:v>
                </c:pt>
                <c:pt idx="70">
                  <c:v>4.0045299999999999E-2</c:v>
                </c:pt>
                <c:pt idx="71">
                  <c:v>4.3167499999999998E-2</c:v>
                </c:pt>
                <c:pt idx="72">
                  <c:v>4.2653400000000001E-2</c:v>
                </c:pt>
                <c:pt idx="73">
                  <c:v>5.1568000000000003E-2</c:v>
                </c:pt>
                <c:pt idx="74">
                  <c:v>4.6505999999999999E-2</c:v>
                </c:pt>
                <c:pt idx="75">
                  <c:v>3.7138999999999998E-2</c:v>
                </c:pt>
                <c:pt idx="76">
                  <c:v>5.2190399999999998E-2</c:v>
                </c:pt>
                <c:pt idx="77">
                  <c:v>5.0304500000000002E-2</c:v>
                </c:pt>
                <c:pt idx="78">
                  <c:v>7.5584399999999996E-2</c:v>
                </c:pt>
                <c:pt idx="79">
                  <c:v>4.1900100000000003E-2</c:v>
                </c:pt>
              </c:numCache>
            </c:numRef>
          </c:yVal>
          <c:smooth val="0"/>
          <c:extLst>
            <c:ext xmlns:c16="http://schemas.microsoft.com/office/drawing/2014/chart" uri="{C3380CC4-5D6E-409C-BE32-E72D297353CC}">
              <c16:uniqueId val="{00000000-C2E0-44CE-879B-797AF0589D75}"/>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Rentekostnader!$L$476:$L$513</c:f>
              <c:numCache>
                <c:formatCode>General</c:formatCode>
                <c:ptCount val="38"/>
                <c:pt idx="0">
                  <c:v>4.2597200000000002E-2</c:v>
                </c:pt>
                <c:pt idx="1">
                  <c:v>3.5649899999999998E-2</c:v>
                </c:pt>
                <c:pt idx="2">
                  <c:v>5.2315300000000002E-2</c:v>
                </c:pt>
                <c:pt idx="3">
                  <c:v>3.9678100000000001E-2</c:v>
                </c:pt>
                <c:pt idx="4">
                  <c:v>4.6905700000000002E-2</c:v>
                </c:pt>
                <c:pt idx="5">
                  <c:v>4.0037900000000001E-2</c:v>
                </c:pt>
                <c:pt idx="6">
                  <c:v>3.92833E-2</c:v>
                </c:pt>
                <c:pt idx="7">
                  <c:v>3.9907600000000001E-2</c:v>
                </c:pt>
                <c:pt idx="8">
                  <c:v>4.5601500000000003E-2</c:v>
                </c:pt>
                <c:pt idx="9">
                  <c:v>5.6119799999999997E-2</c:v>
                </c:pt>
                <c:pt idx="10">
                  <c:v>4.4691000000000002E-2</c:v>
                </c:pt>
                <c:pt idx="11">
                  <c:v>5.7975899999999997E-2</c:v>
                </c:pt>
                <c:pt idx="12">
                  <c:v>3.6463700000000002E-2</c:v>
                </c:pt>
                <c:pt idx="13">
                  <c:v>5.80431E-2</c:v>
                </c:pt>
                <c:pt idx="14">
                  <c:v>4.09553E-2</c:v>
                </c:pt>
                <c:pt idx="15">
                  <c:v>4.1442E-2</c:v>
                </c:pt>
                <c:pt idx="16">
                  <c:v>4.1233100000000002E-2</c:v>
                </c:pt>
                <c:pt idx="17">
                  <c:v>3.0392200000000001E-2</c:v>
                </c:pt>
                <c:pt idx="18">
                  <c:v>3.7429299999999999E-2</c:v>
                </c:pt>
                <c:pt idx="19">
                  <c:v>4.0084599999999998E-2</c:v>
                </c:pt>
                <c:pt idx="20">
                  <c:v>4.3305999999999997E-2</c:v>
                </c:pt>
                <c:pt idx="21">
                  <c:v>4.41036E-2</c:v>
                </c:pt>
                <c:pt idx="22">
                  <c:v>4.8413100000000001E-2</c:v>
                </c:pt>
                <c:pt idx="23">
                  <c:v>4.1865100000000002E-2</c:v>
                </c:pt>
                <c:pt idx="24">
                  <c:v>3.5010899999999998E-2</c:v>
                </c:pt>
                <c:pt idx="25">
                  <c:v>7.3020399999999999E-2</c:v>
                </c:pt>
                <c:pt idx="26">
                  <c:v>5.0758999999999999E-2</c:v>
                </c:pt>
                <c:pt idx="27">
                  <c:v>4.6932799999999997E-2</c:v>
                </c:pt>
                <c:pt idx="28">
                  <c:v>5.3109900000000002E-2</c:v>
                </c:pt>
                <c:pt idx="29">
                  <c:v>4.4529899999999997E-2</c:v>
                </c:pt>
                <c:pt idx="30">
                  <c:v>3.45805E-2</c:v>
                </c:pt>
                <c:pt idx="31">
                  <c:v>4.3810799999999997E-2</c:v>
                </c:pt>
                <c:pt idx="32">
                  <c:v>8.3351599999999998E-2</c:v>
                </c:pt>
                <c:pt idx="33">
                  <c:v>4.1739499999999999E-2</c:v>
                </c:pt>
                <c:pt idx="34">
                  <c:v>5.3416699999999998E-2</c:v>
                </c:pt>
                <c:pt idx="35">
                  <c:v>4.2189900000000002E-2</c:v>
                </c:pt>
                <c:pt idx="36">
                  <c:v>4.7122200000000003E-2</c:v>
                </c:pt>
                <c:pt idx="37">
                  <c:v>3.7940000000000002E-2</c:v>
                </c:pt>
              </c:numCache>
            </c:numRef>
          </c:yVal>
          <c:smooth val="0"/>
          <c:extLst>
            <c:ext xmlns:c16="http://schemas.microsoft.com/office/drawing/2014/chart" uri="{C3380CC4-5D6E-409C-BE32-E72D297353CC}">
              <c16:uniqueId val="{00000001-C2E0-44CE-879B-797AF0589D75}"/>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Rentekostnader!$L$514:$L$605</c:f>
              <c:numCache>
                <c:formatCode>General</c:formatCode>
                <c:ptCount val="92"/>
                <c:pt idx="0">
                  <c:v>5.8748599999999998E-2</c:v>
                </c:pt>
                <c:pt idx="1">
                  <c:v>4.4891E-2</c:v>
                </c:pt>
                <c:pt idx="2">
                  <c:v>8.4551799999999996E-2</c:v>
                </c:pt>
                <c:pt idx="3">
                  <c:v>4.8569300000000003E-2</c:v>
                </c:pt>
                <c:pt idx="4">
                  <c:v>7.5771199999999997E-2</c:v>
                </c:pt>
                <c:pt idx="5">
                  <c:v>6.2369599999999997E-2</c:v>
                </c:pt>
                <c:pt idx="6">
                  <c:v>4.6528100000000003E-2</c:v>
                </c:pt>
                <c:pt idx="7">
                  <c:v>6.21168E-2</c:v>
                </c:pt>
                <c:pt idx="8">
                  <c:v>5.4497700000000003E-2</c:v>
                </c:pt>
                <c:pt idx="9">
                  <c:v>4.7818300000000001E-2</c:v>
                </c:pt>
                <c:pt idx="10">
                  <c:v>3.4891100000000001E-2</c:v>
                </c:pt>
                <c:pt idx="11">
                  <c:v>4.6875699999999999E-2</c:v>
                </c:pt>
                <c:pt idx="12">
                  <c:v>5.4913700000000003E-2</c:v>
                </c:pt>
                <c:pt idx="13">
                  <c:v>2.83355E-2</c:v>
                </c:pt>
                <c:pt idx="14">
                  <c:v>4.4672000000000003E-2</c:v>
                </c:pt>
                <c:pt idx="15">
                  <c:v>6.1518400000000001E-2</c:v>
                </c:pt>
                <c:pt idx="16">
                  <c:v>6.2704999999999997E-2</c:v>
                </c:pt>
                <c:pt idx="17">
                  <c:v>4.3763799999999999E-2</c:v>
                </c:pt>
                <c:pt idx="18">
                  <c:v>6.8824800000000005E-2</c:v>
                </c:pt>
                <c:pt idx="19">
                  <c:v>3.5394000000000002E-2</c:v>
                </c:pt>
                <c:pt idx="20">
                  <c:v>4.5898599999999998E-2</c:v>
                </c:pt>
                <c:pt idx="21">
                  <c:v>5.5253200000000002E-2</c:v>
                </c:pt>
                <c:pt idx="22">
                  <c:v>4.6364900000000001E-2</c:v>
                </c:pt>
                <c:pt idx="23">
                  <c:v>4.7708199999999999E-2</c:v>
                </c:pt>
                <c:pt idx="24">
                  <c:v>4.8866800000000002E-2</c:v>
                </c:pt>
                <c:pt idx="25">
                  <c:v>4.6839699999999998E-2</c:v>
                </c:pt>
                <c:pt idx="26">
                  <c:v>7.8153200000000006E-2</c:v>
                </c:pt>
                <c:pt idx="27">
                  <c:v>5.3195699999999999E-2</c:v>
                </c:pt>
                <c:pt idx="28">
                  <c:v>5.1678700000000001E-2</c:v>
                </c:pt>
                <c:pt idx="29">
                  <c:v>4.5650200000000002E-2</c:v>
                </c:pt>
                <c:pt idx="30">
                  <c:v>5.1580000000000001E-2</c:v>
                </c:pt>
                <c:pt idx="31">
                  <c:v>4.8812800000000003E-2</c:v>
                </c:pt>
                <c:pt idx="32">
                  <c:v>5.2038399999999999E-2</c:v>
                </c:pt>
                <c:pt idx="33">
                  <c:v>5.2479400000000002E-2</c:v>
                </c:pt>
                <c:pt idx="34">
                  <c:v>5.59512E-2</c:v>
                </c:pt>
                <c:pt idx="35">
                  <c:v>4.4772699999999999E-2</c:v>
                </c:pt>
                <c:pt idx="36">
                  <c:v>5.2691000000000002E-2</c:v>
                </c:pt>
                <c:pt idx="37">
                  <c:v>5.3342899999999999E-2</c:v>
                </c:pt>
                <c:pt idx="38">
                  <c:v>4.6496999999999997E-2</c:v>
                </c:pt>
                <c:pt idx="39">
                  <c:v>4.2187799999999998E-2</c:v>
                </c:pt>
                <c:pt idx="40">
                  <c:v>4.3457999999999997E-2</c:v>
                </c:pt>
                <c:pt idx="41">
                  <c:v>6.3315800000000005E-2</c:v>
                </c:pt>
                <c:pt idx="42">
                  <c:v>3.9675500000000002E-2</c:v>
                </c:pt>
                <c:pt idx="43">
                  <c:v>6.2425599999999998E-2</c:v>
                </c:pt>
                <c:pt idx="44">
                  <c:v>5.40128E-2</c:v>
                </c:pt>
                <c:pt idx="45">
                  <c:v>7.0814000000000002E-2</c:v>
                </c:pt>
                <c:pt idx="46">
                  <c:v>5.7604000000000002E-2</c:v>
                </c:pt>
                <c:pt idx="47">
                  <c:v>4.3998200000000001E-2</c:v>
                </c:pt>
                <c:pt idx="48">
                  <c:v>5.8942300000000003E-2</c:v>
                </c:pt>
                <c:pt idx="49">
                  <c:v>4.5607500000000002E-2</c:v>
                </c:pt>
                <c:pt idx="50">
                  <c:v>5.2868699999999998E-2</c:v>
                </c:pt>
                <c:pt idx="51">
                  <c:v>3.7869399999999998E-2</c:v>
                </c:pt>
                <c:pt idx="52">
                  <c:v>5.4783900000000003E-2</c:v>
                </c:pt>
                <c:pt idx="53">
                  <c:v>4.0934600000000002E-2</c:v>
                </c:pt>
                <c:pt idx="54">
                  <c:v>5.6956199999999998E-2</c:v>
                </c:pt>
                <c:pt idx="55">
                  <c:v>6.4248700000000006E-2</c:v>
                </c:pt>
                <c:pt idx="56">
                  <c:v>6.0912099999999997E-2</c:v>
                </c:pt>
                <c:pt idx="57">
                  <c:v>6.6052600000000003E-2</c:v>
                </c:pt>
                <c:pt idx="58">
                  <c:v>4.6997799999999999E-2</c:v>
                </c:pt>
                <c:pt idx="59">
                  <c:v>4.4542100000000001E-2</c:v>
                </c:pt>
                <c:pt idx="60">
                  <c:v>4.6900600000000001E-2</c:v>
                </c:pt>
                <c:pt idx="61">
                  <c:v>4.6349799999999997E-2</c:v>
                </c:pt>
                <c:pt idx="62">
                  <c:v>4.6083800000000001E-2</c:v>
                </c:pt>
                <c:pt idx="63">
                  <c:v>4.55051E-2</c:v>
                </c:pt>
                <c:pt idx="64">
                  <c:v>7.7138200000000004E-2</c:v>
                </c:pt>
                <c:pt idx="65">
                  <c:v>1.6780400000000001E-2</c:v>
                </c:pt>
                <c:pt idx="66">
                  <c:v>4.2912800000000001E-2</c:v>
                </c:pt>
                <c:pt idx="67">
                  <c:v>6.1861399999999997E-2</c:v>
                </c:pt>
                <c:pt idx="68">
                  <c:v>6.52364E-2</c:v>
                </c:pt>
                <c:pt idx="69">
                  <c:v>5.6616399999999997E-2</c:v>
                </c:pt>
                <c:pt idx="70">
                  <c:v>4.3507400000000002E-2</c:v>
                </c:pt>
                <c:pt idx="71">
                  <c:v>5.5864400000000002E-2</c:v>
                </c:pt>
                <c:pt idx="72">
                  <c:v>5.1668499999999999E-2</c:v>
                </c:pt>
                <c:pt idx="73">
                  <c:v>5.3690300000000003E-2</c:v>
                </c:pt>
                <c:pt idx="74">
                  <c:v>7.4964000000000003E-2</c:v>
                </c:pt>
                <c:pt idx="75">
                  <c:v>4.8286299999999997E-2</c:v>
                </c:pt>
                <c:pt idx="76">
                  <c:v>5.2743999999999999E-2</c:v>
                </c:pt>
                <c:pt idx="77">
                  <c:v>5.0767600000000003E-2</c:v>
                </c:pt>
                <c:pt idx="78">
                  <c:v>8.7647100000000006E-2</c:v>
                </c:pt>
                <c:pt idx="79">
                  <c:v>6.4766599999999994E-2</c:v>
                </c:pt>
                <c:pt idx="80">
                  <c:v>5.4853600000000002E-2</c:v>
                </c:pt>
                <c:pt idx="81">
                  <c:v>2.8598800000000001E-2</c:v>
                </c:pt>
                <c:pt idx="82">
                  <c:v>6.4521099999999998E-2</c:v>
                </c:pt>
                <c:pt idx="83">
                  <c:v>4.9421800000000002E-2</c:v>
                </c:pt>
                <c:pt idx="84">
                  <c:v>7.8861600000000004E-2</c:v>
                </c:pt>
                <c:pt idx="85">
                  <c:v>4.3759300000000001E-2</c:v>
                </c:pt>
                <c:pt idx="86">
                  <c:v>5.3156500000000002E-2</c:v>
                </c:pt>
                <c:pt idx="87">
                  <c:v>4.5297299999999999E-2</c:v>
                </c:pt>
                <c:pt idx="88">
                  <c:v>5.3244300000000001E-2</c:v>
                </c:pt>
                <c:pt idx="89">
                  <c:v>6.1516000000000001E-2</c:v>
                </c:pt>
                <c:pt idx="90">
                  <c:v>4.0086900000000002E-2</c:v>
                </c:pt>
                <c:pt idx="91">
                  <c:v>5.2376199999999998E-2</c:v>
                </c:pt>
              </c:numCache>
            </c:numRef>
          </c:yVal>
          <c:smooth val="0"/>
          <c:extLst>
            <c:ext xmlns:c16="http://schemas.microsoft.com/office/drawing/2014/chart" uri="{C3380CC4-5D6E-409C-BE32-E72D297353CC}">
              <c16:uniqueId val="{00000002-C2E0-44CE-879B-797AF0589D75}"/>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Rentekostnader!$L$606:$L$653</c:f>
              <c:numCache>
                <c:formatCode>General</c:formatCode>
                <c:ptCount val="48"/>
                <c:pt idx="0">
                  <c:v>4.4662800000000002E-2</c:v>
                </c:pt>
                <c:pt idx="1">
                  <c:v>4.8193300000000001E-2</c:v>
                </c:pt>
                <c:pt idx="2">
                  <c:v>5.12851E-2</c:v>
                </c:pt>
                <c:pt idx="3">
                  <c:v>4.80171E-2</c:v>
                </c:pt>
                <c:pt idx="4">
                  <c:v>5.1275800000000003E-2</c:v>
                </c:pt>
                <c:pt idx="5">
                  <c:v>4.3289899999999999E-2</c:v>
                </c:pt>
                <c:pt idx="6">
                  <c:v>5.27749E-2</c:v>
                </c:pt>
                <c:pt idx="7">
                  <c:v>3.9071000000000002E-2</c:v>
                </c:pt>
                <c:pt idx="8">
                  <c:v>5.7617599999999998E-2</c:v>
                </c:pt>
                <c:pt idx="9">
                  <c:v>5.45292E-2</c:v>
                </c:pt>
                <c:pt idx="10">
                  <c:v>6.1010000000000002E-2</c:v>
                </c:pt>
                <c:pt idx="11">
                  <c:v>5.0027200000000001E-2</c:v>
                </c:pt>
                <c:pt idx="12">
                  <c:v>4.6449900000000002E-2</c:v>
                </c:pt>
                <c:pt idx="13">
                  <c:v>4.22412E-2</c:v>
                </c:pt>
                <c:pt idx="14">
                  <c:v>2.9512400000000001E-2</c:v>
                </c:pt>
                <c:pt idx="15">
                  <c:v>5.1854699999999997E-2</c:v>
                </c:pt>
                <c:pt idx="16">
                  <c:v>5.5377099999999999E-2</c:v>
                </c:pt>
                <c:pt idx="17">
                  <c:v>7.3590699999999995E-2</c:v>
                </c:pt>
                <c:pt idx="18">
                  <c:v>4.6885700000000002E-2</c:v>
                </c:pt>
                <c:pt idx="19">
                  <c:v>3.6722100000000001E-2</c:v>
                </c:pt>
                <c:pt idx="20">
                  <c:v>6.0165799999999998E-2</c:v>
                </c:pt>
                <c:pt idx="21">
                  <c:v>4.3083799999999998E-2</c:v>
                </c:pt>
                <c:pt idx="22">
                  <c:v>5.0379399999999998E-2</c:v>
                </c:pt>
                <c:pt idx="23">
                  <c:v>5.9375600000000001E-2</c:v>
                </c:pt>
                <c:pt idx="24">
                  <c:v>4.6387299999999999E-2</c:v>
                </c:pt>
                <c:pt idx="25">
                  <c:v>6.2165400000000003E-2</c:v>
                </c:pt>
                <c:pt idx="26">
                  <c:v>7.26406E-2</c:v>
                </c:pt>
                <c:pt idx="27">
                  <c:v>5.2853700000000003E-2</c:v>
                </c:pt>
                <c:pt idx="28">
                  <c:v>2.80749E-2</c:v>
                </c:pt>
                <c:pt idx="29">
                  <c:v>4.5992699999999997E-2</c:v>
                </c:pt>
                <c:pt idx="30">
                  <c:v>5.19277E-2</c:v>
                </c:pt>
                <c:pt idx="31">
                  <c:v>5.1676399999999997E-2</c:v>
                </c:pt>
                <c:pt idx="32">
                  <c:v>4.8661700000000002E-2</c:v>
                </c:pt>
                <c:pt idx="33">
                  <c:v>5.0665399999999999E-2</c:v>
                </c:pt>
                <c:pt idx="34">
                  <c:v>5.1102799999999997E-2</c:v>
                </c:pt>
                <c:pt idx="35">
                  <c:v>5.4036399999999998E-2</c:v>
                </c:pt>
                <c:pt idx="36">
                  <c:v>4.4001199999999997E-2</c:v>
                </c:pt>
                <c:pt idx="37">
                  <c:v>4.6083800000000001E-2</c:v>
                </c:pt>
                <c:pt idx="38">
                  <c:v>5.6744099999999999E-2</c:v>
                </c:pt>
                <c:pt idx="39">
                  <c:v>4.64158E-2</c:v>
                </c:pt>
                <c:pt idx="40">
                  <c:v>4.6450499999999999E-2</c:v>
                </c:pt>
                <c:pt idx="41">
                  <c:v>3.9050500000000002E-2</c:v>
                </c:pt>
                <c:pt idx="42">
                  <c:v>5.15158E-2</c:v>
                </c:pt>
                <c:pt idx="43">
                  <c:v>4.9498100000000003E-2</c:v>
                </c:pt>
                <c:pt idx="44">
                  <c:v>5.2330399999999999E-2</c:v>
                </c:pt>
                <c:pt idx="45">
                  <c:v>6.24556E-2</c:v>
                </c:pt>
                <c:pt idx="46">
                  <c:v>3.5660200000000003E-2</c:v>
                </c:pt>
                <c:pt idx="47">
                  <c:v>3.80478E-2</c:v>
                </c:pt>
              </c:numCache>
            </c:numRef>
          </c:yVal>
          <c:smooth val="0"/>
          <c:extLst>
            <c:ext xmlns:c16="http://schemas.microsoft.com/office/drawing/2014/chart" uri="{C3380CC4-5D6E-409C-BE32-E72D297353CC}">
              <c16:uniqueId val="{00000003-C2E0-44CE-879B-797AF0589D75}"/>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Rentekostnader!$L$654:$L$699</c:f>
              <c:numCache>
                <c:formatCode>General</c:formatCode>
                <c:ptCount val="46"/>
                <c:pt idx="0">
                  <c:v>4.2219199999999998E-2</c:v>
                </c:pt>
                <c:pt idx="1">
                  <c:v>4.3255200000000001E-2</c:v>
                </c:pt>
                <c:pt idx="2">
                  <c:v>5.3404399999999998E-2</c:v>
                </c:pt>
                <c:pt idx="3">
                  <c:v>4.8300299999999997E-2</c:v>
                </c:pt>
                <c:pt idx="4">
                  <c:v>3.39864E-2</c:v>
                </c:pt>
                <c:pt idx="5">
                  <c:v>3.6059800000000003E-2</c:v>
                </c:pt>
                <c:pt idx="6">
                  <c:v>5.3814899999999999E-2</c:v>
                </c:pt>
                <c:pt idx="7">
                  <c:v>4.5077800000000001E-2</c:v>
                </c:pt>
                <c:pt idx="8">
                  <c:v>4.2380099999999997E-2</c:v>
                </c:pt>
                <c:pt idx="9">
                  <c:v>5.7353500000000002E-2</c:v>
                </c:pt>
                <c:pt idx="10">
                  <c:v>5.1062200000000002E-2</c:v>
                </c:pt>
                <c:pt idx="11">
                  <c:v>5.8529600000000001E-2</c:v>
                </c:pt>
                <c:pt idx="12">
                  <c:v>4.3273100000000002E-2</c:v>
                </c:pt>
                <c:pt idx="13">
                  <c:v>4.9654200000000003E-2</c:v>
                </c:pt>
                <c:pt idx="14">
                  <c:v>5.0082700000000001E-2</c:v>
                </c:pt>
                <c:pt idx="15">
                  <c:v>5.32966E-2</c:v>
                </c:pt>
                <c:pt idx="16">
                  <c:v>5.3890399999999998E-2</c:v>
                </c:pt>
                <c:pt idx="17">
                  <c:v>3.9678600000000001E-2</c:v>
                </c:pt>
                <c:pt idx="18">
                  <c:v>5.3535699999999999E-2</c:v>
                </c:pt>
                <c:pt idx="19">
                  <c:v>7.6659500000000005E-2</c:v>
                </c:pt>
                <c:pt idx="20">
                  <c:v>5.0457500000000002E-2</c:v>
                </c:pt>
                <c:pt idx="21">
                  <c:v>4.5413599999999998E-2</c:v>
                </c:pt>
                <c:pt idx="22">
                  <c:v>4.5828099999999997E-2</c:v>
                </c:pt>
                <c:pt idx="23">
                  <c:v>5.33567E-2</c:v>
                </c:pt>
                <c:pt idx="24">
                  <c:v>2.9976200000000001E-2</c:v>
                </c:pt>
                <c:pt idx="25">
                  <c:v>5.0868299999999998E-2</c:v>
                </c:pt>
                <c:pt idx="26">
                  <c:v>4.6377599999999998E-2</c:v>
                </c:pt>
                <c:pt idx="27">
                  <c:v>4.6346400000000003E-2</c:v>
                </c:pt>
                <c:pt idx="28">
                  <c:v>4.3208799999999999E-2</c:v>
                </c:pt>
                <c:pt idx="29">
                  <c:v>6.1387400000000002E-2</c:v>
                </c:pt>
                <c:pt idx="30">
                  <c:v>4.6598800000000003E-2</c:v>
                </c:pt>
                <c:pt idx="31">
                  <c:v>5.3855199999999999E-2</c:v>
                </c:pt>
                <c:pt idx="32">
                  <c:v>4.5707699999999997E-2</c:v>
                </c:pt>
                <c:pt idx="33">
                  <c:v>4.6272599999999997E-2</c:v>
                </c:pt>
                <c:pt idx="34">
                  <c:v>4.4685099999999998E-2</c:v>
                </c:pt>
                <c:pt idx="35">
                  <c:v>5.6649699999999997E-2</c:v>
                </c:pt>
                <c:pt idx="36">
                  <c:v>4.0412499999999997E-2</c:v>
                </c:pt>
                <c:pt idx="37">
                  <c:v>4.9717999999999998E-2</c:v>
                </c:pt>
                <c:pt idx="38">
                  <c:v>3.7426599999999997E-2</c:v>
                </c:pt>
                <c:pt idx="39">
                  <c:v>4.3880299999999997E-2</c:v>
                </c:pt>
                <c:pt idx="40">
                  <c:v>4.4342899999999998E-2</c:v>
                </c:pt>
                <c:pt idx="41">
                  <c:v>3.2253499999999997E-2</c:v>
                </c:pt>
                <c:pt idx="42">
                  <c:v>4.6373400000000002E-2</c:v>
                </c:pt>
                <c:pt idx="43">
                  <c:v>4.75053E-2</c:v>
                </c:pt>
                <c:pt idx="44">
                  <c:v>4.88245E-2</c:v>
                </c:pt>
                <c:pt idx="45">
                  <c:v>5.4110199999999997E-2</c:v>
                </c:pt>
              </c:numCache>
            </c:numRef>
          </c:yVal>
          <c:smooth val="0"/>
          <c:extLst>
            <c:ext xmlns:c16="http://schemas.microsoft.com/office/drawing/2014/chart" uri="{C3380CC4-5D6E-409C-BE32-E72D297353CC}">
              <c16:uniqueId val="{00000004-C2E0-44CE-879B-797AF0589D75}"/>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Rentekostnader!$L$700:$L$751</c:f>
              <c:numCache>
                <c:formatCode>General</c:formatCode>
                <c:ptCount val="52"/>
                <c:pt idx="0">
                  <c:v>5.4795000000000003E-2</c:v>
                </c:pt>
                <c:pt idx="1">
                  <c:v>0.16107189999999999</c:v>
                </c:pt>
                <c:pt idx="2">
                  <c:v>5.5653899999999999E-2</c:v>
                </c:pt>
                <c:pt idx="3">
                  <c:v>5.59797E-2</c:v>
                </c:pt>
                <c:pt idx="4">
                  <c:v>4.7179499999999999E-2</c:v>
                </c:pt>
                <c:pt idx="5">
                  <c:v>5.10667E-2</c:v>
                </c:pt>
                <c:pt idx="6">
                  <c:v>5.2302899999999999E-2</c:v>
                </c:pt>
                <c:pt idx="7">
                  <c:v>5.7580699999999999E-2</c:v>
                </c:pt>
                <c:pt idx="8">
                  <c:v>4.4997799999999998E-2</c:v>
                </c:pt>
                <c:pt idx="9">
                  <c:v>5.7631799999999997E-2</c:v>
                </c:pt>
                <c:pt idx="10">
                  <c:v>5.3061999999999998E-2</c:v>
                </c:pt>
                <c:pt idx="11">
                  <c:v>5.3201199999999997E-2</c:v>
                </c:pt>
                <c:pt idx="12">
                  <c:v>4.29772E-2</c:v>
                </c:pt>
                <c:pt idx="13">
                  <c:v>4.9845399999999998E-2</c:v>
                </c:pt>
                <c:pt idx="14">
                  <c:v>4.4771600000000002E-2</c:v>
                </c:pt>
                <c:pt idx="15">
                  <c:v>4.7933799999999999E-2</c:v>
                </c:pt>
                <c:pt idx="16">
                  <c:v>4.1949599999999997E-2</c:v>
                </c:pt>
                <c:pt idx="17">
                  <c:v>5.4739000000000003E-2</c:v>
                </c:pt>
                <c:pt idx="18">
                  <c:v>4.9631599999999998E-2</c:v>
                </c:pt>
                <c:pt idx="19">
                  <c:v>7.7353699999999997E-2</c:v>
                </c:pt>
                <c:pt idx="20">
                  <c:v>5.0290000000000001E-2</c:v>
                </c:pt>
                <c:pt idx="21">
                  <c:v>6.4266299999999998E-2</c:v>
                </c:pt>
                <c:pt idx="22">
                  <c:v>6.2910800000000003E-2</c:v>
                </c:pt>
                <c:pt idx="23">
                  <c:v>6.4544500000000005E-2</c:v>
                </c:pt>
                <c:pt idx="24">
                  <c:v>4.6232200000000001E-2</c:v>
                </c:pt>
                <c:pt idx="25">
                  <c:v>5.8711300000000001E-2</c:v>
                </c:pt>
                <c:pt idx="26">
                  <c:v>5.7396299999999997E-2</c:v>
                </c:pt>
                <c:pt idx="27">
                  <c:v>4.1003299999999999E-2</c:v>
                </c:pt>
                <c:pt idx="28">
                  <c:v>4.2799499999999997E-2</c:v>
                </c:pt>
                <c:pt idx="29">
                  <c:v>6.0055799999999999E-2</c:v>
                </c:pt>
                <c:pt idx="30">
                  <c:v>6.1498799999999999E-2</c:v>
                </c:pt>
                <c:pt idx="31">
                  <c:v>4.8139899999999999E-2</c:v>
                </c:pt>
                <c:pt idx="32">
                  <c:v>7.7198799999999998E-2</c:v>
                </c:pt>
                <c:pt idx="33">
                  <c:v>5.4355800000000003E-2</c:v>
                </c:pt>
                <c:pt idx="34">
                  <c:v>5.5044200000000001E-2</c:v>
                </c:pt>
                <c:pt idx="35">
                  <c:v>4.77671E-2</c:v>
                </c:pt>
                <c:pt idx="36">
                  <c:v>4.8787499999999998E-2</c:v>
                </c:pt>
                <c:pt idx="37">
                  <c:v>5.3093700000000001E-2</c:v>
                </c:pt>
                <c:pt idx="38">
                  <c:v>5.0259699999999997E-2</c:v>
                </c:pt>
                <c:pt idx="39">
                  <c:v>5.3237699999999999E-2</c:v>
                </c:pt>
                <c:pt idx="40">
                  <c:v>4.8411200000000001E-2</c:v>
                </c:pt>
                <c:pt idx="41">
                  <c:v>6.1867900000000003E-2</c:v>
                </c:pt>
                <c:pt idx="42">
                  <c:v>4.7690700000000003E-2</c:v>
                </c:pt>
                <c:pt idx="43">
                  <c:v>4.7536700000000001E-2</c:v>
                </c:pt>
                <c:pt idx="44">
                  <c:v>6.5935599999999997E-2</c:v>
                </c:pt>
                <c:pt idx="45">
                  <c:v>5.9154100000000001E-2</c:v>
                </c:pt>
                <c:pt idx="46">
                  <c:v>3.5853200000000002E-2</c:v>
                </c:pt>
                <c:pt idx="47">
                  <c:v>4.6637999999999999E-2</c:v>
                </c:pt>
                <c:pt idx="48">
                  <c:v>4.5779800000000002E-2</c:v>
                </c:pt>
                <c:pt idx="49">
                  <c:v>6.3482200000000003E-2</c:v>
                </c:pt>
                <c:pt idx="50">
                  <c:v>5.0286900000000002E-2</c:v>
                </c:pt>
                <c:pt idx="51">
                  <c:v>6.8756899999999996E-2</c:v>
                </c:pt>
              </c:numCache>
            </c:numRef>
          </c:yVal>
          <c:smooth val="0"/>
          <c:extLst>
            <c:ext xmlns:c16="http://schemas.microsoft.com/office/drawing/2014/chart" uri="{C3380CC4-5D6E-409C-BE32-E72D297353CC}">
              <c16:uniqueId val="{00000005-C2E0-44CE-879B-797AF0589D75}"/>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Kortsiktig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Rentekostnader!$I$396:$I$475</c:f>
              <c:numCache>
                <c:formatCode>General</c:formatCode>
                <c:ptCount val="80"/>
                <c:pt idx="0">
                  <c:v>0.32005</c:v>
                </c:pt>
                <c:pt idx="1">
                  <c:v>0.38734800000000003</c:v>
                </c:pt>
                <c:pt idx="2">
                  <c:v>0.57834730000000001</c:v>
                </c:pt>
                <c:pt idx="3">
                  <c:v>0.36749959999999998</c:v>
                </c:pt>
                <c:pt idx="4">
                  <c:v>0.51268919999999996</c:v>
                </c:pt>
                <c:pt idx="5">
                  <c:v>0.47146840000000001</c:v>
                </c:pt>
                <c:pt idx="6">
                  <c:v>0.46574409999999999</c:v>
                </c:pt>
                <c:pt idx="7">
                  <c:v>0.43177260000000001</c:v>
                </c:pt>
                <c:pt idx="8">
                  <c:v>0.35238170000000002</c:v>
                </c:pt>
                <c:pt idx="9">
                  <c:v>0.38286239999999999</c:v>
                </c:pt>
                <c:pt idx="10">
                  <c:v>0.4007154</c:v>
                </c:pt>
                <c:pt idx="11">
                  <c:v>0.45477089999999998</c:v>
                </c:pt>
                <c:pt idx="12">
                  <c:v>0.34877910000000001</c:v>
                </c:pt>
                <c:pt idx="13">
                  <c:v>0.48782219999999998</c:v>
                </c:pt>
                <c:pt idx="14">
                  <c:v>0.45517390000000002</c:v>
                </c:pt>
                <c:pt idx="15">
                  <c:v>0.5246229</c:v>
                </c:pt>
                <c:pt idx="16">
                  <c:v>0.45416459999999997</c:v>
                </c:pt>
                <c:pt idx="17">
                  <c:v>0.41023939999999998</c:v>
                </c:pt>
                <c:pt idx="18">
                  <c:v>0.41462189999999999</c:v>
                </c:pt>
                <c:pt idx="19">
                  <c:v>0.3723206</c:v>
                </c:pt>
                <c:pt idx="20">
                  <c:v>0.57881380000000004</c:v>
                </c:pt>
                <c:pt idx="21">
                  <c:v>0.4324674</c:v>
                </c:pt>
                <c:pt idx="22">
                  <c:v>0.34869450000000002</c:v>
                </c:pt>
                <c:pt idx="23">
                  <c:v>0.44708940000000003</c:v>
                </c:pt>
                <c:pt idx="24">
                  <c:v>0.40979660000000001</c:v>
                </c:pt>
                <c:pt idx="25">
                  <c:v>0.29466799999999999</c:v>
                </c:pt>
                <c:pt idx="26">
                  <c:v>0.25406580000000001</c:v>
                </c:pt>
                <c:pt idx="27">
                  <c:v>0.49347530000000001</c:v>
                </c:pt>
                <c:pt idx="28">
                  <c:v>0.34629680000000002</c:v>
                </c:pt>
                <c:pt idx="29">
                  <c:v>0.48916979999999999</c:v>
                </c:pt>
                <c:pt idx="30">
                  <c:v>0.36113230000000002</c:v>
                </c:pt>
                <c:pt idx="31">
                  <c:v>0.47315200000000002</c:v>
                </c:pt>
                <c:pt idx="32">
                  <c:v>0.35508650000000003</c:v>
                </c:pt>
                <c:pt idx="33">
                  <c:v>0.42576720000000001</c:v>
                </c:pt>
                <c:pt idx="34">
                  <c:v>0.432091</c:v>
                </c:pt>
                <c:pt idx="35">
                  <c:v>0.37049549999999998</c:v>
                </c:pt>
                <c:pt idx="36">
                  <c:v>0.42136560000000001</c:v>
                </c:pt>
                <c:pt idx="37">
                  <c:v>0.41536220000000001</c:v>
                </c:pt>
                <c:pt idx="38">
                  <c:v>0.39178960000000002</c:v>
                </c:pt>
                <c:pt idx="39">
                  <c:v>0.43067699999999998</c:v>
                </c:pt>
                <c:pt idx="40">
                  <c:v>0.40528629999999999</c:v>
                </c:pt>
                <c:pt idx="41">
                  <c:v>0.52846970000000004</c:v>
                </c:pt>
                <c:pt idx="42">
                  <c:v>0.63873579999999996</c:v>
                </c:pt>
                <c:pt idx="43">
                  <c:v>0.29621180000000003</c:v>
                </c:pt>
                <c:pt idx="44">
                  <c:v>0.44673930000000001</c:v>
                </c:pt>
                <c:pt idx="45">
                  <c:v>0.46579920000000002</c:v>
                </c:pt>
                <c:pt idx="46">
                  <c:v>0.41075270000000003</c:v>
                </c:pt>
                <c:pt idx="47">
                  <c:v>0.28320640000000002</c:v>
                </c:pt>
                <c:pt idx="48">
                  <c:v>0.57409779999999999</c:v>
                </c:pt>
                <c:pt idx="49">
                  <c:v>0.55363759999999995</c:v>
                </c:pt>
                <c:pt idx="50">
                  <c:v>0.45426240000000001</c:v>
                </c:pt>
                <c:pt idx="51">
                  <c:v>0.48981200000000003</c:v>
                </c:pt>
                <c:pt idx="52">
                  <c:v>0.3923468</c:v>
                </c:pt>
                <c:pt idx="53">
                  <c:v>0.49210939999999997</c:v>
                </c:pt>
                <c:pt idx="54">
                  <c:v>0.53069949999999999</c:v>
                </c:pt>
                <c:pt idx="55">
                  <c:v>0.37382539999999997</c:v>
                </c:pt>
                <c:pt idx="56">
                  <c:v>0.55408279999999999</c:v>
                </c:pt>
                <c:pt idx="57">
                  <c:v>0.33290760000000003</c:v>
                </c:pt>
                <c:pt idx="58">
                  <c:v>0.38566230000000001</c:v>
                </c:pt>
                <c:pt idx="59">
                  <c:v>0.50085729999999995</c:v>
                </c:pt>
                <c:pt idx="60">
                  <c:v>0.31564910000000002</c:v>
                </c:pt>
                <c:pt idx="61">
                  <c:v>0.43582959999999998</c:v>
                </c:pt>
                <c:pt idx="62">
                  <c:v>0.53012349999999997</c:v>
                </c:pt>
                <c:pt idx="63">
                  <c:v>0.41052680000000003</c:v>
                </c:pt>
                <c:pt idx="64">
                  <c:v>0.4131688</c:v>
                </c:pt>
                <c:pt idx="65">
                  <c:v>0.39210990000000001</c:v>
                </c:pt>
                <c:pt idx="66">
                  <c:v>0.45404670000000003</c:v>
                </c:pt>
                <c:pt idx="67">
                  <c:v>0.52692700000000003</c:v>
                </c:pt>
                <c:pt idx="68">
                  <c:v>0.47554730000000001</c:v>
                </c:pt>
                <c:pt idx="69">
                  <c:v>0.52204110000000004</c:v>
                </c:pt>
                <c:pt idx="70">
                  <c:v>0.34888789999999997</c:v>
                </c:pt>
                <c:pt idx="71">
                  <c:v>0.3712087</c:v>
                </c:pt>
                <c:pt idx="72">
                  <c:v>0.48296899999999998</c:v>
                </c:pt>
                <c:pt idx="73">
                  <c:v>0.40053450000000002</c:v>
                </c:pt>
                <c:pt idx="74">
                  <c:v>0.44099280000000002</c:v>
                </c:pt>
                <c:pt idx="75" formatCode="0.00E+00">
                  <c:v>0.42070800000000003</c:v>
                </c:pt>
                <c:pt idx="76">
                  <c:v>0.50512469999999998</c:v>
                </c:pt>
                <c:pt idx="77">
                  <c:v>0.3853183</c:v>
                </c:pt>
                <c:pt idx="78">
                  <c:v>0.32273950000000001</c:v>
                </c:pt>
                <c:pt idx="79">
                  <c:v>0.45650010000000002</c:v>
                </c:pt>
              </c:numCache>
            </c:numRef>
          </c:yVal>
          <c:smooth val="0"/>
          <c:extLst>
            <c:ext xmlns:c16="http://schemas.microsoft.com/office/drawing/2014/chart" uri="{C3380CC4-5D6E-409C-BE32-E72D297353CC}">
              <c16:uniqueId val="{00000000-3E2A-4121-8780-7CAAFDE98DED}"/>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Rentekostnader!$I$476:$I$513</c:f>
              <c:numCache>
                <c:formatCode>General</c:formatCode>
                <c:ptCount val="38"/>
                <c:pt idx="0">
                  <c:v>0.43040450000000002</c:v>
                </c:pt>
                <c:pt idx="1">
                  <c:v>0.31375320000000001</c:v>
                </c:pt>
                <c:pt idx="2">
                  <c:v>0.50653789999999999</c:v>
                </c:pt>
                <c:pt idx="3">
                  <c:v>0.5218294</c:v>
                </c:pt>
                <c:pt idx="4">
                  <c:v>0.45864379999999999</c:v>
                </c:pt>
                <c:pt idx="5">
                  <c:v>0.45742090000000002</c:v>
                </c:pt>
                <c:pt idx="6">
                  <c:v>0.48259449999999998</c:v>
                </c:pt>
                <c:pt idx="7">
                  <c:v>0.49914320000000001</c:v>
                </c:pt>
                <c:pt idx="8">
                  <c:v>0.40240920000000002</c:v>
                </c:pt>
                <c:pt idx="9">
                  <c:v>0.52501169999999997</c:v>
                </c:pt>
                <c:pt idx="10">
                  <c:v>0.45493470000000003</c:v>
                </c:pt>
                <c:pt idx="11">
                  <c:v>0.45811229999999997</c:v>
                </c:pt>
                <c:pt idx="12">
                  <c:v>0.34038259999999998</c:v>
                </c:pt>
                <c:pt idx="13">
                  <c:v>0.3887737</c:v>
                </c:pt>
                <c:pt idx="14">
                  <c:v>0.47648259999999998</c:v>
                </c:pt>
                <c:pt idx="15">
                  <c:v>0.50302550000000001</c:v>
                </c:pt>
                <c:pt idx="16">
                  <c:v>0.50803469999999995</c:v>
                </c:pt>
                <c:pt idx="17">
                  <c:v>0.53471329999999995</c:v>
                </c:pt>
                <c:pt idx="18">
                  <c:v>0.44475690000000001</c:v>
                </c:pt>
                <c:pt idx="19">
                  <c:v>0.50391200000000003</c:v>
                </c:pt>
                <c:pt idx="20">
                  <c:v>0.546821</c:v>
                </c:pt>
                <c:pt idx="21">
                  <c:v>0.46262029999999998</c:v>
                </c:pt>
                <c:pt idx="22">
                  <c:v>0.3691526</c:v>
                </c:pt>
                <c:pt idx="23">
                  <c:v>0.28980440000000002</c:v>
                </c:pt>
                <c:pt idx="24">
                  <c:v>0.47129690000000002</c:v>
                </c:pt>
                <c:pt idx="25">
                  <c:v>0.47728700000000002</c:v>
                </c:pt>
                <c:pt idx="26">
                  <c:v>0.44551970000000002</c:v>
                </c:pt>
                <c:pt idx="27">
                  <c:v>0.45471600000000001</c:v>
                </c:pt>
                <c:pt idx="28">
                  <c:v>0.5033784</c:v>
                </c:pt>
                <c:pt idx="29">
                  <c:v>0.54167909999999997</c:v>
                </c:pt>
                <c:pt idx="30">
                  <c:v>0.441612</c:v>
                </c:pt>
                <c:pt idx="31">
                  <c:v>0.4523914</c:v>
                </c:pt>
                <c:pt idx="32">
                  <c:v>0.50352699999999995</c:v>
                </c:pt>
                <c:pt idx="33">
                  <c:v>0.4930947</c:v>
                </c:pt>
                <c:pt idx="34">
                  <c:v>0.35454029999999997</c:v>
                </c:pt>
                <c:pt idx="35">
                  <c:v>0.51028669999999998</c:v>
                </c:pt>
                <c:pt idx="36">
                  <c:v>0.3544793</c:v>
                </c:pt>
                <c:pt idx="37">
                  <c:v>0.38572089999999998</c:v>
                </c:pt>
              </c:numCache>
            </c:numRef>
          </c:yVal>
          <c:smooth val="0"/>
          <c:extLst>
            <c:ext xmlns:c16="http://schemas.microsoft.com/office/drawing/2014/chart" uri="{C3380CC4-5D6E-409C-BE32-E72D297353CC}">
              <c16:uniqueId val="{00000001-3E2A-4121-8780-7CAAFDE98DED}"/>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Rentekostnader!$I$514:$I$605</c:f>
              <c:numCache>
                <c:formatCode>General</c:formatCode>
                <c:ptCount val="92"/>
                <c:pt idx="0">
                  <c:v>0.33722619999999998</c:v>
                </c:pt>
                <c:pt idx="1">
                  <c:v>0.43858940000000002</c:v>
                </c:pt>
                <c:pt idx="2">
                  <c:v>0.39882669999999998</c:v>
                </c:pt>
                <c:pt idx="3">
                  <c:v>0.4018465</c:v>
                </c:pt>
                <c:pt idx="4">
                  <c:v>0.47836899999999999</c:v>
                </c:pt>
                <c:pt idx="5">
                  <c:v>0.40751019999999999</c:v>
                </c:pt>
                <c:pt idx="6">
                  <c:v>0.46697640000000001</c:v>
                </c:pt>
                <c:pt idx="7">
                  <c:v>0.43901600000000002</c:v>
                </c:pt>
                <c:pt idx="8">
                  <c:v>0.38130930000000002</c:v>
                </c:pt>
                <c:pt idx="9">
                  <c:v>0.34926000000000001</c:v>
                </c:pt>
                <c:pt idx="10">
                  <c:v>0.51237129999999997</c:v>
                </c:pt>
                <c:pt idx="11">
                  <c:v>0.41751559999999999</c:v>
                </c:pt>
                <c:pt idx="12">
                  <c:v>0.51222319999999999</c:v>
                </c:pt>
                <c:pt idx="13">
                  <c:v>0.60062400000000005</c:v>
                </c:pt>
                <c:pt idx="14">
                  <c:v>0.4838614</c:v>
                </c:pt>
                <c:pt idx="15">
                  <c:v>0.46838839999999998</c:v>
                </c:pt>
                <c:pt idx="16">
                  <c:v>0.389488</c:v>
                </c:pt>
                <c:pt idx="17">
                  <c:v>0.47348780000000001</c:v>
                </c:pt>
                <c:pt idx="18">
                  <c:v>0.45768330000000002</c:v>
                </c:pt>
                <c:pt idx="19">
                  <c:v>0.41196169999999999</c:v>
                </c:pt>
                <c:pt idx="20">
                  <c:v>0.51166029999999996</c:v>
                </c:pt>
                <c:pt idx="21">
                  <c:v>0.4294231</c:v>
                </c:pt>
                <c:pt idx="22">
                  <c:v>0.4501753</c:v>
                </c:pt>
                <c:pt idx="23">
                  <c:v>0.4675511</c:v>
                </c:pt>
                <c:pt idx="24">
                  <c:v>0.421767</c:v>
                </c:pt>
                <c:pt idx="25">
                  <c:v>0.42817569999999999</c:v>
                </c:pt>
                <c:pt idx="26">
                  <c:v>0.42780479999999999</c:v>
                </c:pt>
                <c:pt idx="27">
                  <c:v>0.50022509999999998</c:v>
                </c:pt>
                <c:pt idx="28">
                  <c:v>0.52286239999999995</c:v>
                </c:pt>
                <c:pt idx="29">
                  <c:v>0.4592175</c:v>
                </c:pt>
                <c:pt idx="30">
                  <c:v>0.55134709999999998</c:v>
                </c:pt>
                <c:pt idx="31">
                  <c:v>0.51487130000000003</c:v>
                </c:pt>
                <c:pt idx="32">
                  <c:v>0.41822530000000002</c:v>
                </c:pt>
                <c:pt idx="33">
                  <c:v>0.51566599999999996</c:v>
                </c:pt>
                <c:pt idx="34">
                  <c:v>0.4626538</c:v>
                </c:pt>
                <c:pt idx="35">
                  <c:v>0.53373839999999995</c:v>
                </c:pt>
                <c:pt idx="36">
                  <c:v>0.41466500000000001</c:v>
                </c:pt>
                <c:pt idx="37">
                  <c:v>0.51506629999999998</c:v>
                </c:pt>
                <c:pt idx="38">
                  <c:v>0.49240250000000002</c:v>
                </c:pt>
                <c:pt idx="39">
                  <c:v>0.42880639999999998</c:v>
                </c:pt>
                <c:pt idx="40">
                  <c:v>0.53897439999999996</c:v>
                </c:pt>
                <c:pt idx="41">
                  <c:v>0.4689353</c:v>
                </c:pt>
                <c:pt idx="42">
                  <c:v>0.44030720000000001</c:v>
                </c:pt>
                <c:pt idx="43">
                  <c:v>0.38539859999999998</c:v>
                </c:pt>
                <c:pt idx="44">
                  <c:v>0.47336869999999998</c:v>
                </c:pt>
                <c:pt idx="45">
                  <c:v>0.50540669999999999</c:v>
                </c:pt>
                <c:pt idx="46">
                  <c:v>0.50822560000000006</c:v>
                </c:pt>
                <c:pt idx="47">
                  <c:v>0.49957370000000001</c:v>
                </c:pt>
                <c:pt idx="48">
                  <c:v>0.45496199999999998</c:v>
                </c:pt>
                <c:pt idx="49">
                  <c:v>0.37139620000000001</c:v>
                </c:pt>
                <c:pt idx="50">
                  <c:v>0.47280100000000003</c:v>
                </c:pt>
                <c:pt idx="51">
                  <c:v>0.40949799999999997</c:v>
                </c:pt>
                <c:pt idx="52">
                  <c:v>0.55065050000000004</c:v>
                </c:pt>
                <c:pt idx="53">
                  <c:v>0.47674840000000002</c:v>
                </c:pt>
                <c:pt idx="54">
                  <c:v>0.4238768</c:v>
                </c:pt>
                <c:pt idx="55">
                  <c:v>0.47660580000000002</c:v>
                </c:pt>
                <c:pt idx="56">
                  <c:v>0.4780587</c:v>
                </c:pt>
                <c:pt idx="57">
                  <c:v>0.48716320000000002</c:v>
                </c:pt>
                <c:pt idx="58">
                  <c:v>0.51007199999999997</c:v>
                </c:pt>
                <c:pt idx="59">
                  <c:v>0.48238209999999998</c:v>
                </c:pt>
                <c:pt idx="60">
                  <c:v>0.38337599999999999</c:v>
                </c:pt>
                <c:pt idx="61">
                  <c:v>0.56001599999999996</c:v>
                </c:pt>
                <c:pt idx="62">
                  <c:v>0.40757910000000003</c:v>
                </c:pt>
                <c:pt idx="63">
                  <c:v>0.49576819999999999</c:v>
                </c:pt>
                <c:pt idx="64">
                  <c:v>0.46543760000000001</c:v>
                </c:pt>
                <c:pt idx="65">
                  <c:v>0.45635799999999999</c:v>
                </c:pt>
                <c:pt idx="66">
                  <c:v>0.56975100000000001</c:v>
                </c:pt>
                <c:pt idx="67">
                  <c:v>0.45730579999999998</c:v>
                </c:pt>
                <c:pt idx="68">
                  <c:v>0.3757663</c:v>
                </c:pt>
                <c:pt idx="69">
                  <c:v>0.47119729999999999</c:v>
                </c:pt>
                <c:pt idx="70">
                  <c:v>0.62701549999999995</c:v>
                </c:pt>
                <c:pt idx="71">
                  <c:v>0.39947529999999998</c:v>
                </c:pt>
                <c:pt idx="72">
                  <c:v>0.34279419999999999</c:v>
                </c:pt>
                <c:pt idx="73">
                  <c:v>0.32475159999999997</c:v>
                </c:pt>
                <c:pt idx="74">
                  <c:v>0.41349249999999999</c:v>
                </c:pt>
                <c:pt idx="75">
                  <c:v>0.48272019999999999</c:v>
                </c:pt>
                <c:pt idx="76">
                  <c:v>0.40355819999999998</c:v>
                </c:pt>
                <c:pt idx="77">
                  <c:v>0.36665629999999999</c:v>
                </c:pt>
                <c:pt idx="78">
                  <c:v>0.4550498</c:v>
                </c:pt>
                <c:pt idx="79">
                  <c:v>0.38835180000000002</c:v>
                </c:pt>
                <c:pt idx="80">
                  <c:v>0.51036669999999995</c:v>
                </c:pt>
                <c:pt idx="81">
                  <c:v>0.36230250000000003</c:v>
                </c:pt>
                <c:pt idx="82">
                  <c:v>0.54116149999999996</c:v>
                </c:pt>
                <c:pt idx="83">
                  <c:v>0.43473709999999999</c:v>
                </c:pt>
                <c:pt idx="84">
                  <c:v>0.47403889999999999</c:v>
                </c:pt>
                <c:pt idx="85">
                  <c:v>0.52775660000000002</c:v>
                </c:pt>
                <c:pt idx="86">
                  <c:v>0.56115970000000004</c:v>
                </c:pt>
                <c:pt idx="87">
                  <c:v>0.41631980000000002</c:v>
                </c:pt>
                <c:pt idx="88">
                  <c:v>0.4846762</c:v>
                </c:pt>
                <c:pt idx="89">
                  <c:v>0.43693920000000003</c:v>
                </c:pt>
                <c:pt idx="90">
                  <c:v>0.52354529999999999</c:v>
                </c:pt>
                <c:pt idx="91">
                  <c:v>0.40724470000000002</c:v>
                </c:pt>
              </c:numCache>
            </c:numRef>
          </c:yVal>
          <c:smooth val="0"/>
          <c:extLst>
            <c:ext xmlns:c16="http://schemas.microsoft.com/office/drawing/2014/chart" uri="{C3380CC4-5D6E-409C-BE32-E72D297353CC}">
              <c16:uniqueId val="{00000002-3E2A-4121-8780-7CAAFDE98DED}"/>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Rentekostnader!$I$606:$I$653</c:f>
              <c:numCache>
                <c:formatCode>General</c:formatCode>
                <c:ptCount val="48"/>
                <c:pt idx="0">
                  <c:v>0.41934919999999998</c:v>
                </c:pt>
                <c:pt idx="1">
                  <c:v>0.40365570000000001</c:v>
                </c:pt>
                <c:pt idx="2">
                  <c:v>0.41906660000000001</c:v>
                </c:pt>
                <c:pt idx="3">
                  <c:v>0.41810720000000001</c:v>
                </c:pt>
                <c:pt idx="4">
                  <c:v>0.4329094</c:v>
                </c:pt>
                <c:pt idx="5">
                  <c:v>0.42955179999999998</c:v>
                </c:pt>
                <c:pt idx="6">
                  <c:v>0.40110810000000002</c:v>
                </c:pt>
                <c:pt idx="7">
                  <c:v>0.43970870000000001</c:v>
                </c:pt>
                <c:pt idx="8">
                  <c:v>0.49650820000000001</c:v>
                </c:pt>
                <c:pt idx="9">
                  <c:v>0.35733599999999999</c:v>
                </c:pt>
                <c:pt idx="10">
                  <c:v>0.39558729999999998</c:v>
                </c:pt>
                <c:pt idx="11">
                  <c:v>0.49987589999999998</c:v>
                </c:pt>
                <c:pt idx="12">
                  <c:v>0.49440689999999998</c:v>
                </c:pt>
                <c:pt idx="13">
                  <c:v>0.45477210000000001</c:v>
                </c:pt>
                <c:pt idx="14">
                  <c:v>0.44474530000000001</c:v>
                </c:pt>
                <c:pt idx="15">
                  <c:v>0.41343010000000002</c:v>
                </c:pt>
                <c:pt idx="16">
                  <c:v>0.42847829999999998</c:v>
                </c:pt>
                <c:pt idx="17">
                  <c:v>0.38882</c:v>
                </c:pt>
                <c:pt idx="18">
                  <c:v>0.40229959999999998</c:v>
                </c:pt>
                <c:pt idx="19">
                  <c:v>0.41604340000000001</c:v>
                </c:pt>
                <c:pt idx="20">
                  <c:v>0.44663750000000002</c:v>
                </c:pt>
                <c:pt idx="21">
                  <c:v>0.4660281</c:v>
                </c:pt>
                <c:pt idx="22">
                  <c:v>0.42656250000000001</c:v>
                </c:pt>
                <c:pt idx="23">
                  <c:v>0.35259659999999998</c:v>
                </c:pt>
                <c:pt idx="24">
                  <c:v>0.41786319999999999</c:v>
                </c:pt>
                <c:pt idx="25">
                  <c:v>0.40053040000000001</c:v>
                </c:pt>
                <c:pt idx="26">
                  <c:v>0.51633779999999996</c:v>
                </c:pt>
                <c:pt idx="27">
                  <c:v>0.39003929999999998</c:v>
                </c:pt>
                <c:pt idx="28">
                  <c:v>0.49948090000000001</c:v>
                </c:pt>
                <c:pt idx="29">
                  <c:v>0.4712228</c:v>
                </c:pt>
                <c:pt idx="30">
                  <c:v>0.36135980000000001</c:v>
                </c:pt>
                <c:pt idx="31">
                  <c:v>0.46819749999999999</c:v>
                </c:pt>
                <c:pt idx="32">
                  <c:v>0.3832101</c:v>
                </c:pt>
                <c:pt idx="33">
                  <c:v>0.36318620000000001</c:v>
                </c:pt>
                <c:pt idx="34">
                  <c:v>0.43425160000000002</c:v>
                </c:pt>
                <c:pt idx="35">
                  <c:v>0.49234929999999999</c:v>
                </c:pt>
                <c:pt idx="36">
                  <c:v>0.50887380000000004</c:v>
                </c:pt>
                <c:pt idx="37">
                  <c:v>0.45914959999999999</c:v>
                </c:pt>
                <c:pt idx="38">
                  <c:v>0.36473139999999998</c:v>
                </c:pt>
                <c:pt idx="39">
                  <c:v>0.44700709999999999</c:v>
                </c:pt>
                <c:pt idx="40">
                  <c:v>0.4871357</c:v>
                </c:pt>
                <c:pt idx="41">
                  <c:v>0.49211389999999999</c:v>
                </c:pt>
                <c:pt idx="42">
                  <c:v>0.40692109999999998</c:v>
                </c:pt>
                <c:pt idx="43">
                  <c:v>0.52389589999999997</c:v>
                </c:pt>
                <c:pt idx="44">
                  <c:v>0.36602580000000001</c:v>
                </c:pt>
                <c:pt idx="45">
                  <c:v>0.39827069999999998</c:v>
                </c:pt>
                <c:pt idx="46">
                  <c:v>0.48762060000000002</c:v>
                </c:pt>
                <c:pt idx="47">
                  <c:v>0.44883729999999999</c:v>
                </c:pt>
              </c:numCache>
            </c:numRef>
          </c:yVal>
          <c:smooth val="0"/>
          <c:extLst>
            <c:ext xmlns:c16="http://schemas.microsoft.com/office/drawing/2014/chart" uri="{C3380CC4-5D6E-409C-BE32-E72D297353CC}">
              <c16:uniqueId val="{00000003-3E2A-4121-8780-7CAAFDE98DED}"/>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Rentekostnader!$I$654:$I$699</c:f>
              <c:numCache>
                <c:formatCode>General</c:formatCode>
                <c:ptCount val="46"/>
                <c:pt idx="0">
                  <c:v>0.45584960000000002</c:v>
                </c:pt>
                <c:pt idx="1">
                  <c:v>0.47280240000000001</c:v>
                </c:pt>
                <c:pt idx="2">
                  <c:v>0.50468679999999999</c:v>
                </c:pt>
                <c:pt idx="3">
                  <c:v>0.41297739999999999</c:v>
                </c:pt>
                <c:pt idx="4">
                  <c:v>0.37071369999999998</c:v>
                </c:pt>
                <c:pt idx="5">
                  <c:v>0.350076</c:v>
                </c:pt>
                <c:pt idx="6">
                  <c:v>0.41767480000000001</c:v>
                </c:pt>
                <c:pt idx="7">
                  <c:v>0.38320789999999999</c:v>
                </c:pt>
                <c:pt idx="8">
                  <c:v>0.46578760000000002</c:v>
                </c:pt>
                <c:pt idx="9">
                  <c:v>0.40051369999999997</c:v>
                </c:pt>
                <c:pt idx="10">
                  <c:v>0.43228630000000001</c:v>
                </c:pt>
                <c:pt idx="11">
                  <c:v>0.47102110000000003</c:v>
                </c:pt>
                <c:pt idx="12">
                  <c:v>0.45576699999999998</c:v>
                </c:pt>
                <c:pt idx="13">
                  <c:v>0.39541769999999998</c:v>
                </c:pt>
                <c:pt idx="14">
                  <c:v>0.40249430000000003</c:v>
                </c:pt>
                <c:pt idx="15">
                  <c:v>0.3132066</c:v>
                </c:pt>
                <c:pt idx="16">
                  <c:v>0.57393660000000002</c:v>
                </c:pt>
                <c:pt idx="17">
                  <c:v>0.42001830000000001</c:v>
                </c:pt>
                <c:pt idx="18">
                  <c:v>0.3887603</c:v>
                </c:pt>
                <c:pt idx="19">
                  <c:v>0.36767490000000003</c:v>
                </c:pt>
                <c:pt idx="20">
                  <c:v>0.51336459999999995</c:v>
                </c:pt>
                <c:pt idx="21">
                  <c:v>0.36371819999999999</c:v>
                </c:pt>
                <c:pt idx="22">
                  <c:v>0.36889919999999998</c:v>
                </c:pt>
                <c:pt idx="23">
                  <c:v>0.4158</c:v>
                </c:pt>
                <c:pt idx="24">
                  <c:v>0.37363410000000002</c:v>
                </c:pt>
                <c:pt idx="25">
                  <c:v>0.47765750000000001</c:v>
                </c:pt>
                <c:pt idx="26">
                  <c:v>0.4022308</c:v>
                </c:pt>
                <c:pt idx="27">
                  <c:v>0.30761040000000001</c:v>
                </c:pt>
                <c:pt idx="28">
                  <c:v>0.43660339999999997</c:v>
                </c:pt>
                <c:pt idx="29">
                  <c:v>0.38255450000000002</c:v>
                </c:pt>
                <c:pt idx="30">
                  <c:v>0.38318970000000002</c:v>
                </c:pt>
                <c:pt idx="31">
                  <c:v>0.3456765</c:v>
                </c:pt>
                <c:pt idx="32">
                  <c:v>0.32051259999999998</c:v>
                </c:pt>
                <c:pt idx="33">
                  <c:v>0.36881629999999999</c:v>
                </c:pt>
                <c:pt idx="34">
                  <c:v>0.4486772</c:v>
                </c:pt>
                <c:pt idx="35">
                  <c:v>0.37157770000000001</c:v>
                </c:pt>
                <c:pt idx="36">
                  <c:v>0.45286189999999998</c:v>
                </c:pt>
                <c:pt idx="37">
                  <c:v>0.45108540000000003</c:v>
                </c:pt>
                <c:pt idx="38">
                  <c:v>0.48111860000000001</c:v>
                </c:pt>
                <c:pt idx="39">
                  <c:v>0.46188620000000002</c:v>
                </c:pt>
                <c:pt idx="40">
                  <c:v>0.45585379999999998</c:v>
                </c:pt>
                <c:pt idx="41">
                  <c:v>0.33243319999999998</c:v>
                </c:pt>
                <c:pt idx="42">
                  <c:v>0.4333726</c:v>
                </c:pt>
                <c:pt idx="43">
                  <c:v>0.35711209999999999</c:v>
                </c:pt>
                <c:pt idx="44">
                  <c:v>0.42139450000000001</c:v>
                </c:pt>
                <c:pt idx="45">
                  <c:v>0.40531899999999998</c:v>
                </c:pt>
              </c:numCache>
            </c:numRef>
          </c:yVal>
          <c:smooth val="0"/>
          <c:extLst>
            <c:ext xmlns:c16="http://schemas.microsoft.com/office/drawing/2014/chart" uri="{C3380CC4-5D6E-409C-BE32-E72D297353CC}">
              <c16:uniqueId val="{00000004-3E2A-4121-8780-7CAAFDE98DED}"/>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Rentekostnader!$I$700:$I$751</c:f>
              <c:numCache>
                <c:formatCode>General</c:formatCode>
                <c:ptCount val="52"/>
                <c:pt idx="0">
                  <c:v>0.53698250000000003</c:v>
                </c:pt>
                <c:pt idx="1">
                  <c:v>0.37811460000000002</c:v>
                </c:pt>
                <c:pt idx="2">
                  <c:v>0.53569330000000004</c:v>
                </c:pt>
                <c:pt idx="3">
                  <c:v>0.46069569999999999</c:v>
                </c:pt>
                <c:pt idx="4">
                  <c:v>0.5755922</c:v>
                </c:pt>
                <c:pt idx="5">
                  <c:v>0.42679040000000001</c:v>
                </c:pt>
                <c:pt idx="6">
                  <c:v>0.49440260000000003</c:v>
                </c:pt>
                <c:pt idx="7">
                  <c:v>0.36794159999999998</c:v>
                </c:pt>
                <c:pt idx="8">
                  <c:v>0.48150999999999999</c:v>
                </c:pt>
                <c:pt idx="9">
                  <c:v>0.45552599999999999</c:v>
                </c:pt>
                <c:pt idx="10">
                  <c:v>0.40280860000000002</c:v>
                </c:pt>
                <c:pt idx="11">
                  <c:v>0.45235560000000002</c:v>
                </c:pt>
                <c:pt idx="12">
                  <c:v>0.63542540000000003</c:v>
                </c:pt>
                <c:pt idx="13">
                  <c:v>0.44530690000000001</c:v>
                </c:pt>
                <c:pt idx="14">
                  <c:v>0.58803799999999995</c:v>
                </c:pt>
                <c:pt idx="15">
                  <c:v>0.44557950000000002</c:v>
                </c:pt>
                <c:pt idx="16">
                  <c:v>0.43340669999999998</c:v>
                </c:pt>
                <c:pt idx="17">
                  <c:v>0.46794419999999998</c:v>
                </c:pt>
                <c:pt idx="18">
                  <c:v>0.43451909999999999</c:v>
                </c:pt>
                <c:pt idx="19">
                  <c:v>0.38225029999999999</c:v>
                </c:pt>
                <c:pt idx="20">
                  <c:v>0.44264880000000001</c:v>
                </c:pt>
                <c:pt idx="21">
                  <c:v>0.38306000000000001</c:v>
                </c:pt>
                <c:pt idx="22">
                  <c:v>0.38522719999999999</c:v>
                </c:pt>
                <c:pt idx="23">
                  <c:v>0.37688539999999998</c:v>
                </c:pt>
                <c:pt idx="24">
                  <c:v>0.49601689999999998</c:v>
                </c:pt>
                <c:pt idx="25">
                  <c:v>0.42389349999999998</c:v>
                </c:pt>
                <c:pt idx="26">
                  <c:v>0.40418090000000001</c:v>
                </c:pt>
                <c:pt idx="27">
                  <c:v>0.52035900000000002</c:v>
                </c:pt>
                <c:pt idx="28">
                  <c:v>0.53604669999999999</c:v>
                </c:pt>
                <c:pt idx="29">
                  <c:v>0.43704110000000002</c:v>
                </c:pt>
                <c:pt idx="30">
                  <c:v>0.3811638</c:v>
                </c:pt>
                <c:pt idx="31">
                  <c:v>0.46103250000000001</c:v>
                </c:pt>
                <c:pt idx="32">
                  <c:v>0.49406129999999998</c:v>
                </c:pt>
                <c:pt idx="33">
                  <c:v>0.37771060000000001</c:v>
                </c:pt>
                <c:pt idx="34">
                  <c:v>0.47429379999999999</c:v>
                </c:pt>
                <c:pt idx="35">
                  <c:v>0.43783480000000002</c:v>
                </c:pt>
                <c:pt idx="36">
                  <c:v>0.61813960000000001</c:v>
                </c:pt>
                <c:pt idx="37">
                  <c:v>0.43339610000000001</c:v>
                </c:pt>
                <c:pt idx="38">
                  <c:v>0.49771019999999999</c:v>
                </c:pt>
                <c:pt idx="39">
                  <c:v>0.50758919999999996</c:v>
                </c:pt>
                <c:pt idx="40">
                  <c:v>0.58488399999999996</c:v>
                </c:pt>
                <c:pt idx="41">
                  <c:v>0.43527640000000001</c:v>
                </c:pt>
                <c:pt idx="42">
                  <c:v>0.51157799999999998</c:v>
                </c:pt>
                <c:pt idx="43">
                  <c:v>0.53835120000000003</c:v>
                </c:pt>
                <c:pt idx="44">
                  <c:v>0.43999870000000002</c:v>
                </c:pt>
                <c:pt idx="45">
                  <c:v>0.47231699999999999</c:v>
                </c:pt>
                <c:pt idx="46">
                  <c:v>0.43568620000000002</c:v>
                </c:pt>
                <c:pt idx="47">
                  <c:v>0.41135969999999999</c:v>
                </c:pt>
                <c:pt idx="48">
                  <c:v>0.43133510000000003</c:v>
                </c:pt>
                <c:pt idx="49">
                  <c:v>0.47041480000000002</c:v>
                </c:pt>
                <c:pt idx="50">
                  <c:v>0.44104890000000002</c:v>
                </c:pt>
                <c:pt idx="51">
                  <c:v>0.56355849999999996</c:v>
                </c:pt>
              </c:numCache>
            </c:numRef>
          </c:yVal>
          <c:smooth val="0"/>
          <c:extLst>
            <c:ext xmlns:c16="http://schemas.microsoft.com/office/drawing/2014/chart" uri="{C3380CC4-5D6E-409C-BE32-E72D297353CC}">
              <c16:uniqueId val="{00000005-3E2A-4121-8780-7CAAFDE98DED}"/>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Realkapitalgrad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Rentekostnader!$I$3:$I$110</c:f>
              <c:numCache>
                <c:formatCode>General</c:formatCode>
                <c:ptCount val="108"/>
                <c:pt idx="0">
                  <c:v>0.36749959999999998</c:v>
                </c:pt>
                <c:pt idx="1">
                  <c:v>0.36135980000000001</c:v>
                </c:pt>
                <c:pt idx="2">
                  <c:v>0.49948090000000001</c:v>
                </c:pt>
                <c:pt idx="3">
                  <c:v>0.40355819999999998</c:v>
                </c:pt>
                <c:pt idx="4">
                  <c:v>0.35238170000000002</c:v>
                </c:pt>
                <c:pt idx="5">
                  <c:v>0.38572089999999998</c:v>
                </c:pt>
                <c:pt idx="6">
                  <c:v>0.43858940000000002</c:v>
                </c:pt>
                <c:pt idx="7">
                  <c:v>0.34038259999999998</c:v>
                </c:pt>
                <c:pt idx="8">
                  <c:v>0.55408279999999999</c:v>
                </c:pt>
                <c:pt idx="9">
                  <c:v>0.41052680000000003</c:v>
                </c:pt>
                <c:pt idx="10">
                  <c:v>0.45426240000000001</c:v>
                </c:pt>
                <c:pt idx="11">
                  <c:v>0.31375320000000001</c:v>
                </c:pt>
                <c:pt idx="12">
                  <c:v>0.3853183</c:v>
                </c:pt>
                <c:pt idx="13">
                  <c:v>0.55363759999999995</c:v>
                </c:pt>
                <c:pt idx="14">
                  <c:v>0.4131688</c:v>
                </c:pt>
                <c:pt idx="15">
                  <c:v>0.4846762</c:v>
                </c:pt>
                <c:pt idx="16">
                  <c:v>0.51268919999999996</c:v>
                </c:pt>
                <c:pt idx="17">
                  <c:v>0.36473139999999998</c:v>
                </c:pt>
                <c:pt idx="18">
                  <c:v>0.41349249999999999</c:v>
                </c:pt>
                <c:pt idx="19">
                  <c:v>0.50085729999999995</c:v>
                </c:pt>
                <c:pt idx="20">
                  <c:v>0.38566230000000001</c:v>
                </c:pt>
                <c:pt idx="21">
                  <c:v>0.32273950000000001</c:v>
                </c:pt>
                <c:pt idx="22">
                  <c:v>0.30761040000000001</c:v>
                </c:pt>
                <c:pt idx="23">
                  <c:v>0.50302550000000001</c:v>
                </c:pt>
                <c:pt idx="24">
                  <c:v>0.60062400000000005</c:v>
                </c:pt>
                <c:pt idx="25">
                  <c:v>0.34877910000000001</c:v>
                </c:pt>
                <c:pt idx="26">
                  <c:v>0.51166029999999996</c:v>
                </c:pt>
                <c:pt idx="27">
                  <c:v>0.41462189999999999</c:v>
                </c:pt>
                <c:pt idx="28">
                  <c:v>0.45477089999999998</c:v>
                </c:pt>
                <c:pt idx="29">
                  <c:v>0.38835180000000002</c:v>
                </c:pt>
                <c:pt idx="30">
                  <c:v>0.43177260000000001</c:v>
                </c:pt>
                <c:pt idx="31">
                  <c:v>0.48981200000000003</c:v>
                </c:pt>
                <c:pt idx="32">
                  <c:v>0.50352699999999995</c:v>
                </c:pt>
                <c:pt idx="33">
                  <c:v>0.45496199999999998</c:v>
                </c:pt>
                <c:pt idx="34">
                  <c:v>0.38539859999999998</c:v>
                </c:pt>
                <c:pt idx="35">
                  <c:v>0.45584960000000002</c:v>
                </c:pt>
                <c:pt idx="36">
                  <c:v>0.40229959999999998</c:v>
                </c:pt>
                <c:pt idx="37">
                  <c:v>0.5246229</c:v>
                </c:pt>
                <c:pt idx="38">
                  <c:v>0.40979660000000001</c:v>
                </c:pt>
                <c:pt idx="39">
                  <c:v>0.29621180000000003</c:v>
                </c:pt>
                <c:pt idx="40">
                  <c:v>0.43040450000000002</c:v>
                </c:pt>
                <c:pt idx="41">
                  <c:v>0.32005</c:v>
                </c:pt>
                <c:pt idx="42">
                  <c:v>0.40751019999999999</c:v>
                </c:pt>
                <c:pt idx="43">
                  <c:v>0.44030720000000001</c:v>
                </c:pt>
                <c:pt idx="44">
                  <c:v>0.45471600000000001</c:v>
                </c:pt>
                <c:pt idx="45">
                  <c:v>0.31564910000000002</c:v>
                </c:pt>
                <c:pt idx="46">
                  <c:v>0.57409779999999999</c:v>
                </c:pt>
                <c:pt idx="47">
                  <c:v>0.38337599999999999</c:v>
                </c:pt>
                <c:pt idx="48">
                  <c:v>0.36767490000000003</c:v>
                </c:pt>
                <c:pt idx="49">
                  <c:v>0.3132066</c:v>
                </c:pt>
                <c:pt idx="50">
                  <c:v>0.40249430000000003</c:v>
                </c:pt>
                <c:pt idx="51">
                  <c:v>0.33290760000000003</c:v>
                </c:pt>
                <c:pt idx="52">
                  <c:v>0.51633779999999996</c:v>
                </c:pt>
                <c:pt idx="53">
                  <c:v>0.38286239999999999</c:v>
                </c:pt>
                <c:pt idx="54">
                  <c:v>0.44673930000000001</c:v>
                </c:pt>
                <c:pt idx="55">
                  <c:v>0.43582959999999998</c:v>
                </c:pt>
                <c:pt idx="56">
                  <c:v>0.47315200000000002</c:v>
                </c:pt>
                <c:pt idx="57">
                  <c:v>0.5033784</c:v>
                </c:pt>
                <c:pt idx="58">
                  <c:v>0.51237129999999997</c:v>
                </c:pt>
                <c:pt idx="59">
                  <c:v>0.3712087</c:v>
                </c:pt>
                <c:pt idx="60">
                  <c:v>0.37771060000000001</c:v>
                </c:pt>
                <c:pt idx="61">
                  <c:v>0.56975100000000001</c:v>
                </c:pt>
                <c:pt idx="62">
                  <c:v>0.39882669999999998</c:v>
                </c:pt>
                <c:pt idx="63">
                  <c:v>0.4007154</c:v>
                </c:pt>
                <c:pt idx="64">
                  <c:v>0.45730579999999998</c:v>
                </c:pt>
                <c:pt idx="65">
                  <c:v>0.41075270000000003</c:v>
                </c:pt>
                <c:pt idx="66">
                  <c:v>0.46579920000000002</c:v>
                </c:pt>
                <c:pt idx="67">
                  <c:v>0.45635799999999999</c:v>
                </c:pt>
                <c:pt idx="68">
                  <c:v>0.45864379999999999</c:v>
                </c:pt>
                <c:pt idx="69">
                  <c:v>0.36230250000000003</c:v>
                </c:pt>
                <c:pt idx="70">
                  <c:v>0.44551970000000002</c:v>
                </c:pt>
                <c:pt idx="71">
                  <c:v>0.47280100000000003</c:v>
                </c:pt>
                <c:pt idx="72">
                  <c:v>0.38318970000000002</c:v>
                </c:pt>
                <c:pt idx="73">
                  <c:v>0.63873579999999996</c:v>
                </c:pt>
                <c:pt idx="74">
                  <c:v>0.46838839999999998</c:v>
                </c:pt>
                <c:pt idx="75">
                  <c:v>0.4324674</c:v>
                </c:pt>
                <c:pt idx="76">
                  <c:v>0.38130930000000002</c:v>
                </c:pt>
                <c:pt idx="77" formatCode="0.00E+00">
                  <c:v>0.39210990000000001</c:v>
                </c:pt>
                <c:pt idx="78">
                  <c:v>0.3723206</c:v>
                </c:pt>
                <c:pt idx="79">
                  <c:v>0.40053450000000002</c:v>
                </c:pt>
                <c:pt idx="80">
                  <c:v>0.37049549999999998</c:v>
                </c:pt>
                <c:pt idx="81">
                  <c:v>0.44475690000000001</c:v>
                </c:pt>
                <c:pt idx="82">
                  <c:v>0.5218294</c:v>
                </c:pt>
                <c:pt idx="83">
                  <c:v>0.45742090000000002</c:v>
                </c:pt>
                <c:pt idx="84">
                  <c:v>0.44883729999999999</c:v>
                </c:pt>
                <c:pt idx="85">
                  <c:v>0.48916979999999999</c:v>
                </c:pt>
                <c:pt idx="86">
                  <c:v>0.46574409999999999</c:v>
                </c:pt>
                <c:pt idx="87">
                  <c:v>0.40528629999999999</c:v>
                </c:pt>
                <c:pt idx="88">
                  <c:v>0.3923468</c:v>
                </c:pt>
                <c:pt idx="89">
                  <c:v>0.45650010000000002</c:v>
                </c:pt>
                <c:pt idx="90">
                  <c:v>0.51007199999999997</c:v>
                </c:pt>
                <c:pt idx="91">
                  <c:v>0.41934919999999998</c:v>
                </c:pt>
                <c:pt idx="92">
                  <c:v>0.48111860000000001</c:v>
                </c:pt>
                <c:pt idx="93">
                  <c:v>0.34869450000000002</c:v>
                </c:pt>
                <c:pt idx="94">
                  <c:v>0.37363410000000002</c:v>
                </c:pt>
                <c:pt idx="95">
                  <c:v>0.45416459999999997</c:v>
                </c:pt>
                <c:pt idx="96">
                  <c:v>0.49347530000000001</c:v>
                </c:pt>
                <c:pt idx="97">
                  <c:v>0.49650820000000001</c:v>
                </c:pt>
                <c:pt idx="98">
                  <c:v>0.36113230000000002</c:v>
                </c:pt>
                <c:pt idx="99">
                  <c:v>0.42070800000000003</c:v>
                </c:pt>
                <c:pt idx="100">
                  <c:v>0.38734800000000003</c:v>
                </c:pt>
                <c:pt idx="101">
                  <c:v>0.4022308</c:v>
                </c:pt>
                <c:pt idx="102">
                  <c:v>0.3456765</c:v>
                </c:pt>
                <c:pt idx="103">
                  <c:v>0.48782219999999998</c:v>
                </c:pt>
                <c:pt idx="104">
                  <c:v>0.37382539999999997</c:v>
                </c:pt>
                <c:pt idx="105">
                  <c:v>0.25406580000000001</c:v>
                </c:pt>
                <c:pt idx="106">
                  <c:v>0.42576720000000001</c:v>
                </c:pt>
                <c:pt idx="107">
                  <c:v>0.35508650000000003</c:v>
                </c:pt>
              </c:numCache>
            </c:numRef>
          </c:yVal>
          <c:smooth val="0"/>
          <c:extLst>
            <c:ext xmlns:c16="http://schemas.microsoft.com/office/drawing/2014/chart" uri="{C3380CC4-5D6E-409C-BE32-E72D297353CC}">
              <c16:uniqueId val="{00000000-1B07-4A62-9336-AE6183731DA0}"/>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Rentekostnader!$I$111:$I$213</c:f>
              <c:numCache>
                <c:formatCode>General</c:formatCode>
                <c:ptCount val="103"/>
                <c:pt idx="0">
                  <c:v>0.3811638</c:v>
                </c:pt>
                <c:pt idx="1">
                  <c:v>0.350076</c:v>
                </c:pt>
                <c:pt idx="2">
                  <c:v>0.3757663</c:v>
                </c:pt>
                <c:pt idx="3">
                  <c:v>0.41751559999999999</c:v>
                </c:pt>
                <c:pt idx="4">
                  <c:v>0.34279419999999999</c:v>
                </c:pt>
                <c:pt idx="5">
                  <c:v>0.40053040000000001</c:v>
                </c:pt>
                <c:pt idx="6">
                  <c:v>0.55134709999999998</c:v>
                </c:pt>
                <c:pt idx="7">
                  <c:v>0.48259449999999998</c:v>
                </c:pt>
                <c:pt idx="8">
                  <c:v>0.3691526</c:v>
                </c:pt>
                <c:pt idx="9">
                  <c:v>0.34926000000000001</c:v>
                </c:pt>
                <c:pt idx="10">
                  <c:v>0.28980440000000002</c:v>
                </c:pt>
                <c:pt idx="11">
                  <c:v>0.51336459999999995</c:v>
                </c:pt>
                <c:pt idx="12">
                  <c:v>0.50512469999999998</c:v>
                </c:pt>
                <c:pt idx="13">
                  <c:v>0.53069949999999999</c:v>
                </c:pt>
                <c:pt idx="14">
                  <c:v>0.43693920000000003</c:v>
                </c:pt>
                <c:pt idx="15">
                  <c:v>0.49987589999999998</c:v>
                </c:pt>
                <c:pt idx="16">
                  <c:v>0.4550498</c:v>
                </c:pt>
                <c:pt idx="17">
                  <c:v>0.46794419999999998</c:v>
                </c:pt>
                <c:pt idx="18">
                  <c:v>0.43425160000000002</c:v>
                </c:pt>
                <c:pt idx="19">
                  <c:v>0.43660339999999997</c:v>
                </c:pt>
                <c:pt idx="20">
                  <c:v>0.37139620000000001</c:v>
                </c:pt>
                <c:pt idx="21">
                  <c:v>0.45517390000000002</c:v>
                </c:pt>
                <c:pt idx="22">
                  <c:v>0.45404670000000003</c:v>
                </c:pt>
                <c:pt idx="23">
                  <c:v>0.5755922</c:v>
                </c:pt>
                <c:pt idx="24">
                  <c:v>0.51028669999999998</c:v>
                </c:pt>
                <c:pt idx="25">
                  <c:v>0.35259659999999998</c:v>
                </c:pt>
                <c:pt idx="26">
                  <c:v>0.4592175</c:v>
                </c:pt>
                <c:pt idx="27">
                  <c:v>0.4930947</c:v>
                </c:pt>
                <c:pt idx="28">
                  <c:v>0.47765750000000001</c:v>
                </c:pt>
                <c:pt idx="29">
                  <c:v>0.3887737</c:v>
                </c:pt>
                <c:pt idx="30">
                  <c:v>0.432091</c:v>
                </c:pt>
                <c:pt idx="31">
                  <c:v>0.32475159999999997</c:v>
                </c:pt>
                <c:pt idx="32">
                  <c:v>0.4838614</c:v>
                </c:pt>
                <c:pt idx="33">
                  <c:v>0.4780587</c:v>
                </c:pt>
                <c:pt idx="34">
                  <c:v>0.35454029999999997</c:v>
                </c:pt>
                <c:pt idx="35">
                  <c:v>0.39558729999999998</c:v>
                </c:pt>
                <c:pt idx="36">
                  <c:v>0.29466799999999999</c:v>
                </c:pt>
                <c:pt idx="37">
                  <c:v>0.3887603</c:v>
                </c:pt>
                <c:pt idx="38">
                  <c:v>0.4871357</c:v>
                </c:pt>
                <c:pt idx="39">
                  <c:v>0.33722619999999998</c:v>
                </c:pt>
                <c:pt idx="40">
                  <c:v>0.45493470000000003</c:v>
                </c:pt>
                <c:pt idx="41">
                  <c:v>0.40724470000000002</c:v>
                </c:pt>
                <c:pt idx="42">
                  <c:v>0.41767480000000001</c:v>
                </c:pt>
                <c:pt idx="43">
                  <c:v>0.41536220000000001</c:v>
                </c:pt>
                <c:pt idx="44">
                  <c:v>0.47336869999999998</c:v>
                </c:pt>
                <c:pt idx="45">
                  <c:v>0.46578760000000002</c:v>
                </c:pt>
                <c:pt idx="46">
                  <c:v>0.36889919999999998</c:v>
                </c:pt>
                <c:pt idx="47">
                  <c:v>0.28320640000000002</c:v>
                </c:pt>
                <c:pt idx="48">
                  <c:v>0.44708940000000003</c:v>
                </c:pt>
                <c:pt idx="49">
                  <c:v>0.45286189999999998</c:v>
                </c:pt>
                <c:pt idx="50">
                  <c:v>0.52775660000000002</c:v>
                </c:pt>
                <c:pt idx="51">
                  <c:v>0.41196169999999999</c:v>
                </c:pt>
                <c:pt idx="52">
                  <c:v>0.43901600000000002</c:v>
                </c:pt>
                <c:pt idx="53">
                  <c:v>0.57881380000000004</c:v>
                </c:pt>
                <c:pt idx="54">
                  <c:v>0.49576819999999999</c:v>
                </c:pt>
                <c:pt idx="55">
                  <c:v>0.47280240000000001</c:v>
                </c:pt>
                <c:pt idx="56">
                  <c:v>0.48150999999999999</c:v>
                </c:pt>
                <c:pt idx="57">
                  <c:v>0.46103250000000001</c:v>
                </c:pt>
                <c:pt idx="58">
                  <c:v>0.42136560000000001</c:v>
                </c:pt>
                <c:pt idx="59">
                  <c:v>0.41343010000000002</c:v>
                </c:pt>
                <c:pt idx="60">
                  <c:v>0.52354529999999999</c:v>
                </c:pt>
                <c:pt idx="61">
                  <c:v>0.47146840000000001</c:v>
                </c:pt>
                <c:pt idx="62">
                  <c:v>0.40051369999999997</c:v>
                </c:pt>
                <c:pt idx="63">
                  <c:v>0.46262029999999998</c:v>
                </c:pt>
                <c:pt idx="64">
                  <c:v>0.46697640000000001</c:v>
                </c:pt>
                <c:pt idx="65">
                  <c:v>0.40240920000000002</c:v>
                </c:pt>
                <c:pt idx="66">
                  <c:v>0.40949799999999997</c:v>
                </c:pt>
                <c:pt idx="67">
                  <c:v>0.3832101</c:v>
                </c:pt>
                <c:pt idx="68">
                  <c:v>0.42780479999999999</c:v>
                </c:pt>
                <c:pt idx="69">
                  <c:v>0.41466500000000001</c:v>
                </c:pt>
                <c:pt idx="70">
                  <c:v>0.43704110000000002</c:v>
                </c:pt>
                <c:pt idx="71">
                  <c:v>0.47648259999999998</c:v>
                </c:pt>
                <c:pt idx="72">
                  <c:v>0.38225029999999999</c:v>
                </c:pt>
                <c:pt idx="73">
                  <c:v>0.47674840000000002</c:v>
                </c:pt>
                <c:pt idx="74">
                  <c:v>0.421767</c:v>
                </c:pt>
                <c:pt idx="75">
                  <c:v>0.40757910000000003</c:v>
                </c:pt>
                <c:pt idx="76">
                  <c:v>0.41822530000000002</c:v>
                </c:pt>
                <c:pt idx="77">
                  <c:v>0.37157770000000001</c:v>
                </c:pt>
                <c:pt idx="78">
                  <c:v>0.54167909999999997</c:v>
                </c:pt>
                <c:pt idx="79">
                  <c:v>0.42001830000000001</c:v>
                </c:pt>
                <c:pt idx="80">
                  <c:v>0.43473709999999999</c:v>
                </c:pt>
                <c:pt idx="81">
                  <c:v>0.57393660000000002</c:v>
                </c:pt>
                <c:pt idx="82">
                  <c:v>0.4675511</c:v>
                </c:pt>
                <c:pt idx="83">
                  <c:v>0.38882</c:v>
                </c:pt>
                <c:pt idx="84">
                  <c:v>0.44474530000000001</c:v>
                </c:pt>
                <c:pt idx="85">
                  <c:v>0.441612</c:v>
                </c:pt>
                <c:pt idx="86">
                  <c:v>0.43527640000000001</c:v>
                </c:pt>
                <c:pt idx="87">
                  <c:v>0.53012349999999997</c:v>
                </c:pt>
                <c:pt idx="88">
                  <c:v>0.42880639999999998</c:v>
                </c:pt>
                <c:pt idx="89">
                  <c:v>0.39541769999999998</c:v>
                </c:pt>
                <c:pt idx="90">
                  <c:v>0.49240250000000002</c:v>
                </c:pt>
                <c:pt idx="91">
                  <c:v>0.53471329999999995</c:v>
                </c:pt>
                <c:pt idx="92">
                  <c:v>0.42817569999999999</c:v>
                </c:pt>
                <c:pt idx="93">
                  <c:v>0.51222319999999999</c:v>
                </c:pt>
                <c:pt idx="94">
                  <c:v>0.40110810000000002</c:v>
                </c:pt>
                <c:pt idx="95">
                  <c:v>0.41023939999999998</c:v>
                </c:pt>
                <c:pt idx="96">
                  <c:v>0.44530690000000001</c:v>
                </c:pt>
                <c:pt idx="97">
                  <c:v>0.43970870000000001</c:v>
                </c:pt>
                <c:pt idx="98">
                  <c:v>0.48296899999999998</c:v>
                </c:pt>
                <c:pt idx="99">
                  <c:v>0.47102110000000003</c:v>
                </c:pt>
                <c:pt idx="100">
                  <c:v>0.34888789999999997</c:v>
                </c:pt>
                <c:pt idx="101">
                  <c:v>0.47348780000000001</c:v>
                </c:pt>
                <c:pt idx="102">
                  <c:v>0.36881629999999999</c:v>
                </c:pt>
              </c:numCache>
            </c:numRef>
          </c:yVal>
          <c:smooth val="0"/>
          <c:extLst>
            <c:ext xmlns:c16="http://schemas.microsoft.com/office/drawing/2014/chart" uri="{C3380CC4-5D6E-409C-BE32-E72D297353CC}">
              <c16:uniqueId val="{00000001-1B07-4A62-9336-AE6183731DA0}"/>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Rentekostnader!$I$214:$I$278</c:f>
              <c:numCache>
                <c:formatCode>General</c:formatCode>
                <c:ptCount val="65"/>
                <c:pt idx="0">
                  <c:v>0.46819749999999999</c:v>
                </c:pt>
                <c:pt idx="1">
                  <c:v>0.47660580000000002</c:v>
                </c:pt>
                <c:pt idx="2">
                  <c:v>0.4660281</c:v>
                </c:pt>
                <c:pt idx="3">
                  <c:v>0.48762060000000002</c:v>
                </c:pt>
                <c:pt idx="4">
                  <c:v>0.42847829999999998</c:v>
                </c:pt>
                <c:pt idx="5">
                  <c:v>0.43568620000000002</c:v>
                </c:pt>
                <c:pt idx="6">
                  <c:v>0.48272019999999999</c:v>
                </c:pt>
                <c:pt idx="7">
                  <c:v>0.41604340000000001</c:v>
                </c:pt>
                <c:pt idx="8">
                  <c:v>0.4238768</c:v>
                </c:pt>
                <c:pt idx="9">
                  <c:v>0.39947529999999998</c:v>
                </c:pt>
                <c:pt idx="10">
                  <c:v>0.47554730000000001</c:v>
                </c:pt>
                <c:pt idx="11">
                  <c:v>0.57834730000000001</c:v>
                </c:pt>
                <c:pt idx="12">
                  <c:v>0.40365570000000001</c:v>
                </c:pt>
                <c:pt idx="13">
                  <c:v>0.43067699999999998</c:v>
                </c:pt>
                <c:pt idx="14">
                  <c:v>0.50468679999999999</c:v>
                </c:pt>
                <c:pt idx="15">
                  <c:v>0.46543760000000001</c:v>
                </c:pt>
                <c:pt idx="16">
                  <c:v>0.52501169999999997</c:v>
                </c:pt>
                <c:pt idx="17">
                  <c:v>0.39827069999999998</c:v>
                </c:pt>
                <c:pt idx="18">
                  <c:v>0.47728700000000002</c:v>
                </c:pt>
                <c:pt idx="19">
                  <c:v>0.39178960000000002</c:v>
                </c:pt>
                <c:pt idx="20">
                  <c:v>0.50391200000000003</c:v>
                </c:pt>
                <c:pt idx="21">
                  <c:v>0.389488</c:v>
                </c:pt>
                <c:pt idx="22">
                  <c:v>0.4501753</c:v>
                </c:pt>
                <c:pt idx="23">
                  <c:v>0.44663750000000002</c:v>
                </c:pt>
                <c:pt idx="24">
                  <c:v>0.52286239999999995</c:v>
                </c:pt>
                <c:pt idx="25">
                  <c:v>0.4294231</c:v>
                </c:pt>
                <c:pt idx="26">
                  <c:v>0.4626538</c:v>
                </c:pt>
                <c:pt idx="27">
                  <c:v>0.34629680000000002</c:v>
                </c:pt>
                <c:pt idx="28">
                  <c:v>0.41631980000000002</c:v>
                </c:pt>
                <c:pt idx="29">
                  <c:v>0.546821</c:v>
                </c:pt>
                <c:pt idx="30">
                  <c:v>0.47403889999999999</c:v>
                </c:pt>
                <c:pt idx="31">
                  <c:v>0.51506629999999998</c:v>
                </c:pt>
                <c:pt idx="32">
                  <c:v>0.62701549999999995</c:v>
                </c:pt>
                <c:pt idx="33">
                  <c:v>0.39003929999999998</c:v>
                </c:pt>
                <c:pt idx="34">
                  <c:v>0.49957370000000001</c:v>
                </c:pt>
                <c:pt idx="35">
                  <c:v>0.4329094</c:v>
                </c:pt>
                <c:pt idx="36">
                  <c:v>0.38255450000000002</c:v>
                </c:pt>
                <c:pt idx="37">
                  <c:v>0.47836899999999999</c:v>
                </c:pt>
                <c:pt idx="38">
                  <c:v>0.52389589999999997</c:v>
                </c:pt>
                <c:pt idx="39">
                  <c:v>0.40692109999999998</c:v>
                </c:pt>
                <c:pt idx="40">
                  <c:v>0.43228630000000001</c:v>
                </c:pt>
                <c:pt idx="41">
                  <c:v>0.36371819999999999</c:v>
                </c:pt>
                <c:pt idx="42">
                  <c:v>0.38320789999999999</c:v>
                </c:pt>
                <c:pt idx="43">
                  <c:v>0.4523914</c:v>
                </c:pt>
                <c:pt idx="44">
                  <c:v>0.54116149999999996</c:v>
                </c:pt>
                <c:pt idx="45">
                  <c:v>0.4158</c:v>
                </c:pt>
                <c:pt idx="46">
                  <c:v>0.50822560000000006</c:v>
                </c:pt>
                <c:pt idx="47">
                  <c:v>0.53897439999999996</c:v>
                </c:pt>
                <c:pt idx="48">
                  <c:v>0.53569330000000004</c:v>
                </c:pt>
                <c:pt idx="49">
                  <c:v>0.35733599999999999</c:v>
                </c:pt>
                <c:pt idx="50">
                  <c:v>0.3544793</c:v>
                </c:pt>
                <c:pt idx="51">
                  <c:v>0.52692700000000003</c:v>
                </c:pt>
                <c:pt idx="52">
                  <c:v>0.4486772</c:v>
                </c:pt>
                <c:pt idx="53">
                  <c:v>0.56115970000000004</c:v>
                </c:pt>
                <c:pt idx="54">
                  <c:v>0.50540669999999999</c:v>
                </c:pt>
                <c:pt idx="55">
                  <c:v>0.42389349999999998</c:v>
                </c:pt>
                <c:pt idx="56">
                  <c:v>0.44099280000000002</c:v>
                </c:pt>
                <c:pt idx="57">
                  <c:v>0.4689353</c:v>
                </c:pt>
                <c:pt idx="58">
                  <c:v>0.49210939999999997</c:v>
                </c:pt>
                <c:pt idx="59">
                  <c:v>0.41297739999999999</c:v>
                </c:pt>
                <c:pt idx="60">
                  <c:v>0.40280860000000002</c:v>
                </c:pt>
                <c:pt idx="61">
                  <c:v>0.53835120000000003</c:v>
                </c:pt>
                <c:pt idx="62">
                  <c:v>0.53373839999999995</c:v>
                </c:pt>
                <c:pt idx="63">
                  <c:v>0.50803469999999995</c:v>
                </c:pt>
                <c:pt idx="64">
                  <c:v>0.41810720000000001</c:v>
                </c:pt>
              </c:numCache>
            </c:numRef>
          </c:yVal>
          <c:smooth val="0"/>
          <c:extLst>
            <c:ext xmlns:c16="http://schemas.microsoft.com/office/drawing/2014/chart" uri="{C3380CC4-5D6E-409C-BE32-E72D297353CC}">
              <c16:uniqueId val="{00000002-1B07-4A62-9336-AE6183731DA0}"/>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Rentekostnader!$I$279:$I$332</c:f>
              <c:numCache>
                <c:formatCode>General</c:formatCode>
                <c:ptCount val="54"/>
                <c:pt idx="0">
                  <c:v>0.55065050000000004</c:v>
                </c:pt>
                <c:pt idx="1">
                  <c:v>0.45768330000000002</c:v>
                </c:pt>
                <c:pt idx="2">
                  <c:v>0.43133510000000003</c:v>
                </c:pt>
                <c:pt idx="3">
                  <c:v>0.35711209999999999</c:v>
                </c:pt>
                <c:pt idx="4">
                  <c:v>0.56001599999999996</c:v>
                </c:pt>
                <c:pt idx="5">
                  <c:v>0.44700709999999999</c:v>
                </c:pt>
                <c:pt idx="6">
                  <c:v>0.42955179999999998</c:v>
                </c:pt>
                <c:pt idx="7">
                  <c:v>0.36602580000000001</c:v>
                </c:pt>
                <c:pt idx="8">
                  <c:v>0.49211389999999999</c:v>
                </c:pt>
                <c:pt idx="9">
                  <c:v>0.36665629999999999</c:v>
                </c:pt>
                <c:pt idx="10">
                  <c:v>0.4333726</c:v>
                </c:pt>
                <c:pt idx="11">
                  <c:v>0.41786319999999999</c:v>
                </c:pt>
                <c:pt idx="12">
                  <c:v>0.40531899999999998</c:v>
                </c:pt>
                <c:pt idx="13">
                  <c:v>0.38306000000000001</c:v>
                </c:pt>
                <c:pt idx="14">
                  <c:v>0.50653789999999999</c:v>
                </c:pt>
                <c:pt idx="15">
                  <c:v>0.42656250000000001</c:v>
                </c:pt>
                <c:pt idx="16">
                  <c:v>0.47429379999999999</c:v>
                </c:pt>
                <c:pt idx="17">
                  <c:v>0.50758919999999996</c:v>
                </c:pt>
                <c:pt idx="18">
                  <c:v>0.40418090000000001</c:v>
                </c:pt>
                <c:pt idx="19">
                  <c:v>0.42139450000000001</c:v>
                </c:pt>
                <c:pt idx="20">
                  <c:v>0.52204110000000004</c:v>
                </c:pt>
                <c:pt idx="21">
                  <c:v>0.37688539999999998</c:v>
                </c:pt>
                <c:pt idx="22">
                  <c:v>0.44264880000000001</c:v>
                </c:pt>
                <c:pt idx="23">
                  <c:v>0.36318620000000001</c:v>
                </c:pt>
                <c:pt idx="24">
                  <c:v>0.32051259999999998</c:v>
                </c:pt>
                <c:pt idx="25">
                  <c:v>0.43783480000000002</c:v>
                </c:pt>
                <c:pt idx="26">
                  <c:v>0.37811460000000002</c:v>
                </c:pt>
                <c:pt idx="27">
                  <c:v>0.43451909999999999</c:v>
                </c:pt>
                <c:pt idx="28">
                  <c:v>0.52846970000000004</c:v>
                </c:pt>
                <c:pt idx="29">
                  <c:v>0.50022509999999998</c:v>
                </c:pt>
                <c:pt idx="30">
                  <c:v>0.37071369999999998</c:v>
                </c:pt>
                <c:pt idx="31">
                  <c:v>0.49601689999999998</c:v>
                </c:pt>
                <c:pt idx="32">
                  <c:v>0.45811229999999997</c:v>
                </c:pt>
                <c:pt idx="33">
                  <c:v>0.46188620000000002</c:v>
                </c:pt>
                <c:pt idx="34">
                  <c:v>0.45235560000000002</c:v>
                </c:pt>
                <c:pt idx="35">
                  <c:v>0.47041480000000002</c:v>
                </c:pt>
                <c:pt idx="36">
                  <c:v>0.49914320000000001</c:v>
                </c:pt>
                <c:pt idx="37">
                  <c:v>0.44104890000000002</c:v>
                </c:pt>
                <c:pt idx="38">
                  <c:v>0.49440689999999998</c:v>
                </c:pt>
                <c:pt idx="39">
                  <c:v>0.48716320000000002</c:v>
                </c:pt>
                <c:pt idx="40">
                  <c:v>0.51566599999999996</c:v>
                </c:pt>
                <c:pt idx="41">
                  <c:v>0.48238209999999998</c:v>
                </c:pt>
                <c:pt idx="42">
                  <c:v>0.45477210000000001</c:v>
                </c:pt>
                <c:pt idx="43">
                  <c:v>0.45585379999999998</c:v>
                </c:pt>
                <c:pt idx="44">
                  <c:v>0.38522719999999999</c:v>
                </c:pt>
                <c:pt idx="45">
                  <c:v>0.41906660000000001</c:v>
                </c:pt>
                <c:pt idx="46">
                  <c:v>0.45108540000000003</c:v>
                </c:pt>
                <c:pt idx="47">
                  <c:v>0.45914959999999999</c:v>
                </c:pt>
                <c:pt idx="48">
                  <c:v>0.45576699999999998</c:v>
                </c:pt>
                <c:pt idx="49">
                  <c:v>0.53604669999999999</c:v>
                </c:pt>
                <c:pt idx="50">
                  <c:v>0.4712228</c:v>
                </c:pt>
                <c:pt idx="51">
                  <c:v>0.47231699999999999</c:v>
                </c:pt>
                <c:pt idx="52">
                  <c:v>0.43340669999999998</c:v>
                </c:pt>
                <c:pt idx="53">
                  <c:v>0.46069569999999999</c:v>
                </c:pt>
              </c:numCache>
            </c:numRef>
          </c:yVal>
          <c:smooth val="0"/>
          <c:extLst>
            <c:ext xmlns:c16="http://schemas.microsoft.com/office/drawing/2014/chart" uri="{C3380CC4-5D6E-409C-BE32-E72D297353CC}">
              <c16:uniqueId val="{00000003-1B07-4A62-9336-AE6183731DA0}"/>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Rentekostnader!$I$333:$I$353</c:f>
              <c:numCache>
                <c:formatCode>General</c:formatCode>
                <c:ptCount val="21"/>
                <c:pt idx="0">
                  <c:v>0.47119729999999999</c:v>
                </c:pt>
                <c:pt idx="1">
                  <c:v>0.51036669999999995</c:v>
                </c:pt>
                <c:pt idx="2">
                  <c:v>0.53698250000000003</c:v>
                </c:pt>
                <c:pt idx="3">
                  <c:v>0.43339610000000001</c:v>
                </c:pt>
                <c:pt idx="4">
                  <c:v>0.51487130000000003</c:v>
                </c:pt>
                <c:pt idx="5">
                  <c:v>0.44557950000000002</c:v>
                </c:pt>
                <c:pt idx="6">
                  <c:v>0.49406129999999998</c:v>
                </c:pt>
                <c:pt idx="7">
                  <c:v>0.58488399999999996</c:v>
                </c:pt>
                <c:pt idx="8">
                  <c:v>0.52035900000000002</c:v>
                </c:pt>
                <c:pt idx="9">
                  <c:v>0.47129690000000002</c:v>
                </c:pt>
                <c:pt idx="10">
                  <c:v>0.42679040000000001</c:v>
                </c:pt>
                <c:pt idx="11">
                  <c:v>0.49234929999999999</c:v>
                </c:pt>
                <c:pt idx="12">
                  <c:v>0.49440260000000003</c:v>
                </c:pt>
                <c:pt idx="13">
                  <c:v>0.33243319999999998</c:v>
                </c:pt>
                <c:pt idx="14">
                  <c:v>0.41135969999999999</c:v>
                </c:pt>
                <c:pt idx="15">
                  <c:v>0.4018465</c:v>
                </c:pt>
                <c:pt idx="16">
                  <c:v>0.49771019999999999</c:v>
                </c:pt>
                <c:pt idx="17">
                  <c:v>0.50887380000000004</c:v>
                </c:pt>
                <c:pt idx="18">
                  <c:v>0.36794159999999998</c:v>
                </c:pt>
                <c:pt idx="19">
                  <c:v>0.56355849999999996</c:v>
                </c:pt>
                <c:pt idx="20">
                  <c:v>0.63542540000000003</c:v>
                </c:pt>
              </c:numCache>
            </c:numRef>
          </c:yVal>
          <c:smooth val="0"/>
          <c:extLst>
            <c:ext xmlns:c16="http://schemas.microsoft.com/office/drawing/2014/chart" uri="{C3380CC4-5D6E-409C-BE32-E72D297353CC}">
              <c16:uniqueId val="{00000004-1B07-4A62-9336-AE6183731DA0}"/>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Rentekostnader!$I$354:$I$358</c:f>
              <c:numCache>
                <c:formatCode>General</c:formatCode>
                <c:ptCount val="5"/>
                <c:pt idx="0">
                  <c:v>0.43999870000000002</c:v>
                </c:pt>
                <c:pt idx="1">
                  <c:v>0.61813960000000001</c:v>
                </c:pt>
                <c:pt idx="2">
                  <c:v>0.58803799999999995</c:v>
                </c:pt>
                <c:pt idx="3">
                  <c:v>0.51157799999999998</c:v>
                </c:pt>
                <c:pt idx="4">
                  <c:v>0.45552599999999999</c:v>
                </c:pt>
              </c:numCache>
            </c:numRef>
          </c:yVal>
          <c:smooth val="0"/>
          <c:extLst>
            <c:ext xmlns:c16="http://schemas.microsoft.com/office/drawing/2014/chart" uri="{C3380CC4-5D6E-409C-BE32-E72D297353CC}">
              <c16:uniqueId val="{00000005-1B07-4A62-9336-AE6183731DA0}"/>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Realkapitalgrad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Eiendeler!$V$6</c:f>
              <c:strCache>
                <c:ptCount val="1"/>
                <c:pt idx="0">
                  <c:v>Fast realkapital</c:v>
                </c:pt>
              </c:strCache>
            </c:strRef>
          </c:tx>
          <c:spPr>
            <a:solidFill>
              <a:srgbClr val="3672B0"/>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Eiendeler!$W$6:$AC$6</c:f>
              <c:numCache>
                <c:formatCode>0</c:formatCode>
                <c:ptCount val="7"/>
                <c:pt idx="0">
                  <c:v>857720032</c:v>
                </c:pt>
                <c:pt idx="1">
                  <c:v>91136785</c:v>
                </c:pt>
                <c:pt idx="2">
                  <c:v>82738323</c:v>
                </c:pt>
                <c:pt idx="3">
                  <c:v>208367715</c:v>
                </c:pt>
                <c:pt idx="4">
                  <c:v>103386246</c:v>
                </c:pt>
                <c:pt idx="5">
                  <c:v>55697739</c:v>
                </c:pt>
                <c:pt idx="6">
                  <c:v>316393224</c:v>
                </c:pt>
              </c:numCache>
            </c:numRef>
          </c:val>
          <c:extLst>
            <c:ext xmlns:c16="http://schemas.microsoft.com/office/drawing/2014/chart" uri="{C3380CC4-5D6E-409C-BE32-E72D297353CC}">
              <c16:uniqueId val="{00000000-8EB9-49F2-A0C3-C273AB49191A}"/>
            </c:ext>
          </c:extLst>
        </c:ser>
        <c:ser>
          <c:idx val="1"/>
          <c:order val="1"/>
          <c:tx>
            <c:strRef>
              <c:f>Eiendeler!$V$7</c:f>
              <c:strCache>
                <c:ptCount val="1"/>
                <c:pt idx="0">
                  <c:v>Varer</c:v>
                </c:pt>
              </c:strCache>
            </c:strRef>
          </c:tx>
          <c:spPr>
            <a:solidFill>
              <a:srgbClr val="740E24"/>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Eiendeler!$W$7:$AC$7</c:f>
              <c:numCache>
                <c:formatCode>0</c:formatCode>
                <c:ptCount val="7"/>
                <c:pt idx="0">
                  <c:v>380893</c:v>
                </c:pt>
                <c:pt idx="1">
                  <c:v>3481</c:v>
                </c:pt>
                <c:pt idx="2">
                  <c:v>2330</c:v>
                </c:pt>
                <c:pt idx="3">
                  <c:v>367690</c:v>
                </c:pt>
                <c:pt idx="4">
                  <c:v>1946</c:v>
                </c:pt>
                <c:pt idx="5">
                  <c:v>4084</c:v>
                </c:pt>
                <c:pt idx="6">
                  <c:v>1362</c:v>
                </c:pt>
              </c:numCache>
            </c:numRef>
          </c:val>
          <c:extLst>
            <c:ext xmlns:c16="http://schemas.microsoft.com/office/drawing/2014/chart" uri="{C3380CC4-5D6E-409C-BE32-E72D297353CC}">
              <c16:uniqueId val="{00000001-8EB9-49F2-A0C3-C273AB49191A}"/>
            </c:ext>
          </c:extLst>
        </c:ser>
        <c:ser>
          <c:idx val="2"/>
          <c:order val="2"/>
          <c:tx>
            <c:strRef>
              <c:f>Eiendeler!$V$8</c:f>
              <c:strCache>
                <c:ptCount val="1"/>
                <c:pt idx="0">
                  <c:v>Kortsiktige fordringer</c:v>
                </c:pt>
              </c:strCache>
            </c:strRef>
          </c:tx>
          <c:spPr>
            <a:solidFill>
              <a:srgbClr val="F48594"/>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Eiendeler!$W$8:$AC$8</c:f>
              <c:numCache>
                <c:formatCode>0</c:formatCode>
                <c:ptCount val="7"/>
                <c:pt idx="0">
                  <c:v>86824641</c:v>
                </c:pt>
                <c:pt idx="1">
                  <c:v>9708343</c:v>
                </c:pt>
                <c:pt idx="2">
                  <c:v>8163225</c:v>
                </c:pt>
                <c:pt idx="3">
                  <c:v>20752410</c:v>
                </c:pt>
                <c:pt idx="4">
                  <c:v>10938436</c:v>
                </c:pt>
                <c:pt idx="5">
                  <c:v>6830939</c:v>
                </c:pt>
                <c:pt idx="6">
                  <c:v>30431288</c:v>
                </c:pt>
              </c:numCache>
            </c:numRef>
          </c:val>
          <c:extLst>
            <c:ext xmlns:c16="http://schemas.microsoft.com/office/drawing/2014/chart" uri="{C3380CC4-5D6E-409C-BE32-E72D297353CC}">
              <c16:uniqueId val="{00000002-8EB9-49F2-A0C3-C273AB49191A}"/>
            </c:ext>
          </c:extLst>
        </c:ser>
        <c:ser>
          <c:idx val="3"/>
          <c:order val="3"/>
          <c:tx>
            <c:strRef>
              <c:f>Eiendeler!$V$9</c:f>
              <c:strCache>
                <c:ptCount val="1"/>
                <c:pt idx="0">
                  <c:v>Kortsiktige utlån</c:v>
                </c:pt>
              </c:strCache>
            </c:strRef>
          </c:tx>
          <c:spPr>
            <a:solidFill>
              <a:srgbClr val="CCCC00"/>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Eiendeler!$W$9:$AC$9</c:f>
              <c:numCache>
                <c:formatCode>0</c:formatCode>
                <c:ptCount val="7"/>
                <c:pt idx="0">
                  <c:v>16168848</c:v>
                </c:pt>
                <c:pt idx="1">
                  <c:v>276426</c:v>
                </c:pt>
                <c:pt idx="2">
                  <c:v>5391149</c:v>
                </c:pt>
                <c:pt idx="3">
                  <c:v>5101266</c:v>
                </c:pt>
                <c:pt idx="4">
                  <c:v>795120</c:v>
                </c:pt>
                <c:pt idx="5">
                  <c:v>1347031</c:v>
                </c:pt>
                <c:pt idx="6">
                  <c:v>3257856</c:v>
                </c:pt>
              </c:numCache>
            </c:numRef>
          </c:val>
          <c:extLst>
            <c:ext xmlns:c16="http://schemas.microsoft.com/office/drawing/2014/chart" uri="{C3380CC4-5D6E-409C-BE32-E72D297353CC}">
              <c16:uniqueId val="{00000003-8EB9-49F2-A0C3-C273AB49191A}"/>
            </c:ext>
          </c:extLst>
        </c:ser>
        <c:ser>
          <c:idx val="4"/>
          <c:order val="4"/>
          <c:tx>
            <c:strRef>
              <c:f>Eiendeler!$V$10</c:f>
              <c:strCache>
                <c:ptCount val="1"/>
                <c:pt idx="0">
                  <c:v>Bankinnskudd</c:v>
                </c:pt>
              </c:strCache>
            </c:strRef>
          </c:tx>
          <c:spPr>
            <a:solidFill>
              <a:srgbClr val="FABF8F"/>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Eiendeler!$W$10:$AC$10</c:f>
              <c:numCache>
                <c:formatCode>0</c:formatCode>
                <c:ptCount val="7"/>
                <c:pt idx="0">
                  <c:v>114562930</c:v>
                </c:pt>
                <c:pt idx="1">
                  <c:v>12176644</c:v>
                </c:pt>
                <c:pt idx="2">
                  <c:v>10439966</c:v>
                </c:pt>
                <c:pt idx="3">
                  <c:v>31442051</c:v>
                </c:pt>
                <c:pt idx="4">
                  <c:v>15254524</c:v>
                </c:pt>
                <c:pt idx="5">
                  <c:v>9627139</c:v>
                </c:pt>
                <c:pt idx="6">
                  <c:v>35622606</c:v>
                </c:pt>
              </c:numCache>
            </c:numRef>
          </c:val>
          <c:extLst>
            <c:ext xmlns:c16="http://schemas.microsoft.com/office/drawing/2014/chart" uri="{C3380CC4-5D6E-409C-BE32-E72D297353CC}">
              <c16:uniqueId val="{00000004-8EB9-49F2-A0C3-C273AB49191A}"/>
            </c:ext>
          </c:extLst>
        </c:ser>
        <c:ser>
          <c:idx val="5"/>
          <c:order val="5"/>
          <c:tx>
            <c:strRef>
              <c:f>Eiendeler!$V$11</c:f>
              <c:strCache>
                <c:ptCount val="1"/>
                <c:pt idx="0">
                  <c:v>Kortsiktige eierposter</c:v>
                </c:pt>
              </c:strCache>
            </c:strRef>
          </c:tx>
          <c:spPr>
            <a:solidFill>
              <a:srgbClr val="FBD4B4"/>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Eiendeler!$W$11:$AC$11</c:f>
              <c:numCache>
                <c:formatCode>0</c:formatCode>
                <c:ptCount val="7"/>
                <c:pt idx="0">
                  <c:v>17178963</c:v>
                </c:pt>
                <c:pt idx="1">
                  <c:v>657540</c:v>
                </c:pt>
                <c:pt idx="2">
                  <c:v>2114453</c:v>
                </c:pt>
                <c:pt idx="3">
                  <c:v>4224890</c:v>
                </c:pt>
                <c:pt idx="4">
                  <c:v>5396431</c:v>
                </c:pt>
                <c:pt idx="5">
                  <c:v>585071</c:v>
                </c:pt>
                <c:pt idx="6">
                  <c:v>4200578</c:v>
                </c:pt>
              </c:numCache>
            </c:numRef>
          </c:val>
          <c:extLst>
            <c:ext xmlns:c16="http://schemas.microsoft.com/office/drawing/2014/chart" uri="{C3380CC4-5D6E-409C-BE32-E72D297353CC}">
              <c16:uniqueId val="{00000005-8EB9-49F2-A0C3-C273AB49191A}"/>
            </c:ext>
          </c:extLst>
        </c:ser>
        <c:ser>
          <c:idx val="6"/>
          <c:order val="6"/>
          <c:tx>
            <c:strRef>
              <c:f>Eiendeler!$V$12</c:f>
              <c:strCache>
                <c:ptCount val="1"/>
                <c:pt idx="0">
                  <c:v>Sertifikater og derivater</c:v>
                </c:pt>
              </c:strCache>
            </c:strRef>
          </c:tx>
          <c:spPr>
            <a:solidFill>
              <a:srgbClr val="FFFF99"/>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Eiendeler!$W$12:$AC$12</c:f>
              <c:numCache>
                <c:formatCode>0</c:formatCode>
                <c:ptCount val="7"/>
                <c:pt idx="0">
                  <c:v>485173</c:v>
                </c:pt>
                <c:pt idx="1">
                  <c:v>0</c:v>
                </c:pt>
                <c:pt idx="2">
                  <c:v>54307</c:v>
                </c:pt>
                <c:pt idx="3">
                  <c:v>98947</c:v>
                </c:pt>
                <c:pt idx="4">
                  <c:v>8680</c:v>
                </c:pt>
                <c:pt idx="5">
                  <c:v>42393</c:v>
                </c:pt>
                <c:pt idx="6">
                  <c:v>280846</c:v>
                </c:pt>
              </c:numCache>
            </c:numRef>
          </c:val>
          <c:extLst>
            <c:ext xmlns:c16="http://schemas.microsoft.com/office/drawing/2014/chart" uri="{C3380CC4-5D6E-409C-BE32-E72D297353CC}">
              <c16:uniqueId val="{00000006-8EB9-49F2-A0C3-C273AB49191A}"/>
            </c:ext>
          </c:extLst>
        </c:ser>
        <c:ser>
          <c:idx val="7"/>
          <c:order val="7"/>
          <c:tx>
            <c:strRef>
              <c:f>Eiendeler!$V$13</c:f>
              <c:strCache>
                <c:ptCount val="1"/>
                <c:pt idx="0">
                  <c:v>Langsiktige utlån</c:v>
                </c:pt>
              </c:strCache>
            </c:strRef>
          </c:tx>
          <c:spPr>
            <a:solidFill>
              <a:srgbClr val="D7EBDD"/>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Eiendeler!$W$13:$AC$13</c:f>
              <c:numCache>
                <c:formatCode>0</c:formatCode>
                <c:ptCount val="7"/>
                <c:pt idx="0">
                  <c:v>100217828</c:v>
                </c:pt>
                <c:pt idx="1">
                  <c:v>9655131</c:v>
                </c:pt>
                <c:pt idx="2">
                  <c:v>8862474</c:v>
                </c:pt>
                <c:pt idx="3">
                  <c:v>22777648</c:v>
                </c:pt>
                <c:pt idx="4">
                  <c:v>9794363</c:v>
                </c:pt>
                <c:pt idx="5">
                  <c:v>7134451</c:v>
                </c:pt>
                <c:pt idx="6">
                  <c:v>41993761</c:v>
                </c:pt>
              </c:numCache>
            </c:numRef>
          </c:val>
          <c:extLst>
            <c:ext xmlns:c16="http://schemas.microsoft.com/office/drawing/2014/chart" uri="{C3380CC4-5D6E-409C-BE32-E72D297353CC}">
              <c16:uniqueId val="{00000007-8EB9-49F2-A0C3-C273AB49191A}"/>
            </c:ext>
          </c:extLst>
        </c:ser>
        <c:ser>
          <c:idx val="8"/>
          <c:order val="8"/>
          <c:tx>
            <c:strRef>
              <c:f>Eiendeler!$V$14</c:f>
              <c:strCache>
                <c:ptCount val="1"/>
                <c:pt idx="0">
                  <c:v>Langsiktige eierposter</c:v>
                </c:pt>
              </c:strCache>
            </c:strRef>
          </c:tx>
          <c:spPr>
            <a:solidFill>
              <a:srgbClr val="87C399"/>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Eiendeler!$W$14:$AC$14</c:f>
              <c:numCache>
                <c:formatCode>0</c:formatCode>
                <c:ptCount val="7"/>
                <c:pt idx="0">
                  <c:v>93568151</c:v>
                </c:pt>
                <c:pt idx="1">
                  <c:v>4932415</c:v>
                </c:pt>
                <c:pt idx="2">
                  <c:v>5857703</c:v>
                </c:pt>
                <c:pt idx="3">
                  <c:v>17414523</c:v>
                </c:pt>
                <c:pt idx="4">
                  <c:v>8614487</c:v>
                </c:pt>
                <c:pt idx="5">
                  <c:v>12204432</c:v>
                </c:pt>
                <c:pt idx="6">
                  <c:v>44544591</c:v>
                </c:pt>
              </c:numCache>
            </c:numRef>
          </c:val>
          <c:extLst>
            <c:ext xmlns:c16="http://schemas.microsoft.com/office/drawing/2014/chart" uri="{C3380CC4-5D6E-409C-BE32-E72D297353CC}">
              <c16:uniqueId val="{00000008-8EB9-49F2-A0C3-C273AB49191A}"/>
            </c:ext>
          </c:extLst>
        </c:ser>
        <c:ser>
          <c:idx val="9"/>
          <c:order val="9"/>
          <c:tx>
            <c:strRef>
              <c:f>Eiendeler!$V$15</c:f>
              <c:strCache>
                <c:ptCount val="1"/>
                <c:pt idx="0">
                  <c:v>Pensjonsmidler</c:v>
                </c:pt>
              </c:strCache>
            </c:strRef>
          </c:tx>
          <c:spPr>
            <a:solidFill>
              <a:srgbClr val="468C5C"/>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Eiendeler!$W$15:$AC$15</c:f>
              <c:numCache>
                <c:formatCode>0</c:formatCode>
                <c:ptCount val="7"/>
                <c:pt idx="0">
                  <c:v>583552025</c:v>
                </c:pt>
                <c:pt idx="1">
                  <c:v>68660597</c:v>
                </c:pt>
                <c:pt idx="2">
                  <c:v>50766352</c:v>
                </c:pt>
                <c:pt idx="3">
                  <c:v>141913698</c:v>
                </c:pt>
                <c:pt idx="4">
                  <c:v>78178758</c:v>
                </c:pt>
                <c:pt idx="5">
                  <c:v>44470212</c:v>
                </c:pt>
                <c:pt idx="6">
                  <c:v>199562408</c:v>
                </c:pt>
              </c:numCache>
            </c:numRef>
          </c:val>
          <c:extLst>
            <c:ext xmlns:c16="http://schemas.microsoft.com/office/drawing/2014/chart" uri="{C3380CC4-5D6E-409C-BE32-E72D297353CC}">
              <c16:uniqueId val="{00000009-8EB9-49F2-A0C3-C273AB49191A}"/>
            </c:ext>
          </c:extLst>
        </c:ser>
        <c:dLbls>
          <c:showLegendKey val="0"/>
          <c:showVal val="0"/>
          <c:showCatName val="0"/>
          <c:showSerName val="0"/>
          <c:showPercent val="0"/>
          <c:showBubbleSize val="0"/>
        </c:dLbls>
        <c:gapWidth val="150"/>
        <c:overlap val="100"/>
        <c:axId val="845933903"/>
        <c:axId val="845936303"/>
      </c:barChart>
      <c:catAx>
        <c:axId val="84593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6303"/>
        <c:crosses val="autoZero"/>
        <c:auto val="1"/>
        <c:lblAlgn val="ctr"/>
        <c:lblOffset val="100"/>
        <c:noMultiLvlLbl val="0"/>
      </c:catAx>
      <c:valAx>
        <c:axId val="84593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Andel av eiendeler</a:t>
                </a:r>
              </a:p>
            </c:rich>
          </c:tx>
          <c:overlay val="0"/>
          <c:spPr>
            <a:noFill/>
            <a:ln>
              <a:noFill/>
            </a:ln>
            <a:effectLst/>
          </c:spPr>
          <c:txPr>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3903"/>
        <c:crosses val="autoZero"/>
        <c:crossBetween val="between"/>
      </c:valAx>
      <c:spPr>
        <a:noFill/>
        <a:ln>
          <a:noFill/>
        </a:ln>
        <a:effectLst/>
      </c:spPr>
    </c:plotArea>
    <c:legend>
      <c:legendPos val="r"/>
      <c:layout>
        <c:manualLayout>
          <c:xMode val="edge"/>
          <c:yMode val="edge"/>
          <c:x val="0.77465334084084081"/>
          <c:y val="3.6666666666666667E-2"/>
          <c:w val="0.21104485735735737"/>
          <c:h val="0.9337222222222223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Rentekostnader!$X$396</c:f>
              <c:numCache>
                <c:formatCode>General</c:formatCode>
                <c:ptCount val="1"/>
                <c:pt idx="0">
                  <c:v>1.0883E-2</c:v>
                </c:pt>
              </c:numCache>
            </c:numRef>
          </c:yVal>
          <c:smooth val="0"/>
          <c:extLst>
            <c:ext xmlns:c16="http://schemas.microsoft.com/office/drawing/2014/chart" uri="{C3380CC4-5D6E-409C-BE32-E72D297353CC}">
              <c16:uniqueId val="{00000000-BBC4-478C-904A-A656CD970C42}"/>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Rentekostnader!$X$397</c:f>
              <c:numCache>
                <c:formatCode>General</c:formatCode>
                <c:ptCount val="1"/>
                <c:pt idx="0">
                  <c:v>9.6711000000000002E-3</c:v>
                </c:pt>
              </c:numCache>
            </c:numRef>
          </c:yVal>
          <c:smooth val="0"/>
          <c:extLst>
            <c:ext xmlns:c16="http://schemas.microsoft.com/office/drawing/2014/chart" uri="{C3380CC4-5D6E-409C-BE32-E72D297353CC}">
              <c16:uniqueId val="{00000001-BBC4-478C-904A-A656CD970C42}"/>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Rentekostnader!$X$398</c:f>
              <c:numCache>
                <c:formatCode>General</c:formatCode>
                <c:ptCount val="1"/>
                <c:pt idx="0">
                  <c:v>1.8581299999999999E-2</c:v>
                </c:pt>
              </c:numCache>
            </c:numRef>
          </c:yVal>
          <c:smooth val="0"/>
          <c:extLst>
            <c:ext xmlns:c16="http://schemas.microsoft.com/office/drawing/2014/chart" uri="{C3380CC4-5D6E-409C-BE32-E72D297353CC}">
              <c16:uniqueId val="{00000002-BBC4-478C-904A-A656CD970C42}"/>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Rentekostnader!$X$399</c:f>
              <c:numCache>
                <c:formatCode>General</c:formatCode>
                <c:ptCount val="1"/>
                <c:pt idx="0">
                  <c:v>1.2380800000000001E-2</c:v>
                </c:pt>
              </c:numCache>
            </c:numRef>
          </c:yVal>
          <c:smooth val="0"/>
          <c:extLst>
            <c:ext xmlns:c16="http://schemas.microsoft.com/office/drawing/2014/chart" uri="{C3380CC4-5D6E-409C-BE32-E72D297353CC}">
              <c16:uniqueId val="{00000003-BBC4-478C-904A-A656CD970C42}"/>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Rentekostnader!$X$400</c:f>
              <c:numCache>
                <c:formatCode>General</c:formatCode>
                <c:ptCount val="1"/>
                <c:pt idx="0">
                  <c:v>2.63912E-2</c:v>
                </c:pt>
              </c:numCache>
            </c:numRef>
          </c:yVal>
          <c:smooth val="0"/>
          <c:extLst>
            <c:ext xmlns:c16="http://schemas.microsoft.com/office/drawing/2014/chart" uri="{C3380CC4-5D6E-409C-BE32-E72D297353CC}">
              <c16:uniqueId val="{00000004-BBC4-478C-904A-A656CD970C42}"/>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Rentekostnader!$X$401</c:f>
              <c:numCache>
                <c:formatCode>General</c:formatCode>
                <c:ptCount val="1"/>
                <c:pt idx="0">
                  <c:v>1.3062000000000001E-2</c:v>
                </c:pt>
              </c:numCache>
            </c:numRef>
          </c:yVal>
          <c:smooth val="0"/>
          <c:extLst>
            <c:ext xmlns:c16="http://schemas.microsoft.com/office/drawing/2014/chart" uri="{C3380CC4-5D6E-409C-BE32-E72D297353CC}">
              <c16:uniqueId val="{00000005-BBC4-478C-904A-A656CD970C42}"/>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Rentekostnader!$X$402</c:f>
              <c:numCache>
                <c:formatCode>General</c:formatCode>
                <c:ptCount val="1"/>
                <c:pt idx="0">
                  <c:v>1.0786E-2</c:v>
                </c:pt>
              </c:numCache>
            </c:numRef>
          </c:yVal>
          <c:smooth val="0"/>
          <c:extLst>
            <c:ext xmlns:c16="http://schemas.microsoft.com/office/drawing/2014/chart" uri="{C3380CC4-5D6E-409C-BE32-E72D297353CC}">
              <c16:uniqueId val="{00000006-BBC4-478C-904A-A656CD970C42}"/>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Rentekostnader!$V$403</c:f>
              <c:numCache>
                <c:formatCode>General</c:formatCode>
                <c:ptCount val="1"/>
                <c:pt idx="0">
                  <c:v>17.713750000000001</c:v>
                </c:pt>
              </c:numCache>
            </c:numRef>
          </c:xVal>
          <c:yVal>
            <c:numRef>
              <c:f>Rentekostnader!$X$403</c:f>
              <c:numCache>
                <c:formatCode>General</c:formatCode>
                <c:ptCount val="1"/>
                <c:pt idx="0">
                  <c:v>1.1554E-2</c:v>
                </c:pt>
              </c:numCache>
            </c:numRef>
          </c:yVal>
          <c:smooth val="0"/>
          <c:extLst>
            <c:ext xmlns:c16="http://schemas.microsoft.com/office/drawing/2014/chart" uri="{C3380CC4-5D6E-409C-BE32-E72D297353CC}">
              <c16:uniqueId val="{00000007-BBC4-478C-904A-A656CD970C42}"/>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Rentekostnader!$X$404</c:f>
              <c:numCache>
                <c:formatCode>General</c:formatCode>
                <c:ptCount val="1"/>
                <c:pt idx="0">
                  <c:v>9.6034999999999992E-3</c:v>
                </c:pt>
              </c:numCache>
            </c:numRef>
          </c:yVal>
          <c:smooth val="0"/>
          <c:extLst>
            <c:ext xmlns:c16="http://schemas.microsoft.com/office/drawing/2014/chart" uri="{C3380CC4-5D6E-409C-BE32-E72D297353CC}">
              <c16:uniqueId val="{00000008-BBC4-478C-904A-A656CD970C42}"/>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Rentekostnader!$X$405</c:f>
              <c:numCache>
                <c:formatCode>General</c:formatCode>
                <c:ptCount val="1"/>
                <c:pt idx="0">
                  <c:v>1.01829E-2</c:v>
                </c:pt>
              </c:numCache>
            </c:numRef>
          </c:yVal>
          <c:smooth val="0"/>
          <c:extLst>
            <c:ext xmlns:c16="http://schemas.microsoft.com/office/drawing/2014/chart" uri="{C3380CC4-5D6E-409C-BE32-E72D297353CC}">
              <c16:uniqueId val="{00000009-BBC4-478C-904A-A656CD970C42}"/>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Rentekostnader!$X$406</c:f>
              <c:numCache>
                <c:formatCode>General</c:formatCode>
                <c:ptCount val="1"/>
                <c:pt idx="0">
                  <c:v>1.03368E-2</c:v>
                </c:pt>
              </c:numCache>
            </c:numRef>
          </c:yVal>
          <c:smooth val="0"/>
          <c:extLst>
            <c:ext xmlns:c16="http://schemas.microsoft.com/office/drawing/2014/chart" uri="{C3380CC4-5D6E-409C-BE32-E72D297353CC}">
              <c16:uniqueId val="{0000000A-BBC4-478C-904A-A656CD970C42}"/>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Gjeldsrente</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solidFill>
                  <a:srgbClr val="000000"/>
                </a:solidFill>
              </a:rPr>
              <a:t>b) Fordeling av bruttodriftsutgiftene</a:t>
            </a:r>
            <a:r>
              <a:rPr lang="nb-NO" sz="1200" b="1" baseline="0">
                <a:solidFill>
                  <a:srgbClr val="000000"/>
                </a:solidFill>
              </a:rPr>
              <a:t>  i</a:t>
            </a:r>
            <a:r>
              <a:rPr lang="nb-NO" sz="1200" b="1">
                <a:solidFill>
                  <a:srgbClr val="000000"/>
                </a:solidFill>
              </a:rPr>
              <a:t> fylkeskommunene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B0-4663-8956-A9E9FE3893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B0-4663-8956-A9E9FE3893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B0-4663-8956-A9E9FE3893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B0-4663-8956-A9E9FE3893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B0-4663-8956-A9E9FE38935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B0-4663-8956-A9E9FE38935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B0-4663-8956-A9E9FE38935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BB0-4663-8956-A9E9FE38935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BB0-4663-8956-A9E9FE38935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BB0-4663-8956-A9E9FE38935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BB0-4663-8956-A9E9FE38935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BB0-4663-8956-A9E9FE38935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BB0-4663-8956-A9E9FE38935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0BB0-4663-8956-A9E9FE38935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0BB0-4663-8956-A9E9FE38935E}"/>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1-0BB0-4663-8956-A9E9FE38935E}"/>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3-0BB0-4663-8956-A9E9FE38935E}"/>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9-0BB0-4663-8956-A9E9FE38935E}"/>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D-0BB0-4663-8956-A9E9FE38935E}"/>
                </c:ext>
              </c:extLst>
            </c:dLbl>
            <c:dLbl>
              <c:idx val="7"/>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F-0BB0-4663-8956-A9E9FE38935E}"/>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'[Fordelingen av bruttodriftsutgifter.xlsx]Bearbeidede tjenester, fk'!$C$5:$C$11</c:f>
              <c:strCache>
                <c:ptCount val="7"/>
                <c:pt idx="0">
                  <c:v>Videregående opplæring</c:v>
                </c:pt>
                <c:pt idx="1">
                  <c:v>Samferdsel</c:v>
                </c:pt>
                <c:pt idx="2">
                  <c:v>Administrasjon og felles</c:v>
                </c:pt>
                <c:pt idx="3">
                  <c:v>Kultursektoren</c:v>
                </c:pt>
                <c:pt idx="4">
                  <c:v>Tannhelse</c:v>
                </c:pt>
                <c:pt idx="5">
                  <c:v>Næringsforvaltning</c:v>
                </c:pt>
                <c:pt idx="6">
                  <c:v>Plan, byggesak og miljø</c:v>
                </c:pt>
              </c:strCache>
            </c:strRef>
          </c:cat>
          <c:val>
            <c:numRef>
              <c:f>'[Fordelingen av bruttodriftsutgifter.xlsx]Bearbeidede tjenester, fk'!$E$5:$E$11</c:f>
              <c:numCache>
                <c:formatCode>0.0\ %</c:formatCode>
                <c:ptCount val="7"/>
                <c:pt idx="0">
                  <c:v>0.40966332089977225</c:v>
                </c:pt>
                <c:pt idx="1">
                  <c:v>0.353800140777076</c:v>
                </c:pt>
                <c:pt idx="2">
                  <c:v>0.10520898923107787</c:v>
                </c:pt>
                <c:pt idx="3">
                  <c:v>3.9530555255523722E-2</c:v>
                </c:pt>
                <c:pt idx="4">
                  <c:v>3.6775029411731573E-2</c:v>
                </c:pt>
                <c:pt idx="5">
                  <c:v>3.0393191782924694E-2</c:v>
                </c:pt>
                <c:pt idx="6">
                  <c:v>2.4628772641893896E-2</c:v>
                </c:pt>
              </c:numCache>
            </c:numRef>
          </c:val>
          <c:extLst>
            <c:ext xmlns:c16="http://schemas.microsoft.com/office/drawing/2014/chart" uri="{C3380CC4-5D6E-409C-BE32-E72D297353CC}">
              <c16:uniqueId val="{0000001E-0BB0-4663-8956-A9E9FE38935E}"/>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Rentekostnader!$Y$396</c:f>
              <c:numCache>
                <c:formatCode>General</c:formatCode>
                <c:ptCount val="1"/>
                <c:pt idx="0">
                  <c:v>0.60918609999999995</c:v>
                </c:pt>
              </c:numCache>
            </c:numRef>
          </c:yVal>
          <c:smooth val="0"/>
          <c:extLst>
            <c:ext xmlns:c16="http://schemas.microsoft.com/office/drawing/2014/chart" uri="{C3380CC4-5D6E-409C-BE32-E72D297353CC}">
              <c16:uniqueId val="{00000000-1AE6-46EA-B6A9-7D8A11F1A166}"/>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Rentekostnader!$Y$397</c:f>
              <c:numCache>
                <c:formatCode>General</c:formatCode>
                <c:ptCount val="1"/>
                <c:pt idx="0">
                  <c:v>0.4438764</c:v>
                </c:pt>
              </c:numCache>
            </c:numRef>
          </c:yVal>
          <c:smooth val="0"/>
          <c:extLst>
            <c:ext xmlns:c16="http://schemas.microsoft.com/office/drawing/2014/chart" uri="{C3380CC4-5D6E-409C-BE32-E72D297353CC}">
              <c16:uniqueId val="{00000001-1AE6-46EA-B6A9-7D8A11F1A166}"/>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Rentekostnader!$Y$398</c:f>
              <c:numCache>
                <c:formatCode>General</c:formatCode>
                <c:ptCount val="1"/>
                <c:pt idx="0">
                  <c:v>0.57548569999999999</c:v>
                </c:pt>
              </c:numCache>
            </c:numRef>
          </c:yVal>
          <c:smooth val="0"/>
          <c:extLst>
            <c:ext xmlns:c16="http://schemas.microsoft.com/office/drawing/2014/chart" uri="{C3380CC4-5D6E-409C-BE32-E72D297353CC}">
              <c16:uniqueId val="{00000002-1AE6-46EA-B6A9-7D8A11F1A166}"/>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Rentekostnader!$Y$399</c:f>
              <c:numCache>
                <c:formatCode>General</c:formatCode>
                <c:ptCount val="1"/>
                <c:pt idx="0">
                  <c:v>0.41414060000000003</c:v>
                </c:pt>
              </c:numCache>
            </c:numRef>
          </c:yVal>
          <c:smooth val="0"/>
          <c:extLst>
            <c:ext xmlns:c16="http://schemas.microsoft.com/office/drawing/2014/chart" uri="{C3380CC4-5D6E-409C-BE32-E72D297353CC}">
              <c16:uniqueId val="{00000003-1AE6-46EA-B6A9-7D8A11F1A166}"/>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Rentekostnader!$Y$400</c:f>
              <c:numCache>
                <c:formatCode>General</c:formatCode>
                <c:ptCount val="1"/>
                <c:pt idx="0">
                  <c:v>0.47002850000000002</c:v>
                </c:pt>
              </c:numCache>
            </c:numRef>
          </c:yVal>
          <c:smooth val="0"/>
          <c:extLst>
            <c:ext xmlns:c16="http://schemas.microsoft.com/office/drawing/2014/chart" uri="{C3380CC4-5D6E-409C-BE32-E72D297353CC}">
              <c16:uniqueId val="{00000004-1AE6-46EA-B6A9-7D8A11F1A166}"/>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Rentekostnader!$Y$401</c:f>
              <c:numCache>
                <c:formatCode>General</c:formatCode>
                <c:ptCount val="1"/>
                <c:pt idx="0">
                  <c:v>0.64993109999999998</c:v>
                </c:pt>
              </c:numCache>
            </c:numRef>
          </c:yVal>
          <c:smooth val="0"/>
          <c:extLst>
            <c:ext xmlns:c16="http://schemas.microsoft.com/office/drawing/2014/chart" uri="{C3380CC4-5D6E-409C-BE32-E72D297353CC}">
              <c16:uniqueId val="{00000005-1AE6-46EA-B6A9-7D8A11F1A166}"/>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Rentekostnader!$Y$402</c:f>
              <c:numCache>
                <c:formatCode>General</c:formatCode>
                <c:ptCount val="1"/>
                <c:pt idx="0">
                  <c:v>0.54415579999999997</c:v>
                </c:pt>
              </c:numCache>
            </c:numRef>
          </c:yVal>
          <c:smooth val="0"/>
          <c:extLst>
            <c:ext xmlns:c16="http://schemas.microsoft.com/office/drawing/2014/chart" uri="{C3380CC4-5D6E-409C-BE32-E72D297353CC}">
              <c16:uniqueId val="{00000006-1AE6-46EA-B6A9-7D8A11F1A166}"/>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Rentekostnader!$V$403</c:f>
              <c:numCache>
                <c:formatCode>General</c:formatCode>
                <c:ptCount val="1"/>
                <c:pt idx="0">
                  <c:v>17.713750000000001</c:v>
                </c:pt>
              </c:numCache>
            </c:numRef>
          </c:xVal>
          <c:yVal>
            <c:numRef>
              <c:f>Rentekostnader!$Y$403</c:f>
              <c:numCache>
                <c:formatCode>General</c:formatCode>
                <c:ptCount val="1"/>
                <c:pt idx="0">
                  <c:v>0.64898370000000005</c:v>
                </c:pt>
              </c:numCache>
            </c:numRef>
          </c:yVal>
          <c:smooth val="0"/>
          <c:extLst>
            <c:ext xmlns:c16="http://schemas.microsoft.com/office/drawing/2014/chart" uri="{C3380CC4-5D6E-409C-BE32-E72D297353CC}">
              <c16:uniqueId val="{00000007-1AE6-46EA-B6A9-7D8A11F1A166}"/>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Rentekostnader!$Y$404</c:f>
              <c:numCache>
                <c:formatCode>General</c:formatCode>
                <c:ptCount val="1"/>
                <c:pt idx="0">
                  <c:v>0.51034310000000005</c:v>
                </c:pt>
              </c:numCache>
            </c:numRef>
          </c:yVal>
          <c:smooth val="0"/>
          <c:extLst>
            <c:ext xmlns:c16="http://schemas.microsoft.com/office/drawing/2014/chart" uri="{C3380CC4-5D6E-409C-BE32-E72D297353CC}">
              <c16:uniqueId val="{00000008-1AE6-46EA-B6A9-7D8A11F1A166}"/>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Rentekostnader!$Y$405</c:f>
              <c:numCache>
                <c:formatCode>General</c:formatCode>
                <c:ptCount val="1"/>
                <c:pt idx="0">
                  <c:v>0.52132990000000001</c:v>
                </c:pt>
              </c:numCache>
            </c:numRef>
          </c:yVal>
          <c:smooth val="0"/>
          <c:extLst>
            <c:ext xmlns:c16="http://schemas.microsoft.com/office/drawing/2014/chart" uri="{C3380CC4-5D6E-409C-BE32-E72D297353CC}">
              <c16:uniqueId val="{00000009-1AE6-46EA-B6A9-7D8A11F1A166}"/>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dLbl>
              <c:idx val="0"/>
              <c:dLblPos val="l"/>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1AE6-46EA-B6A9-7D8A11F1A1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Rentekostnader!$Y$406</c:f>
              <c:numCache>
                <c:formatCode>General</c:formatCode>
                <c:ptCount val="1"/>
                <c:pt idx="0">
                  <c:v>0.47804069999999999</c:v>
                </c:pt>
              </c:numCache>
            </c:numRef>
          </c:yVal>
          <c:smooth val="0"/>
          <c:extLst>
            <c:ext xmlns:c16="http://schemas.microsoft.com/office/drawing/2014/chart" uri="{C3380CC4-5D6E-409C-BE32-E72D297353CC}">
              <c16:uniqueId val="{0000000B-1AE6-46EA-B6A9-7D8A11F1A166}"/>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Samlet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Rentekostnader!$Z$396</c:f>
              <c:numCache>
                <c:formatCode>General</c:formatCode>
                <c:ptCount val="1"/>
                <c:pt idx="0">
                  <c:v>8.8017499999999999E-2</c:v>
                </c:pt>
              </c:numCache>
            </c:numRef>
          </c:yVal>
          <c:smooth val="0"/>
          <c:extLst>
            <c:ext xmlns:c16="http://schemas.microsoft.com/office/drawing/2014/chart" uri="{C3380CC4-5D6E-409C-BE32-E72D297353CC}">
              <c16:uniqueId val="{00000000-E855-4689-A5E1-1A34BC84697F}"/>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Rentekostnader!$Z$397</c:f>
              <c:numCache>
                <c:formatCode>General</c:formatCode>
                <c:ptCount val="1"/>
                <c:pt idx="0">
                  <c:v>7.7431899999999998E-2</c:v>
                </c:pt>
              </c:numCache>
            </c:numRef>
          </c:yVal>
          <c:smooth val="0"/>
          <c:extLst>
            <c:ext xmlns:c16="http://schemas.microsoft.com/office/drawing/2014/chart" uri="{C3380CC4-5D6E-409C-BE32-E72D297353CC}">
              <c16:uniqueId val="{00000001-E855-4689-A5E1-1A34BC84697F}"/>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Rentekostnader!$Z$398</c:f>
              <c:numCache>
                <c:formatCode>General</c:formatCode>
                <c:ptCount val="1"/>
                <c:pt idx="0">
                  <c:v>9.8239400000000004E-2</c:v>
                </c:pt>
              </c:numCache>
            </c:numRef>
          </c:yVal>
          <c:smooth val="0"/>
          <c:extLst>
            <c:ext xmlns:c16="http://schemas.microsoft.com/office/drawing/2014/chart" uri="{C3380CC4-5D6E-409C-BE32-E72D297353CC}">
              <c16:uniqueId val="{00000002-E855-4689-A5E1-1A34BC84697F}"/>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Rentekostnader!$Z$399</c:f>
              <c:numCache>
                <c:formatCode>General</c:formatCode>
                <c:ptCount val="1"/>
                <c:pt idx="0">
                  <c:v>5.7425999999999998E-2</c:v>
                </c:pt>
              </c:numCache>
            </c:numRef>
          </c:yVal>
          <c:smooth val="0"/>
          <c:extLst>
            <c:ext xmlns:c16="http://schemas.microsoft.com/office/drawing/2014/chart" uri="{C3380CC4-5D6E-409C-BE32-E72D297353CC}">
              <c16:uniqueId val="{00000003-E855-4689-A5E1-1A34BC84697F}"/>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Rentekostnader!$Z$400</c:f>
              <c:numCache>
                <c:formatCode>General</c:formatCode>
                <c:ptCount val="1"/>
                <c:pt idx="0">
                  <c:v>8.2664799999999997E-2</c:v>
                </c:pt>
              </c:numCache>
            </c:numRef>
          </c:yVal>
          <c:smooth val="0"/>
          <c:extLst>
            <c:ext xmlns:c16="http://schemas.microsoft.com/office/drawing/2014/chart" uri="{C3380CC4-5D6E-409C-BE32-E72D297353CC}">
              <c16:uniqueId val="{00000004-E855-4689-A5E1-1A34BC84697F}"/>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Rentekostnader!$Z$401</c:f>
              <c:numCache>
                <c:formatCode>General</c:formatCode>
                <c:ptCount val="1"/>
                <c:pt idx="0">
                  <c:v>7.5930600000000001E-2</c:v>
                </c:pt>
              </c:numCache>
            </c:numRef>
          </c:yVal>
          <c:smooth val="0"/>
          <c:extLst>
            <c:ext xmlns:c16="http://schemas.microsoft.com/office/drawing/2014/chart" uri="{C3380CC4-5D6E-409C-BE32-E72D297353CC}">
              <c16:uniqueId val="{00000005-E855-4689-A5E1-1A34BC84697F}"/>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Rentekostnader!$Z$402</c:f>
              <c:numCache>
                <c:formatCode>General</c:formatCode>
                <c:ptCount val="1"/>
                <c:pt idx="0">
                  <c:v>5.5065000000000003E-2</c:v>
                </c:pt>
              </c:numCache>
            </c:numRef>
          </c:yVal>
          <c:smooth val="0"/>
          <c:extLst>
            <c:ext xmlns:c16="http://schemas.microsoft.com/office/drawing/2014/chart" uri="{C3380CC4-5D6E-409C-BE32-E72D297353CC}">
              <c16:uniqueId val="{00000006-E855-4689-A5E1-1A34BC84697F}"/>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Rentekostnader!$V$403</c:f>
              <c:numCache>
                <c:formatCode>General</c:formatCode>
                <c:ptCount val="1"/>
                <c:pt idx="0">
                  <c:v>17.713750000000001</c:v>
                </c:pt>
              </c:numCache>
            </c:numRef>
          </c:xVal>
          <c:yVal>
            <c:numRef>
              <c:f>Rentekostnader!$Z$403</c:f>
              <c:numCache>
                <c:formatCode>General</c:formatCode>
                <c:ptCount val="1"/>
                <c:pt idx="0">
                  <c:v>9.2543100000000003E-2</c:v>
                </c:pt>
              </c:numCache>
            </c:numRef>
          </c:yVal>
          <c:smooth val="0"/>
          <c:extLst>
            <c:ext xmlns:c16="http://schemas.microsoft.com/office/drawing/2014/chart" uri="{C3380CC4-5D6E-409C-BE32-E72D297353CC}">
              <c16:uniqueId val="{00000007-E855-4689-A5E1-1A34BC84697F}"/>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Rentekostnader!$Z$404</c:f>
              <c:numCache>
                <c:formatCode>General</c:formatCode>
                <c:ptCount val="1"/>
                <c:pt idx="0">
                  <c:v>8.2868499999999998E-2</c:v>
                </c:pt>
              </c:numCache>
            </c:numRef>
          </c:yVal>
          <c:smooth val="0"/>
          <c:extLst>
            <c:ext xmlns:c16="http://schemas.microsoft.com/office/drawing/2014/chart" uri="{C3380CC4-5D6E-409C-BE32-E72D297353CC}">
              <c16:uniqueId val="{00000008-E855-4689-A5E1-1A34BC84697F}"/>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Rentekostnader!$Z$405</c:f>
              <c:numCache>
                <c:formatCode>General</c:formatCode>
                <c:ptCount val="1"/>
                <c:pt idx="0">
                  <c:v>5.7631799999999997E-2</c:v>
                </c:pt>
              </c:numCache>
            </c:numRef>
          </c:yVal>
          <c:smooth val="0"/>
          <c:extLst>
            <c:ext xmlns:c16="http://schemas.microsoft.com/office/drawing/2014/chart" uri="{C3380CC4-5D6E-409C-BE32-E72D297353CC}">
              <c16:uniqueId val="{00000009-E855-4689-A5E1-1A34BC84697F}"/>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Rentekostnader!$Z$406</c:f>
              <c:numCache>
                <c:formatCode>General</c:formatCode>
                <c:ptCount val="1"/>
                <c:pt idx="0">
                  <c:v>6.0185599999999999E-2</c:v>
                </c:pt>
              </c:numCache>
            </c:numRef>
          </c:yVal>
          <c:smooth val="0"/>
          <c:extLst>
            <c:ext xmlns:c16="http://schemas.microsoft.com/office/drawing/2014/chart" uri="{C3380CC4-5D6E-409C-BE32-E72D297353CC}">
              <c16:uniqueId val="{0000000A-E855-4689-A5E1-1A34BC84697F}"/>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4.0000000000000008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Kortsiktig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38C9-4A8B-9FFE-FA8C0018B3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Rentekostnader!$W$396</c:f>
              <c:numCache>
                <c:formatCode>General</c:formatCode>
                <c:ptCount val="1"/>
                <c:pt idx="0">
                  <c:v>0.58512140000000001</c:v>
                </c:pt>
              </c:numCache>
            </c:numRef>
          </c:yVal>
          <c:smooth val="0"/>
          <c:extLst>
            <c:ext xmlns:c16="http://schemas.microsoft.com/office/drawing/2014/chart" uri="{C3380CC4-5D6E-409C-BE32-E72D297353CC}">
              <c16:uniqueId val="{00000001-38C9-4A8B-9FFE-FA8C0018B3E8}"/>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dLbl>
              <c:idx val="0"/>
              <c:dLblPos val="l"/>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38C9-4A8B-9FFE-FA8C0018B3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Rentekostnader!$W$397</c:f>
              <c:numCache>
                <c:formatCode>General</c:formatCode>
                <c:ptCount val="1"/>
                <c:pt idx="0">
                  <c:v>0.60929770000000005</c:v>
                </c:pt>
              </c:numCache>
            </c:numRef>
          </c:yVal>
          <c:smooth val="0"/>
          <c:extLst>
            <c:ext xmlns:c16="http://schemas.microsoft.com/office/drawing/2014/chart" uri="{C3380CC4-5D6E-409C-BE32-E72D297353CC}">
              <c16:uniqueId val="{00000003-38C9-4A8B-9FFE-FA8C0018B3E8}"/>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Rentekostnader!$W$398</c:f>
              <c:numCache>
                <c:formatCode>General</c:formatCode>
                <c:ptCount val="1"/>
                <c:pt idx="0">
                  <c:v>0.68076999999999999</c:v>
                </c:pt>
              </c:numCache>
            </c:numRef>
          </c:yVal>
          <c:smooth val="0"/>
          <c:extLst>
            <c:ext xmlns:c16="http://schemas.microsoft.com/office/drawing/2014/chart" uri="{C3380CC4-5D6E-409C-BE32-E72D297353CC}">
              <c16:uniqueId val="{00000004-38C9-4A8B-9FFE-FA8C0018B3E8}"/>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Rentekostnader!$W$399</c:f>
              <c:numCache>
                <c:formatCode>General</c:formatCode>
                <c:ptCount val="1"/>
                <c:pt idx="0">
                  <c:v>0.78969999999999996</c:v>
                </c:pt>
              </c:numCache>
            </c:numRef>
          </c:yVal>
          <c:smooth val="0"/>
          <c:extLst>
            <c:ext xmlns:c16="http://schemas.microsoft.com/office/drawing/2014/chart" uri="{C3380CC4-5D6E-409C-BE32-E72D297353CC}">
              <c16:uniqueId val="{00000005-38C9-4A8B-9FFE-FA8C0018B3E8}"/>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Rentekostnader!$W$400</c:f>
              <c:numCache>
                <c:formatCode>General</c:formatCode>
                <c:ptCount val="1"/>
                <c:pt idx="0">
                  <c:v>0.69015510000000002</c:v>
                </c:pt>
              </c:numCache>
            </c:numRef>
          </c:yVal>
          <c:smooth val="0"/>
          <c:extLst>
            <c:ext xmlns:c16="http://schemas.microsoft.com/office/drawing/2014/chart" uri="{C3380CC4-5D6E-409C-BE32-E72D297353CC}">
              <c16:uniqueId val="{00000006-38C9-4A8B-9FFE-FA8C0018B3E8}"/>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Rentekostnader!$W$401</c:f>
              <c:numCache>
                <c:formatCode>General</c:formatCode>
                <c:ptCount val="1"/>
                <c:pt idx="0">
                  <c:v>0.713445</c:v>
                </c:pt>
              </c:numCache>
            </c:numRef>
          </c:yVal>
          <c:smooth val="0"/>
          <c:extLst>
            <c:ext xmlns:c16="http://schemas.microsoft.com/office/drawing/2014/chart" uri="{C3380CC4-5D6E-409C-BE32-E72D297353CC}">
              <c16:uniqueId val="{00000007-38C9-4A8B-9FFE-FA8C0018B3E8}"/>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Pt>
            <c:idx val="0"/>
            <c:marker>
              <c:symbol val="circle"/>
              <c:size val="5"/>
              <c:spPr>
                <a:solidFill>
                  <a:srgbClr val="CCCC00"/>
                </a:solidFill>
                <a:ln w="9525">
                  <a:noFill/>
                </a:ln>
                <a:effectLst/>
              </c:spPr>
            </c:marker>
            <c:bubble3D val="0"/>
            <c:spPr>
              <a:ln w="25400" cap="rnd">
                <a:noFill/>
                <a:round/>
              </a:ln>
              <a:effectLst/>
            </c:spPr>
            <c:extLst>
              <c:ext xmlns:c16="http://schemas.microsoft.com/office/drawing/2014/chart" uri="{C3380CC4-5D6E-409C-BE32-E72D297353CC}">
                <c16:uniqueId val="{00000009-38C9-4A8B-9FFE-FA8C0018B3E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Rentekostnader!$W$402</c:f>
              <c:numCache>
                <c:formatCode>General</c:formatCode>
                <c:ptCount val="1"/>
                <c:pt idx="0">
                  <c:v>0.61466849999999995</c:v>
                </c:pt>
              </c:numCache>
            </c:numRef>
          </c:yVal>
          <c:smooth val="0"/>
          <c:extLst>
            <c:ext xmlns:c16="http://schemas.microsoft.com/office/drawing/2014/chart" uri="{C3380CC4-5D6E-409C-BE32-E72D297353CC}">
              <c16:uniqueId val="{0000000A-38C9-4A8B-9FFE-FA8C0018B3E8}"/>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Rentekostnader!$V$403</c:f>
              <c:numCache>
                <c:formatCode>General</c:formatCode>
                <c:ptCount val="1"/>
                <c:pt idx="0">
                  <c:v>17.713750000000001</c:v>
                </c:pt>
              </c:numCache>
            </c:numRef>
          </c:xVal>
          <c:yVal>
            <c:numRef>
              <c:f>Rentekostnader!$W$403</c:f>
              <c:numCache>
                <c:formatCode>General</c:formatCode>
                <c:ptCount val="1"/>
                <c:pt idx="0">
                  <c:v>0.55622150000000004</c:v>
                </c:pt>
              </c:numCache>
            </c:numRef>
          </c:yVal>
          <c:smooth val="0"/>
          <c:extLst>
            <c:ext xmlns:c16="http://schemas.microsoft.com/office/drawing/2014/chart" uri="{C3380CC4-5D6E-409C-BE32-E72D297353CC}">
              <c16:uniqueId val="{0000000B-38C9-4A8B-9FFE-FA8C0018B3E8}"/>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Rentekostnader!$W$404</c:f>
              <c:numCache>
                <c:formatCode>General</c:formatCode>
                <c:ptCount val="1"/>
                <c:pt idx="0">
                  <c:v>0.54611620000000005</c:v>
                </c:pt>
              </c:numCache>
            </c:numRef>
          </c:yVal>
          <c:smooth val="0"/>
          <c:extLst>
            <c:ext xmlns:c16="http://schemas.microsoft.com/office/drawing/2014/chart" uri="{C3380CC4-5D6E-409C-BE32-E72D297353CC}">
              <c16:uniqueId val="{0000000C-38C9-4A8B-9FFE-FA8C0018B3E8}"/>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Rentekostnader!$W$405</c:f>
              <c:numCache>
                <c:formatCode>General</c:formatCode>
                <c:ptCount val="1"/>
                <c:pt idx="0">
                  <c:v>0.45552599999999999</c:v>
                </c:pt>
              </c:numCache>
            </c:numRef>
          </c:yVal>
          <c:smooth val="0"/>
          <c:extLst>
            <c:ext xmlns:c16="http://schemas.microsoft.com/office/drawing/2014/chart" uri="{C3380CC4-5D6E-409C-BE32-E72D297353CC}">
              <c16:uniqueId val="{0000000D-38C9-4A8B-9FFE-FA8C0018B3E8}"/>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Rentekostnader!$W$406</c:f>
              <c:numCache>
                <c:formatCode>General</c:formatCode>
                <c:ptCount val="1"/>
                <c:pt idx="0">
                  <c:v>0.55455900000000002</c:v>
                </c:pt>
              </c:numCache>
            </c:numRef>
          </c:yVal>
          <c:smooth val="0"/>
          <c:extLst>
            <c:ext xmlns:c16="http://schemas.microsoft.com/office/drawing/2014/chart" uri="{C3380CC4-5D6E-409C-BE32-E72D297353CC}">
              <c16:uniqueId val="{0000000E-38C9-4A8B-9FFE-FA8C0018B3E8}"/>
            </c:ext>
          </c:extLst>
        </c:ser>
        <c:dLbls>
          <c:dLblPos val="t"/>
          <c:showLegendKey val="0"/>
          <c:showVal val="1"/>
          <c:showCatName val="0"/>
          <c:showSerName val="0"/>
          <c:showPercent val="0"/>
          <c:showBubbleSize val="0"/>
        </c:dLbls>
        <c:axId val="145986304"/>
        <c:axId val="145985824"/>
      </c:scatterChart>
      <c:valAx>
        <c:axId val="145986304"/>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Realkapitalgrad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Eiendeler!$V$39</c:f>
              <c:strCache>
                <c:ptCount val="1"/>
                <c:pt idx="0">
                  <c:v>Fast realkapital</c:v>
                </c:pt>
              </c:strCache>
            </c:strRef>
          </c:tx>
          <c:spPr>
            <a:solidFill>
              <a:srgbClr val="3672B0"/>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Eiendeler!$W$39:$AH$39</c:f>
              <c:numCache>
                <c:formatCode>0</c:formatCode>
                <c:ptCount val="12"/>
                <c:pt idx="0">
                  <c:v>332585399</c:v>
                </c:pt>
                <c:pt idx="1">
                  <c:v>11697105</c:v>
                </c:pt>
                <c:pt idx="2">
                  <c:v>13247124</c:v>
                </c:pt>
                <c:pt idx="3">
                  <c:v>24420752</c:v>
                </c:pt>
                <c:pt idx="4">
                  <c:v>14785991</c:v>
                </c:pt>
                <c:pt idx="5">
                  <c:v>48959587</c:v>
                </c:pt>
                <c:pt idx="6">
                  <c:v>19763321</c:v>
                </c:pt>
                <c:pt idx="7">
                  <c:v>9999156</c:v>
                </c:pt>
                <c:pt idx="8">
                  <c:v>10754564</c:v>
                </c:pt>
                <c:pt idx="9">
                  <c:v>12267912</c:v>
                </c:pt>
                <c:pt idx="10">
                  <c:v>30292889</c:v>
                </c:pt>
                <c:pt idx="11">
                  <c:v>136396998</c:v>
                </c:pt>
              </c:numCache>
            </c:numRef>
          </c:val>
          <c:extLst>
            <c:ext xmlns:c16="http://schemas.microsoft.com/office/drawing/2014/chart" uri="{C3380CC4-5D6E-409C-BE32-E72D297353CC}">
              <c16:uniqueId val="{00000000-435B-4130-97BB-86CA72953D6F}"/>
            </c:ext>
          </c:extLst>
        </c:ser>
        <c:ser>
          <c:idx val="1"/>
          <c:order val="1"/>
          <c:tx>
            <c:strRef>
              <c:f>Eiendeler!$V$40</c:f>
              <c:strCache>
                <c:ptCount val="1"/>
                <c:pt idx="0">
                  <c:v>Varer</c:v>
                </c:pt>
              </c:strCache>
            </c:strRef>
          </c:tx>
          <c:spPr>
            <a:solidFill>
              <a:srgbClr val="A60E24"/>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Eiendeler!$W$40:$AH$40</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435B-4130-97BB-86CA72953D6F}"/>
            </c:ext>
          </c:extLst>
        </c:ser>
        <c:ser>
          <c:idx val="2"/>
          <c:order val="2"/>
          <c:tx>
            <c:strRef>
              <c:f>Eiendeler!$V$41</c:f>
              <c:strCache>
                <c:ptCount val="1"/>
                <c:pt idx="0">
                  <c:v>Kortsiktige fordringer</c:v>
                </c:pt>
              </c:strCache>
            </c:strRef>
          </c:tx>
          <c:spPr>
            <a:solidFill>
              <a:srgbClr val="F48594"/>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Eiendeler!$W$41:$AH$41</c:f>
              <c:numCache>
                <c:formatCode>0</c:formatCode>
                <c:ptCount val="12"/>
                <c:pt idx="0">
                  <c:v>25745193</c:v>
                </c:pt>
                <c:pt idx="1">
                  <c:v>738348</c:v>
                </c:pt>
                <c:pt idx="2">
                  <c:v>677405</c:v>
                </c:pt>
                <c:pt idx="3">
                  <c:v>2468777</c:v>
                </c:pt>
                <c:pt idx="4">
                  <c:v>556913</c:v>
                </c:pt>
                <c:pt idx="5">
                  <c:v>1665371</c:v>
                </c:pt>
                <c:pt idx="6">
                  <c:v>1229498</c:v>
                </c:pt>
                <c:pt idx="7">
                  <c:v>409084</c:v>
                </c:pt>
                <c:pt idx="8">
                  <c:v>766631</c:v>
                </c:pt>
                <c:pt idx="9">
                  <c:v>1397598</c:v>
                </c:pt>
                <c:pt idx="10">
                  <c:v>2391374</c:v>
                </c:pt>
                <c:pt idx="11">
                  <c:v>13444194</c:v>
                </c:pt>
              </c:numCache>
            </c:numRef>
          </c:val>
          <c:extLst>
            <c:ext xmlns:c16="http://schemas.microsoft.com/office/drawing/2014/chart" uri="{C3380CC4-5D6E-409C-BE32-E72D297353CC}">
              <c16:uniqueId val="{00000002-435B-4130-97BB-86CA72953D6F}"/>
            </c:ext>
          </c:extLst>
        </c:ser>
        <c:ser>
          <c:idx val="3"/>
          <c:order val="3"/>
          <c:tx>
            <c:strRef>
              <c:f>Eiendeler!$V$42</c:f>
              <c:strCache>
                <c:ptCount val="1"/>
                <c:pt idx="0">
                  <c:v>Kortsiktige utlån</c:v>
                </c:pt>
              </c:strCache>
            </c:strRef>
          </c:tx>
          <c:spPr>
            <a:solidFill>
              <a:srgbClr val="FABF8F"/>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Eiendeler!$W$42:$AH$42</c:f>
              <c:numCache>
                <c:formatCode>0</c:formatCode>
                <c:ptCount val="12"/>
                <c:pt idx="0">
                  <c:v>313884</c:v>
                </c:pt>
                <c:pt idx="1">
                  <c:v>0</c:v>
                </c:pt>
                <c:pt idx="2">
                  <c:v>0</c:v>
                </c:pt>
                <c:pt idx="3">
                  <c:v>0</c:v>
                </c:pt>
                <c:pt idx="4">
                  <c:v>98829</c:v>
                </c:pt>
                <c:pt idx="5">
                  <c:v>215055</c:v>
                </c:pt>
                <c:pt idx="6">
                  <c:v>0</c:v>
                </c:pt>
                <c:pt idx="7">
                  <c:v>0</c:v>
                </c:pt>
                <c:pt idx="8">
                  <c:v>0</c:v>
                </c:pt>
                <c:pt idx="9">
                  <c:v>0</c:v>
                </c:pt>
                <c:pt idx="10">
                  <c:v>0</c:v>
                </c:pt>
                <c:pt idx="11">
                  <c:v>0</c:v>
                </c:pt>
              </c:numCache>
            </c:numRef>
          </c:val>
          <c:extLst>
            <c:ext xmlns:c16="http://schemas.microsoft.com/office/drawing/2014/chart" uri="{C3380CC4-5D6E-409C-BE32-E72D297353CC}">
              <c16:uniqueId val="{00000003-435B-4130-97BB-86CA72953D6F}"/>
            </c:ext>
          </c:extLst>
        </c:ser>
        <c:ser>
          <c:idx val="4"/>
          <c:order val="4"/>
          <c:tx>
            <c:strRef>
              <c:f>Eiendeler!$V$43</c:f>
              <c:strCache>
                <c:ptCount val="1"/>
                <c:pt idx="0">
                  <c:v>Bankinnskudd</c:v>
                </c:pt>
              </c:strCache>
            </c:strRef>
          </c:tx>
          <c:spPr>
            <a:solidFill>
              <a:srgbClr val="FBD4B4"/>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Eiendeler!$W$43:$AH$43</c:f>
              <c:numCache>
                <c:formatCode>0</c:formatCode>
                <c:ptCount val="12"/>
                <c:pt idx="0">
                  <c:v>37045515</c:v>
                </c:pt>
                <c:pt idx="1">
                  <c:v>3006365</c:v>
                </c:pt>
                <c:pt idx="2">
                  <c:v>2695427</c:v>
                </c:pt>
                <c:pt idx="3">
                  <c:v>3084148</c:v>
                </c:pt>
                <c:pt idx="4">
                  <c:v>2326000</c:v>
                </c:pt>
                <c:pt idx="5">
                  <c:v>5052235</c:v>
                </c:pt>
                <c:pt idx="6">
                  <c:v>2051972</c:v>
                </c:pt>
                <c:pt idx="7">
                  <c:v>2048159</c:v>
                </c:pt>
                <c:pt idx="8">
                  <c:v>3078066</c:v>
                </c:pt>
                <c:pt idx="9">
                  <c:v>2583943</c:v>
                </c:pt>
                <c:pt idx="10">
                  <c:v>4828222</c:v>
                </c:pt>
                <c:pt idx="11">
                  <c:v>6290978</c:v>
                </c:pt>
              </c:numCache>
            </c:numRef>
          </c:val>
          <c:extLst>
            <c:ext xmlns:c16="http://schemas.microsoft.com/office/drawing/2014/chart" uri="{C3380CC4-5D6E-409C-BE32-E72D297353CC}">
              <c16:uniqueId val="{00000004-435B-4130-97BB-86CA72953D6F}"/>
            </c:ext>
          </c:extLst>
        </c:ser>
        <c:ser>
          <c:idx val="5"/>
          <c:order val="5"/>
          <c:tx>
            <c:strRef>
              <c:f>Eiendeler!$V$44</c:f>
              <c:strCache>
                <c:ptCount val="1"/>
                <c:pt idx="0">
                  <c:v>Kortsiktige eierposter</c:v>
                </c:pt>
              </c:strCache>
            </c:strRef>
          </c:tx>
          <c:spPr>
            <a:solidFill>
              <a:srgbClr val="CCCC00"/>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Eiendeler!$W$44:$AH$44</c:f>
              <c:numCache>
                <c:formatCode>0</c:formatCode>
                <c:ptCount val="12"/>
                <c:pt idx="0">
                  <c:v>4220570</c:v>
                </c:pt>
                <c:pt idx="1">
                  <c:v>0</c:v>
                </c:pt>
                <c:pt idx="2">
                  <c:v>330217</c:v>
                </c:pt>
                <c:pt idx="3">
                  <c:v>618343</c:v>
                </c:pt>
                <c:pt idx="4">
                  <c:v>39867</c:v>
                </c:pt>
                <c:pt idx="5">
                  <c:v>0</c:v>
                </c:pt>
                <c:pt idx="6">
                  <c:v>1237085</c:v>
                </c:pt>
                <c:pt idx="7">
                  <c:v>211754</c:v>
                </c:pt>
                <c:pt idx="8">
                  <c:v>0</c:v>
                </c:pt>
                <c:pt idx="9">
                  <c:v>153623</c:v>
                </c:pt>
                <c:pt idx="10">
                  <c:v>1629681</c:v>
                </c:pt>
                <c:pt idx="11">
                  <c:v>0</c:v>
                </c:pt>
              </c:numCache>
            </c:numRef>
          </c:val>
          <c:extLst>
            <c:ext xmlns:c16="http://schemas.microsoft.com/office/drawing/2014/chart" uri="{C3380CC4-5D6E-409C-BE32-E72D297353CC}">
              <c16:uniqueId val="{00000005-435B-4130-97BB-86CA72953D6F}"/>
            </c:ext>
          </c:extLst>
        </c:ser>
        <c:ser>
          <c:idx val="6"/>
          <c:order val="6"/>
          <c:tx>
            <c:strRef>
              <c:f>Eiendeler!$V$45</c:f>
              <c:strCache>
                <c:ptCount val="1"/>
                <c:pt idx="0">
                  <c:v>Sertifikater og derivater</c:v>
                </c:pt>
              </c:strCache>
            </c:strRef>
          </c:tx>
          <c:spPr>
            <a:solidFill>
              <a:srgbClr val="FFFF99"/>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Eiendeler!$W$45:$AH$45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435B-4130-97BB-86CA72953D6F}"/>
            </c:ext>
          </c:extLst>
        </c:ser>
        <c:ser>
          <c:idx val="7"/>
          <c:order val="7"/>
          <c:tx>
            <c:strRef>
              <c:f>Eiendeler!$V$46</c:f>
              <c:strCache>
                <c:ptCount val="1"/>
                <c:pt idx="0">
                  <c:v>Langsiktige utlån</c:v>
                </c:pt>
              </c:strCache>
            </c:strRef>
          </c:tx>
          <c:spPr>
            <a:solidFill>
              <a:srgbClr val="D7EBDD"/>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Eiendeler!$W$46:$AH$46</c:f>
              <c:numCache>
                <c:formatCode>0</c:formatCode>
                <c:ptCount val="12"/>
                <c:pt idx="0">
                  <c:v>23310923</c:v>
                </c:pt>
                <c:pt idx="1">
                  <c:v>33525</c:v>
                </c:pt>
                <c:pt idx="2">
                  <c:v>416252</c:v>
                </c:pt>
                <c:pt idx="3">
                  <c:v>91165</c:v>
                </c:pt>
                <c:pt idx="4">
                  <c:v>2262</c:v>
                </c:pt>
                <c:pt idx="5">
                  <c:v>208600</c:v>
                </c:pt>
                <c:pt idx="6">
                  <c:v>29225</c:v>
                </c:pt>
                <c:pt idx="7">
                  <c:v>147545</c:v>
                </c:pt>
                <c:pt idx="8">
                  <c:v>169</c:v>
                </c:pt>
                <c:pt idx="9">
                  <c:v>424679</c:v>
                </c:pt>
                <c:pt idx="10">
                  <c:v>893651</c:v>
                </c:pt>
                <c:pt idx="11">
                  <c:v>21063850</c:v>
                </c:pt>
              </c:numCache>
            </c:numRef>
          </c:val>
          <c:extLst>
            <c:ext xmlns:c16="http://schemas.microsoft.com/office/drawing/2014/chart" uri="{C3380CC4-5D6E-409C-BE32-E72D297353CC}">
              <c16:uniqueId val="{00000007-435B-4130-97BB-86CA72953D6F}"/>
            </c:ext>
          </c:extLst>
        </c:ser>
        <c:ser>
          <c:idx val="8"/>
          <c:order val="8"/>
          <c:tx>
            <c:strRef>
              <c:f>Eiendeler!$V$47</c:f>
              <c:strCache>
                <c:ptCount val="1"/>
                <c:pt idx="0">
                  <c:v>Langsiktige eierposter</c:v>
                </c:pt>
              </c:strCache>
            </c:strRef>
          </c:tx>
          <c:spPr>
            <a:solidFill>
              <a:srgbClr val="87C399"/>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Eiendeler!$W$47:$AH$47</c:f>
              <c:numCache>
                <c:formatCode>0</c:formatCode>
                <c:ptCount val="12"/>
                <c:pt idx="0">
                  <c:v>41505041</c:v>
                </c:pt>
                <c:pt idx="1">
                  <c:v>462841</c:v>
                </c:pt>
                <c:pt idx="2">
                  <c:v>757959</c:v>
                </c:pt>
                <c:pt idx="3">
                  <c:v>290693</c:v>
                </c:pt>
                <c:pt idx="4">
                  <c:v>172203</c:v>
                </c:pt>
                <c:pt idx="5">
                  <c:v>219305</c:v>
                </c:pt>
                <c:pt idx="6">
                  <c:v>341686</c:v>
                </c:pt>
                <c:pt idx="7">
                  <c:v>297383</c:v>
                </c:pt>
                <c:pt idx="8">
                  <c:v>317001</c:v>
                </c:pt>
                <c:pt idx="9">
                  <c:v>1419775</c:v>
                </c:pt>
                <c:pt idx="10">
                  <c:v>2679070</c:v>
                </c:pt>
                <c:pt idx="11">
                  <c:v>34547125</c:v>
                </c:pt>
              </c:numCache>
            </c:numRef>
          </c:val>
          <c:extLst>
            <c:ext xmlns:c16="http://schemas.microsoft.com/office/drawing/2014/chart" uri="{C3380CC4-5D6E-409C-BE32-E72D297353CC}">
              <c16:uniqueId val="{00000008-435B-4130-97BB-86CA72953D6F}"/>
            </c:ext>
          </c:extLst>
        </c:ser>
        <c:ser>
          <c:idx val="9"/>
          <c:order val="9"/>
          <c:tx>
            <c:strRef>
              <c:f>Eiendeler!$V$48</c:f>
              <c:strCache>
                <c:ptCount val="1"/>
                <c:pt idx="0">
                  <c:v>Pensjonsmidler</c:v>
                </c:pt>
              </c:strCache>
            </c:strRef>
          </c:tx>
          <c:spPr>
            <a:solidFill>
              <a:srgbClr val="468C5C"/>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Eiendeler!$W$48:$AH$48</c:f>
              <c:numCache>
                <c:formatCode>0</c:formatCode>
                <c:ptCount val="12"/>
                <c:pt idx="0">
                  <c:v>136356104</c:v>
                </c:pt>
                <c:pt idx="1">
                  <c:v>4052721</c:v>
                </c:pt>
                <c:pt idx="2">
                  <c:v>3617248</c:v>
                </c:pt>
                <c:pt idx="3">
                  <c:v>4898380</c:v>
                </c:pt>
                <c:pt idx="4">
                  <c:v>2742717</c:v>
                </c:pt>
                <c:pt idx="5">
                  <c:v>5677554</c:v>
                </c:pt>
                <c:pt idx="6">
                  <c:v>3983266</c:v>
                </c:pt>
                <c:pt idx="7">
                  <c:v>3154479</c:v>
                </c:pt>
                <c:pt idx="8">
                  <c:v>4418732</c:v>
                </c:pt>
                <c:pt idx="9">
                  <c:v>4216394</c:v>
                </c:pt>
                <c:pt idx="10">
                  <c:v>11910293</c:v>
                </c:pt>
                <c:pt idx="11">
                  <c:v>87684320</c:v>
                </c:pt>
              </c:numCache>
            </c:numRef>
          </c:val>
          <c:extLst>
            <c:ext xmlns:c16="http://schemas.microsoft.com/office/drawing/2014/chart" uri="{C3380CC4-5D6E-409C-BE32-E72D297353CC}">
              <c16:uniqueId val="{00000009-435B-4130-97BB-86CA72953D6F}"/>
            </c:ext>
          </c:extLst>
        </c:ser>
        <c:dLbls>
          <c:showLegendKey val="0"/>
          <c:showVal val="0"/>
          <c:showCatName val="0"/>
          <c:showSerName val="0"/>
          <c:showPercent val="0"/>
          <c:showBubbleSize val="0"/>
        </c:dLbls>
        <c:gapWidth val="150"/>
        <c:overlap val="100"/>
        <c:axId val="845933903"/>
        <c:axId val="845936303"/>
      </c:barChart>
      <c:catAx>
        <c:axId val="84593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6303"/>
        <c:crosses val="autoZero"/>
        <c:auto val="1"/>
        <c:lblAlgn val="ctr"/>
        <c:lblOffset val="100"/>
        <c:noMultiLvlLbl val="0"/>
      </c:catAx>
      <c:valAx>
        <c:axId val="84593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Andel av eiendeler</a:t>
                </a:r>
              </a:p>
            </c:rich>
          </c:tx>
          <c:overlay val="0"/>
          <c:spPr>
            <a:noFill/>
            <a:ln>
              <a:noFill/>
            </a:ln>
            <a:effectLst/>
          </c:spPr>
          <c:txPr>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3903"/>
        <c:crosses val="autoZero"/>
        <c:crossBetween val="between"/>
      </c:valAx>
      <c:spPr>
        <a:noFill/>
        <a:ln>
          <a:noFill/>
        </a:ln>
        <a:effectLst/>
      </c:spPr>
    </c:plotArea>
    <c:legend>
      <c:legendPos val="r"/>
      <c:layout>
        <c:manualLayout>
          <c:xMode val="edge"/>
          <c:yMode val="edge"/>
          <c:x val="0.77465334084084081"/>
          <c:y val="3.6666666666666667E-2"/>
          <c:w val="0.21104485735735737"/>
          <c:h val="0.9337222222222223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a:t>
            </a:r>
            <a:r>
              <a:rPr lang="en-US" sz="1200" b="1" i="0" u="none" strike="noStrike" kern="1200" spc="0" baseline="0">
                <a:solidFill>
                  <a:srgbClr val="000000"/>
                </a:solidFill>
              </a:rPr>
              <a:t>beholdning</a:t>
            </a:r>
            <a:r>
              <a:rPr lang="en-US" sz="1200" b="1"/>
              <a:t> etter art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973322147651007"/>
          <c:y val="0.20372916666666666"/>
          <c:w val="0.40033501118568232"/>
          <c:h val="0.56086990740740739"/>
        </c:manualLayout>
      </c:layout>
      <c:barChart>
        <c:barDir val="bar"/>
        <c:grouping val="stacked"/>
        <c:varyColors val="0"/>
        <c:ser>
          <c:idx val="0"/>
          <c:order val="0"/>
          <c:tx>
            <c:strRef>
              <c:f>Realkapitalbeholdning!$C$26</c:f>
              <c:strCache>
                <c:ptCount val="1"/>
                <c:pt idx="0">
                  <c:v>Fast eiendom og anlegg</c:v>
                </c:pt>
              </c:strCache>
            </c:strRef>
          </c:tx>
          <c:spPr>
            <a:solidFill>
              <a:schemeClr val="accent1"/>
            </a:solidFill>
            <a:ln>
              <a:noFill/>
            </a:ln>
            <a:effectLst/>
          </c:spPr>
          <c:invertIfNegative val="0"/>
          <c:cat>
            <c:strRef>
              <c:f>Realkapitalbeholdning!$D$25:$E$25</c:f>
              <c:strCache>
                <c:ptCount val="2"/>
                <c:pt idx="0">
                  <c:v>(1) Fast realkapital, DM</c:v>
                </c:pt>
                <c:pt idx="1">
                  <c:v>(2) Fast realkapital, PIM-dd art</c:v>
                </c:pt>
              </c:strCache>
            </c:strRef>
          </c:cat>
          <c:val>
            <c:numRef>
              <c:f>Realkapitalbeholdning!$D$26:$E$26</c:f>
              <c:numCache>
                <c:formatCode>General</c:formatCode>
                <c:ptCount val="2"/>
                <c:pt idx="0">
                  <c:v>808844416</c:v>
                </c:pt>
                <c:pt idx="1">
                  <c:v>1388621150</c:v>
                </c:pt>
              </c:numCache>
            </c:numRef>
          </c:val>
          <c:extLst>
            <c:ext xmlns:c16="http://schemas.microsoft.com/office/drawing/2014/chart" uri="{C3380CC4-5D6E-409C-BE32-E72D297353CC}">
              <c16:uniqueId val="{00000000-5888-482E-B8F9-1B484B814D73}"/>
            </c:ext>
          </c:extLst>
        </c:ser>
        <c:ser>
          <c:idx val="1"/>
          <c:order val="1"/>
          <c:tx>
            <c:strRef>
              <c:f>Realkapitalbeholdning!$C$27</c:f>
              <c:strCache>
                <c:ptCount val="1"/>
                <c:pt idx="0">
                  <c:v>Maskiner, utstyr og transportmidler</c:v>
                </c:pt>
              </c:strCache>
            </c:strRef>
          </c:tx>
          <c:spPr>
            <a:solidFill>
              <a:schemeClr val="accent2"/>
            </a:solidFill>
            <a:ln>
              <a:noFill/>
            </a:ln>
            <a:effectLst/>
          </c:spPr>
          <c:invertIfNegative val="0"/>
          <c:cat>
            <c:strRef>
              <c:f>Realkapitalbeholdning!$D$25:$E$25</c:f>
              <c:strCache>
                <c:ptCount val="2"/>
                <c:pt idx="0">
                  <c:v>(1) Fast realkapital, DM</c:v>
                </c:pt>
                <c:pt idx="1">
                  <c:v>(2) Fast realkapital, PIM-dd art</c:v>
                </c:pt>
              </c:strCache>
            </c:strRef>
          </c:cat>
          <c:val>
            <c:numRef>
              <c:f>Realkapitalbeholdning!$D$27:$E$27</c:f>
              <c:numCache>
                <c:formatCode>General</c:formatCode>
                <c:ptCount val="2"/>
                <c:pt idx="0">
                  <c:v>39576359</c:v>
                </c:pt>
                <c:pt idx="1">
                  <c:v>46507773</c:v>
                </c:pt>
              </c:numCache>
            </c:numRef>
          </c:val>
          <c:extLst>
            <c:ext xmlns:c16="http://schemas.microsoft.com/office/drawing/2014/chart" uri="{C3380CC4-5D6E-409C-BE32-E72D297353CC}">
              <c16:uniqueId val="{00000001-5888-482E-B8F9-1B484B814D73}"/>
            </c:ext>
          </c:extLst>
        </c:ser>
        <c:ser>
          <c:idx val="2"/>
          <c:order val="2"/>
          <c:tx>
            <c:strRef>
              <c:f>Realkapitalbeholdning!$C$28</c:f>
              <c:strCache>
                <c:ptCount val="1"/>
                <c:pt idx="0">
                  <c:v>Immateriell kapital</c:v>
                </c:pt>
              </c:strCache>
            </c:strRef>
          </c:tx>
          <c:spPr>
            <a:solidFill>
              <a:schemeClr val="accent3"/>
            </a:solidFill>
            <a:ln>
              <a:noFill/>
            </a:ln>
            <a:effectLst/>
          </c:spPr>
          <c:invertIfNegative val="0"/>
          <c:cat>
            <c:strRef>
              <c:f>Realkapitalbeholdning!$D$25:$E$25</c:f>
              <c:strCache>
                <c:ptCount val="2"/>
                <c:pt idx="0">
                  <c:v>(1) Fast realkapital, DM</c:v>
                </c:pt>
                <c:pt idx="1">
                  <c:v>(2) Fast realkapital, PIM-dd art</c:v>
                </c:pt>
              </c:strCache>
            </c:strRef>
          </c:cat>
          <c:val>
            <c:numRef>
              <c:f>Realkapitalbeholdning!$D$28:$E$28</c:f>
              <c:numCache>
                <c:formatCode>General</c:formatCode>
                <c:ptCount val="2"/>
                <c:pt idx="0">
                  <c:v>97842</c:v>
                </c:pt>
                <c:pt idx="1">
                  <c:v>341477</c:v>
                </c:pt>
              </c:numCache>
            </c:numRef>
          </c:val>
          <c:extLst>
            <c:ext xmlns:c16="http://schemas.microsoft.com/office/drawing/2014/chart" uri="{C3380CC4-5D6E-409C-BE32-E72D297353CC}">
              <c16:uniqueId val="{00000002-5888-482E-B8F9-1B484B814D73}"/>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15000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Billioner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a:t>
            </a:r>
            <a:r>
              <a:rPr lang="en-US" sz="1200" b="1" i="0" u="none" strike="noStrike" kern="1200" spc="0" baseline="0">
                <a:solidFill>
                  <a:srgbClr val="000000"/>
                </a:solidFill>
              </a:rPr>
              <a:t>beholdning</a:t>
            </a:r>
            <a:r>
              <a:rPr lang="en-US" sz="1200" b="1"/>
              <a:t> etter funksjon</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6233594332587623"/>
          <c:y val="0.13123784722222223"/>
          <c:w val="0.39650372856077554"/>
          <c:h val="0.72662705897000779"/>
        </c:manualLayout>
      </c:layout>
      <c:barChart>
        <c:barDir val="bar"/>
        <c:grouping val="stacked"/>
        <c:varyColors val="0"/>
        <c:ser>
          <c:idx val="0"/>
          <c:order val="0"/>
          <c:tx>
            <c:strRef>
              <c:f>Realkapitalbeholdning!$C$42</c:f>
              <c:strCache>
                <c:ptCount val="1"/>
                <c:pt idx="0">
                  <c:v>Grunnskole</c:v>
                </c:pt>
              </c:strCache>
            </c:strRef>
          </c:tx>
          <c:spPr>
            <a:solidFill>
              <a:schemeClr val="accent1"/>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Realkapitalbeholdning!$D$42:$G$42</c:f>
              <c:numCache>
                <c:formatCode>General</c:formatCode>
                <c:ptCount val="4"/>
                <c:pt idx="0">
                  <c:v>309862446</c:v>
                </c:pt>
                <c:pt idx="1">
                  <c:v>296004597</c:v>
                </c:pt>
                <c:pt idx="2">
                  <c:v>327913130</c:v>
                </c:pt>
                <c:pt idx="3">
                  <c:v>312491496</c:v>
                </c:pt>
              </c:numCache>
            </c:numRef>
          </c:val>
          <c:extLst>
            <c:ext xmlns:c16="http://schemas.microsoft.com/office/drawing/2014/chart" uri="{C3380CC4-5D6E-409C-BE32-E72D297353CC}">
              <c16:uniqueId val="{00000000-0265-4D80-B5E0-B4D9D05F80B9}"/>
            </c:ext>
          </c:extLst>
        </c:ser>
        <c:ser>
          <c:idx val="1"/>
          <c:order val="1"/>
          <c:tx>
            <c:strRef>
              <c:f>Realkapitalbeholdning!$C$43</c:f>
              <c:strCache>
                <c:ptCount val="1"/>
                <c:pt idx="0">
                  <c:v>VAR-tjenester</c:v>
                </c:pt>
              </c:strCache>
            </c:strRef>
          </c:tx>
          <c:spPr>
            <a:solidFill>
              <a:schemeClr val="accent2"/>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Realkapitalbeholdning!$D$43:$G$43</c:f>
              <c:numCache>
                <c:formatCode>General</c:formatCode>
                <c:ptCount val="4"/>
                <c:pt idx="0">
                  <c:v>255534846</c:v>
                </c:pt>
                <c:pt idx="1">
                  <c:v>255275432</c:v>
                </c:pt>
                <c:pt idx="2">
                  <c:v>261171414</c:v>
                </c:pt>
                <c:pt idx="3">
                  <c:v>260158325</c:v>
                </c:pt>
              </c:numCache>
            </c:numRef>
          </c:val>
          <c:extLst>
            <c:ext xmlns:c16="http://schemas.microsoft.com/office/drawing/2014/chart" uri="{C3380CC4-5D6E-409C-BE32-E72D297353CC}">
              <c16:uniqueId val="{00000001-0265-4D80-B5E0-B4D9D05F80B9}"/>
            </c:ext>
          </c:extLst>
        </c:ser>
        <c:ser>
          <c:idx val="2"/>
          <c:order val="2"/>
          <c:tx>
            <c:strRef>
              <c:f>Realkapitalbeholdning!$C$44</c:f>
              <c:strCache>
                <c:ptCount val="1"/>
                <c:pt idx="0">
                  <c:v>Helse og omsorg</c:v>
                </c:pt>
              </c:strCache>
            </c:strRef>
          </c:tx>
          <c:spPr>
            <a:solidFill>
              <a:schemeClr val="accent3"/>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Realkapitalbeholdning!$D$44:$G$44</c:f>
              <c:numCache>
                <c:formatCode>General</c:formatCode>
                <c:ptCount val="4"/>
                <c:pt idx="0">
                  <c:v>158774357</c:v>
                </c:pt>
                <c:pt idx="1">
                  <c:v>178856025</c:v>
                </c:pt>
                <c:pt idx="2">
                  <c:v>176954556</c:v>
                </c:pt>
                <c:pt idx="3">
                  <c:v>199156843</c:v>
                </c:pt>
              </c:numCache>
            </c:numRef>
          </c:val>
          <c:extLst>
            <c:ext xmlns:c16="http://schemas.microsoft.com/office/drawing/2014/chart" uri="{C3380CC4-5D6E-409C-BE32-E72D297353CC}">
              <c16:uniqueId val="{00000002-0265-4D80-B5E0-B4D9D05F80B9}"/>
            </c:ext>
          </c:extLst>
        </c:ser>
        <c:ser>
          <c:idx val="3"/>
          <c:order val="3"/>
          <c:tx>
            <c:strRef>
              <c:f>Realkapitalbeholdning!$C$45</c:f>
              <c:strCache>
                <c:ptCount val="1"/>
                <c:pt idx="0">
                  <c:v>Kommunale boliger</c:v>
                </c:pt>
              </c:strCache>
            </c:strRef>
          </c:tx>
          <c:spPr>
            <a:solidFill>
              <a:schemeClr val="accent4"/>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Realkapitalbeholdning!$D$45:$G$45</c:f>
              <c:numCache>
                <c:formatCode>General</c:formatCode>
                <c:ptCount val="4"/>
                <c:pt idx="0">
                  <c:v>158003755</c:v>
                </c:pt>
                <c:pt idx="1">
                  <c:v>152820471</c:v>
                </c:pt>
                <c:pt idx="2">
                  <c:v>158475439</c:v>
                </c:pt>
                <c:pt idx="3">
                  <c:v>152658609</c:v>
                </c:pt>
              </c:numCache>
            </c:numRef>
          </c:val>
          <c:extLst>
            <c:ext xmlns:c16="http://schemas.microsoft.com/office/drawing/2014/chart" uri="{C3380CC4-5D6E-409C-BE32-E72D297353CC}">
              <c16:uniqueId val="{00000003-0265-4D80-B5E0-B4D9D05F80B9}"/>
            </c:ext>
          </c:extLst>
        </c:ser>
        <c:ser>
          <c:idx val="4"/>
          <c:order val="4"/>
          <c:tx>
            <c:strRef>
              <c:f>Realkapitalbeholdning!$C$46</c:f>
              <c:strCache>
                <c:ptCount val="1"/>
                <c:pt idx="0">
                  <c:v>Samferdsel</c:v>
                </c:pt>
              </c:strCache>
            </c:strRef>
          </c:tx>
          <c:spPr>
            <a:solidFill>
              <a:schemeClr val="accent5"/>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Realkapitalbeholdning!$D$46:$G$46</c:f>
              <c:numCache>
                <c:formatCode>General</c:formatCode>
                <c:ptCount val="4"/>
                <c:pt idx="0">
                  <c:v>99311092</c:v>
                </c:pt>
                <c:pt idx="1">
                  <c:v>132973128</c:v>
                </c:pt>
                <c:pt idx="2">
                  <c:v>109779703</c:v>
                </c:pt>
                <c:pt idx="3">
                  <c:v>147883376</c:v>
                </c:pt>
              </c:numCache>
            </c:numRef>
          </c:val>
          <c:extLst>
            <c:ext xmlns:c16="http://schemas.microsoft.com/office/drawing/2014/chart" uri="{C3380CC4-5D6E-409C-BE32-E72D297353CC}">
              <c16:uniqueId val="{00000004-0265-4D80-B5E0-B4D9D05F80B9}"/>
            </c:ext>
          </c:extLst>
        </c:ser>
        <c:ser>
          <c:idx val="5"/>
          <c:order val="5"/>
          <c:tx>
            <c:strRef>
              <c:f>Realkapitalbeholdning!$C$47</c:f>
              <c:strCache>
                <c:ptCount val="1"/>
                <c:pt idx="0">
                  <c:v>Kultursektoren</c:v>
                </c:pt>
              </c:strCache>
            </c:strRef>
          </c:tx>
          <c:spPr>
            <a:solidFill>
              <a:schemeClr val="accent6"/>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Realkapitalbeholdning!$D$47:$G$47</c:f>
              <c:numCache>
                <c:formatCode>General</c:formatCode>
                <c:ptCount val="4"/>
                <c:pt idx="0">
                  <c:v>135527670</c:v>
                </c:pt>
                <c:pt idx="1">
                  <c:v>129345049</c:v>
                </c:pt>
                <c:pt idx="2">
                  <c:v>147346247</c:v>
                </c:pt>
                <c:pt idx="3">
                  <c:v>140239488</c:v>
                </c:pt>
              </c:numCache>
            </c:numRef>
          </c:val>
          <c:extLst>
            <c:ext xmlns:c16="http://schemas.microsoft.com/office/drawing/2014/chart" uri="{C3380CC4-5D6E-409C-BE32-E72D297353CC}">
              <c16:uniqueId val="{00000005-0265-4D80-B5E0-B4D9D05F80B9}"/>
            </c:ext>
          </c:extLst>
        </c:ser>
        <c:ser>
          <c:idx val="6"/>
          <c:order val="6"/>
          <c:tx>
            <c:strRef>
              <c:f>Realkapitalbeholdning!$C$48</c:f>
              <c:strCache>
                <c:ptCount val="1"/>
                <c:pt idx="0">
                  <c:v>Barnehage</c:v>
                </c:pt>
              </c:strCache>
            </c:strRef>
          </c:tx>
          <c:spPr>
            <a:solidFill>
              <a:schemeClr val="accent1">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Realkapitalbeholdning!$D$48:$G$48</c:f>
              <c:numCache>
                <c:formatCode>General</c:formatCode>
                <c:ptCount val="4"/>
                <c:pt idx="0">
                  <c:v>73148911</c:v>
                </c:pt>
                <c:pt idx="1">
                  <c:v>69061129</c:v>
                </c:pt>
                <c:pt idx="2">
                  <c:v>75932940</c:v>
                </c:pt>
                <c:pt idx="3">
                  <c:v>71496809</c:v>
                </c:pt>
              </c:numCache>
            </c:numRef>
          </c:val>
          <c:extLst>
            <c:ext xmlns:c16="http://schemas.microsoft.com/office/drawing/2014/chart" uri="{C3380CC4-5D6E-409C-BE32-E72D297353CC}">
              <c16:uniqueId val="{00000006-0265-4D80-B5E0-B4D9D05F80B9}"/>
            </c:ext>
          </c:extLst>
        </c:ser>
        <c:ser>
          <c:idx val="7"/>
          <c:order val="7"/>
          <c:tx>
            <c:strRef>
              <c:f>Realkapitalbeholdning!$C$49</c:f>
              <c:strCache>
                <c:ptCount val="1"/>
                <c:pt idx="0">
                  <c:v>Administrasjon og felles</c:v>
                </c:pt>
              </c:strCache>
            </c:strRef>
          </c:tx>
          <c:spPr>
            <a:solidFill>
              <a:schemeClr val="accent2">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Realkapitalbeholdning!$D$49:$G$49</c:f>
              <c:numCache>
                <c:formatCode>General</c:formatCode>
                <c:ptCount val="4"/>
                <c:pt idx="0">
                  <c:v>72722864</c:v>
                </c:pt>
                <c:pt idx="1">
                  <c:v>71256404</c:v>
                </c:pt>
                <c:pt idx="2">
                  <c:v>72577145</c:v>
                </c:pt>
                <c:pt idx="3">
                  <c:v>70920317</c:v>
                </c:pt>
              </c:numCache>
            </c:numRef>
          </c:val>
          <c:extLst>
            <c:ext xmlns:c16="http://schemas.microsoft.com/office/drawing/2014/chart" uri="{C3380CC4-5D6E-409C-BE32-E72D297353CC}">
              <c16:uniqueId val="{00000007-0265-4D80-B5E0-B4D9D05F80B9}"/>
            </c:ext>
          </c:extLst>
        </c:ser>
        <c:ser>
          <c:idx val="8"/>
          <c:order val="8"/>
          <c:tx>
            <c:strRef>
              <c:f>Realkapitalbeholdning!$C$50</c:f>
              <c:strCache>
                <c:ptCount val="1"/>
                <c:pt idx="0">
                  <c:v>Næringsforvaltning</c:v>
                </c:pt>
              </c:strCache>
            </c:strRef>
          </c:tx>
          <c:spPr>
            <a:solidFill>
              <a:schemeClr val="accent3">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Realkapitalbeholdning!$D$50:$G$50</c:f>
              <c:numCache>
                <c:formatCode>General</c:formatCode>
                <c:ptCount val="4"/>
                <c:pt idx="0">
                  <c:v>49577653</c:v>
                </c:pt>
                <c:pt idx="1">
                  <c:v>48349793</c:v>
                </c:pt>
                <c:pt idx="2">
                  <c:v>49790421</c:v>
                </c:pt>
                <c:pt idx="3">
                  <c:v>48402089</c:v>
                </c:pt>
              </c:numCache>
            </c:numRef>
          </c:val>
          <c:extLst>
            <c:ext xmlns:c16="http://schemas.microsoft.com/office/drawing/2014/chart" uri="{C3380CC4-5D6E-409C-BE32-E72D297353CC}">
              <c16:uniqueId val="{00000008-0265-4D80-B5E0-B4D9D05F80B9}"/>
            </c:ext>
          </c:extLst>
        </c:ser>
        <c:ser>
          <c:idx val="9"/>
          <c:order val="9"/>
          <c:tx>
            <c:strRef>
              <c:f>Realkapitalbeholdning!$C$51</c:f>
              <c:strCache>
                <c:ptCount val="1"/>
                <c:pt idx="0">
                  <c:v>Plan, byggesak og miljø</c:v>
                </c:pt>
              </c:strCache>
            </c:strRef>
          </c:tx>
          <c:spPr>
            <a:solidFill>
              <a:schemeClr val="accent4">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Realkapitalbeholdning!$D$51:$G$51</c:f>
              <c:numCache>
                <c:formatCode>General</c:formatCode>
                <c:ptCount val="4"/>
                <c:pt idx="0">
                  <c:v>41177367</c:v>
                </c:pt>
                <c:pt idx="1">
                  <c:v>40319675</c:v>
                </c:pt>
                <c:pt idx="2">
                  <c:v>41360440</c:v>
                </c:pt>
                <c:pt idx="3">
                  <c:v>40396421</c:v>
                </c:pt>
              </c:numCache>
            </c:numRef>
          </c:val>
          <c:extLst>
            <c:ext xmlns:c16="http://schemas.microsoft.com/office/drawing/2014/chart" uri="{C3380CC4-5D6E-409C-BE32-E72D297353CC}">
              <c16:uniqueId val="{00000009-0265-4D80-B5E0-B4D9D05F80B9}"/>
            </c:ext>
          </c:extLst>
        </c:ser>
        <c:ser>
          <c:idx val="10"/>
          <c:order val="10"/>
          <c:tx>
            <c:strRef>
              <c:f>Realkapitalbeholdning!$C$52</c:f>
              <c:strCache>
                <c:ptCount val="1"/>
                <c:pt idx="0">
                  <c:v>Kirke</c:v>
                </c:pt>
              </c:strCache>
            </c:strRef>
          </c:tx>
          <c:spPr>
            <a:solidFill>
              <a:schemeClr val="accent5">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Realkapitalbeholdning!$D$52:$G$52</c:f>
              <c:numCache>
                <c:formatCode>General</c:formatCode>
                <c:ptCount val="4"/>
                <c:pt idx="0">
                  <c:v>19302043</c:v>
                </c:pt>
                <c:pt idx="1">
                  <c:v>18931427</c:v>
                </c:pt>
                <c:pt idx="2">
                  <c:v>23103579</c:v>
                </c:pt>
                <c:pt idx="3">
                  <c:v>22579821</c:v>
                </c:pt>
              </c:numCache>
            </c:numRef>
          </c:val>
          <c:extLst>
            <c:ext xmlns:c16="http://schemas.microsoft.com/office/drawing/2014/chart" uri="{C3380CC4-5D6E-409C-BE32-E72D297353CC}">
              <c16:uniqueId val="{0000000A-0265-4D80-B5E0-B4D9D05F80B9}"/>
            </c:ext>
          </c:extLst>
        </c:ser>
        <c:ser>
          <c:idx val="11"/>
          <c:order val="11"/>
          <c:tx>
            <c:strRef>
              <c:f>Realkapitalbeholdning!$C$53</c:f>
              <c:strCache>
                <c:ptCount val="1"/>
                <c:pt idx="0">
                  <c:v>Brann- og ulykkesvern</c:v>
                </c:pt>
              </c:strCache>
            </c:strRef>
          </c:tx>
          <c:spPr>
            <a:solidFill>
              <a:schemeClr val="accent6">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Realkapitalbeholdning!$D$53:$G$53</c:f>
              <c:numCache>
                <c:formatCode>General</c:formatCode>
                <c:ptCount val="4"/>
                <c:pt idx="0">
                  <c:v>17826248</c:v>
                </c:pt>
                <c:pt idx="1">
                  <c:v>17538959</c:v>
                </c:pt>
                <c:pt idx="2">
                  <c:v>18029342</c:v>
                </c:pt>
                <c:pt idx="3">
                  <c:v>17702557</c:v>
                </c:pt>
              </c:numCache>
            </c:numRef>
          </c:val>
          <c:extLst>
            <c:ext xmlns:c16="http://schemas.microsoft.com/office/drawing/2014/chart" uri="{C3380CC4-5D6E-409C-BE32-E72D297353CC}">
              <c16:uniqueId val="{0000000B-0265-4D80-B5E0-B4D9D05F80B9}"/>
            </c:ext>
          </c:extLst>
        </c:ser>
        <c:ser>
          <c:idx val="12"/>
          <c:order val="12"/>
          <c:tx>
            <c:strRef>
              <c:f>Realkapitalbeholdning!$C$54</c:f>
              <c:strCache>
                <c:ptCount val="1"/>
                <c:pt idx="0">
                  <c:v>Sosialsektoren</c:v>
                </c:pt>
              </c:strCache>
            </c:strRef>
          </c:tx>
          <c:spPr>
            <a:solidFill>
              <a:schemeClr val="accent1">
                <a:lumMod val="80000"/>
                <a:lumOff val="2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Realkapitalbeholdning!$D$54:$G$54</c:f>
              <c:numCache>
                <c:formatCode>General</c:formatCode>
                <c:ptCount val="4"/>
                <c:pt idx="0">
                  <c:v>3784613</c:v>
                </c:pt>
                <c:pt idx="1">
                  <c:v>3606695</c:v>
                </c:pt>
                <c:pt idx="2">
                  <c:v>3920710</c:v>
                </c:pt>
                <c:pt idx="3">
                  <c:v>3730616</c:v>
                </c:pt>
              </c:numCache>
            </c:numRef>
          </c:val>
          <c:extLst>
            <c:ext xmlns:c16="http://schemas.microsoft.com/office/drawing/2014/chart" uri="{C3380CC4-5D6E-409C-BE32-E72D297353CC}">
              <c16:uniqueId val="{0000000C-0265-4D80-B5E0-B4D9D05F80B9}"/>
            </c:ext>
          </c:extLst>
        </c:ser>
        <c:ser>
          <c:idx val="13"/>
          <c:order val="13"/>
          <c:tx>
            <c:strRef>
              <c:f>Realkapitalbeholdning!$C$55</c:f>
              <c:strCache>
                <c:ptCount val="1"/>
                <c:pt idx="0">
                  <c:v>Barnevern</c:v>
                </c:pt>
              </c:strCache>
            </c:strRef>
          </c:tx>
          <c:spPr>
            <a:solidFill>
              <a:schemeClr val="accent2">
                <a:lumMod val="80000"/>
                <a:lumOff val="2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Realkapitalbeholdning!$D$55:$G$55</c:f>
              <c:numCache>
                <c:formatCode>General</c:formatCode>
                <c:ptCount val="4"/>
                <c:pt idx="0">
                  <c:v>947322</c:v>
                </c:pt>
                <c:pt idx="1">
                  <c:v>898904</c:v>
                </c:pt>
                <c:pt idx="2">
                  <c:v>980389</c:v>
                </c:pt>
                <c:pt idx="3">
                  <c:v>928589</c:v>
                </c:pt>
              </c:numCache>
            </c:numRef>
          </c:val>
          <c:extLst>
            <c:ext xmlns:c16="http://schemas.microsoft.com/office/drawing/2014/chart" uri="{C3380CC4-5D6E-409C-BE32-E72D297353CC}">
              <c16:uniqueId val="{0000000D-0265-4D80-B5E0-B4D9D05F80B9}"/>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15000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solidFill>
                      <a:srgbClr val="000000"/>
                    </a:solidFill>
                  </a:rPr>
                  <a:t>Billioner</a:t>
                </a:r>
                <a:r>
                  <a:rPr lang="nb-NO" b="1" baseline="0">
                    <a:solidFill>
                      <a:srgbClr val="000000"/>
                    </a:solidFill>
                  </a:rPr>
                  <a:t> kroner</a:t>
                </a:r>
                <a:endParaRPr lang="nb-NO" b="1">
                  <a:solidFill>
                    <a:srgbClr val="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realkapitalbeholdning </a:t>
            </a:r>
            <a:r>
              <a:rPr lang="en-US" sz="1200" b="1" i="0" u="none" strike="noStrike" kern="1200" spc="0" baseline="0">
                <a:solidFill>
                  <a:srgbClr val="000000"/>
                </a:solidFill>
              </a:rPr>
              <a:t>i løpende priser </a:t>
            </a:r>
            <a:r>
              <a:rPr lang="en-US" sz="1200" b="1"/>
              <a:t>over tid</a:t>
            </a:r>
            <a:endParaRPr lang="nb-N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Realkapitalbeholdning!$C$71</c:f>
              <c:strCache>
                <c:ptCount val="1"/>
                <c:pt idx="0">
                  <c:v>DM</c:v>
                </c:pt>
              </c:strCache>
            </c:strRef>
          </c:tx>
          <c:spPr>
            <a:ln w="28575" cap="rnd">
              <a:solidFill>
                <a:schemeClr val="accent1"/>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Realkapitalbeholdning!$D$71:$W$71</c:f>
              <c:numCache>
                <c:formatCode>General</c:formatCode>
                <c:ptCount val="20"/>
                <c:pt idx="0">
                  <c:v>230307030</c:v>
                </c:pt>
                <c:pt idx="1">
                  <c:v>251633682</c:v>
                </c:pt>
                <c:pt idx="2">
                  <c:v>269689904</c:v>
                </c:pt>
                <c:pt idx="3">
                  <c:v>287475924</c:v>
                </c:pt>
                <c:pt idx="4">
                  <c:v>293888994</c:v>
                </c:pt>
                <c:pt idx="5">
                  <c:v>320916216</c:v>
                </c:pt>
                <c:pt idx="6">
                  <c:v>348934011</c:v>
                </c:pt>
                <c:pt idx="7">
                  <c:v>376613688</c:v>
                </c:pt>
                <c:pt idx="8">
                  <c:v>403403966</c:v>
                </c:pt>
                <c:pt idx="9">
                  <c:v>424575757</c:v>
                </c:pt>
                <c:pt idx="10">
                  <c:v>453890665</c:v>
                </c:pt>
                <c:pt idx="11">
                  <c:v>487051438</c:v>
                </c:pt>
                <c:pt idx="12">
                  <c:v>524495874</c:v>
                </c:pt>
                <c:pt idx="13">
                  <c:v>568295607</c:v>
                </c:pt>
                <c:pt idx="14">
                  <c:v>609754490</c:v>
                </c:pt>
                <c:pt idx="15">
                  <c:v>654489703</c:v>
                </c:pt>
                <c:pt idx="16">
                  <c:v>706093030</c:v>
                </c:pt>
                <c:pt idx="17">
                  <c:v>755495892</c:v>
                </c:pt>
                <c:pt idx="18">
                  <c:v>800651310</c:v>
                </c:pt>
                <c:pt idx="19">
                  <c:v>848518619</c:v>
                </c:pt>
              </c:numCache>
            </c:numRef>
          </c:val>
          <c:smooth val="1"/>
          <c:extLst>
            <c:ext xmlns:c16="http://schemas.microsoft.com/office/drawing/2014/chart" uri="{C3380CC4-5D6E-409C-BE32-E72D297353CC}">
              <c16:uniqueId val="{00000000-7AFF-428A-A5EB-E836A8EC69D1}"/>
            </c:ext>
          </c:extLst>
        </c:ser>
        <c:ser>
          <c:idx val="1"/>
          <c:order val="1"/>
          <c:tx>
            <c:strRef>
              <c:f>Realkapitalbeholdning!$C$72</c:f>
              <c:strCache>
                <c:ptCount val="1"/>
                <c:pt idx="0">
                  <c:v>PIM-dd, art</c:v>
                </c:pt>
              </c:strCache>
            </c:strRef>
          </c:tx>
          <c:spPr>
            <a:ln w="28575" cap="rnd">
              <a:solidFill>
                <a:schemeClr val="accent2"/>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Realkapitalbeholdning!$D$72:$W$72</c:f>
              <c:numCache>
                <c:formatCode>General</c:formatCode>
                <c:ptCount val="20"/>
                <c:pt idx="0">
                  <c:v>230307031</c:v>
                </c:pt>
                <c:pt idx="1">
                  <c:v>270396671</c:v>
                </c:pt>
                <c:pt idx="2">
                  <c:v>312724418</c:v>
                </c:pt>
                <c:pt idx="3">
                  <c:v>367254064</c:v>
                </c:pt>
                <c:pt idx="4">
                  <c:v>406150934</c:v>
                </c:pt>
                <c:pt idx="5">
                  <c:v>432869767</c:v>
                </c:pt>
                <c:pt idx="6">
                  <c:v>479658740</c:v>
                </c:pt>
                <c:pt idx="7">
                  <c:v>539634794</c:v>
                </c:pt>
                <c:pt idx="8">
                  <c:v>598464152</c:v>
                </c:pt>
                <c:pt idx="9">
                  <c:v>648316110</c:v>
                </c:pt>
                <c:pt idx="10">
                  <c:v>694754712</c:v>
                </c:pt>
                <c:pt idx="11">
                  <c:v>756813901</c:v>
                </c:pt>
                <c:pt idx="12">
                  <c:v>836504291</c:v>
                </c:pt>
                <c:pt idx="13">
                  <c:v>919630339</c:v>
                </c:pt>
                <c:pt idx="14">
                  <c:v>981340996</c:v>
                </c:pt>
                <c:pt idx="15">
                  <c:v>1037668496</c:v>
                </c:pt>
                <c:pt idx="16">
                  <c:v>1114079759</c:v>
                </c:pt>
                <c:pt idx="17">
                  <c:v>1231898928</c:v>
                </c:pt>
                <c:pt idx="18">
                  <c:v>1360534737</c:v>
                </c:pt>
                <c:pt idx="19">
                  <c:v>1435470410</c:v>
                </c:pt>
              </c:numCache>
            </c:numRef>
          </c:val>
          <c:smooth val="1"/>
          <c:extLst>
            <c:ext xmlns:c16="http://schemas.microsoft.com/office/drawing/2014/chart" uri="{C3380CC4-5D6E-409C-BE32-E72D297353CC}">
              <c16:uniqueId val="{00000001-7AFF-428A-A5EB-E836A8EC69D1}"/>
            </c:ext>
          </c:extLst>
        </c:ser>
        <c:ser>
          <c:idx val="2"/>
          <c:order val="2"/>
          <c:tx>
            <c:strRef>
              <c:f>Realkapitalbeholdning!$C$73</c:f>
              <c:strCache>
                <c:ptCount val="1"/>
                <c:pt idx="0">
                  <c:v>PIM-dd, funksjon</c:v>
                </c:pt>
              </c:strCache>
            </c:strRef>
          </c:tx>
          <c:spPr>
            <a:ln w="28575" cap="rnd">
              <a:solidFill>
                <a:schemeClr val="accent3"/>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Realkapitalbeholdning!$D$73:$W$73</c:f>
              <c:numCache>
                <c:formatCode>General</c:formatCode>
                <c:ptCount val="20"/>
                <c:pt idx="0">
                  <c:v>236081321</c:v>
                </c:pt>
                <c:pt idx="1">
                  <c:v>266297963</c:v>
                </c:pt>
                <c:pt idx="2">
                  <c:v>300426573</c:v>
                </c:pt>
                <c:pt idx="3">
                  <c:v>346272821</c:v>
                </c:pt>
                <c:pt idx="4">
                  <c:v>382580573</c:v>
                </c:pt>
                <c:pt idx="5">
                  <c:v>409166179</c:v>
                </c:pt>
                <c:pt idx="6">
                  <c:v>450699765</c:v>
                </c:pt>
                <c:pt idx="7">
                  <c:v>502978194</c:v>
                </c:pt>
                <c:pt idx="8">
                  <c:v>555684425</c:v>
                </c:pt>
                <c:pt idx="9">
                  <c:v>599489530</c:v>
                </c:pt>
                <c:pt idx="10">
                  <c:v>638734871</c:v>
                </c:pt>
                <c:pt idx="11">
                  <c:v>683191971</c:v>
                </c:pt>
                <c:pt idx="12">
                  <c:v>752204558</c:v>
                </c:pt>
                <c:pt idx="13">
                  <c:v>826111212</c:v>
                </c:pt>
                <c:pt idx="14">
                  <c:v>883782846</c:v>
                </c:pt>
                <c:pt idx="15">
                  <c:v>939688976</c:v>
                </c:pt>
                <c:pt idx="16">
                  <c:v>1015019743</c:v>
                </c:pt>
                <c:pt idx="17">
                  <c:v>1122434029</c:v>
                </c:pt>
                <c:pt idx="18">
                  <c:v>1237914090</c:v>
                </c:pt>
                <c:pt idx="19">
                  <c:v>1395501187</c:v>
                </c:pt>
              </c:numCache>
            </c:numRef>
          </c:val>
          <c:smooth val="1"/>
          <c:extLst>
            <c:ext xmlns:c16="http://schemas.microsoft.com/office/drawing/2014/chart" uri="{C3380CC4-5D6E-409C-BE32-E72D297353CC}">
              <c16:uniqueId val="{00000002-7AFF-428A-A5EB-E836A8EC69D1}"/>
            </c:ext>
          </c:extLst>
        </c:ser>
        <c:ser>
          <c:idx val="3"/>
          <c:order val="3"/>
          <c:tx>
            <c:strRef>
              <c:f>Realkapitalbeholdning!$C$74</c:f>
              <c:strCache>
                <c:ptCount val="1"/>
                <c:pt idx="0">
                  <c:v>PIM-ad, funksjon</c:v>
                </c:pt>
              </c:strCache>
            </c:strRef>
          </c:tx>
          <c:spPr>
            <a:ln w="28575" cap="rnd">
              <a:solidFill>
                <a:schemeClr val="accent4"/>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Realkapitalbeholdning!$D$74:$W$74</c:f>
              <c:numCache>
                <c:formatCode>General</c:formatCode>
                <c:ptCount val="20"/>
                <c:pt idx="0">
                  <c:v>238885891</c:v>
                </c:pt>
                <c:pt idx="1">
                  <c:v>274261737</c:v>
                </c:pt>
                <c:pt idx="2">
                  <c:v>312870414</c:v>
                </c:pt>
                <c:pt idx="3">
                  <c:v>362296942</c:v>
                </c:pt>
                <c:pt idx="4">
                  <c:v>397942729</c:v>
                </c:pt>
                <c:pt idx="5">
                  <c:v>422076619</c:v>
                </c:pt>
                <c:pt idx="6">
                  <c:v>466724360</c:v>
                </c:pt>
                <c:pt idx="7">
                  <c:v>525043345</c:v>
                </c:pt>
                <c:pt idx="8">
                  <c:v>582124547</c:v>
                </c:pt>
                <c:pt idx="9">
                  <c:v>628094854</c:v>
                </c:pt>
                <c:pt idx="10">
                  <c:v>670291539</c:v>
                </c:pt>
                <c:pt idx="11">
                  <c:v>720573841</c:v>
                </c:pt>
                <c:pt idx="12">
                  <c:v>795483449</c:v>
                </c:pt>
                <c:pt idx="13">
                  <c:v>873427657</c:v>
                </c:pt>
                <c:pt idx="14">
                  <c:v>932072719</c:v>
                </c:pt>
                <c:pt idx="15">
                  <c:v>986148268</c:v>
                </c:pt>
                <c:pt idx="16">
                  <c:v>1061572451</c:v>
                </c:pt>
                <c:pt idx="17">
                  <c:v>1175411312</c:v>
                </c:pt>
                <c:pt idx="18">
                  <c:v>1295910630</c:v>
                </c:pt>
                <c:pt idx="19">
                  <c:v>1467335457</c:v>
                </c:pt>
              </c:numCache>
            </c:numRef>
          </c:val>
          <c:smooth val="1"/>
          <c:extLst>
            <c:ext xmlns:c16="http://schemas.microsoft.com/office/drawing/2014/chart" uri="{C3380CC4-5D6E-409C-BE32-E72D297353CC}">
              <c16:uniqueId val="{00000003-7AFF-428A-A5EB-E836A8EC69D1}"/>
            </c:ext>
          </c:extLst>
        </c:ser>
        <c:ser>
          <c:idx val="4"/>
          <c:order val="4"/>
          <c:tx>
            <c:strRef>
              <c:f>Realkapitalbeholdning!$C$75</c:f>
              <c:strCache>
                <c:ptCount val="1"/>
                <c:pt idx="0">
                  <c:v>PIM-da, funksjon</c:v>
                </c:pt>
              </c:strCache>
            </c:strRef>
          </c:tx>
          <c:spPr>
            <a:ln w="28575" cap="rnd">
              <a:solidFill>
                <a:schemeClr val="accent5"/>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Realkapitalbeholdning!$D$75:$W$75</c:f>
              <c:numCache>
                <c:formatCode>General</c:formatCode>
                <c:ptCount val="20"/>
                <c:pt idx="0">
                  <c:v>237061997</c:v>
                </c:pt>
                <c:pt idx="1">
                  <c:v>270687818</c:v>
                </c:pt>
                <c:pt idx="2">
                  <c:v>307528143</c:v>
                </c:pt>
                <c:pt idx="3">
                  <c:v>355936852</c:v>
                </c:pt>
                <c:pt idx="4">
                  <c:v>393971982</c:v>
                </c:pt>
                <c:pt idx="5">
                  <c:v>421663156</c:v>
                </c:pt>
                <c:pt idx="6">
                  <c:v>464864461</c:v>
                </c:pt>
                <c:pt idx="7">
                  <c:v>518975617</c:v>
                </c:pt>
                <c:pt idx="8">
                  <c:v>573285283</c:v>
                </c:pt>
                <c:pt idx="9">
                  <c:v>618226936</c:v>
                </c:pt>
                <c:pt idx="10">
                  <c:v>658116077</c:v>
                </c:pt>
                <c:pt idx="11">
                  <c:v>703643790</c:v>
                </c:pt>
                <c:pt idx="12">
                  <c:v>773263618</c:v>
                </c:pt>
                <c:pt idx="13">
                  <c:v>847382455</c:v>
                </c:pt>
                <c:pt idx="14">
                  <c:v>904787014</c:v>
                </c:pt>
                <c:pt idx="15">
                  <c:v>960292876</c:v>
                </c:pt>
                <c:pt idx="16">
                  <c:v>1035342211</c:v>
                </c:pt>
                <c:pt idx="17">
                  <c:v>1142915717</c:v>
                </c:pt>
                <c:pt idx="18">
                  <c:v>1258810665</c:v>
                </c:pt>
                <c:pt idx="19">
                  <c:v>1415237688</c:v>
                </c:pt>
              </c:numCache>
            </c:numRef>
          </c:val>
          <c:smooth val="1"/>
          <c:extLst>
            <c:ext xmlns:c16="http://schemas.microsoft.com/office/drawing/2014/chart" uri="{C3380CC4-5D6E-409C-BE32-E72D297353CC}">
              <c16:uniqueId val="{00000004-7AFF-428A-A5EB-E836A8EC69D1}"/>
            </c:ext>
          </c:extLst>
        </c:ser>
        <c:ser>
          <c:idx val="5"/>
          <c:order val="5"/>
          <c:tx>
            <c:strRef>
              <c:f>Realkapitalbeholdning!$C$76</c:f>
              <c:strCache>
                <c:ptCount val="1"/>
                <c:pt idx="0">
                  <c:v>PIM-aa, funksjon</c:v>
                </c:pt>
              </c:strCache>
            </c:strRef>
          </c:tx>
          <c:spPr>
            <a:ln w="28575" cap="rnd">
              <a:solidFill>
                <a:schemeClr val="accent6"/>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Realkapitalbeholdning!$D$76:$W$76</c:f>
              <c:numCache>
                <c:formatCode>General</c:formatCode>
                <c:ptCount val="20"/>
                <c:pt idx="0">
                  <c:v>238885892</c:v>
                </c:pt>
                <c:pt idx="1">
                  <c:v>275928738</c:v>
                </c:pt>
                <c:pt idx="2">
                  <c:v>316331186</c:v>
                </c:pt>
                <c:pt idx="3">
                  <c:v>367807014</c:v>
                </c:pt>
                <c:pt idx="4">
                  <c:v>405276109</c:v>
                </c:pt>
                <c:pt idx="5">
                  <c:v>430816105</c:v>
                </c:pt>
                <c:pt idx="6">
                  <c:v>477070612</c:v>
                </c:pt>
                <c:pt idx="7">
                  <c:v>537229638</c:v>
                </c:pt>
                <c:pt idx="8">
                  <c:v>596075898</c:v>
                </c:pt>
                <c:pt idx="9">
                  <c:v>643494167</c:v>
                </c:pt>
                <c:pt idx="10">
                  <c:v>686758263</c:v>
                </c:pt>
                <c:pt idx="11">
                  <c:v>738775242</c:v>
                </c:pt>
                <c:pt idx="12">
                  <c:v>814760113</c:v>
                </c:pt>
                <c:pt idx="13">
                  <c:v>893509526</c:v>
                </c:pt>
                <c:pt idx="14">
                  <c:v>952310314</c:v>
                </c:pt>
                <c:pt idx="15">
                  <c:v>1006106468</c:v>
                </c:pt>
                <c:pt idx="16">
                  <c:v>1081384351</c:v>
                </c:pt>
                <c:pt idx="17">
                  <c:v>1195660215</c:v>
                </c:pt>
                <c:pt idx="18">
                  <c:v>1316555564</c:v>
                </c:pt>
                <c:pt idx="19">
                  <c:v>1488745355</c:v>
                </c:pt>
              </c:numCache>
            </c:numRef>
          </c:val>
          <c:smooth val="1"/>
          <c:extLst>
            <c:ext xmlns:c16="http://schemas.microsoft.com/office/drawing/2014/chart" uri="{C3380CC4-5D6E-409C-BE32-E72D297353CC}">
              <c16:uniqueId val="{00000005-7AFF-428A-A5EB-E836A8EC69D1}"/>
            </c:ext>
          </c:extLst>
        </c:ser>
        <c:dLbls>
          <c:showLegendKey val="0"/>
          <c:showVal val="0"/>
          <c:showCatName val="0"/>
          <c:showSerName val="0"/>
          <c:showPercent val="0"/>
          <c:showBubbleSize val="0"/>
        </c:dLbls>
        <c:smooth val="0"/>
        <c:axId val="1114527120"/>
        <c:axId val="1114534800"/>
      </c:lineChart>
      <c:catAx>
        <c:axId val="111452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34800"/>
        <c:crosses val="autoZero"/>
        <c:auto val="1"/>
        <c:lblAlgn val="ctr"/>
        <c:lblOffset val="100"/>
        <c:noMultiLvlLbl val="0"/>
      </c:catAx>
      <c:valAx>
        <c:axId val="111453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Milliarder kroner</a:t>
                </a:r>
              </a:p>
            </c:rich>
          </c:tx>
          <c:overlay val="0"/>
          <c:spPr>
            <a:noFill/>
            <a:ln>
              <a:noFill/>
            </a:ln>
            <a:effectLst/>
          </c:spPr>
          <c:txPr>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27120"/>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realkapitalbeholdning etter art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973322147651007"/>
          <c:y val="0.20372916666666666"/>
          <c:w val="0.40453747203579427"/>
          <c:h val="0.56086990740740739"/>
        </c:manualLayout>
      </c:layout>
      <c:barChart>
        <c:barDir val="bar"/>
        <c:grouping val="stacked"/>
        <c:varyColors val="0"/>
        <c:ser>
          <c:idx val="0"/>
          <c:order val="0"/>
          <c:tx>
            <c:strRef>
              <c:f>Realkapitalbeholdning!$C$34</c:f>
              <c:strCache>
                <c:ptCount val="1"/>
                <c:pt idx="0">
                  <c:v>Fast eiendom og anlegg</c:v>
                </c:pt>
              </c:strCache>
            </c:strRef>
          </c:tx>
          <c:spPr>
            <a:solidFill>
              <a:schemeClr val="accent1"/>
            </a:solidFill>
            <a:ln>
              <a:noFill/>
            </a:ln>
            <a:effectLst/>
          </c:spPr>
          <c:invertIfNegative val="0"/>
          <c:cat>
            <c:strRef>
              <c:f>Realkapitalbeholdning!$D$33:$E$33</c:f>
              <c:strCache>
                <c:ptCount val="2"/>
                <c:pt idx="0">
                  <c:v>(1) Fast realkapital, DM</c:v>
                </c:pt>
                <c:pt idx="1">
                  <c:v>(2) Fast realkapital, PIM-dd art</c:v>
                </c:pt>
              </c:strCache>
            </c:strRef>
          </c:cat>
          <c:val>
            <c:numRef>
              <c:f>Realkapitalbeholdning!$D$34:$E$34</c:f>
              <c:numCache>
                <c:formatCode>General</c:formatCode>
                <c:ptCount val="2"/>
                <c:pt idx="0">
                  <c:v>200235983</c:v>
                </c:pt>
                <c:pt idx="1">
                  <c:v>307221452</c:v>
                </c:pt>
              </c:numCache>
            </c:numRef>
          </c:val>
          <c:extLst>
            <c:ext xmlns:c16="http://schemas.microsoft.com/office/drawing/2014/chart" uri="{C3380CC4-5D6E-409C-BE32-E72D297353CC}">
              <c16:uniqueId val="{00000000-A3F2-4373-A081-AF92259B4513}"/>
            </c:ext>
          </c:extLst>
        </c:ser>
        <c:ser>
          <c:idx val="1"/>
          <c:order val="1"/>
          <c:tx>
            <c:strRef>
              <c:f>Realkapitalbeholdning!$C$35</c:f>
              <c:strCache>
                <c:ptCount val="1"/>
                <c:pt idx="0">
                  <c:v>Maskiner, utstyr og transportmidler</c:v>
                </c:pt>
              </c:strCache>
            </c:strRef>
          </c:tx>
          <c:spPr>
            <a:solidFill>
              <a:schemeClr val="accent2"/>
            </a:solidFill>
            <a:ln>
              <a:noFill/>
            </a:ln>
            <a:effectLst/>
          </c:spPr>
          <c:invertIfNegative val="0"/>
          <c:cat>
            <c:strRef>
              <c:f>Realkapitalbeholdning!$D$33:$E$33</c:f>
              <c:strCache>
                <c:ptCount val="2"/>
                <c:pt idx="0">
                  <c:v>(1) Fast realkapital, DM</c:v>
                </c:pt>
                <c:pt idx="1">
                  <c:v>(2) Fast realkapital, PIM-dd art</c:v>
                </c:pt>
              </c:strCache>
            </c:strRef>
          </c:cat>
          <c:val>
            <c:numRef>
              <c:f>Realkapitalbeholdning!$D$35:$E$35</c:f>
              <c:numCache>
                <c:formatCode>General</c:formatCode>
                <c:ptCount val="2"/>
                <c:pt idx="0">
                  <c:v>5153843</c:v>
                </c:pt>
                <c:pt idx="1">
                  <c:v>5959379</c:v>
                </c:pt>
              </c:numCache>
            </c:numRef>
          </c:val>
          <c:extLst>
            <c:ext xmlns:c16="http://schemas.microsoft.com/office/drawing/2014/chart" uri="{C3380CC4-5D6E-409C-BE32-E72D297353CC}">
              <c16:uniqueId val="{00000001-A3F2-4373-A081-AF92259B4513}"/>
            </c:ext>
          </c:extLst>
        </c:ser>
        <c:ser>
          <c:idx val="2"/>
          <c:order val="2"/>
          <c:tx>
            <c:strRef>
              <c:f>Realkapitalbeholdning!$C$36</c:f>
              <c:strCache>
                <c:ptCount val="1"/>
                <c:pt idx="0">
                  <c:v>Immateriell kapital</c:v>
                </c:pt>
              </c:strCache>
            </c:strRef>
          </c:tx>
          <c:spPr>
            <a:solidFill>
              <a:schemeClr val="accent3"/>
            </a:solidFill>
            <a:ln>
              <a:noFill/>
            </a:ln>
            <a:effectLst/>
          </c:spPr>
          <c:invertIfNegative val="0"/>
          <c:cat>
            <c:strRef>
              <c:f>Realkapitalbeholdning!$D$33:$E$33</c:f>
              <c:strCache>
                <c:ptCount val="2"/>
                <c:pt idx="0">
                  <c:v>(1) Fast realkapital, DM</c:v>
                </c:pt>
                <c:pt idx="1">
                  <c:v>(2) Fast realkapital, PIM-dd art</c:v>
                </c:pt>
              </c:strCache>
            </c:strRef>
          </c:cat>
          <c:val>
            <c:numRef>
              <c:f>Realkapitalbeholdning!$D$36:$E$36</c:f>
              <c:numCache>
                <c:formatCode>General</c:formatCode>
                <c:ptCount val="2"/>
                <c:pt idx="0">
                  <c:v>0</c:v>
                </c:pt>
                <c:pt idx="1">
                  <c:v>0</c:v>
                </c:pt>
              </c:numCache>
            </c:numRef>
          </c:val>
          <c:extLst>
            <c:ext xmlns:c16="http://schemas.microsoft.com/office/drawing/2014/chart" uri="{C3380CC4-5D6E-409C-BE32-E72D297353CC}">
              <c16:uniqueId val="{00000002-A3F2-4373-A081-AF92259B4513}"/>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40000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Billioner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a:t>
            </a:r>
            <a:r>
              <a:rPr lang="en-US" sz="1200" b="1" i="0" u="none" strike="noStrike" kern="1200" spc="0" baseline="0">
                <a:solidFill>
                  <a:srgbClr val="000000"/>
                </a:solidFill>
              </a:rPr>
              <a:t>beholdning</a:t>
            </a:r>
            <a:r>
              <a:rPr lang="en-US" sz="1200" b="1"/>
              <a:t> etter </a:t>
            </a:r>
            <a:r>
              <a:rPr lang="en-US" sz="1200" b="1" i="0" u="none" strike="noStrike" kern="1200" spc="0" baseline="0">
                <a:solidFill>
                  <a:srgbClr val="000000"/>
                </a:solidFill>
              </a:rPr>
              <a:t>funksjon</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2907886609888"/>
          <c:y val="0.12682811404803185"/>
          <c:w val="0.41095190156599554"/>
          <c:h val="0.72662705897000779"/>
        </c:manualLayout>
      </c:layout>
      <c:barChart>
        <c:barDir val="bar"/>
        <c:grouping val="stacked"/>
        <c:varyColors val="0"/>
        <c:ser>
          <c:idx val="0"/>
          <c:order val="0"/>
          <c:tx>
            <c:strRef>
              <c:f>Realkapitalbeholdning!$C$61</c:f>
              <c:strCache>
                <c:ptCount val="1"/>
                <c:pt idx="0">
                  <c:v>Samferdsel</c:v>
                </c:pt>
              </c:strCache>
            </c:strRef>
          </c:tx>
          <c:spPr>
            <a:solidFill>
              <a:schemeClr val="accent1"/>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Realkapitalbeholdning!$D$61:$G$61</c:f>
              <c:numCache>
                <c:formatCode>General</c:formatCode>
                <c:ptCount val="4"/>
                <c:pt idx="0">
                  <c:v>136983759</c:v>
                </c:pt>
                <c:pt idx="1">
                  <c:v>150106178</c:v>
                </c:pt>
                <c:pt idx="2">
                  <c:v>183434783</c:v>
                </c:pt>
                <c:pt idx="3">
                  <c:v>202639500</c:v>
                </c:pt>
              </c:numCache>
            </c:numRef>
          </c:val>
          <c:extLst>
            <c:ext xmlns:c16="http://schemas.microsoft.com/office/drawing/2014/chart" uri="{C3380CC4-5D6E-409C-BE32-E72D297353CC}">
              <c16:uniqueId val="{00000000-CA78-4505-815D-DFC05C41BC7D}"/>
            </c:ext>
          </c:extLst>
        </c:ser>
        <c:ser>
          <c:idx val="1"/>
          <c:order val="1"/>
          <c:tx>
            <c:strRef>
              <c:f>Realkapitalbeholdning!$C$62</c:f>
              <c:strCache>
                <c:ptCount val="1"/>
                <c:pt idx="0">
                  <c:v>Videregående opplæring</c:v>
                </c:pt>
              </c:strCache>
            </c:strRef>
          </c:tx>
          <c:spPr>
            <a:solidFill>
              <a:schemeClr val="accent2"/>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Realkapitalbeholdning!$D$62:$G$62</c:f>
              <c:numCache>
                <c:formatCode>General</c:formatCode>
                <c:ptCount val="4"/>
                <c:pt idx="0">
                  <c:v>97040286</c:v>
                </c:pt>
                <c:pt idx="1">
                  <c:v>105771017</c:v>
                </c:pt>
                <c:pt idx="2">
                  <c:v>94873129</c:v>
                </c:pt>
                <c:pt idx="3">
                  <c:v>103693319</c:v>
                </c:pt>
              </c:numCache>
            </c:numRef>
          </c:val>
          <c:extLst>
            <c:ext xmlns:c16="http://schemas.microsoft.com/office/drawing/2014/chart" uri="{C3380CC4-5D6E-409C-BE32-E72D297353CC}">
              <c16:uniqueId val="{00000001-CA78-4505-815D-DFC05C41BC7D}"/>
            </c:ext>
          </c:extLst>
        </c:ser>
        <c:ser>
          <c:idx val="2"/>
          <c:order val="2"/>
          <c:tx>
            <c:strRef>
              <c:f>Realkapitalbeholdning!$C$63</c:f>
              <c:strCache>
                <c:ptCount val="1"/>
                <c:pt idx="0">
                  <c:v>Administrasjon og felles</c:v>
                </c:pt>
              </c:strCache>
            </c:strRef>
          </c:tx>
          <c:spPr>
            <a:solidFill>
              <a:schemeClr val="accent3"/>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Realkapitalbeholdning!$D$63:$G$63</c:f>
              <c:numCache>
                <c:formatCode>General</c:formatCode>
                <c:ptCount val="4"/>
                <c:pt idx="0">
                  <c:v>22306681</c:v>
                </c:pt>
                <c:pt idx="1">
                  <c:v>25361225</c:v>
                </c:pt>
                <c:pt idx="2">
                  <c:v>22350447</c:v>
                </c:pt>
                <c:pt idx="3">
                  <c:v>25260734</c:v>
                </c:pt>
              </c:numCache>
            </c:numRef>
          </c:val>
          <c:extLst>
            <c:ext xmlns:c16="http://schemas.microsoft.com/office/drawing/2014/chart" uri="{C3380CC4-5D6E-409C-BE32-E72D297353CC}">
              <c16:uniqueId val="{00000002-CA78-4505-815D-DFC05C41BC7D}"/>
            </c:ext>
          </c:extLst>
        </c:ser>
        <c:ser>
          <c:idx val="3"/>
          <c:order val="3"/>
          <c:tx>
            <c:strRef>
              <c:f>Realkapitalbeholdning!$C$64</c:f>
              <c:strCache>
                <c:ptCount val="1"/>
                <c:pt idx="0">
                  <c:v>Tannhelse</c:v>
                </c:pt>
              </c:strCache>
            </c:strRef>
          </c:tx>
          <c:spPr>
            <a:solidFill>
              <a:schemeClr val="accent4"/>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Realkapitalbeholdning!$D$64:$G$64</c:f>
              <c:numCache>
                <c:formatCode>General</c:formatCode>
                <c:ptCount val="4"/>
                <c:pt idx="0">
                  <c:v>3263712</c:v>
                </c:pt>
                <c:pt idx="1">
                  <c:v>3656910</c:v>
                </c:pt>
                <c:pt idx="2">
                  <c:v>3318284</c:v>
                </c:pt>
                <c:pt idx="3">
                  <c:v>3732049</c:v>
                </c:pt>
              </c:numCache>
            </c:numRef>
          </c:val>
          <c:extLst>
            <c:ext xmlns:c16="http://schemas.microsoft.com/office/drawing/2014/chart" uri="{C3380CC4-5D6E-409C-BE32-E72D297353CC}">
              <c16:uniqueId val="{00000003-CA78-4505-815D-DFC05C41BC7D}"/>
            </c:ext>
          </c:extLst>
        </c:ser>
        <c:ser>
          <c:idx val="4"/>
          <c:order val="4"/>
          <c:tx>
            <c:strRef>
              <c:f>Realkapitalbeholdning!$C$65</c:f>
              <c:strCache>
                <c:ptCount val="1"/>
                <c:pt idx="0">
                  <c:v>Næringsforvaltning</c:v>
                </c:pt>
              </c:strCache>
            </c:strRef>
          </c:tx>
          <c:spPr>
            <a:solidFill>
              <a:schemeClr val="accent5"/>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Realkapitalbeholdning!$D$65:$G$65</c:f>
              <c:numCache>
                <c:formatCode>General</c:formatCode>
                <c:ptCount val="4"/>
                <c:pt idx="0">
                  <c:v>1172112</c:v>
                </c:pt>
                <c:pt idx="1">
                  <c:v>1213071</c:v>
                </c:pt>
                <c:pt idx="2">
                  <c:v>1255447</c:v>
                </c:pt>
                <c:pt idx="3">
                  <c:v>1289329</c:v>
                </c:pt>
              </c:numCache>
            </c:numRef>
          </c:val>
          <c:extLst>
            <c:ext xmlns:c16="http://schemas.microsoft.com/office/drawing/2014/chart" uri="{C3380CC4-5D6E-409C-BE32-E72D297353CC}">
              <c16:uniqueId val="{00000004-CA78-4505-815D-DFC05C41BC7D}"/>
            </c:ext>
          </c:extLst>
        </c:ser>
        <c:ser>
          <c:idx val="5"/>
          <c:order val="5"/>
          <c:tx>
            <c:strRef>
              <c:f>Realkapitalbeholdning!$C$66</c:f>
              <c:strCache>
                <c:ptCount val="1"/>
                <c:pt idx="0">
                  <c:v>Kultursektoren</c:v>
                </c:pt>
              </c:strCache>
            </c:strRef>
          </c:tx>
          <c:spPr>
            <a:solidFill>
              <a:schemeClr val="accent6"/>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Realkapitalbeholdning!$D$66:$G$66</c:f>
              <c:numCache>
                <c:formatCode>General</c:formatCode>
                <c:ptCount val="4"/>
                <c:pt idx="0">
                  <c:v>1053533</c:v>
                </c:pt>
                <c:pt idx="1">
                  <c:v>1235391</c:v>
                </c:pt>
                <c:pt idx="2">
                  <c:v>1037799</c:v>
                </c:pt>
                <c:pt idx="3">
                  <c:v>1233531</c:v>
                </c:pt>
              </c:numCache>
            </c:numRef>
          </c:val>
          <c:extLst>
            <c:ext xmlns:c16="http://schemas.microsoft.com/office/drawing/2014/chart" uri="{C3380CC4-5D6E-409C-BE32-E72D297353CC}">
              <c16:uniqueId val="{00000005-CA78-4505-815D-DFC05C41BC7D}"/>
            </c:ext>
          </c:extLst>
        </c:ser>
        <c:ser>
          <c:idx val="6"/>
          <c:order val="6"/>
          <c:tx>
            <c:strRef>
              <c:f>Realkapitalbeholdning!$C$67</c:f>
              <c:strCache>
                <c:ptCount val="1"/>
                <c:pt idx="0">
                  <c:v>Plan, byggesak og miljø</c:v>
                </c:pt>
              </c:strCache>
            </c:strRef>
          </c:tx>
          <c:spPr>
            <a:solidFill>
              <a:schemeClr val="accent1">
                <a:lumMod val="60000"/>
              </a:schemeClr>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Realkapitalbeholdning!$D$67:$G$67</c:f>
              <c:numCache>
                <c:formatCode>General</c:formatCode>
                <c:ptCount val="4"/>
                <c:pt idx="0">
                  <c:v>723367</c:v>
                </c:pt>
                <c:pt idx="1">
                  <c:v>728952</c:v>
                </c:pt>
                <c:pt idx="2">
                  <c:v>733310</c:v>
                </c:pt>
                <c:pt idx="3">
                  <c:v>736083</c:v>
                </c:pt>
              </c:numCache>
            </c:numRef>
          </c:val>
          <c:extLst>
            <c:ext xmlns:c16="http://schemas.microsoft.com/office/drawing/2014/chart" uri="{C3380CC4-5D6E-409C-BE32-E72D297353CC}">
              <c16:uniqueId val="{00000006-CA78-4505-815D-DFC05C41BC7D}"/>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Billioner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realkapitalbeholdning </a:t>
            </a:r>
            <a:r>
              <a:rPr lang="en-US" sz="1200" b="1" i="0" u="none" strike="noStrike" kern="1200" spc="0" baseline="0">
                <a:solidFill>
                  <a:srgbClr val="000000"/>
                </a:solidFill>
              </a:rPr>
              <a:t>i løpende priser </a:t>
            </a:r>
            <a:r>
              <a:rPr lang="en-US" sz="1200" b="1"/>
              <a:t>over tid</a:t>
            </a:r>
            <a:endParaRPr lang="nb-N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Realkapitalbeholdning!$C$80</c:f>
              <c:strCache>
                <c:ptCount val="1"/>
                <c:pt idx="0">
                  <c:v>DM</c:v>
                </c:pt>
              </c:strCache>
            </c:strRef>
          </c:tx>
          <c:spPr>
            <a:ln w="28575" cap="rnd">
              <a:solidFill>
                <a:schemeClr val="accent1"/>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Realkapitalbeholdning!$D$80:$W$80</c:f>
              <c:numCache>
                <c:formatCode>General</c:formatCode>
                <c:ptCount val="20"/>
                <c:pt idx="0">
                  <c:v>34550994</c:v>
                </c:pt>
                <c:pt idx="1">
                  <c:v>34124359</c:v>
                </c:pt>
                <c:pt idx="2">
                  <c:v>36019232</c:v>
                </c:pt>
                <c:pt idx="3">
                  <c:v>37816374</c:v>
                </c:pt>
                <c:pt idx="4">
                  <c:v>39995858</c:v>
                </c:pt>
                <c:pt idx="5">
                  <c:v>44266526</c:v>
                </c:pt>
                <c:pt idx="6">
                  <c:v>49380938</c:v>
                </c:pt>
                <c:pt idx="7">
                  <c:v>61131475</c:v>
                </c:pt>
                <c:pt idx="8">
                  <c:v>55211005</c:v>
                </c:pt>
                <c:pt idx="9">
                  <c:v>81370055</c:v>
                </c:pt>
                <c:pt idx="10">
                  <c:v>94069490</c:v>
                </c:pt>
                <c:pt idx="11">
                  <c:v>105388335</c:v>
                </c:pt>
                <c:pt idx="12">
                  <c:v>116079293</c:v>
                </c:pt>
                <c:pt idx="13">
                  <c:v>126410548</c:v>
                </c:pt>
                <c:pt idx="14">
                  <c:v>137881801</c:v>
                </c:pt>
                <c:pt idx="15">
                  <c:v>149230208</c:v>
                </c:pt>
                <c:pt idx="16">
                  <c:v>161751303</c:v>
                </c:pt>
                <c:pt idx="17">
                  <c:v>175755126</c:v>
                </c:pt>
                <c:pt idx="18">
                  <c:v>189191081</c:v>
                </c:pt>
                <c:pt idx="19">
                  <c:v>205389825</c:v>
                </c:pt>
              </c:numCache>
            </c:numRef>
          </c:val>
          <c:smooth val="1"/>
          <c:extLst>
            <c:ext xmlns:c16="http://schemas.microsoft.com/office/drawing/2014/chart" uri="{C3380CC4-5D6E-409C-BE32-E72D297353CC}">
              <c16:uniqueId val="{00000000-3D64-43C4-8A3F-E796130E059E}"/>
            </c:ext>
          </c:extLst>
        </c:ser>
        <c:ser>
          <c:idx val="1"/>
          <c:order val="1"/>
          <c:tx>
            <c:strRef>
              <c:f>Realkapitalbeholdning!$C$81</c:f>
              <c:strCache>
                <c:ptCount val="1"/>
                <c:pt idx="0">
                  <c:v>PIM-dd, art</c:v>
                </c:pt>
              </c:strCache>
            </c:strRef>
          </c:tx>
          <c:spPr>
            <a:ln w="28575" cap="rnd">
              <a:solidFill>
                <a:schemeClr val="accent2"/>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Realkapitalbeholdning!$D$81:$W$81</c:f>
              <c:numCache>
                <c:formatCode>General</c:formatCode>
                <c:ptCount val="20"/>
                <c:pt idx="0">
                  <c:v>34550994</c:v>
                </c:pt>
                <c:pt idx="1">
                  <c:v>39654501</c:v>
                </c:pt>
                <c:pt idx="2">
                  <c:v>45818454</c:v>
                </c:pt>
                <c:pt idx="3">
                  <c:v>54208354</c:v>
                </c:pt>
                <c:pt idx="4">
                  <c:v>60423885</c:v>
                </c:pt>
                <c:pt idx="5">
                  <c:v>64399126</c:v>
                </c:pt>
                <c:pt idx="6">
                  <c:v>72296189</c:v>
                </c:pt>
                <c:pt idx="7">
                  <c:v>87306877</c:v>
                </c:pt>
                <c:pt idx="8">
                  <c:v>103992915</c:v>
                </c:pt>
                <c:pt idx="9">
                  <c:v>116214003</c:v>
                </c:pt>
                <c:pt idx="10">
                  <c:v>133053959</c:v>
                </c:pt>
                <c:pt idx="11">
                  <c:v>151361493</c:v>
                </c:pt>
                <c:pt idx="12">
                  <c:v>168832413</c:v>
                </c:pt>
                <c:pt idx="13">
                  <c:v>185916920</c:v>
                </c:pt>
                <c:pt idx="14">
                  <c:v>200314371</c:v>
                </c:pt>
                <c:pt idx="15">
                  <c:v>214477314</c:v>
                </c:pt>
                <c:pt idx="16">
                  <c:v>233453427</c:v>
                </c:pt>
                <c:pt idx="17">
                  <c:v>259200066</c:v>
                </c:pt>
                <c:pt idx="18">
                  <c:v>291286875</c:v>
                </c:pt>
                <c:pt idx="19">
                  <c:v>313180835</c:v>
                </c:pt>
              </c:numCache>
            </c:numRef>
          </c:val>
          <c:smooth val="0"/>
          <c:extLst>
            <c:ext xmlns:c16="http://schemas.microsoft.com/office/drawing/2014/chart" uri="{C3380CC4-5D6E-409C-BE32-E72D297353CC}">
              <c16:uniqueId val="{00000001-3D64-43C4-8A3F-E796130E059E}"/>
            </c:ext>
          </c:extLst>
        </c:ser>
        <c:ser>
          <c:idx val="2"/>
          <c:order val="2"/>
          <c:tx>
            <c:strRef>
              <c:f>Realkapitalbeholdning!$C$82</c:f>
              <c:strCache>
                <c:ptCount val="1"/>
                <c:pt idx="0">
                  <c:v>PIM-dd, funksjon</c:v>
                </c:pt>
              </c:strCache>
            </c:strRef>
          </c:tx>
          <c:spPr>
            <a:ln w="28575" cap="rnd">
              <a:solidFill>
                <a:schemeClr val="accent3"/>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Realkapitalbeholdning!$D$82:$W$82</c:f>
              <c:numCache>
                <c:formatCode>General</c:formatCode>
                <c:ptCount val="20"/>
                <c:pt idx="0">
                  <c:v>34442788</c:v>
                </c:pt>
                <c:pt idx="1">
                  <c:v>35512534</c:v>
                </c:pt>
                <c:pt idx="2">
                  <c:v>38416630</c:v>
                </c:pt>
                <c:pt idx="3">
                  <c:v>43836297</c:v>
                </c:pt>
                <c:pt idx="4">
                  <c:v>48715119</c:v>
                </c:pt>
                <c:pt idx="5">
                  <c:v>52383271</c:v>
                </c:pt>
                <c:pt idx="6">
                  <c:v>58380864</c:v>
                </c:pt>
                <c:pt idx="7">
                  <c:v>70334175</c:v>
                </c:pt>
                <c:pt idx="8">
                  <c:v>83766608</c:v>
                </c:pt>
                <c:pt idx="9">
                  <c:v>97077785</c:v>
                </c:pt>
                <c:pt idx="10">
                  <c:v>111078937</c:v>
                </c:pt>
                <c:pt idx="11">
                  <c:v>126025199</c:v>
                </c:pt>
                <c:pt idx="12">
                  <c:v>139519683</c:v>
                </c:pt>
                <c:pt idx="13">
                  <c:v>151489186</c:v>
                </c:pt>
                <c:pt idx="14">
                  <c:v>162603693</c:v>
                </c:pt>
                <c:pt idx="15">
                  <c:v>174349988</c:v>
                </c:pt>
                <c:pt idx="16">
                  <c:v>190013579</c:v>
                </c:pt>
                <c:pt idx="17">
                  <c:v>209348251</c:v>
                </c:pt>
                <c:pt idx="18">
                  <c:v>234638536</c:v>
                </c:pt>
                <c:pt idx="19">
                  <c:v>262543451</c:v>
                </c:pt>
              </c:numCache>
            </c:numRef>
          </c:val>
          <c:smooth val="0"/>
          <c:extLst>
            <c:ext xmlns:c16="http://schemas.microsoft.com/office/drawing/2014/chart" uri="{C3380CC4-5D6E-409C-BE32-E72D297353CC}">
              <c16:uniqueId val="{00000002-3D64-43C4-8A3F-E796130E059E}"/>
            </c:ext>
          </c:extLst>
        </c:ser>
        <c:ser>
          <c:idx val="3"/>
          <c:order val="3"/>
          <c:tx>
            <c:strRef>
              <c:f>Realkapitalbeholdning!$C$83</c:f>
              <c:strCache>
                <c:ptCount val="1"/>
                <c:pt idx="0">
                  <c:v>PIM-ad, funksjon</c:v>
                </c:pt>
              </c:strCache>
            </c:strRef>
          </c:tx>
          <c:spPr>
            <a:ln w="28575" cap="rnd">
              <a:solidFill>
                <a:schemeClr val="accent4"/>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Realkapitalbeholdning!$D$83:$W$83</c:f>
              <c:numCache>
                <c:formatCode>General</c:formatCode>
                <c:ptCount val="20"/>
                <c:pt idx="0">
                  <c:v>35838007</c:v>
                </c:pt>
                <c:pt idx="1">
                  <c:v>39293226</c:v>
                </c:pt>
                <c:pt idx="2">
                  <c:v>43737500</c:v>
                </c:pt>
                <c:pt idx="3">
                  <c:v>50213112</c:v>
                </c:pt>
                <c:pt idx="4">
                  <c:v>54963715</c:v>
                </c:pt>
                <c:pt idx="5">
                  <c:v>57921558</c:v>
                </c:pt>
                <c:pt idx="6">
                  <c:v>64577154</c:v>
                </c:pt>
                <c:pt idx="7">
                  <c:v>77990835</c:v>
                </c:pt>
                <c:pt idx="8">
                  <c:v>92842424</c:v>
                </c:pt>
                <c:pt idx="9">
                  <c:v>106663817</c:v>
                </c:pt>
                <c:pt idx="10">
                  <c:v>120788417</c:v>
                </c:pt>
                <c:pt idx="11">
                  <c:v>136875109</c:v>
                </c:pt>
                <c:pt idx="12">
                  <c:v>153436580</c:v>
                </c:pt>
                <c:pt idx="13">
                  <c:v>168673525</c:v>
                </c:pt>
                <c:pt idx="14">
                  <c:v>180116996</c:v>
                </c:pt>
                <c:pt idx="15">
                  <c:v>190521066</c:v>
                </c:pt>
                <c:pt idx="16">
                  <c:v>205581973</c:v>
                </c:pt>
                <c:pt idx="17">
                  <c:v>226207876</c:v>
                </c:pt>
                <c:pt idx="18">
                  <c:v>251506240</c:v>
                </c:pt>
                <c:pt idx="19">
                  <c:v>288072743</c:v>
                </c:pt>
              </c:numCache>
            </c:numRef>
          </c:val>
          <c:smooth val="0"/>
          <c:extLst>
            <c:ext xmlns:c16="http://schemas.microsoft.com/office/drawing/2014/chart" uri="{C3380CC4-5D6E-409C-BE32-E72D297353CC}">
              <c16:uniqueId val="{00000003-3D64-43C4-8A3F-E796130E059E}"/>
            </c:ext>
          </c:extLst>
        </c:ser>
        <c:ser>
          <c:idx val="4"/>
          <c:order val="4"/>
          <c:tx>
            <c:strRef>
              <c:f>Realkapitalbeholdning!$C$84</c:f>
              <c:strCache>
                <c:ptCount val="1"/>
                <c:pt idx="0">
                  <c:v>PIM-da, funksjon</c:v>
                </c:pt>
              </c:strCache>
            </c:strRef>
          </c:tx>
          <c:spPr>
            <a:ln w="28575" cap="rnd">
              <a:solidFill>
                <a:schemeClr val="accent5"/>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Realkapitalbeholdning!$D$84:$W$84</c:f>
              <c:numCache>
                <c:formatCode>General</c:formatCode>
                <c:ptCount val="20"/>
                <c:pt idx="0">
                  <c:v>34757152</c:v>
                </c:pt>
                <c:pt idx="1">
                  <c:v>37360079</c:v>
                </c:pt>
                <c:pt idx="2">
                  <c:v>41539422</c:v>
                </c:pt>
                <c:pt idx="3">
                  <c:v>48232610</c:v>
                </c:pt>
                <c:pt idx="4">
                  <c:v>54104333</c:v>
                </c:pt>
                <c:pt idx="5">
                  <c:v>58503181</c:v>
                </c:pt>
                <c:pt idx="6">
                  <c:v>65400236</c:v>
                </c:pt>
                <c:pt idx="7">
                  <c:v>78462186</c:v>
                </c:pt>
                <c:pt idx="8">
                  <c:v>93214220</c:v>
                </c:pt>
                <c:pt idx="9">
                  <c:v>108039233</c:v>
                </c:pt>
                <c:pt idx="10">
                  <c:v>123723575</c:v>
                </c:pt>
                <c:pt idx="11">
                  <c:v>140774000</c:v>
                </c:pt>
                <c:pt idx="12">
                  <c:v>156801815</c:v>
                </c:pt>
                <c:pt idx="13">
                  <c:v>171331873</c:v>
                </c:pt>
                <c:pt idx="14">
                  <c:v>185042331</c:v>
                </c:pt>
                <c:pt idx="15">
                  <c:v>199633721</c:v>
                </c:pt>
                <c:pt idx="16">
                  <c:v>218725568</c:v>
                </c:pt>
                <c:pt idx="17">
                  <c:v>242703825</c:v>
                </c:pt>
                <c:pt idx="18">
                  <c:v>273794111</c:v>
                </c:pt>
                <c:pt idx="19">
                  <c:v>307003198</c:v>
                </c:pt>
              </c:numCache>
            </c:numRef>
          </c:val>
          <c:smooth val="0"/>
          <c:extLst>
            <c:ext xmlns:c16="http://schemas.microsoft.com/office/drawing/2014/chart" uri="{C3380CC4-5D6E-409C-BE32-E72D297353CC}">
              <c16:uniqueId val="{00000004-3D64-43C4-8A3F-E796130E059E}"/>
            </c:ext>
          </c:extLst>
        </c:ser>
        <c:ser>
          <c:idx val="5"/>
          <c:order val="5"/>
          <c:tx>
            <c:strRef>
              <c:f>Realkapitalbeholdning!$C$85</c:f>
              <c:strCache>
                <c:ptCount val="1"/>
                <c:pt idx="0">
                  <c:v>PIM-aa, funksjon</c:v>
                </c:pt>
              </c:strCache>
            </c:strRef>
          </c:tx>
          <c:spPr>
            <a:ln w="28575" cap="rnd">
              <a:solidFill>
                <a:schemeClr val="accent6"/>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Realkapitalbeholdning!$D$85:$W$85</c:f>
              <c:numCache>
                <c:formatCode>General</c:formatCode>
                <c:ptCount val="20"/>
                <c:pt idx="0">
                  <c:v>35838007</c:v>
                </c:pt>
                <c:pt idx="1">
                  <c:v>40373964</c:v>
                </c:pt>
                <c:pt idx="2">
                  <c:v>45981428</c:v>
                </c:pt>
                <c:pt idx="3">
                  <c:v>53777579</c:v>
                </c:pt>
                <c:pt idx="4">
                  <c:v>59701254</c:v>
                </c:pt>
                <c:pt idx="5">
                  <c:v>63566451</c:v>
                </c:pt>
                <c:pt idx="6">
                  <c:v>71286054</c:v>
                </c:pt>
                <c:pt idx="7">
                  <c:v>86085221</c:v>
                </c:pt>
                <c:pt idx="8">
                  <c:v>102598732</c:v>
                </c:pt>
                <c:pt idx="9">
                  <c:v>118242663</c:v>
                </c:pt>
                <c:pt idx="10">
                  <c:v>134308835</c:v>
                </c:pt>
                <c:pt idx="11">
                  <c:v>152828838</c:v>
                </c:pt>
                <c:pt idx="12">
                  <c:v>172448369</c:v>
                </c:pt>
                <c:pt idx="13">
                  <c:v>190976425</c:v>
                </c:pt>
                <c:pt idx="14">
                  <c:v>205393272</c:v>
                </c:pt>
                <c:pt idx="15">
                  <c:v>218604918</c:v>
                </c:pt>
                <c:pt idx="16">
                  <c:v>237112987</c:v>
                </c:pt>
                <c:pt idx="17">
                  <c:v>262754983</c:v>
                </c:pt>
                <c:pt idx="18">
                  <c:v>293963730</c:v>
                </c:pt>
                <c:pt idx="19">
                  <c:v>338584546</c:v>
                </c:pt>
              </c:numCache>
            </c:numRef>
          </c:val>
          <c:smooth val="0"/>
          <c:extLst>
            <c:ext xmlns:c16="http://schemas.microsoft.com/office/drawing/2014/chart" uri="{C3380CC4-5D6E-409C-BE32-E72D297353CC}">
              <c16:uniqueId val="{00000005-3D64-43C4-8A3F-E796130E059E}"/>
            </c:ext>
          </c:extLst>
        </c:ser>
        <c:dLbls>
          <c:showLegendKey val="0"/>
          <c:showVal val="0"/>
          <c:showCatName val="0"/>
          <c:showSerName val="0"/>
          <c:showPercent val="0"/>
          <c:showBubbleSize val="0"/>
        </c:dLbls>
        <c:smooth val="0"/>
        <c:axId val="1114527120"/>
        <c:axId val="1114534800"/>
      </c:lineChart>
      <c:catAx>
        <c:axId val="111452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34800"/>
        <c:crosses val="autoZero"/>
        <c:auto val="1"/>
        <c:lblAlgn val="ctr"/>
        <c:lblOffset val="100"/>
        <c:noMultiLvlLbl val="0"/>
      </c:catAx>
      <c:valAx>
        <c:axId val="111453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Milliarder kroner</a:t>
                </a:r>
              </a:p>
            </c:rich>
          </c:tx>
          <c:overlay val="0"/>
          <c:spPr>
            <a:noFill/>
            <a:ln>
              <a:noFill/>
            </a:ln>
            <a:effectLst/>
          </c:spPr>
          <c:txPr>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27120"/>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nb-NO" sz="1200" b="1"/>
              <a:t>a) Kalibrert tomteandel</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nb-NO"/>
        </a:p>
      </c:txPr>
    </c:title>
    <c:autoTitleDeleted val="0"/>
    <c:plotArea>
      <c:layout/>
      <c:barChart>
        <c:barDir val="col"/>
        <c:grouping val="clustered"/>
        <c:varyColors val="0"/>
        <c:ser>
          <c:idx val="0"/>
          <c:order val="0"/>
          <c:tx>
            <c:strRef>
              <c:f>'[Kommunal kapital.xlsx]Tomteandel, simulering'!$X$43</c:f>
              <c:strCache>
                <c:ptCount val="1"/>
                <c:pt idx="0">
                  <c:v>Levetid 10 år</c:v>
                </c:pt>
              </c:strCache>
            </c:strRef>
          </c:tx>
          <c:spPr>
            <a:solidFill>
              <a:srgbClr val="FFFF99"/>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simulering'!$X$44:$X$45</c:f>
              <c:numCache>
                <c:formatCode>0.0\ %</c:formatCode>
                <c:ptCount val="2"/>
                <c:pt idx="0">
                  <c:v>0.35903398722111962</c:v>
                </c:pt>
                <c:pt idx="1">
                  <c:v>0.31249999999999983</c:v>
                </c:pt>
              </c:numCache>
            </c:numRef>
          </c:val>
          <c:extLst>
            <c:ext xmlns:c16="http://schemas.microsoft.com/office/drawing/2014/chart" uri="{C3380CC4-5D6E-409C-BE32-E72D297353CC}">
              <c16:uniqueId val="{00000000-736F-4005-AD76-735FC9400FB9}"/>
            </c:ext>
          </c:extLst>
        </c:ser>
        <c:ser>
          <c:idx val="1"/>
          <c:order val="1"/>
          <c:tx>
            <c:strRef>
              <c:f>'[Kommunal kapital.xlsx]Tomteandel, simulering'!$Y$43</c:f>
              <c:strCache>
                <c:ptCount val="1"/>
                <c:pt idx="0">
                  <c:v>Levetid 20 år</c:v>
                </c:pt>
              </c:strCache>
            </c:strRef>
          </c:tx>
          <c:spPr>
            <a:solidFill>
              <a:srgbClr val="CCCC00"/>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simulering'!$Y$44:$Y$45</c:f>
              <c:numCache>
                <c:formatCode>0.0\ %</c:formatCode>
                <c:ptCount val="2"/>
                <c:pt idx="0">
                  <c:v>0.36273326454108068</c:v>
                </c:pt>
                <c:pt idx="1">
                  <c:v>0.32258064516129087</c:v>
                </c:pt>
              </c:numCache>
            </c:numRef>
          </c:val>
          <c:extLst>
            <c:ext xmlns:c16="http://schemas.microsoft.com/office/drawing/2014/chart" uri="{C3380CC4-5D6E-409C-BE32-E72D297353CC}">
              <c16:uniqueId val="{00000001-736F-4005-AD76-735FC9400FB9}"/>
            </c:ext>
          </c:extLst>
        </c:ser>
        <c:ser>
          <c:idx val="2"/>
          <c:order val="2"/>
          <c:tx>
            <c:strRef>
              <c:f>'[Kommunal kapital.xlsx]Tomteandel, simulering'!$Z$43</c:f>
              <c:strCache>
                <c:ptCount val="1"/>
                <c:pt idx="0">
                  <c:v>Levetid 30 år</c:v>
                </c:pt>
              </c:strCache>
            </c:strRef>
          </c:tx>
          <c:spPr>
            <a:solidFill>
              <a:srgbClr val="468C5C"/>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simulering'!$Z$44:$Z$45</c:f>
              <c:numCache>
                <c:formatCode>0.0\ %</c:formatCode>
                <c:ptCount val="2"/>
                <c:pt idx="0">
                  <c:v>0.36395737936548828</c:v>
                </c:pt>
                <c:pt idx="1">
                  <c:v>0.32608695652173936</c:v>
                </c:pt>
              </c:numCache>
            </c:numRef>
          </c:val>
          <c:extLst>
            <c:ext xmlns:c16="http://schemas.microsoft.com/office/drawing/2014/chart" uri="{C3380CC4-5D6E-409C-BE32-E72D297353CC}">
              <c16:uniqueId val="{00000002-736F-4005-AD76-735FC9400FB9}"/>
            </c:ext>
          </c:extLst>
        </c:ser>
        <c:ser>
          <c:idx val="3"/>
          <c:order val="3"/>
          <c:tx>
            <c:strRef>
              <c:f>'[Kommunal kapital.xlsx]Tomteandel, simulering'!$AA$43</c:f>
              <c:strCache>
                <c:ptCount val="1"/>
                <c:pt idx="0">
                  <c:v>Levetid 40 år</c:v>
                </c:pt>
              </c:strCache>
            </c:strRef>
          </c:tx>
          <c:spPr>
            <a:solidFill>
              <a:srgbClr val="87C399"/>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simulering'!$AA$44:$AA$45</c:f>
              <c:numCache>
                <c:formatCode>0.0\ %</c:formatCode>
                <c:ptCount val="2"/>
                <c:pt idx="0">
                  <c:v>0.36456757702477999</c:v>
                </c:pt>
                <c:pt idx="1">
                  <c:v>0.32786885245901715</c:v>
                </c:pt>
              </c:numCache>
            </c:numRef>
          </c:val>
          <c:extLst>
            <c:ext xmlns:c16="http://schemas.microsoft.com/office/drawing/2014/chart" uri="{C3380CC4-5D6E-409C-BE32-E72D297353CC}">
              <c16:uniqueId val="{00000003-736F-4005-AD76-735FC9400FB9}"/>
            </c:ext>
          </c:extLst>
        </c:ser>
        <c:ser>
          <c:idx val="4"/>
          <c:order val="4"/>
          <c:tx>
            <c:strRef>
              <c:f>'[Kommunal kapital.xlsx]Tomteandel, simulering'!$AB$43</c:f>
              <c:strCache>
                <c:ptCount val="1"/>
                <c:pt idx="0">
                  <c:v>Levetid 50 år</c:v>
                </c:pt>
              </c:strCache>
            </c:strRef>
          </c:tx>
          <c:spPr>
            <a:solidFill>
              <a:srgbClr val="AFD7BB"/>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simulering'!$AB$44:$AB$45</c:f>
              <c:numCache>
                <c:formatCode>0.0\ %</c:formatCode>
                <c:ptCount val="2"/>
                <c:pt idx="0">
                  <c:v>0.36493308195475843</c:v>
                </c:pt>
                <c:pt idx="1">
                  <c:v>0.32894736842105304</c:v>
                </c:pt>
              </c:numCache>
            </c:numRef>
          </c:val>
          <c:extLst>
            <c:ext xmlns:c16="http://schemas.microsoft.com/office/drawing/2014/chart" uri="{C3380CC4-5D6E-409C-BE32-E72D297353CC}">
              <c16:uniqueId val="{00000004-736F-4005-AD76-735FC9400FB9}"/>
            </c:ext>
          </c:extLst>
        </c:ser>
        <c:ser>
          <c:idx val="5"/>
          <c:order val="5"/>
          <c:tx>
            <c:strRef>
              <c:f>'[Kommunal kapital.xlsx]Tomteandel, simulering'!$AC$43</c:f>
              <c:strCache>
                <c:ptCount val="1"/>
                <c:pt idx="0">
                  <c:v>Levetid 60 år</c:v>
                </c:pt>
              </c:strCache>
            </c:strRef>
          </c:tx>
          <c:spPr>
            <a:solidFill>
              <a:srgbClr val="D7EBDD"/>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simulering'!$AC$44:$AC$45</c:f>
              <c:numCache>
                <c:formatCode>0.0\ %</c:formatCode>
                <c:ptCount val="2"/>
                <c:pt idx="0">
                  <c:v>0.36517649225748511</c:v>
                </c:pt>
                <c:pt idx="1">
                  <c:v>0.32967032967032861</c:v>
                </c:pt>
              </c:numCache>
            </c:numRef>
          </c:val>
          <c:extLst>
            <c:ext xmlns:c16="http://schemas.microsoft.com/office/drawing/2014/chart" uri="{C3380CC4-5D6E-409C-BE32-E72D297353CC}">
              <c16:uniqueId val="{00000005-736F-4005-AD76-735FC9400FB9}"/>
            </c:ext>
          </c:extLst>
        </c:ser>
        <c:ser>
          <c:idx val="6"/>
          <c:order val="6"/>
          <c:tx>
            <c:strRef>
              <c:f>'[Kommunal kapital.xlsx]Tomteandel, simulering'!$AD$43</c:f>
              <c:strCache>
                <c:ptCount val="1"/>
                <c:pt idx="0">
                  <c:v>Levetid 70 år</c:v>
                </c:pt>
              </c:strCache>
            </c:strRef>
          </c:tx>
          <c:spPr>
            <a:solidFill>
              <a:srgbClr val="A9C6E4"/>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simulering'!$AD$44:$AD$45</c:f>
              <c:numCache>
                <c:formatCode>0.0\ %</c:formatCode>
                <c:ptCount val="2"/>
                <c:pt idx="0">
                  <c:v>0.36535022839472364</c:v>
                </c:pt>
                <c:pt idx="1">
                  <c:v>0.330188679245282</c:v>
                </c:pt>
              </c:numCache>
            </c:numRef>
          </c:val>
          <c:extLst>
            <c:ext xmlns:c16="http://schemas.microsoft.com/office/drawing/2014/chart" uri="{C3380CC4-5D6E-409C-BE32-E72D297353CC}">
              <c16:uniqueId val="{00000006-736F-4005-AD76-735FC9400FB9}"/>
            </c:ext>
          </c:extLst>
        </c:ser>
        <c:ser>
          <c:idx val="7"/>
          <c:order val="7"/>
          <c:tx>
            <c:strRef>
              <c:f>'[Kommunal kapital.xlsx]Tomteandel, simulering'!$AE$43</c:f>
              <c:strCache>
                <c:ptCount val="1"/>
                <c:pt idx="0">
                  <c:v>Levetid 80 år</c:v>
                </c:pt>
              </c:strCache>
            </c:strRef>
          </c:tx>
          <c:spPr>
            <a:solidFill>
              <a:srgbClr val="3672B0"/>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simulering'!$AE$44:$AE$45</c:f>
              <c:numCache>
                <c:formatCode>0.0\ %</c:formatCode>
                <c:ptCount val="2"/>
                <c:pt idx="0">
                  <c:v>0.365480459856873</c:v>
                </c:pt>
                <c:pt idx="1">
                  <c:v>0.33057851239669228</c:v>
                </c:pt>
              </c:numCache>
            </c:numRef>
          </c:val>
          <c:extLst>
            <c:ext xmlns:c16="http://schemas.microsoft.com/office/drawing/2014/chart" uri="{C3380CC4-5D6E-409C-BE32-E72D297353CC}">
              <c16:uniqueId val="{00000007-736F-4005-AD76-735FC9400FB9}"/>
            </c:ext>
          </c:extLst>
        </c:ser>
        <c:dLbls>
          <c:showLegendKey val="0"/>
          <c:showVal val="0"/>
          <c:showCatName val="0"/>
          <c:showSerName val="0"/>
          <c:showPercent val="0"/>
          <c:showBubbleSize val="0"/>
        </c:dLbls>
        <c:gapWidth val="219"/>
        <c:overlap val="-27"/>
        <c:axId val="1412037327"/>
        <c:axId val="1412036367"/>
      </c:barChart>
      <c:catAx>
        <c:axId val="141203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1412036367"/>
        <c:crosses val="autoZero"/>
        <c:auto val="1"/>
        <c:lblAlgn val="ctr"/>
        <c:lblOffset val="100"/>
        <c:noMultiLvlLbl val="0"/>
      </c:catAx>
      <c:valAx>
        <c:axId val="1412036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141203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200" b="1" i="0" u="none" strike="noStrike" kern="1200" spc="0" baseline="0">
                <a:solidFill>
                  <a:srgbClr val="000000"/>
                </a:solidFill>
                <a:latin typeface="+mn-lt"/>
                <a:ea typeface="+mn-ea"/>
                <a:cs typeface="+mn-cs"/>
              </a:defRPr>
            </a:pPr>
            <a:r>
              <a:rPr lang="en-US" sz="1200" b="1"/>
              <a:t>Realkapitalkostnader og -utgifter</a:t>
            </a:r>
            <a:r>
              <a:rPr lang="en-US" sz="1200" b="1" baseline="0"/>
              <a:t> </a:t>
            </a:r>
            <a:r>
              <a:rPr lang="en-US" sz="1200" b="1"/>
              <a:t>etter art</a:t>
            </a:r>
          </a:p>
        </c:rich>
      </c:tx>
      <c:overlay val="0"/>
      <c:spPr>
        <a:noFill/>
        <a:ln>
          <a:noFill/>
        </a:ln>
        <a:effectLst/>
      </c:spPr>
      <c:txPr>
        <a:bodyPr rot="0" spcFirstLastPara="1" vertOverflow="ellipsis" vert="horz" wrap="square" anchor="ctr" anchorCtr="1"/>
        <a:lstStyle/>
        <a:p>
          <a:pPr algn="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stacked"/>
        <c:varyColors val="0"/>
        <c:ser>
          <c:idx val="0"/>
          <c:order val="0"/>
          <c:tx>
            <c:strRef>
              <c:f>Kapitalkostnader!$B$39</c:f>
              <c:strCache>
                <c:ptCount val="1"/>
                <c:pt idx="0">
                  <c:v>Fast eiendom og anlegg</c:v>
                </c:pt>
              </c:strCache>
            </c:strRef>
          </c:tx>
          <c:spPr>
            <a:solidFill>
              <a:schemeClr val="accent1"/>
            </a:solidFill>
            <a:ln>
              <a:noFill/>
            </a:ln>
            <a:effectLst/>
          </c:spPr>
          <c:invertIfNegative val="0"/>
          <c:cat>
            <c:strRef>
              <c:f>Kapitalkostnader!$C$38:$G$38</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Kapitalkostnader!$C$39:$G$39</c:f>
              <c:numCache>
                <c:formatCode>General</c:formatCode>
                <c:ptCount val="5"/>
                <c:pt idx="0">
                  <c:v>16821147</c:v>
                </c:pt>
                <c:pt idx="1">
                  <c:v>25790321</c:v>
                </c:pt>
                <c:pt idx="2">
                  <c:v>59556377</c:v>
                </c:pt>
                <c:pt idx="3">
                  <c:v>63528588</c:v>
                </c:pt>
                <c:pt idx="4">
                  <c:v>94018966</c:v>
                </c:pt>
              </c:numCache>
            </c:numRef>
          </c:val>
          <c:extLst>
            <c:ext xmlns:c16="http://schemas.microsoft.com/office/drawing/2014/chart" uri="{C3380CC4-5D6E-409C-BE32-E72D297353CC}">
              <c16:uniqueId val="{00000000-A58C-4E04-851C-A76C4EED8BE5}"/>
            </c:ext>
          </c:extLst>
        </c:ser>
        <c:ser>
          <c:idx val="1"/>
          <c:order val="1"/>
          <c:tx>
            <c:strRef>
              <c:f>Kapitalkostnader!$B$40</c:f>
              <c:strCache>
                <c:ptCount val="1"/>
                <c:pt idx="0">
                  <c:v>Maskiner, utstyr og transportmidler</c:v>
                </c:pt>
              </c:strCache>
            </c:strRef>
          </c:tx>
          <c:spPr>
            <a:solidFill>
              <a:schemeClr val="accent2"/>
            </a:solidFill>
            <a:ln>
              <a:noFill/>
            </a:ln>
            <a:effectLst/>
          </c:spPr>
          <c:invertIfNegative val="0"/>
          <c:cat>
            <c:strRef>
              <c:f>Kapitalkostnader!$C$38:$G$38</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Kapitalkostnader!$C$40:$G$40</c:f>
              <c:numCache>
                <c:formatCode>General</c:formatCode>
                <c:ptCount val="5"/>
                <c:pt idx="0">
                  <c:v>12730513</c:v>
                </c:pt>
                <c:pt idx="1">
                  <c:v>15235535</c:v>
                </c:pt>
                <c:pt idx="2">
                  <c:v>16830784</c:v>
                </c:pt>
                <c:pt idx="3">
                  <c:v>17097656</c:v>
                </c:pt>
                <c:pt idx="4">
                  <c:v>17505334</c:v>
                </c:pt>
              </c:numCache>
            </c:numRef>
          </c:val>
          <c:extLst>
            <c:ext xmlns:c16="http://schemas.microsoft.com/office/drawing/2014/chart" uri="{C3380CC4-5D6E-409C-BE32-E72D297353CC}">
              <c16:uniqueId val="{00000001-A58C-4E04-851C-A76C4EED8BE5}"/>
            </c:ext>
          </c:extLst>
        </c:ser>
        <c:ser>
          <c:idx val="2"/>
          <c:order val="2"/>
          <c:tx>
            <c:strRef>
              <c:f>Kapitalkostnader!$B$41</c:f>
              <c:strCache>
                <c:ptCount val="1"/>
                <c:pt idx="0">
                  <c:v>Immateriell kapital</c:v>
                </c:pt>
              </c:strCache>
            </c:strRef>
          </c:tx>
          <c:spPr>
            <a:solidFill>
              <a:schemeClr val="accent3"/>
            </a:solidFill>
            <a:ln>
              <a:noFill/>
            </a:ln>
            <a:effectLst/>
          </c:spPr>
          <c:invertIfNegative val="0"/>
          <c:cat>
            <c:strRef>
              <c:f>Kapitalkostnader!$C$38:$G$38</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Kapitalkostnader!$C$41:$G$41</c:f>
              <c:numCache>
                <c:formatCode>General</c:formatCode>
                <c:ptCount val="5"/>
                <c:pt idx="0">
                  <c:v>109265</c:v>
                </c:pt>
                <c:pt idx="1">
                  <c:v>214404</c:v>
                </c:pt>
                <c:pt idx="2">
                  <c:v>61241</c:v>
                </c:pt>
                <c:pt idx="3">
                  <c:v>61241</c:v>
                </c:pt>
                <c:pt idx="4">
                  <c:v>238315</c:v>
                </c:pt>
              </c:numCache>
            </c:numRef>
          </c:val>
          <c:extLst>
            <c:ext xmlns:c16="http://schemas.microsoft.com/office/drawing/2014/chart" uri="{C3380CC4-5D6E-409C-BE32-E72D297353CC}">
              <c16:uniqueId val="{00000002-A58C-4E04-851C-A76C4EED8BE5}"/>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solidFill>
                      <a:srgbClr val="000000"/>
                    </a:solidFill>
                  </a:rPr>
                  <a:t>Milliarder</a:t>
                </a:r>
                <a:r>
                  <a:rPr lang="nb-NO" b="1" baseline="0">
                    <a:solidFill>
                      <a:srgbClr val="000000"/>
                    </a:solidFill>
                  </a:rPr>
                  <a:t> kroner</a:t>
                </a:r>
                <a:endParaRPr lang="nb-NO" b="1">
                  <a:solidFill>
                    <a:srgbClr val="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i="0" u="none" strike="noStrike" kern="1200" spc="0" baseline="0">
                <a:solidFill>
                  <a:srgbClr val="000000"/>
                </a:solidFill>
              </a:rPr>
              <a:t>Realkapitalkostnader og -utgifter etter funksjon</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996831516863583"/>
          <c:y val="0.12682811404803188"/>
          <c:w val="0.34467233218185961"/>
          <c:h val="0.72662705897000779"/>
        </c:manualLayout>
      </c:layout>
      <c:barChart>
        <c:barDir val="bar"/>
        <c:grouping val="stacked"/>
        <c:varyColors val="0"/>
        <c:ser>
          <c:idx val="0"/>
          <c:order val="0"/>
          <c:tx>
            <c:strRef>
              <c:f>Kapitalkostnader!$B$55</c:f>
              <c:strCache>
                <c:ptCount val="1"/>
                <c:pt idx="0">
                  <c:v>Grunnskole</c:v>
                </c:pt>
              </c:strCache>
            </c:strRef>
          </c:tx>
          <c:spPr>
            <a:solidFill>
              <a:schemeClr val="accent1"/>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Kapitalkostnader!$C$55:$K$55</c:f>
              <c:numCache>
                <c:formatCode>General</c:formatCode>
                <c:ptCount val="9"/>
                <c:pt idx="0">
                  <c:v>6362096</c:v>
                </c:pt>
                <c:pt idx="1">
                  <c:v>9093064</c:v>
                </c:pt>
                <c:pt idx="2">
                  <c:v>6702539</c:v>
                </c:pt>
                <c:pt idx="3">
                  <c:v>9556550</c:v>
                </c:pt>
                <c:pt idx="4">
                  <c:v>13371026</c:v>
                </c:pt>
                <c:pt idx="5">
                  <c:v>14085894</c:v>
                </c:pt>
                <c:pt idx="6">
                  <c:v>14611191</c:v>
                </c:pt>
                <c:pt idx="7">
                  <c:v>20549919</c:v>
                </c:pt>
                <c:pt idx="8">
                  <c:v>23478744</c:v>
                </c:pt>
              </c:numCache>
            </c:numRef>
          </c:val>
          <c:extLst>
            <c:ext xmlns:c16="http://schemas.microsoft.com/office/drawing/2014/chart" uri="{C3380CC4-5D6E-409C-BE32-E72D297353CC}">
              <c16:uniqueId val="{00000000-999C-45CF-BA10-F4F70FEA0ABB}"/>
            </c:ext>
          </c:extLst>
        </c:ser>
        <c:ser>
          <c:idx val="1"/>
          <c:order val="1"/>
          <c:tx>
            <c:strRef>
              <c:f>Kapitalkostnader!$B$56</c:f>
              <c:strCache>
                <c:ptCount val="1"/>
                <c:pt idx="0">
                  <c:v>VAR-tjenester</c:v>
                </c:pt>
              </c:strCache>
            </c:strRef>
          </c:tx>
          <c:spPr>
            <a:solidFill>
              <a:schemeClr val="accent2"/>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Kapitalkostnader!$C$56:$K$56</c:f>
              <c:numCache>
                <c:formatCode>General</c:formatCode>
                <c:ptCount val="9"/>
                <c:pt idx="0">
                  <c:v>7661002</c:v>
                </c:pt>
                <c:pt idx="1">
                  <c:v>7696688</c:v>
                </c:pt>
                <c:pt idx="2">
                  <c:v>7819345</c:v>
                </c:pt>
                <c:pt idx="3">
                  <c:v>7832140</c:v>
                </c:pt>
                <c:pt idx="4">
                  <c:v>12341732</c:v>
                </c:pt>
                <c:pt idx="5">
                  <c:v>19152444</c:v>
                </c:pt>
                <c:pt idx="6">
                  <c:v>20106273</c:v>
                </c:pt>
                <c:pt idx="7">
                  <c:v>19263646</c:v>
                </c:pt>
                <c:pt idx="8">
                  <c:v>21659445</c:v>
                </c:pt>
              </c:numCache>
            </c:numRef>
          </c:val>
          <c:extLst>
            <c:ext xmlns:c16="http://schemas.microsoft.com/office/drawing/2014/chart" uri="{C3380CC4-5D6E-409C-BE32-E72D297353CC}">
              <c16:uniqueId val="{00000001-999C-45CF-BA10-F4F70FEA0ABB}"/>
            </c:ext>
          </c:extLst>
        </c:ser>
        <c:ser>
          <c:idx val="2"/>
          <c:order val="2"/>
          <c:tx>
            <c:strRef>
              <c:f>Kapitalkostnader!$B$57</c:f>
              <c:strCache>
                <c:ptCount val="1"/>
                <c:pt idx="0">
                  <c:v>Helse og omsorg</c:v>
                </c:pt>
              </c:strCache>
            </c:strRef>
          </c:tx>
          <c:spPr>
            <a:solidFill>
              <a:schemeClr val="accent3"/>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Kapitalkostnader!$C$57:$K$57</c:f>
              <c:numCache>
                <c:formatCode>General</c:formatCode>
                <c:ptCount val="9"/>
                <c:pt idx="0">
                  <c:v>7348202</c:v>
                </c:pt>
                <c:pt idx="1">
                  <c:v>5520150</c:v>
                </c:pt>
                <c:pt idx="2">
                  <c:v>8117882</c:v>
                </c:pt>
                <c:pt idx="3">
                  <c:v>6090547</c:v>
                </c:pt>
                <c:pt idx="4">
                  <c:v>11460384</c:v>
                </c:pt>
                <c:pt idx="5">
                  <c:v>8978776</c:v>
                </c:pt>
                <c:pt idx="6">
                  <c:v>9376446</c:v>
                </c:pt>
                <c:pt idx="7">
                  <c:v>14811638</c:v>
                </c:pt>
                <c:pt idx="8">
                  <c:v>16352464</c:v>
                </c:pt>
              </c:numCache>
            </c:numRef>
          </c:val>
          <c:extLst>
            <c:ext xmlns:c16="http://schemas.microsoft.com/office/drawing/2014/chart" uri="{C3380CC4-5D6E-409C-BE32-E72D297353CC}">
              <c16:uniqueId val="{00000002-999C-45CF-BA10-F4F70FEA0ABB}"/>
            </c:ext>
          </c:extLst>
        </c:ser>
        <c:ser>
          <c:idx val="3"/>
          <c:order val="3"/>
          <c:tx>
            <c:strRef>
              <c:f>Kapitalkostnader!$B$58</c:f>
              <c:strCache>
                <c:ptCount val="1"/>
                <c:pt idx="0">
                  <c:v>Samferdsel</c:v>
                </c:pt>
              </c:strCache>
            </c:strRef>
          </c:tx>
          <c:spPr>
            <a:solidFill>
              <a:schemeClr val="accent4"/>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Kapitalkostnader!$C$58:$K$58</c:f>
              <c:numCache>
                <c:formatCode>General</c:formatCode>
                <c:ptCount val="9"/>
                <c:pt idx="0">
                  <c:v>7560295</c:v>
                </c:pt>
                <c:pt idx="1">
                  <c:v>4274977</c:v>
                </c:pt>
                <c:pt idx="2">
                  <c:v>7904461</c:v>
                </c:pt>
                <c:pt idx="3">
                  <c:v>4495381</c:v>
                </c:pt>
                <c:pt idx="4">
                  <c:v>11092782</c:v>
                </c:pt>
                <c:pt idx="5" formatCode="_-* #\ ##0_-;\-* #\ ##0_-;_-* &quot;-&quot;??_-;_-@_-">
                  <c:v>8292692</c:v>
                </c:pt>
                <c:pt idx="6">
                  <c:v>8860651</c:v>
                </c:pt>
                <c:pt idx="7" formatCode="_-* #\ ##0_-;\-* #\ ##0_-;_-* &quot;-&quot;??_-;_-@_-">
                  <c:v>12498247</c:v>
                </c:pt>
                <c:pt idx="8">
                  <c:v>13517884</c:v>
                </c:pt>
              </c:numCache>
            </c:numRef>
          </c:val>
          <c:extLst>
            <c:ext xmlns:c16="http://schemas.microsoft.com/office/drawing/2014/chart" uri="{C3380CC4-5D6E-409C-BE32-E72D297353CC}">
              <c16:uniqueId val="{00000003-999C-45CF-BA10-F4F70FEA0ABB}"/>
            </c:ext>
          </c:extLst>
        </c:ser>
        <c:ser>
          <c:idx val="4"/>
          <c:order val="4"/>
          <c:tx>
            <c:strRef>
              <c:f>Kapitalkostnader!$B$59</c:f>
              <c:strCache>
                <c:ptCount val="1"/>
                <c:pt idx="0">
                  <c:v>Kommunale boliger</c:v>
                </c:pt>
              </c:strCache>
            </c:strRef>
          </c:tx>
          <c:spPr>
            <a:solidFill>
              <a:schemeClr val="accent5"/>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Kapitalkostnader!$C$59:$K$59</c:f>
              <c:numCache>
                <c:formatCode>General</c:formatCode>
                <c:ptCount val="9"/>
                <c:pt idx="0">
                  <c:v>3566058</c:v>
                </c:pt>
                <c:pt idx="1">
                  <c:v>4642526</c:v>
                </c:pt>
                <c:pt idx="2">
                  <c:v>3604826</c:v>
                </c:pt>
                <c:pt idx="3">
                  <c:v>4673645</c:v>
                </c:pt>
                <c:pt idx="4">
                  <c:v>5888473</c:v>
                </c:pt>
                <c:pt idx="5">
                  <c:v>6577501</c:v>
                </c:pt>
                <c:pt idx="6">
                  <c:v>7367899</c:v>
                </c:pt>
                <c:pt idx="7">
                  <c:v>10782841</c:v>
                </c:pt>
                <c:pt idx="8">
                  <c:v>12272568</c:v>
                </c:pt>
              </c:numCache>
            </c:numRef>
          </c:val>
          <c:extLst>
            <c:ext xmlns:c16="http://schemas.microsoft.com/office/drawing/2014/chart" uri="{C3380CC4-5D6E-409C-BE32-E72D297353CC}">
              <c16:uniqueId val="{00000004-999C-45CF-BA10-F4F70FEA0ABB}"/>
            </c:ext>
          </c:extLst>
        </c:ser>
        <c:ser>
          <c:idx val="5"/>
          <c:order val="5"/>
          <c:tx>
            <c:strRef>
              <c:f>Kapitalkostnader!$B$60</c:f>
              <c:strCache>
                <c:ptCount val="1"/>
                <c:pt idx="0">
                  <c:v>Kultursektoren</c:v>
                </c:pt>
              </c:strCache>
            </c:strRef>
          </c:tx>
          <c:spPr>
            <a:solidFill>
              <a:schemeClr val="accent6"/>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Kapitalkostnader!$C$60:$K$60</c:f>
              <c:numCache>
                <c:formatCode>General</c:formatCode>
                <c:ptCount val="9"/>
                <c:pt idx="0">
                  <c:v>2732104</c:v>
                </c:pt>
                <c:pt idx="1">
                  <c:v>3978237</c:v>
                </c:pt>
                <c:pt idx="2">
                  <c:v>2951555</c:v>
                </c:pt>
                <c:pt idx="3" formatCode="_-* #\ ##0_-;\-* #\ ##0_-;_-* &quot;-&quot;??_-;_-@_-">
                  <c:v>4286193</c:v>
                </c:pt>
                <c:pt idx="4">
                  <c:v>6127154</c:v>
                </c:pt>
                <c:pt idx="5">
                  <c:v>6476087</c:v>
                </c:pt>
                <c:pt idx="6">
                  <c:v>6734904</c:v>
                </c:pt>
                <c:pt idx="7">
                  <c:v>8938441</c:v>
                </c:pt>
                <c:pt idx="8">
                  <c:v>10219656</c:v>
                </c:pt>
              </c:numCache>
            </c:numRef>
          </c:val>
          <c:extLst>
            <c:ext xmlns:c16="http://schemas.microsoft.com/office/drawing/2014/chart" uri="{C3380CC4-5D6E-409C-BE32-E72D297353CC}">
              <c16:uniqueId val="{00000005-999C-45CF-BA10-F4F70FEA0ABB}"/>
            </c:ext>
          </c:extLst>
        </c:ser>
        <c:ser>
          <c:idx val="6"/>
          <c:order val="6"/>
          <c:tx>
            <c:strRef>
              <c:f>Kapitalkostnader!$B$61</c:f>
              <c:strCache>
                <c:ptCount val="1"/>
                <c:pt idx="0">
                  <c:v>Administrasjon og felles</c:v>
                </c:pt>
              </c:strCache>
            </c:strRef>
          </c:tx>
          <c:spPr>
            <a:solidFill>
              <a:schemeClr val="accent1">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Kapitalkostnader!$C$61:$K$61</c:f>
              <c:numCache>
                <c:formatCode>General</c:formatCode>
                <c:ptCount val="9"/>
                <c:pt idx="0" formatCode="_-* #\ ##0_-;\-* #\ ##0_-;_-* &quot;-&quot;??_-;_-@_-">
                  <c:v>1906277</c:v>
                </c:pt>
                <c:pt idx="1">
                  <c:v>2167156</c:v>
                </c:pt>
                <c:pt idx="2" formatCode="_-* #\ ##0_-;\-* #\ ##0_-;_-* &quot;-&quot;??_-;_-@_-">
                  <c:v>1901904</c:v>
                </c:pt>
                <c:pt idx="3" formatCode="_-* #\ ##0_-;\-* #\ ##0_-;_-* &quot;-&quot;??_-;_-@_-">
                  <c:v>2156073</c:v>
                </c:pt>
                <c:pt idx="4">
                  <c:v>3121394</c:v>
                </c:pt>
                <c:pt idx="5">
                  <c:v>3963336</c:v>
                </c:pt>
                <c:pt idx="6" formatCode="_-* #\ ##0_-;\-* #\ ##0_-;_-* &quot;-&quot;??_-;_-@_-">
                  <c:v>4148104</c:v>
                </c:pt>
                <c:pt idx="7" formatCode="_-* #\ ##0_-;\-* #\ ##0_-;_-* &quot;-&quot;??_-;_-@_-">
                  <c:v>5224091</c:v>
                </c:pt>
                <c:pt idx="8">
                  <c:v>5909051</c:v>
                </c:pt>
              </c:numCache>
            </c:numRef>
          </c:val>
          <c:extLst>
            <c:ext xmlns:c16="http://schemas.microsoft.com/office/drawing/2014/chart" uri="{C3380CC4-5D6E-409C-BE32-E72D297353CC}">
              <c16:uniqueId val="{00000006-999C-45CF-BA10-F4F70FEA0ABB}"/>
            </c:ext>
          </c:extLst>
        </c:ser>
        <c:ser>
          <c:idx val="7"/>
          <c:order val="7"/>
          <c:tx>
            <c:strRef>
              <c:f>Kapitalkostnader!$B$62</c:f>
              <c:strCache>
                <c:ptCount val="1"/>
                <c:pt idx="0">
                  <c:v>Barnehage</c:v>
                </c:pt>
              </c:strCache>
            </c:strRef>
          </c:tx>
          <c:spPr>
            <a:solidFill>
              <a:schemeClr val="accent2">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Kapitalkostnader!$C$62:$K$62</c:f>
              <c:numCache>
                <c:formatCode>General</c:formatCode>
                <c:ptCount val="9"/>
                <c:pt idx="0">
                  <c:v>1434680</c:v>
                </c:pt>
                <c:pt idx="1">
                  <c:v>2134851</c:v>
                </c:pt>
                <c:pt idx="2">
                  <c:v>1484064</c:v>
                </c:pt>
                <c:pt idx="3" formatCode="_-* #\ ##0_-;\-* #\ ##0_-;_-* &quot;-&quot;??_-;_-@_-">
                  <c:v>2202377</c:v>
                </c:pt>
                <c:pt idx="4">
                  <c:v>2906652</c:v>
                </c:pt>
                <c:pt idx="5">
                  <c:v>2271800</c:v>
                </c:pt>
                <c:pt idx="6">
                  <c:v>2397457</c:v>
                </c:pt>
                <c:pt idx="7">
                  <c:v>4802448</c:v>
                </c:pt>
                <c:pt idx="8">
                  <c:v>5497575</c:v>
                </c:pt>
              </c:numCache>
            </c:numRef>
          </c:val>
          <c:extLst>
            <c:ext xmlns:c16="http://schemas.microsoft.com/office/drawing/2014/chart" uri="{C3380CC4-5D6E-409C-BE32-E72D297353CC}">
              <c16:uniqueId val="{00000007-999C-45CF-BA10-F4F70FEA0ABB}"/>
            </c:ext>
          </c:extLst>
        </c:ser>
        <c:ser>
          <c:idx val="8"/>
          <c:order val="8"/>
          <c:tx>
            <c:strRef>
              <c:f>Kapitalkostnader!$B$63</c:f>
              <c:strCache>
                <c:ptCount val="1"/>
                <c:pt idx="0">
                  <c:v>Næringsforvaltning</c:v>
                </c:pt>
              </c:strCache>
            </c:strRef>
          </c:tx>
          <c:spPr>
            <a:solidFill>
              <a:schemeClr val="accent3">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Kapitalkostnader!$C$63:$K$63</c:f>
              <c:numCache>
                <c:formatCode>General</c:formatCode>
                <c:ptCount val="9"/>
                <c:pt idx="0">
                  <c:v>1308457</c:v>
                </c:pt>
                <c:pt idx="1">
                  <c:v>1480537</c:v>
                </c:pt>
                <c:pt idx="2" formatCode="_-* #\ ##0_-;\-* #\ ##0_-;_-* &quot;-&quot;??_-;_-@_-">
                  <c:v>1312841</c:v>
                </c:pt>
                <c:pt idx="3" formatCode="_-* #\ ##0_-;\-* #\ ##0_-;_-* &quot;-&quot;??_-;_-@_-">
                  <c:v>1480611</c:v>
                </c:pt>
                <c:pt idx="4">
                  <c:v>2151370</c:v>
                </c:pt>
                <c:pt idx="5">
                  <c:v>2158522</c:v>
                </c:pt>
                <c:pt idx="6" formatCode="_-* #\ ##0_-;\-* #\ ##0_-;_-* &quot;-&quot;??_-;_-@_-">
                  <c:v>2280111</c:v>
                </c:pt>
                <c:pt idx="7" formatCode="_-* #\ ##0_-;\-* #\ ##0_-;_-* &quot;-&quot;??_-;_-@_-">
                  <c:v>3583830</c:v>
                </c:pt>
                <c:pt idx="8">
                  <c:v>4053532</c:v>
                </c:pt>
              </c:numCache>
            </c:numRef>
          </c:val>
          <c:extLst>
            <c:ext xmlns:c16="http://schemas.microsoft.com/office/drawing/2014/chart" uri="{C3380CC4-5D6E-409C-BE32-E72D297353CC}">
              <c16:uniqueId val="{00000008-999C-45CF-BA10-F4F70FEA0ABB}"/>
            </c:ext>
          </c:extLst>
        </c:ser>
        <c:ser>
          <c:idx val="9"/>
          <c:order val="9"/>
          <c:tx>
            <c:strRef>
              <c:f>Kapitalkostnader!$B$64</c:f>
              <c:strCache>
                <c:ptCount val="1"/>
                <c:pt idx="0">
                  <c:v>Plan, byggesak og miljø</c:v>
                </c:pt>
              </c:strCache>
            </c:strRef>
          </c:tx>
          <c:spPr>
            <a:solidFill>
              <a:schemeClr val="accent4">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Kapitalkostnader!$C$64:$K$64</c:f>
              <c:numCache>
                <c:formatCode>General</c:formatCode>
                <c:ptCount val="9"/>
                <c:pt idx="0">
                  <c:v>1077302</c:v>
                </c:pt>
                <c:pt idx="1">
                  <c:v>1223825</c:v>
                </c:pt>
                <c:pt idx="2">
                  <c:v>1081776</c:v>
                </c:pt>
                <c:pt idx="3">
                  <c:v>1225669</c:v>
                </c:pt>
                <c:pt idx="4">
                  <c:v>1743029</c:v>
                </c:pt>
                <c:pt idx="5">
                  <c:v>2403499</c:v>
                </c:pt>
                <c:pt idx="6">
                  <c:v>2544864</c:v>
                </c:pt>
                <c:pt idx="7">
                  <c:v>2952200</c:v>
                </c:pt>
                <c:pt idx="8">
                  <c:v>3339284</c:v>
                </c:pt>
              </c:numCache>
            </c:numRef>
          </c:val>
          <c:extLst>
            <c:ext xmlns:c16="http://schemas.microsoft.com/office/drawing/2014/chart" uri="{C3380CC4-5D6E-409C-BE32-E72D297353CC}">
              <c16:uniqueId val="{00000009-999C-45CF-BA10-F4F70FEA0ABB}"/>
            </c:ext>
          </c:extLst>
        </c:ser>
        <c:ser>
          <c:idx val="10"/>
          <c:order val="10"/>
          <c:tx>
            <c:strRef>
              <c:f>Kapitalkostnader!$B$65</c:f>
              <c:strCache>
                <c:ptCount val="1"/>
                <c:pt idx="0">
                  <c:v>Kirke</c:v>
                </c:pt>
              </c:strCache>
            </c:strRef>
          </c:tx>
          <c:spPr>
            <a:solidFill>
              <a:schemeClr val="accent5">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Kapitalkostnader!$C$65:$K$65</c:f>
              <c:numCache>
                <c:formatCode>General</c:formatCode>
                <c:ptCount val="9"/>
                <c:pt idx="0">
                  <c:v>534330</c:v>
                </c:pt>
                <c:pt idx="1">
                  <c:v>596703</c:v>
                </c:pt>
                <c:pt idx="2">
                  <c:v>622838</c:v>
                </c:pt>
                <c:pt idx="3">
                  <c:v>693069</c:v>
                </c:pt>
                <c:pt idx="4">
                  <c:v>1316404</c:v>
                </c:pt>
                <c:pt idx="5">
                  <c:v>865804</c:v>
                </c:pt>
                <c:pt idx="6">
                  <c:v>916329</c:v>
                </c:pt>
                <c:pt idx="7">
                  <c:v>1444722</c:v>
                </c:pt>
                <c:pt idx="8">
                  <c:v>1632654</c:v>
                </c:pt>
              </c:numCache>
            </c:numRef>
          </c:val>
          <c:extLst>
            <c:ext xmlns:c16="http://schemas.microsoft.com/office/drawing/2014/chart" uri="{C3380CC4-5D6E-409C-BE32-E72D297353CC}">
              <c16:uniqueId val="{0000000A-999C-45CF-BA10-F4F70FEA0ABB}"/>
            </c:ext>
          </c:extLst>
        </c:ser>
        <c:ser>
          <c:idx val="11"/>
          <c:order val="11"/>
          <c:tx>
            <c:strRef>
              <c:f>Kapitalkostnader!$B$66</c:f>
              <c:strCache>
                <c:ptCount val="1"/>
                <c:pt idx="0">
                  <c:v>Brann- og ulykkesvern</c:v>
                </c:pt>
              </c:strCache>
            </c:strRef>
          </c:tx>
          <c:spPr>
            <a:solidFill>
              <a:schemeClr val="accent6">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Kapitalkostnader!$C$66:$K$66</c:f>
              <c:numCache>
                <c:formatCode>General</c:formatCode>
                <c:ptCount val="9"/>
                <c:pt idx="0">
                  <c:v>456379</c:v>
                </c:pt>
                <c:pt idx="1">
                  <c:v>520835</c:v>
                </c:pt>
                <c:pt idx="2">
                  <c:v>461150</c:v>
                </c:pt>
                <c:pt idx="3">
                  <c:v>525141</c:v>
                </c:pt>
                <c:pt idx="4">
                  <c:v>764671</c:v>
                </c:pt>
                <c:pt idx="5">
                  <c:v>1770400</c:v>
                </c:pt>
                <c:pt idx="6">
                  <c:v>1875348</c:v>
                </c:pt>
                <c:pt idx="7">
                  <c:v>1250478</c:v>
                </c:pt>
                <c:pt idx="8">
                  <c:v>1414487</c:v>
                </c:pt>
              </c:numCache>
            </c:numRef>
          </c:val>
          <c:extLst>
            <c:ext xmlns:c16="http://schemas.microsoft.com/office/drawing/2014/chart" uri="{C3380CC4-5D6E-409C-BE32-E72D297353CC}">
              <c16:uniqueId val="{0000000B-999C-45CF-BA10-F4F70FEA0ABB}"/>
            </c:ext>
          </c:extLst>
        </c:ser>
        <c:ser>
          <c:idx val="12"/>
          <c:order val="12"/>
          <c:tx>
            <c:strRef>
              <c:f>Kapitalkostnader!$B$67</c:f>
              <c:strCache>
                <c:ptCount val="1"/>
                <c:pt idx="0">
                  <c:v>Sosialsektoren</c:v>
                </c:pt>
              </c:strCache>
            </c:strRef>
          </c:tx>
          <c:spPr>
            <a:solidFill>
              <a:schemeClr val="accent1">
                <a:lumMod val="80000"/>
                <a:lumOff val="2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Kapitalkostnader!$C$67:$K$67</c:f>
              <c:numCache>
                <c:formatCode>General</c:formatCode>
                <c:ptCount val="9"/>
                <c:pt idx="0">
                  <c:v>72075</c:v>
                </c:pt>
                <c:pt idx="1">
                  <c:v>108122</c:v>
                </c:pt>
                <c:pt idx="2" formatCode="_-* #\ ##0_-;\-* #\ ##0_-;_-* &quot;-&quot;??_-;_-@_-">
                  <c:v>74404</c:v>
                </c:pt>
                <c:pt idx="3" formatCode="_-* #\ ##0_-;\-* #\ ##0_-;_-* &quot;-&quot;??_-;_-@_-">
                  <c:v>111440</c:v>
                </c:pt>
                <c:pt idx="4" formatCode="_-* #\ ##0_-;\-* #\ ##0_-;_-* &quot;-&quot;??_-;_-@_-">
                  <c:v>149487</c:v>
                </c:pt>
                <c:pt idx="5" formatCode="_-* #\ ##0_-;\-* #\ ##0_-;_-* &quot;-&quot;??_-;_-@_-">
                  <c:v>326846</c:v>
                </c:pt>
                <c:pt idx="6">
                  <c:v>339279</c:v>
                </c:pt>
                <c:pt idx="7">
                  <c:v>241301</c:v>
                </c:pt>
                <c:pt idx="8">
                  <c:v>276248</c:v>
                </c:pt>
              </c:numCache>
            </c:numRef>
          </c:val>
          <c:extLst>
            <c:ext xmlns:c16="http://schemas.microsoft.com/office/drawing/2014/chart" uri="{C3380CC4-5D6E-409C-BE32-E72D297353CC}">
              <c16:uniqueId val="{0000000C-999C-45CF-BA10-F4F70FEA0ABB}"/>
            </c:ext>
          </c:extLst>
        </c:ser>
        <c:ser>
          <c:idx val="13"/>
          <c:order val="13"/>
          <c:tx>
            <c:strRef>
              <c:f>Kapitalkostnader!$B$68</c:f>
              <c:strCache>
                <c:ptCount val="1"/>
                <c:pt idx="0">
                  <c:v>Barnevern</c:v>
                </c:pt>
              </c:strCache>
            </c:strRef>
          </c:tx>
          <c:spPr>
            <a:solidFill>
              <a:schemeClr val="accent2">
                <a:lumMod val="80000"/>
                <a:lumOff val="2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Kapitalkostnader!$C$68:$K$68</c:f>
              <c:numCache>
                <c:formatCode>General</c:formatCode>
                <c:ptCount val="9"/>
                <c:pt idx="0">
                  <c:v>18025</c:v>
                </c:pt>
                <c:pt idx="1">
                  <c:v>26914</c:v>
                </c:pt>
                <c:pt idx="2" formatCode="_-* #\ ##0_-;\-* #\ ##0_-;_-* &quot;-&quot;??_-;_-@_-">
                  <c:v>18560</c:v>
                </c:pt>
                <c:pt idx="3">
                  <c:v>27661</c:v>
                </c:pt>
                <c:pt idx="4" formatCode="_-* #\ ##0_-;\-* #\ ##0_-;_-* &quot;-&quot;??_-;_-@_-">
                  <c:v>38028</c:v>
                </c:pt>
                <c:pt idx="5">
                  <c:v>86004</c:v>
                </c:pt>
                <c:pt idx="6">
                  <c:v>90794</c:v>
                </c:pt>
                <c:pt idx="7">
                  <c:v>60291</c:v>
                </c:pt>
                <c:pt idx="8">
                  <c:v>69020</c:v>
                </c:pt>
              </c:numCache>
            </c:numRef>
          </c:val>
          <c:extLst>
            <c:ext xmlns:c16="http://schemas.microsoft.com/office/drawing/2014/chart" uri="{C3380CC4-5D6E-409C-BE32-E72D297353CC}">
              <c16:uniqueId val="{0000000D-999C-45CF-BA10-F4F70FEA0ABB}"/>
            </c:ext>
          </c:extLst>
        </c:ser>
        <c:ser>
          <c:idx val="14"/>
          <c:order val="14"/>
          <c:tx>
            <c:strRef>
              <c:f>Kapitalkostnader!$B$69</c:f>
              <c:strCache>
                <c:ptCount val="1"/>
              </c:strCache>
            </c:strRef>
          </c:tx>
          <c:spPr>
            <a:solidFill>
              <a:schemeClr val="accent3">
                <a:lumMod val="80000"/>
                <a:lumOff val="2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Kapitalkostnader!$C$69:$K$69</c:f>
              <c:numCache>
                <c:formatCode>General</c:formatCode>
                <c:ptCount val="9"/>
              </c:numCache>
            </c:numRef>
          </c:val>
          <c:extLst>
            <c:ext xmlns:c16="http://schemas.microsoft.com/office/drawing/2014/chart" uri="{C3380CC4-5D6E-409C-BE32-E72D297353CC}">
              <c16:uniqueId val="{0000000E-999C-45CF-BA10-F4F70FEA0ABB}"/>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Milliarder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Korrelasjonskoeffisienter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Kapitalkostnader!$B$84</c:f>
              <c:strCache>
                <c:ptCount val="1"/>
                <c:pt idx="0">
                  <c:v>20 prosent lavere depresieringsrater</c:v>
                </c:pt>
              </c:strCache>
            </c:strRef>
          </c:tx>
          <c:spPr>
            <a:solidFill>
              <a:schemeClr val="accent1"/>
            </a:solidFill>
            <a:ln>
              <a:noFill/>
            </a:ln>
            <a:effectLst/>
          </c:spPr>
          <c:invertIfNegative val="0"/>
          <c:cat>
            <c:strRef>
              <c:f>Kapitalkostnader!$C$83:$D$83</c:f>
              <c:strCache>
                <c:ptCount val="2"/>
                <c:pt idx="0">
                  <c:v> Kapitalslit, PIM-dd art </c:v>
                </c:pt>
                <c:pt idx="1">
                  <c:v> Kapitalslit, PIM-dd funksjon </c:v>
                </c:pt>
              </c:strCache>
            </c:strRef>
          </c:cat>
          <c:val>
            <c:numRef>
              <c:f>Kapitalkostnader!$C$84:$D$84</c:f>
              <c:numCache>
                <c:formatCode>General</c:formatCode>
                <c:ptCount val="2"/>
                <c:pt idx="0">
                  <c:v>0.99760000000000004</c:v>
                </c:pt>
                <c:pt idx="1">
                  <c:v>0.99929999999999997</c:v>
                </c:pt>
              </c:numCache>
            </c:numRef>
          </c:val>
          <c:extLst>
            <c:ext xmlns:c16="http://schemas.microsoft.com/office/drawing/2014/chart" uri="{C3380CC4-5D6E-409C-BE32-E72D297353CC}">
              <c16:uniqueId val="{00000000-F5D9-4397-8C84-3EADEC49B5DD}"/>
            </c:ext>
          </c:extLst>
        </c:ser>
        <c:ser>
          <c:idx val="1"/>
          <c:order val="1"/>
          <c:tx>
            <c:strRef>
              <c:f>Kapitalkostnader!$B$85</c:f>
              <c:strCache>
                <c:ptCount val="1"/>
                <c:pt idx="0">
                  <c:v>20 prosent høyere depresieringsrater</c:v>
                </c:pt>
              </c:strCache>
            </c:strRef>
          </c:tx>
          <c:spPr>
            <a:solidFill>
              <a:schemeClr val="accent2"/>
            </a:solidFill>
            <a:ln>
              <a:noFill/>
            </a:ln>
            <a:effectLst/>
          </c:spPr>
          <c:invertIfNegative val="0"/>
          <c:cat>
            <c:strRef>
              <c:f>Kapitalkostnader!$C$83:$D$83</c:f>
              <c:strCache>
                <c:ptCount val="2"/>
                <c:pt idx="0">
                  <c:v> Kapitalslit, PIM-dd art </c:v>
                </c:pt>
                <c:pt idx="1">
                  <c:v> Kapitalslit, PIM-dd funksjon </c:v>
                </c:pt>
              </c:strCache>
            </c:strRef>
          </c:cat>
          <c:val>
            <c:numRef>
              <c:f>Kapitalkostnader!$C$85:$D$85</c:f>
              <c:numCache>
                <c:formatCode>General</c:formatCode>
                <c:ptCount val="2"/>
                <c:pt idx="0">
                  <c:v>0.998</c:v>
                </c:pt>
                <c:pt idx="1">
                  <c:v>0.99929999999999997</c:v>
                </c:pt>
              </c:numCache>
            </c:numRef>
          </c:val>
          <c:extLst>
            <c:ext xmlns:c16="http://schemas.microsoft.com/office/drawing/2014/chart" uri="{C3380CC4-5D6E-409C-BE32-E72D297353CC}">
              <c16:uniqueId val="{00000001-F5D9-4397-8C84-3EADEC49B5DD}"/>
            </c:ext>
          </c:extLst>
        </c:ser>
        <c:ser>
          <c:idx val="2"/>
          <c:order val="2"/>
          <c:tx>
            <c:strRef>
              <c:f>Kapitalkostnader!$B$86</c:f>
              <c:strCache>
                <c:ptCount val="1"/>
                <c:pt idx="0">
                  <c:v>20 prosent lavere prisvekst</c:v>
                </c:pt>
              </c:strCache>
            </c:strRef>
          </c:tx>
          <c:spPr>
            <a:solidFill>
              <a:schemeClr val="accent3"/>
            </a:solidFill>
            <a:ln>
              <a:noFill/>
            </a:ln>
            <a:effectLst/>
          </c:spPr>
          <c:invertIfNegative val="0"/>
          <c:cat>
            <c:strRef>
              <c:f>Kapitalkostnader!$C$83:$D$83</c:f>
              <c:strCache>
                <c:ptCount val="2"/>
                <c:pt idx="0">
                  <c:v> Kapitalslit, PIM-dd art </c:v>
                </c:pt>
                <c:pt idx="1">
                  <c:v> Kapitalslit, PIM-dd funksjon </c:v>
                </c:pt>
              </c:strCache>
            </c:strRef>
          </c:cat>
          <c:val>
            <c:numRef>
              <c:f>Kapitalkostnader!$C$86:$D$86</c:f>
              <c:numCache>
                <c:formatCode>General</c:formatCode>
                <c:ptCount val="2"/>
                <c:pt idx="0">
                  <c:v>0.999</c:v>
                </c:pt>
                <c:pt idx="1">
                  <c:v>0.99850000000000005</c:v>
                </c:pt>
              </c:numCache>
            </c:numRef>
          </c:val>
          <c:extLst>
            <c:ext xmlns:c16="http://schemas.microsoft.com/office/drawing/2014/chart" uri="{C3380CC4-5D6E-409C-BE32-E72D297353CC}">
              <c16:uniqueId val="{00000002-F5D9-4397-8C84-3EADEC49B5DD}"/>
            </c:ext>
          </c:extLst>
        </c:ser>
        <c:ser>
          <c:idx val="3"/>
          <c:order val="3"/>
          <c:tx>
            <c:strRef>
              <c:f>Kapitalkostnader!$B$87</c:f>
              <c:strCache>
                <c:ptCount val="1"/>
                <c:pt idx="0">
                  <c:v>20 prosent høyere prisvekst</c:v>
                </c:pt>
              </c:strCache>
            </c:strRef>
          </c:tx>
          <c:spPr>
            <a:solidFill>
              <a:schemeClr val="accent4"/>
            </a:solidFill>
            <a:ln>
              <a:noFill/>
            </a:ln>
            <a:effectLst/>
          </c:spPr>
          <c:invertIfNegative val="0"/>
          <c:cat>
            <c:strRef>
              <c:f>Kapitalkostnader!$C$83:$D$83</c:f>
              <c:strCache>
                <c:ptCount val="2"/>
                <c:pt idx="0">
                  <c:v> Kapitalslit, PIM-dd art </c:v>
                </c:pt>
                <c:pt idx="1">
                  <c:v> Kapitalslit, PIM-dd funksjon </c:v>
                </c:pt>
              </c:strCache>
            </c:strRef>
          </c:cat>
          <c:val>
            <c:numRef>
              <c:f>Kapitalkostnader!$C$87:$D$87</c:f>
              <c:numCache>
                <c:formatCode>General</c:formatCode>
                <c:ptCount val="2"/>
                <c:pt idx="0">
                  <c:v>0.99780000000000002</c:v>
                </c:pt>
                <c:pt idx="1">
                  <c:v>0.99670000000000003</c:v>
                </c:pt>
              </c:numCache>
            </c:numRef>
          </c:val>
          <c:extLst>
            <c:ext xmlns:c16="http://schemas.microsoft.com/office/drawing/2014/chart" uri="{C3380CC4-5D6E-409C-BE32-E72D297353CC}">
              <c16:uniqueId val="{00000003-F5D9-4397-8C84-3EADEC49B5DD}"/>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solidFill>
                  <a:srgbClr val="000000"/>
                </a:solidFill>
              </a:rPr>
              <a:t>b) Kapitalslit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1"/>
          <c:order val="0"/>
          <c:tx>
            <c:strRef>
              <c:f>Kapitalkostnader!$B$99</c:f>
              <c:strCache>
                <c:ptCount val="1"/>
                <c:pt idx="0">
                  <c:v>20 prosent lavere depresieringsrater</c:v>
                </c:pt>
              </c:strCache>
            </c:strRef>
          </c:tx>
          <c:spPr>
            <a:solidFill>
              <a:schemeClr val="accent2"/>
            </a:solidFill>
            <a:ln>
              <a:noFill/>
            </a:ln>
            <a:effectLst/>
          </c:spPr>
          <c:invertIfNegative val="0"/>
          <c:cat>
            <c:strRef>
              <c:f>Kapitalkostnader!$C$83:$D$83</c:f>
              <c:strCache>
                <c:ptCount val="2"/>
                <c:pt idx="0">
                  <c:v> Kapitalslit, PIM-dd art </c:v>
                </c:pt>
                <c:pt idx="1">
                  <c:v> Kapitalslit, PIM-dd funksjon </c:v>
                </c:pt>
              </c:strCache>
            </c:strRef>
          </c:cat>
          <c:val>
            <c:numRef>
              <c:f>Kapitalkostnader!$C$99:$D$99</c:f>
              <c:numCache>
                <c:formatCode>General</c:formatCode>
                <c:ptCount val="2"/>
                <c:pt idx="0">
                  <c:v>36524593</c:v>
                </c:pt>
                <c:pt idx="1">
                  <c:v>36396922</c:v>
                </c:pt>
              </c:numCache>
            </c:numRef>
          </c:val>
          <c:extLst>
            <c:ext xmlns:c16="http://schemas.microsoft.com/office/drawing/2014/chart" uri="{C3380CC4-5D6E-409C-BE32-E72D297353CC}">
              <c16:uniqueId val="{00000000-2A11-41E2-A76B-1908B99B18A6}"/>
            </c:ext>
          </c:extLst>
        </c:ser>
        <c:ser>
          <c:idx val="3"/>
          <c:order val="1"/>
          <c:tx>
            <c:strRef>
              <c:f>Kapitalkostnader!$B$101</c:f>
              <c:strCache>
                <c:ptCount val="1"/>
                <c:pt idx="0">
                  <c:v>20 prosent lavere prisvekst</c:v>
                </c:pt>
              </c:strCache>
            </c:strRef>
          </c:tx>
          <c:spPr>
            <a:solidFill>
              <a:schemeClr val="accent4"/>
            </a:solidFill>
            <a:ln>
              <a:noFill/>
            </a:ln>
            <a:effectLst/>
          </c:spPr>
          <c:invertIfNegative val="0"/>
          <c:cat>
            <c:strRef>
              <c:f>Kapitalkostnader!$C$83:$D$83</c:f>
              <c:strCache>
                <c:ptCount val="2"/>
                <c:pt idx="0">
                  <c:v> Kapitalslit, PIM-dd art </c:v>
                </c:pt>
                <c:pt idx="1">
                  <c:v> Kapitalslit, PIM-dd funksjon </c:v>
                </c:pt>
              </c:strCache>
            </c:strRef>
          </c:cat>
          <c:val>
            <c:numRef>
              <c:f>Kapitalkostnader!$C$101:$D$101</c:f>
              <c:numCache>
                <c:formatCode>General</c:formatCode>
                <c:ptCount val="2"/>
                <c:pt idx="0">
                  <c:v>39863394</c:v>
                </c:pt>
                <c:pt idx="1">
                  <c:v>37181851</c:v>
                </c:pt>
              </c:numCache>
            </c:numRef>
          </c:val>
          <c:extLst>
            <c:ext xmlns:c16="http://schemas.microsoft.com/office/drawing/2014/chart" uri="{C3380CC4-5D6E-409C-BE32-E72D297353CC}">
              <c16:uniqueId val="{00000001-2A11-41E2-A76B-1908B99B18A6}"/>
            </c:ext>
          </c:extLst>
        </c:ser>
        <c:ser>
          <c:idx val="0"/>
          <c:order val="2"/>
          <c:tx>
            <c:strRef>
              <c:f>Kapitalkostnader!$B$98</c:f>
              <c:strCache>
                <c:ptCount val="1"/>
                <c:pt idx="0">
                  <c:v>Hovedestimat</c:v>
                </c:pt>
              </c:strCache>
            </c:strRef>
          </c:tx>
          <c:spPr>
            <a:solidFill>
              <a:schemeClr val="accent1"/>
            </a:solidFill>
            <a:ln>
              <a:noFill/>
            </a:ln>
            <a:effectLst/>
          </c:spPr>
          <c:invertIfNegative val="0"/>
          <c:cat>
            <c:strRef>
              <c:f>Kapitalkostnader!$C$83:$D$83</c:f>
              <c:strCache>
                <c:ptCount val="2"/>
                <c:pt idx="0">
                  <c:v> Kapitalslit, PIM-dd art </c:v>
                </c:pt>
                <c:pt idx="1">
                  <c:v> Kapitalslit, PIM-dd funksjon </c:v>
                </c:pt>
              </c:strCache>
            </c:strRef>
          </c:cat>
          <c:val>
            <c:numRef>
              <c:f>Kapitalkostnader!$C$98:$D$98</c:f>
              <c:numCache>
                <c:formatCode>General</c:formatCode>
                <c:ptCount val="2"/>
                <c:pt idx="0">
                  <c:v>41240260</c:v>
                </c:pt>
                <c:pt idx="1">
                  <c:v>42037282</c:v>
                </c:pt>
              </c:numCache>
            </c:numRef>
          </c:val>
          <c:extLst>
            <c:ext xmlns:c16="http://schemas.microsoft.com/office/drawing/2014/chart" uri="{C3380CC4-5D6E-409C-BE32-E72D297353CC}">
              <c16:uniqueId val="{00000002-2A11-41E2-A76B-1908B99B18A6}"/>
            </c:ext>
          </c:extLst>
        </c:ser>
        <c:ser>
          <c:idx val="4"/>
          <c:order val="3"/>
          <c:tx>
            <c:strRef>
              <c:f>Kapitalkostnader!$B$102</c:f>
              <c:strCache>
                <c:ptCount val="1"/>
                <c:pt idx="0">
                  <c:v>20 prosent høyere prisvekst</c:v>
                </c:pt>
              </c:strCache>
            </c:strRef>
          </c:tx>
          <c:spPr>
            <a:solidFill>
              <a:schemeClr val="accent5"/>
            </a:solidFill>
            <a:ln>
              <a:noFill/>
            </a:ln>
            <a:effectLst/>
          </c:spPr>
          <c:invertIfNegative val="0"/>
          <c:cat>
            <c:strRef>
              <c:f>Kapitalkostnader!$C$83:$D$83</c:f>
              <c:strCache>
                <c:ptCount val="2"/>
                <c:pt idx="0">
                  <c:v> Kapitalslit, PIM-dd art </c:v>
                </c:pt>
                <c:pt idx="1">
                  <c:v> Kapitalslit, PIM-dd funksjon </c:v>
                </c:pt>
              </c:strCache>
            </c:strRef>
          </c:cat>
          <c:val>
            <c:numRef>
              <c:f>Kapitalkostnader!$C$102:$D$102</c:f>
              <c:numCache>
                <c:formatCode>General</c:formatCode>
                <c:ptCount val="2"/>
                <c:pt idx="0">
                  <c:v>43514820</c:v>
                </c:pt>
                <c:pt idx="1">
                  <c:v>49940774</c:v>
                </c:pt>
              </c:numCache>
            </c:numRef>
          </c:val>
          <c:extLst>
            <c:ext xmlns:c16="http://schemas.microsoft.com/office/drawing/2014/chart" uri="{C3380CC4-5D6E-409C-BE32-E72D297353CC}">
              <c16:uniqueId val="{00000003-2A11-41E2-A76B-1908B99B18A6}"/>
            </c:ext>
          </c:extLst>
        </c:ser>
        <c:ser>
          <c:idx val="2"/>
          <c:order val="4"/>
          <c:tx>
            <c:strRef>
              <c:f>Kapitalkostnader!$B$100</c:f>
              <c:strCache>
                <c:ptCount val="1"/>
                <c:pt idx="0">
                  <c:v>20 prosent høyere depresieringsrater</c:v>
                </c:pt>
              </c:strCache>
            </c:strRef>
          </c:tx>
          <c:spPr>
            <a:solidFill>
              <a:schemeClr val="accent3"/>
            </a:solidFill>
            <a:ln>
              <a:noFill/>
            </a:ln>
            <a:effectLst/>
          </c:spPr>
          <c:invertIfNegative val="0"/>
          <c:cat>
            <c:strRef>
              <c:f>Kapitalkostnader!$C$83:$D$83</c:f>
              <c:strCache>
                <c:ptCount val="2"/>
                <c:pt idx="0">
                  <c:v> Kapitalslit, PIM-dd art </c:v>
                </c:pt>
                <c:pt idx="1">
                  <c:v> Kapitalslit, PIM-dd funksjon </c:v>
                </c:pt>
              </c:strCache>
            </c:strRef>
          </c:cat>
          <c:val>
            <c:numRef>
              <c:f>Kapitalkostnader!$C$100:$D$100</c:f>
              <c:numCache>
                <c:formatCode>General</c:formatCode>
                <c:ptCount val="2"/>
                <c:pt idx="0">
                  <c:v>45395839</c:v>
                </c:pt>
                <c:pt idx="1">
                  <c:v>46824351</c:v>
                </c:pt>
              </c:numCache>
            </c:numRef>
          </c:val>
          <c:extLst>
            <c:ext xmlns:c16="http://schemas.microsoft.com/office/drawing/2014/chart" uri="{C3380CC4-5D6E-409C-BE32-E72D297353CC}">
              <c16:uniqueId val="{00000004-2A11-41E2-A76B-1908B99B18A6}"/>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en-US" b="1"/>
                    <a:t>Milliarder</a:t>
                  </a:r>
                  <a:r>
                    <a:rPr lang="en-US" b="1" baseline="0"/>
                    <a:t> kroner</a:t>
                  </a:r>
                  <a:endParaRPr lang="en-US" b="1"/>
                </a:p>
              </c:rich>
            </c:tx>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i="0" u="none" strike="noStrike" kern="1200" spc="0" baseline="0">
                <a:solidFill>
                  <a:srgbClr val="000000"/>
                </a:solidFill>
              </a:rPr>
              <a:t>Realkapitalkostnader og -utgifter etter art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stacked"/>
        <c:varyColors val="0"/>
        <c:ser>
          <c:idx val="0"/>
          <c:order val="0"/>
          <c:tx>
            <c:strRef>
              <c:f>Kapitalkostnader!$B$47</c:f>
              <c:strCache>
                <c:ptCount val="1"/>
                <c:pt idx="0">
                  <c:v>Fast eiendom og anlegg</c:v>
                </c:pt>
              </c:strCache>
            </c:strRef>
          </c:tx>
          <c:spPr>
            <a:solidFill>
              <a:schemeClr val="accent1"/>
            </a:solidFill>
            <a:ln>
              <a:noFill/>
            </a:ln>
            <a:effectLst/>
          </c:spPr>
          <c:invertIfNegative val="0"/>
          <c:cat>
            <c:strRef>
              <c:f>Kapitalkostnader!$C$46:$G$46</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Kapitalkostnader!$C$47:$G$47</c:f>
              <c:numCache>
                <c:formatCode>General</c:formatCode>
                <c:ptCount val="5"/>
                <c:pt idx="0">
                  <c:v>4585288</c:v>
                </c:pt>
                <c:pt idx="1">
                  <c:v>5650343</c:v>
                </c:pt>
                <c:pt idx="2">
                  <c:v>18419135</c:v>
                </c:pt>
                <c:pt idx="3">
                  <c:v>19886479</c:v>
                </c:pt>
                <c:pt idx="4">
                  <c:v>20581007</c:v>
                </c:pt>
              </c:numCache>
            </c:numRef>
          </c:val>
          <c:extLst>
            <c:ext xmlns:c16="http://schemas.microsoft.com/office/drawing/2014/chart" uri="{C3380CC4-5D6E-409C-BE32-E72D297353CC}">
              <c16:uniqueId val="{00000000-E776-4E24-B144-1F134DB1F002}"/>
            </c:ext>
          </c:extLst>
        </c:ser>
        <c:ser>
          <c:idx val="1"/>
          <c:order val="1"/>
          <c:tx>
            <c:strRef>
              <c:f>Kapitalkostnader!$B$48</c:f>
              <c:strCache>
                <c:ptCount val="1"/>
                <c:pt idx="0">
                  <c:v>Maskiner, utstyr og transportmidler</c:v>
                </c:pt>
              </c:strCache>
            </c:strRef>
          </c:tx>
          <c:spPr>
            <a:solidFill>
              <a:schemeClr val="accent2"/>
            </a:solidFill>
            <a:ln>
              <a:noFill/>
            </a:ln>
            <a:effectLst/>
          </c:spPr>
          <c:invertIfNegative val="0"/>
          <c:cat>
            <c:strRef>
              <c:f>Kapitalkostnader!$C$46:$G$46</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Kapitalkostnader!$C$48:$G$48</c:f>
              <c:numCache>
                <c:formatCode>General</c:formatCode>
                <c:ptCount val="5"/>
                <c:pt idx="0">
                  <c:v>1935923</c:v>
                </c:pt>
                <c:pt idx="1">
                  <c:v>1895886</c:v>
                </c:pt>
                <c:pt idx="2">
                  <c:v>2416697</c:v>
                </c:pt>
                <c:pt idx="3">
                  <c:v>2434371</c:v>
                </c:pt>
                <c:pt idx="4">
                  <c:v>2177931</c:v>
                </c:pt>
              </c:numCache>
            </c:numRef>
          </c:val>
          <c:extLst>
            <c:ext xmlns:c16="http://schemas.microsoft.com/office/drawing/2014/chart" uri="{C3380CC4-5D6E-409C-BE32-E72D297353CC}">
              <c16:uniqueId val="{00000001-E776-4E24-B144-1F134DB1F002}"/>
            </c:ext>
          </c:extLst>
        </c:ser>
        <c:ser>
          <c:idx val="2"/>
          <c:order val="2"/>
          <c:tx>
            <c:strRef>
              <c:f>Kapitalkostnader!$B$49</c:f>
              <c:strCache>
                <c:ptCount val="1"/>
                <c:pt idx="0">
                  <c:v>Immateriell kapital</c:v>
                </c:pt>
              </c:strCache>
            </c:strRef>
          </c:tx>
          <c:spPr>
            <a:solidFill>
              <a:schemeClr val="accent3"/>
            </a:solidFill>
            <a:ln>
              <a:noFill/>
            </a:ln>
            <a:effectLst/>
          </c:spPr>
          <c:invertIfNegative val="0"/>
          <c:cat>
            <c:strRef>
              <c:f>Kapitalkostnader!$C$46:$G$46</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Kapitalkostnader!$C$49:$G$49</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E776-4E24-B144-1F134DB1F002}"/>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Milliarder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i="0" u="none" strike="noStrike" kern="1200" spc="0" baseline="0">
                <a:solidFill>
                  <a:srgbClr val="000000"/>
                </a:solidFill>
              </a:rPr>
              <a:t>Realkapitalkostnader og -utgifter etter funksjon</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6232179135488515"/>
          <c:y val="0.12682811404803185"/>
          <c:w val="0.36350014167185385"/>
          <c:h val="0.72662705897000779"/>
        </c:manualLayout>
      </c:layout>
      <c:barChart>
        <c:barDir val="bar"/>
        <c:grouping val="stacked"/>
        <c:varyColors val="0"/>
        <c:ser>
          <c:idx val="0"/>
          <c:order val="0"/>
          <c:tx>
            <c:strRef>
              <c:f>Kapitalkostnader!$B$74</c:f>
              <c:strCache>
                <c:ptCount val="1"/>
                <c:pt idx="0">
                  <c:v>Samferdsel</c:v>
                </c:pt>
              </c:strCache>
            </c:strRef>
          </c:tx>
          <c:spPr>
            <a:solidFill>
              <a:schemeClr val="accent1"/>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Kapitalkostnader!$C$74:$K$74</c:f>
              <c:numCache>
                <c:formatCode>General</c:formatCode>
                <c:ptCount val="9"/>
                <c:pt idx="0">
                  <c:v>5810230</c:v>
                </c:pt>
                <c:pt idx="1">
                  <c:v>6067929</c:v>
                </c:pt>
                <c:pt idx="2">
                  <c:v>10220808</c:v>
                </c:pt>
                <c:pt idx="3">
                  <c:v>10589570</c:v>
                </c:pt>
                <c:pt idx="4">
                  <c:v>15092756</c:v>
                </c:pt>
                <c:pt idx="5">
                  <c:v>16870103</c:v>
                </c:pt>
                <c:pt idx="6">
                  <c:v>17893180</c:v>
                </c:pt>
                <c:pt idx="7">
                  <c:v>16896374</c:v>
                </c:pt>
                <c:pt idx="8">
                  <c:v>18275284</c:v>
                </c:pt>
              </c:numCache>
            </c:numRef>
          </c:val>
          <c:extLst>
            <c:ext xmlns:c16="http://schemas.microsoft.com/office/drawing/2014/chart" uri="{C3380CC4-5D6E-409C-BE32-E72D297353CC}">
              <c16:uniqueId val="{00000000-69EA-40A7-9DF8-B3B334FE9314}"/>
            </c:ext>
          </c:extLst>
        </c:ser>
        <c:ser>
          <c:idx val="1"/>
          <c:order val="1"/>
          <c:tx>
            <c:strRef>
              <c:f>Kapitalkostnader!$B$75</c:f>
              <c:strCache>
                <c:ptCount val="1"/>
                <c:pt idx="0">
                  <c:v>Videregående opplæring</c:v>
                </c:pt>
              </c:strCache>
            </c:strRef>
          </c:tx>
          <c:spPr>
            <a:solidFill>
              <a:schemeClr val="accent2"/>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Kapitalkostnader!$C$75:$K$75</c:f>
              <c:numCache>
                <c:formatCode>General</c:formatCode>
                <c:ptCount val="9"/>
                <c:pt idx="0">
                  <c:v>2908012</c:v>
                </c:pt>
                <c:pt idx="1">
                  <c:v>3164610</c:v>
                </c:pt>
                <c:pt idx="2">
                  <c:v>1987030</c:v>
                </c:pt>
                <c:pt idx="3">
                  <c:v>2156135</c:v>
                </c:pt>
                <c:pt idx="4">
                  <c:v>4299825</c:v>
                </c:pt>
                <c:pt idx="5">
                  <c:v>5064502</c:v>
                </c:pt>
                <c:pt idx="6">
                  <c:v>5404331</c:v>
                </c:pt>
                <c:pt idx="7">
                  <c:v>6415076</c:v>
                </c:pt>
                <c:pt idx="8">
                  <c:v>7329224</c:v>
                </c:pt>
              </c:numCache>
            </c:numRef>
          </c:val>
          <c:extLst>
            <c:ext xmlns:c16="http://schemas.microsoft.com/office/drawing/2014/chart" uri="{C3380CC4-5D6E-409C-BE32-E72D297353CC}">
              <c16:uniqueId val="{00000001-69EA-40A7-9DF8-B3B334FE9314}"/>
            </c:ext>
          </c:extLst>
        </c:ser>
        <c:ser>
          <c:idx val="2"/>
          <c:order val="2"/>
          <c:tx>
            <c:strRef>
              <c:f>Kapitalkostnader!$B$76</c:f>
              <c:strCache>
                <c:ptCount val="1"/>
                <c:pt idx="0">
                  <c:v>Administrasjon og felles</c:v>
                </c:pt>
              </c:strCache>
            </c:strRef>
          </c:tx>
          <c:spPr>
            <a:solidFill>
              <a:schemeClr val="accent3"/>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Kapitalkostnader!$C$76:$K$76</c:f>
              <c:numCache>
                <c:formatCode>General</c:formatCode>
                <c:ptCount val="9"/>
                <c:pt idx="0">
                  <c:v>687287</c:v>
                </c:pt>
                <c:pt idx="1">
                  <c:v>776859</c:v>
                </c:pt>
                <c:pt idx="2">
                  <c:v>590841</c:v>
                </c:pt>
                <c:pt idx="3">
                  <c:v>671887</c:v>
                </c:pt>
                <c:pt idx="4">
                  <c:v>1025540</c:v>
                </c:pt>
                <c:pt idx="5">
                  <c:v>878656</c:v>
                </c:pt>
                <c:pt idx="6">
                  <c:v>969285</c:v>
                </c:pt>
                <c:pt idx="7">
                  <c:v>1616851</c:v>
                </c:pt>
                <c:pt idx="8">
                  <c:v>1828641</c:v>
                </c:pt>
              </c:numCache>
            </c:numRef>
          </c:val>
          <c:extLst>
            <c:ext xmlns:c16="http://schemas.microsoft.com/office/drawing/2014/chart" uri="{C3380CC4-5D6E-409C-BE32-E72D297353CC}">
              <c16:uniqueId val="{00000002-69EA-40A7-9DF8-B3B334FE9314}"/>
            </c:ext>
          </c:extLst>
        </c:ser>
        <c:ser>
          <c:idx val="3"/>
          <c:order val="3"/>
          <c:tx>
            <c:strRef>
              <c:f>Kapitalkostnader!$B$77</c:f>
              <c:strCache>
                <c:ptCount val="1"/>
                <c:pt idx="0">
                  <c:v>Tannhelse</c:v>
                </c:pt>
              </c:strCache>
            </c:strRef>
          </c:tx>
          <c:spPr>
            <a:solidFill>
              <a:schemeClr val="accent4"/>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Kapitalkostnader!$C$77:$K$77</c:f>
              <c:numCache>
                <c:formatCode>General</c:formatCode>
                <c:ptCount val="9"/>
                <c:pt idx="0">
                  <c:v>103198</c:v>
                </c:pt>
                <c:pt idx="1">
                  <c:v>114181</c:v>
                </c:pt>
                <c:pt idx="2">
                  <c:v>83136</c:v>
                </c:pt>
                <c:pt idx="3">
                  <c:v>91635</c:v>
                </c:pt>
                <c:pt idx="4">
                  <c:v>172255</c:v>
                </c:pt>
                <c:pt idx="5">
                  <c:v>165321</c:v>
                </c:pt>
                <c:pt idx="6">
                  <c:v>173882</c:v>
                </c:pt>
                <c:pt idx="7">
                  <c:v>234710</c:v>
                </c:pt>
                <c:pt idx="8">
                  <c:v>266001</c:v>
                </c:pt>
              </c:numCache>
            </c:numRef>
          </c:val>
          <c:extLst>
            <c:ext xmlns:c16="http://schemas.microsoft.com/office/drawing/2014/chart" uri="{C3380CC4-5D6E-409C-BE32-E72D297353CC}">
              <c16:uniqueId val="{00000003-69EA-40A7-9DF8-B3B334FE9314}"/>
            </c:ext>
          </c:extLst>
        </c:ser>
        <c:ser>
          <c:idx val="4"/>
          <c:order val="4"/>
          <c:tx>
            <c:strRef>
              <c:f>Kapitalkostnader!$B$78</c:f>
              <c:strCache>
                <c:ptCount val="1"/>
                <c:pt idx="0">
                  <c:v>Næringsforvaltning</c:v>
                </c:pt>
              </c:strCache>
            </c:strRef>
          </c:tx>
          <c:spPr>
            <a:solidFill>
              <a:schemeClr val="accent5"/>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Kapitalkostnader!$C$78:$K$78</c:f>
              <c:numCache>
                <c:formatCode>General</c:formatCode>
                <c:ptCount val="9"/>
                <c:pt idx="0">
                  <c:v>37242</c:v>
                </c:pt>
                <c:pt idx="1">
                  <c:v>38246</c:v>
                </c:pt>
                <c:pt idx="2">
                  <c:v>29831</c:v>
                </c:pt>
                <c:pt idx="3">
                  <c:v>30885</c:v>
                </c:pt>
                <c:pt idx="4">
                  <c:v>49705</c:v>
                </c:pt>
                <c:pt idx="5">
                  <c:v>129009</c:v>
                </c:pt>
                <c:pt idx="6">
                  <c:v>151499</c:v>
                </c:pt>
                <c:pt idx="7">
                  <c:v>81755</c:v>
                </c:pt>
                <c:pt idx="8">
                  <c:v>92480</c:v>
                </c:pt>
              </c:numCache>
            </c:numRef>
          </c:val>
          <c:extLst>
            <c:ext xmlns:c16="http://schemas.microsoft.com/office/drawing/2014/chart" uri="{C3380CC4-5D6E-409C-BE32-E72D297353CC}">
              <c16:uniqueId val="{00000004-69EA-40A7-9DF8-B3B334FE9314}"/>
            </c:ext>
          </c:extLst>
        </c:ser>
        <c:ser>
          <c:idx val="5"/>
          <c:order val="5"/>
          <c:tx>
            <c:strRef>
              <c:f>Kapitalkostnader!$B$79</c:f>
              <c:strCache>
                <c:ptCount val="1"/>
                <c:pt idx="0">
                  <c:v>Kultursektoren</c:v>
                </c:pt>
              </c:strCache>
            </c:strRef>
          </c:tx>
          <c:spPr>
            <a:solidFill>
              <a:schemeClr val="accent6"/>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Kapitalkostnader!$C$79:$K$79</c:f>
              <c:numCache>
                <c:formatCode>General</c:formatCode>
                <c:ptCount val="9"/>
                <c:pt idx="0">
                  <c:v>32775</c:v>
                </c:pt>
                <c:pt idx="1">
                  <c:v>38582</c:v>
                </c:pt>
                <c:pt idx="2">
                  <c:v>21782</c:v>
                </c:pt>
                <c:pt idx="3">
                  <c:v>25296</c:v>
                </c:pt>
                <c:pt idx="4">
                  <c:v>50292</c:v>
                </c:pt>
                <c:pt idx="5">
                  <c:v>4206</c:v>
                </c:pt>
                <c:pt idx="6">
                  <c:v>4248</c:v>
                </c:pt>
                <c:pt idx="7">
                  <c:v>71136</c:v>
                </c:pt>
                <c:pt idx="8">
                  <c:v>81321</c:v>
                </c:pt>
              </c:numCache>
            </c:numRef>
          </c:val>
          <c:extLst>
            <c:ext xmlns:c16="http://schemas.microsoft.com/office/drawing/2014/chart" uri="{C3380CC4-5D6E-409C-BE32-E72D297353CC}">
              <c16:uniqueId val="{00000005-69EA-40A7-9DF8-B3B334FE9314}"/>
            </c:ext>
          </c:extLst>
        </c:ser>
        <c:ser>
          <c:idx val="6"/>
          <c:order val="6"/>
          <c:tx>
            <c:strRef>
              <c:f>Kapitalkostnader!$B$80</c:f>
              <c:strCache>
                <c:ptCount val="1"/>
                <c:pt idx="0">
                  <c:v>Plan, byggesak og miljø</c:v>
                </c:pt>
              </c:strCache>
            </c:strRef>
          </c:tx>
          <c:spPr>
            <a:solidFill>
              <a:schemeClr val="accent1">
                <a:lumMod val="60000"/>
              </a:schemeClr>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Kapitalkostnader!$C$80:$K$80</c:f>
              <c:numCache>
                <c:formatCode>General</c:formatCode>
                <c:ptCount val="9"/>
                <c:pt idx="0">
                  <c:v>22737</c:v>
                </c:pt>
                <c:pt idx="1">
                  <c:v>22828</c:v>
                </c:pt>
                <c:pt idx="2">
                  <c:v>19317</c:v>
                </c:pt>
                <c:pt idx="3">
                  <c:v>19471</c:v>
                </c:pt>
                <c:pt idx="4">
                  <c:v>31643</c:v>
                </c:pt>
                <c:pt idx="5">
                  <c:v>14174</c:v>
                </c:pt>
                <c:pt idx="6">
                  <c:v>14564</c:v>
                </c:pt>
                <c:pt idx="7">
                  <c:v>52932</c:v>
                </c:pt>
                <c:pt idx="8">
                  <c:v>59870</c:v>
                </c:pt>
              </c:numCache>
            </c:numRef>
          </c:val>
          <c:extLst>
            <c:ext xmlns:c16="http://schemas.microsoft.com/office/drawing/2014/chart" uri="{C3380CC4-5D6E-409C-BE32-E72D297353CC}">
              <c16:uniqueId val="{00000006-69EA-40A7-9DF8-B3B334FE9314}"/>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300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Milliarder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i="0" u="none" strike="noStrike" kern="1200" spc="0" baseline="0">
                <a:solidFill>
                  <a:srgbClr val="000000"/>
                </a:solidFill>
              </a:rPr>
              <a:t>a) Korrelasjonskoeffisienter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Kapitalkostnader!$B$91</c:f>
              <c:strCache>
                <c:ptCount val="1"/>
                <c:pt idx="0">
                  <c:v>20 prosent lavere depresieringsrater</c:v>
                </c:pt>
              </c:strCache>
            </c:strRef>
          </c:tx>
          <c:spPr>
            <a:solidFill>
              <a:schemeClr val="accent1"/>
            </a:solidFill>
            <a:ln>
              <a:noFill/>
            </a:ln>
            <a:effectLst/>
          </c:spPr>
          <c:invertIfNegative val="0"/>
          <c:cat>
            <c:strRef>
              <c:f>Kapitalkostnader!$C$90:$D$90</c:f>
              <c:strCache>
                <c:ptCount val="2"/>
                <c:pt idx="0">
                  <c:v>PIM-dd, art</c:v>
                </c:pt>
                <c:pt idx="1">
                  <c:v>PIM-dd, funksjon</c:v>
                </c:pt>
              </c:strCache>
            </c:strRef>
          </c:cat>
          <c:val>
            <c:numRef>
              <c:f>Kapitalkostnader!$C$91:$D$91</c:f>
              <c:numCache>
                <c:formatCode>General</c:formatCode>
                <c:ptCount val="2"/>
                <c:pt idx="0">
                  <c:v>0.99890000000000001</c:v>
                </c:pt>
                <c:pt idx="1">
                  <c:v>0.99939999999999996</c:v>
                </c:pt>
              </c:numCache>
            </c:numRef>
          </c:val>
          <c:extLst>
            <c:ext xmlns:c16="http://schemas.microsoft.com/office/drawing/2014/chart" uri="{C3380CC4-5D6E-409C-BE32-E72D297353CC}">
              <c16:uniqueId val="{00000000-064E-4A89-839D-989B01CB0AE6}"/>
            </c:ext>
          </c:extLst>
        </c:ser>
        <c:ser>
          <c:idx val="1"/>
          <c:order val="1"/>
          <c:tx>
            <c:strRef>
              <c:f>Kapitalkostnader!$B$92</c:f>
              <c:strCache>
                <c:ptCount val="1"/>
                <c:pt idx="0">
                  <c:v>20 prosent høyere depresieringsrater</c:v>
                </c:pt>
              </c:strCache>
            </c:strRef>
          </c:tx>
          <c:spPr>
            <a:solidFill>
              <a:schemeClr val="accent2"/>
            </a:solidFill>
            <a:ln>
              <a:noFill/>
            </a:ln>
            <a:effectLst/>
          </c:spPr>
          <c:invertIfNegative val="0"/>
          <c:cat>
            <c:strRef>
              <c:f>Kapitalkostnader!$C$90:$D$90</c:f>
              <c:strCache>
                <c:ptCount val="2"/>
                <c:pt idx="0">
                  <c:v>PIM-dd, art</c:v>
                </c:pt>
                <c:pt idx="1">
                  <c:v>PIM-dd, funksjon</c:v>
                </c:pt>
              </c:strCache>
            </c:strRef>
          </c:cat>
          <c:val>
            <c:numRef>
              <c:f>Kapitalkostnader!$C$92:$D$92</c:f>
              <c:numCache>
                <c:formatCode>General</c:formatCode>
                <c:ptCount val="2"/>
                <c:pt idx="0">
                  <c:v>0.99970000000000003</c:v>
                </c:pt>
                <c:pt idx="1">
                  <c:v>0.99950000000000006</c:v>
                </c:pt>
              </c:numCache>
            </c:numRef>
          </c:val>
          <c:extLst>
            <c:ext xmlns:c16="http://schemas.microsoft.com/office/drawing/2014/chart" uri="{C3380CC4-5D6E-409C-BE32-E72D297353CC}">
              <c16:uniqueId val="{00000001-064E-4A89-839D-989B01CB0AE6}"/>
            </c:ext>
          </c:extLst>
        </c:ser>
        <c:ser>
          <c:idx val="2"/>
          <c:order val="2"/>
          <c:tx>
            <c:strRef>
              <c:f>Kapitalkostnader!$B$93</c:f>
              <c:strCache>
                <c:ptCount val="1"/>
                <c:pt idx="0">
                  <c:v>20 prosent lavere prisvekst</c:v>
                </c:pt>
              </c:strCache>
            </c:strRef>
          </c:tx>
          <c:spPr>
            <a:solidFill>
              <a:schemeClr val="accent3"/>
            </a:solidFill>
            <a:ln>
              <a:noFill/>
            </a:ln>
            <a:effectLst/>
          </c:spPr>
          <c:invertIfNegative val="0"/>
          <c:cat>
            <c:strRef>
              <c:f>Kapitalkostnader!$C$90:$D$90</c:f>
              <c:strCache>
                <c:ptCount val="2"/>
                <c:pt idx="0">
                  <c:v>PIM-dd, art</c:v>
                </c:pt>
                <c:pt idx="1">
                  <c:v>PIM-dd, funksjon</c:v>
                </c:pt>
              </c:strCache>
            </c:strRef>
          </c:cat>
          <c:val>
            <c:numRef>
              <c:f>Kapitalkostnader!$C$93:$D$93</c:f>
              <c:numCache>
                <c:formatCode>General</c:formatCode>
                <c:ptCount val="2"/>
                <c:pt idx="0">
                  <c:v>0.99950000000000006</c:v>
                </c:pt>
                <c:pt idx="1">
                  <c:v>0.99950000000000006</c:v>
                </c:pt>
              </c:numCache>
            </c:numRef>
          </c:val>
          <c:extLst>
            <c:ext xmlns:c16="http://schemas.microsoft.com/office/drawing/2014/chart" uri="{C3380CC4-5D6E-409C-BE32-E72D297353CC}">
              <c16:uniqueId val="{00000002-064E-4A89-839D-989B01CB0AE6}"/>
            </c:ext>
          </c:extLst>
        </c:ser>
        <c:ser>
          <c:idx val="3"/>
          <c:order val="3"/>
          <c:tx>
            <c:strRef>
              <c:f>Kapitalkostnader!$B$94</c:f>
              <c:strCache>
                <c:ptCount val="1"/>
                <c:pt idx="0">
                  <c:v>20 prosent høyere prisvekst</c:v>
                </c:pt>
              </c:strCache>
            </c:strRef>
          </c:tx>
          <c:spPr>
            <a:solidFill>
              <a:schemeClr val="accent4"/>
            </a:solidFill>
            <a:ln>
              <a:noFill/>
            </a:ln>
            <a:effectLst/>
          </c:spPr>
          <c:invertIfNegative val="0"/>
          <c:cat>
            <c:strRef>
              <c:f>Kapitalkostnader!$C$90:$D$90</c:f>
              <c:strCache>
                <c:ptCount val="2"/>
                <c:pt idx="0">
                  <c:v>PIM-dd, art</c:v>
                </c:pt>
                <c:pt idx="1">
                  <c:v>PIM-dd, funksjon</c:v>
                </c:pt>
              </c:strCache>
            </c:strRef>
          </c:cat>
          <c:val>
            <c:numRef>
              <c:f>Kapitalkostnader!$C$94:$D$94</c:f>
              <c:numCache>
                <c:formatCode>General</c:formatCode>
                <c:ptCount val="2"/>
                <c:pt idx="0">
                  <c:v>0.99890000000000001</c:v>
                </c:pt>
                <c:pt idx="1">
                  <c:v>0.99909999999999999</c:v>
                </c:pt>
              </c:numCache>
            </c:numRef>
          </c:val>
          <c:extLst>
            <c:ext xmlns:c16="http://schemas.microsoft.com/office/drawing/2014/chart" uri="{C3380CC4-5D6E-409C-BE32-E72D297353CC}">
              <c16:uniqueId val="{00000003-064E-4A89-839D-989B01CB0AE6}"/>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i="0" u="none" strike="noStrike" kern="1200" spc="0" baseline="0">
                <a:solidFill>
                  <a:srgbClr val="000000"/>
                </a:solidFill>
              </a:rPr>
              <a:t>b) Kapitalslit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1"/>
          <c:order val="0"/>
          <c:tx>
            <c:strRef>
              <c:f>Kapitalkostnader!$B$107</c:f>
              <c:strCache>
                <c:ptCount val="1"/>
                <c:pt idx="0">
                  <c:v>20 prosent lavere depresieringsrater</c:v>
                </c:pt>
              </c:strCache>
            </c:strRef>
          </c:tx>
          <c:spPr>
            <a:solidFill>
              <a:schemeClr val="accent2"/>
            </a:solidFill>
            <a:ln>
              <a:noFill/>
            </a:ln>
            <a:effectLst/>
          </c:spPr>
          <c:invertIfNegative val="0"/>
          <c:cat>
            <c:strRef>
              <c:f>Kapitalkostnader!$C$105:$D$105</c:f>
              <c:strCache>
                <c:ptCount val="2"/>
                <c:pt idx="0">
                  <c:v>PIM-dd, art</c:v>
                </c:pt>
                <c:pt idx="1">
                  <c:v>PIM-dd, funksjon</c:v>
                </c:pt>
              </c:strCache>
            </c:strRef>
          </c:cat>
          <c:val>
            <c:numRef>
              <c:f>Kapitalkostnader!$C$107:$D$107</c:f>
              <c:numCache>
                <c:formatCode>General</c:formatCode>
                <c:ptCount val="2"/>
                <c:pt idx="0">
                  <c:v>6575334</c:v>
                </c:pt>
                <c:pt idx="1">
                  <c:v>11342568</c:v>
                </c:pt>
              </c:numCache>
            </c:numRef>
          </c:val>
          <c:extLst>
            <c:ext xmlns:c16="http://schemas.microsoft.com/office/drawing/2014/chart" uri="{C3380CC4-5D6E-409C-BE32-E72D297353CC}">
              <c16:uniqueId val="{00000000-5C05-4BE9-B9C9-9A09861CD24F}"/>
            </c:ext>
          </c:extLst>
        </c:ser>
        <c:ser>
          <c:idx val="2"/>
          <c:order val="1"/>
          <c:tx>
            <c:strRef>
              <c:f>Kapitalkostnader!$B$109</c:f>
              <c:strCache>
                <c:ptCount val="1"/>
                <c:pt idx="0">
                  <c:v>20 prosent lavere prisvekst</c:v>
                </c:pt>
              </c:strCache>
            </c:strRef>
          </c:tx>
          <c:spPr>
            <a:solidFill>
              <a:schemeClr val="accent3"/>
            </a:solidFill>
            <a:ln>
              <a:noFill/>
            </a:ln>
            <a:effectLst/>
          </c:spPr>
          <c:invertIfNegative val="0"/>
          <c:cat>
            <c:strRef>
              <c:f>Kapitalkostnader!$C$105:$D$105</c:f>
              <c:strCache>
                <c:ptCount val="2"/>
                <c:pt idx="0">
                  <c:v>PIM-dd, art</c:v>
                </c:pt>
                <c:pt idx="1">
                  <c:v>PIM-dd, funksjon</c:v>
                </c:pt>
              </c:strCache>
            </c:strRef>
          </c:cat>
          <c:val>
            <c:numRef>
              <c:f>Kapitalkostnader!$C$109:$D$109</c:f>
              <c:numCache>
                <c:formatCode>General</c:formatCode>
                <c:ptCount val="2"/>
                <c:pt idx="0">
                  <c:v>7230994</c:v>
                </c:pt>
                <c:pt idx="1">
                  <c:v>11968430</c:v>
                </c:pt>
              </c:numCache>
            </c:numRef>
          </c:val>
          <c:extLst>
            <c:ext xmlns:c16="http://schemas.microsoft.com/office/drawing/2014/chart" uri="{C3380CC4-5D6E-409C-BE32-E72D297353CC}">
              <c16:uniqueId val="{00000001-5C05-4BE9-B9C9-9A09861CD24F}"/>
            </c:ext>
          </c:extLst>
        </c:ser>
        <c:ser>
          <c:idx val="0"/>
          <c:order val="2"/>
          <c:tx>
            <c:strRef>
              <c:f>Kapitalkostnader!$B$106</c:f>
              <c:strCache>
                <c:ptCount val="1"/>
                <c:pt idx="0">
                  <c:v>Hovedestimat</c:v>
                </c:pt>
              </c:strCache>
            </c:strRef>
          </c:tx>
          <c:spPr>
            <a:solidFill>
              <a:schemeClr val="accent1"/>
            </a:solidFill>
            <a:ln>
              <a:noFill/>
            </a:ln>
            <a:effectLst/>
          </c:spPr>
          <c:invertIfNegative val="0"/>
          <c:cat>
            <c:strRef>
              <c:f>Kapitalkostnader!$C$105:$D$105</c:f>
              <c:strCache>
                <c:ptCount val="2"/>
                <c:pt idx="0">
                  <c:v>PIM-dd, art</c:v>
                </c:pt>
                <c:pt idx="1">
                  <c:v>PIM-dd, funksjon</c:v>
                </c:pt>
              </c:strCache>
            </c:strRef>
          </c:cat>
          <c:val>
            <c:numRef>
              <c:f>Kapitalkostnader!$C$106:$D$106</c:f>
              <c:numCache>
                <c:formatCode>General</c:formatCode>
                <c:ptCount val="2"/>
                <c:pt idx="0">
                  <c:v>7546230</c:v>
                </c:pt>
                <c:pt idx="1">
                  <c:v>12952744</c:v>
                </c:pt>
              </c:numCache>
            </c:numRef>
          </c:val>
          <c:extLst>
            <c:ext xmlns:c16="http://schemas.microsoft.com/office/drawing/2014/chart" uri="{C3380CC4-5D6E-409C-BE32-E72D297353CC}">
              <c16:uniqueId val="{00000002-5C05-4BE9-B9C9-9A09861CD24F}"/>
            </c:ext>
          </c:extLst>
        </c:ser>
        <c:ser>
          <c:idx val="3"/>
          <c:order val="3"/>
          <c:tx>
            <c:strRef>
              <c:f>Kapitalkostnader!$B$110</c:f>
              <c:strCache>
                <c:ptCount val="1"/>
                <c:pt idx="0">
                  <c:v>20 prosent høyere prisvekst</c:v>
                </c:pt>
              </c:strCache>
            </c:strRef>
          </c:tx>
          <c:spPr>
            <a:solidFill>
              <a:schemeClr val="accent4"/>
            </a:solidFill>
            <a:ln>
              <a:noFill/>
            </a:ln>
            <a:effectLst/>
          </c:spPr>
          <c:invertIfNegative val="0"/>
          <c:cat>
            <c:strRef>
              <c:f>Kapitalkostnader!$C$105:$D$105</c:f>
              <c:strCache>
                <c:ptCount val="2"/>
                <c:pt idx="0">
                  <c:v>PIM-dd, art</c:v>
                </c:pt>
                <c:pt idx="1">
                  <c:v>PIM-dd, funksjon</c:v>
                </c:pt>
              </c:strCache>
            </c:strRef>
          </c:cat>
          <c:val>
            <c:numRef>
              <c:f>Kapitalkostnader!$C$110:$D$110</c:f>
              <c:numCache>
                <c:formatCode>General</c:formatCode>
                <c:ptCount val="2"/>
                <c:pt idx="0">
                  <c:v>8002232</c:v>
                </c:pt>
                <c:pt idx="1">
                  <c:v>14262775</c:v>
                </c:pt>
              </c:numCache>
            </c:numRef>
          </c:val>
          <c:extLst>
            <c:ext xmlns:c16="http://schemas.microsoft.com/office/drawing/2014/chart" uri="{C3380CC4-5D6E-409C-BE32-E72D297353CC}">
              <c16:uniqueId val="{00000003-5C05-4BE9-B9C9-9A09861CD24F}"/>
            </c:ext>
          </c:extLst>
        </c:ser>
        <c:ser>
          <c:idx val="4"/>
          <c:order val="4"/>
          <c:tx>
            <c:strRef>
              <c:f>Kapitalkostnader!$B$108</c:f>
              <c:strCache>
                <c:ptCount val="1"/>
                <c:pt idx="0">
                  <c:v>20 prosent høyere depresieringsrater</c:v>
                </c:pt>
              </c:strCache>
            </c:strRef>
          </c:tx>
          <c:spPr>
            <a:solidFill>
              <a:schemeClr val="accent5"/>
            </a:solidFill>
            <a:ln>
              <a:noFill/>
            </a:ln>
            <a:effectLst/>
          </c:spPr>
          <c:invertIfNegative val="0"/>
          <c:cat>
            <c:strRef>
              <c:f>Kapitalkostnader!$C$105:$D$105</c:f>
              <c:strCache>
                <c:ptCount val="2"/>
                <c:pt idx="0">
                  <c:v>PIM-dd, art</c:v>
                </c:pt>
                <c:pt idx="1">
                  <c:v>PIM-dd, funksjon</c:v>
                </c:pt>
              </c:strCache>
            </c:strRef>
          </c:cat>
          <c:val>
            <c:numRef>
              <c:f>Kapitalkostnader!$C$108:$D$108</c:f>
              <c:numCache>
                <c:formatCode>General</c:formatCode>
                <c:ptCount val="2"/>
                <c:pt idx="0">
                  <c:v>8447452</c:v>
                </c:pt>
                <c:pt idx="1">
                  <c:v>14277434</c:v>
                </c:pt>
              </c:numCache>
            </c:numRef>
          </c:val>
          <c:extLst>
            <c:ext xmlns:c16="http://schemas.microsoft.com/office/drawing/2014/chart" uri="{C3380CC4-5D6E-409C-BE32-E72D297353CC}">
              <c16:uniqueId val="{00000004-5C05-4BE9-B9C9-9A09861CD24F}"/>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en-US" b="1"/>
                    <a:t>Milliarder</a:t>
                  </a:r>
                  <a:r>
                    <a:rPr lang="en-US" b="1" baseline="0"/>
                    <a:t> kroner</a:t>
                  </a:r>
                  <a:endParaRPr lang="en-US" b="1"/>
                </a:p>
              </c:rich>
            </c:tx>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23010510510512"/>
          <c:y val="4.8506944444444443E-2"/>
          <c:w val="0.61333295795795795"/>
          <c:h val="0.65660902777777774"/>
        </c:manualLayout>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Driftsutgifter!$D$145:$D$252</c:f>
              <c:numCache>
                <c:formatCode>0</c:formatCode>
                <c:ptCount val="108"/>
                <c:pt idx="0">
                  <c:v>2027</c:v>
                </c:pt>
                <c:pt idx="1">
                  <c:v>2939.5</c:v>
                </c:pt>
                <c:pt idx="2">
                  <c:v>2628</c:v>
                </c:pt>
                <c:pt idx="3">
                  <c:v>860.5</c:v>
                </c:pt>
                <c:pt idx="4">
                  <c:v>1138.5</c:v>
                </c:pt>
                <c:pt idx="5">
                  <c:v>1915</c:v>
                </c:pt>
                <c:pt idx="6">
                  <c:v>1836</c:v>
                </c:pt>
                <c:pt idx="7">
                  <c:v>1104.5</c:v>
                </c:pt>
                <c:pt idx="8">
                  <c:v>1218</c:v>
                </c:pt>
                <c:pt idx="9">
                  <c:v>1524.5</c:v>
                </c:pt>
                <c:pt idx="10">
                  <c:v>435</c:v>
                </c:pt>
                <c:pt idx="11">
                  <c:v>2149</c:v>
                </c:pt>
                <c:pt idx="12">
                  <c:v>507.5</c:v>
                </c:pt>
                <c:pt idx="13">
                  <c:v>1976</c:v>
                </c:pt>
                <c:pt idx="14">
                  <c:v>1428</c:v>
                </c:pt>
                <c:pt idx="15">
                  <c:v>2141</c:v>
                </c:pt>
                <c:pt idx="16">
                  <c:v>1211</c:v>
                </c:pt>
                <c:pt idx="17">
                  <c:v>2432</c:v>
                </c:pt>
                <c:pt idx="18">
                  <c:v>2470.5</c:v>
                </c:pt>
                <c:pt idx="19">
                  <c:v>2563.5</c:v>
                </c:pt>
                <c:pt idx="20">
                  <c:v>1223.5</c:v>
                </c:pt>
                <c:pt idx="21">
                  <c:v>2067.5</c:v>
                </c:pt>
                <c:pt idx="22">
                  <c:v>1860.5</c:v>
                </c:pt>
                <c:pt idx="23">
                  <c:v>1055.5</c:v>
                </c:pt>
                <c:pt idx="24">
                  <c:v>1146</c:v>
                </c:pt>
                <c:pt idx="25">
                  <c:v>2574.5</c:v>
                </c:pt>
                <c:pt idx="26">
                  <c:v>2695</c:v>
                </c:pt>
                <c:pt idx="27">
                  <c:v>904</c:v>
                </c:pt>
                <c:pt idx="28">
                  <c:v>1302</c:v>
                </c:pt>
                <c:pt idx="29">
                  <c:v>683</c:v>
                </c:pt>
                <c:pt idx="30">
                  <c:v>949.5</c:v>
                </c:pt>
                <c:pt idx="31">
                  <c:v>6213</c:v>
                </c:pt>
                <c:pt idx="32">
                  <c:v>1975.5</c:v>
                </c:pt>
                <c:pt idx="33">
                  <c:v>965</c:v>
                </c:pt>
                <c:pt idx="34">
                  <c:v>1975</c:v>
                </c:pt>
                <c:pt idx="35">
                  <c:v>1322</c:v>
                </c:pt>
                <c:pt idx="36">
                  <c:v>2139</c:v>
                </c:pt>
                <c:pt idx="37">
                  <c:v>1290.5</c:v>
                </c:pt>
                <c:pt idx="38">
                  <c:v>2907</c:v>
                </c:pt>
                <c:pt idx="39">
                  <c:v>2211.5</c:v>
                </c:pt>
                <c:pt idx="40">
                  <c:v>2299.5</c:v>
                </c:pt>
                <c:pt idx="41">
                  <c:v>5218.5</c:v>
                </c:pt>
                <c:pt idx="42">
                  <c:v>1745.5</c:v>
                </c:pt>
                <c:pt idx="43">
                  <c:v>5546.5</c:v>
                </c:pt>
                <c:pt idx="44">
                  <c:v>2175</c:v>
                </c:pt>
                <c:pt idx="45">
                  <c:v>3501.5</c:v>
                </c:pt>
                <c:pt idx="46">
                  <c:v>1279</c:v>
                </c:pt>
                <c:pt idx="47">
                  <c:v>1641.5</c:v>
                </c:pt>
                <c:pt idx="48">
                  <c:v>1980.5</c:v>
                </c:pt>
                <c:pt idx="49">
                  <c:v>2006</c:v>
                </c:pt>
                <c:pt idx="50">
                  <c:v>1770.5</c:v>
                </c:pt>
                <c:pt idx="51">
                  <c:v>1849.5</c:v>
                </c:pt>
                <c:pt idx="52">
                  <c:v>967</c:v>
                </c:pt>
                <c:pt idx="53">
                  <c:v>816</c:v>
                </c:pt>
                <c:pt idx="54">
                  <c:v>1074.5</c:v>
                </c:pt>
                <c:pt idx="55">
                  <c:v>1832</c:v>
                </c:pt>
                <c:pt idx="56">
                  <c:v>458</c:v>
                </c:pt>
                <c:pt idx="57">
                  <c:v>379</c:v>
                </c:pt>
                <c:pt idx="58">
                  <c:v>1611.5</c:v>
                </c:pt>
                <c:pt idx="59">
                  <c:v>1911</c:v>
                </c:pt>
                <c:pt idx="60">
                  <c:v>1284</c:v>
                </c:pt>
                <c:pt idx="61">
                  <c:v>911.5</c:v>
                </c:pt>
                <c:pt idx="62">
                  <c:v>1135</c:v>
                </c:pt>
                <c:pt idx="63">
                  <c:v>2263.5</c:v>
                </c:pt>
                <c:pt idx="64">
                  <c:v>1140.5</c:v>
                </c:pt>
                <c:pt idx="65">
                  <c:v>1053.5</c:v>
                </c:pt>
                <c:pt idx="66">
                  <c:v>2229</c:v>
                </c:pt>
                <c:pt idx="67">
                  <c:v>529</c:v>
                </c:pt>
                <c:pt idx="68">
                  <c:v>1062</c:v>
                </c:pt>
                <c:pt idx="69">
                  <c:v>1204.5</c:v>
                </c:pt>
                <c:pt idx="70">
                  <c:v>976.5</c:v>
                </c:pt>
                <c:pt idx="71">
                  <c:v>751.5</c:v>
                </c:pt>
                <c:pt idx="72">
                  <c:v>5328</c:v>
                </c:pt>
                <c:pt idx="73">
                  <c:v>3382.5</c:v>
                </c:pt>
                <c:pt idx="74">
                  <c:v>2797</c:v>
                </c:pt>
                <c:pt idx="75">
                  <c:v>1398.5</c:v>
                </c:pt>
                <c:pt idx="76">
                  <c:v>3883.5</c:v>
                </c:pt>
                <c:pt idx="77">
                  <c:v>3029</c:v>
                </c:pt>
                <c:pt idx="78">
                  <c:v>2950</c:v>
                </c:pt>
                <c:pt idx="79">
                  <c:v>447</c:v>
                </c:pt>
                <c:pt idx="80">
                  <c:v>1275.5</c:v>
                </c:pt>
                <c:pt idx="81">
                  <c:v>980.5</c:v>
                </c:pt>
                <c:pt idx="82">
                  <c:v>4252</c:v>
                </c:pt>
                <c:pt idx="83">
                  <c:v>2721.5</c:v>
                </c:pt>
                <c:pt idx="84">
                  <c:v>1174.5</c:v>
                </c:pt>
                <c:pt idx="85">
                  <c:v>1857</c:v>
                </c:pt>
                <c:pt idx="86">
                  <c:v>469</c:v>
                </c:pt>
                <c:pt idx="87">
                  <c:v>1019.5</c:v>
                </c:pt>
                <c:pt idx="88">
                  <c:v>2560.5</c:v>
                </c:pt>
                <c:pt idx="89">
                  <c:v>1457.5</c:v>
                </c:pt>
                <c:pt idx="90">
                  <c:v>1740.5</c:v>
                </c:pt>
                <c:pt idx="91">
                  <c:v>2169</c:v>
                </c:pt>
                <c:pt idx="92">
                  <c:v>1197</c:v>
                </c:pt>
                <c:pt idx="93">
                  <c:v>4203.5</c:v>
                </c:pt>
                <c:pt idx="94">
                  <c:v>576</c:v>
                </c:pt>
                <c:pt idx="95">
                  <c:v>762</c:v>
                </c:pt>
                <c:pt idx="96">
                  <c:v>1380</c:v>
                </c:pt>
                <c:pt idx="97">
                  <c:v>2492.5</c:v>
                </c:pt>
                <c:pt idx="98">
                  <c:v>4574.5</c:v>
                </c:pt>
                <c:pt idx="99">
                  <c:v>198</c:v>
                </c:pt>
                <c:pt idx="100">
                  <c:v>3957</c:v>
                </c:pt>
                <c:pt idx="101">
                  <c:v>2812.5</c:v>
                </c:pt>
                <c:pt idx="102">
                  <c:v>2862</c:v>
                </c:pt>
                <c:pt idx="103">
                  <c:v>2482</c:v>
                </c:pt>
                <c:pt idx="104">
                  <c:v>907</c:v>
                </c:pt>
                <c:pt idx="105">
                  <c:v>3793.5</c:v>
                </c:pt>
                <c:pt idx="106">
                  <c:v>3799.5</c:v>
                </c:pt>
                <c:pt idx="107">
                  <c:v>859</c:v>
                </c:pt>
              </c:numCache>
            </c:numRef>
          </c:yVal>
          <c:smooth val="0"/>
          <c:extLst>
            <c:ext xmlns:c16="http://schemas.microsoft.com/office/drawing/2014/chart" uri="{C3380CC4-5D6E-409C-BE32-E72D297353CC}">
              <c16:uniqueId val="{00000000-55F6-4584-A7E5-EDBA1CB93174}"/>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Driftsutgifter!$D$253:$D$355</c:f>
              <c:numCache>
                <c:formatCode>0</c:formatCode>
                <c:ptCount val="103"/>
                <c:pt idx="0">
                  <c:v>2101</c:v>
                </c:pt>
                <c:pt idx="1">
                  <c:v>1322</c:v>
                </c:pt>
                <c:pt idx="2">
                  <c:v>12096.5</c:v>
                </c:pt>
                <c:pt idx="3">
                  <c:v>8803.5</c:v>
                </c:pt>
                <c:pt idx="4">
                  <c:v>5882</c:v>
                </c:pt>
                <c:pt idx="5">
                  <c:v>3971</c:v>
                </c:pt>
                <c:pt idx="6">
                  <c:v>4495.5</c:v>
                </c:pt>
                <c:pt idx="7">
                  <c:v>4560</c:v>
                </c:pt>
                <c:pt idx="8">
                  <c:v>9811</c:v>
                </c:pt>
                <c:pt idx="9">
                  <c:v>14794.5</c:v>
                </c:pt>
                <c:pt idx="10">
                  <c:v>5883.5</c:v>
                </c:pt>
                <c:pt idx="11">
                  <c:v>3845</c:v>
                </c:pt>
                <c:pt idx="12">
                  <c:v>5188</c:v>
                </c:pt>
                <c:pt idx="13">
                  <c:v>4633.5</c:v>
                </c:pt>
                <c:pt idx="14">
                  <c:v>2576.5</c:v>
                </c:pt>
                <c:pt idx="15">
                  <c:v>3421</c:v>
                </c:pt>
                <c:pt idx="16">
                  <c:v>2123</c:v>
                </c:pt>
                <c:pt idx="17">
                  <c:v>2995.5</c:v>
                </c:pt>
                <c:pt idx="18">
                  <c:v>4117</c:v>
                </c:pt>
                <c:pt idx="19">
                  <c:v>5585</c:v>
                </c:pt>
                <c:pt idx="20">
                  <c:v>5608.5</c:v>
                </c:pt>
                <c:pt idx="21">
                  <c:v>3485.5</c:v>
                </c:pt>
                <c:pt idx="22">
                  <c:v>5274</c:v>
                </c:pt>
                <c:pt idx="23">
                  <c:v>7021</c:v>
                </c:pt>
                <c:pt idx="24">
                  <c:v>2439.5</c:v>
                </c:pt>
                <c:pt idx="25">
                  <c:v>7161</c:v>
                </c:pt>
                <c:pt idx="26">
                  <c:v>7225.5</c:v>
                </c:pt>
                <c:pt idx="27">
                  <c:v>5880.5</c:v>
                </c:pt>
                <c:pt idx="28">
                  <c:v>3152</c:v>
                </c:pt>
                <c:pt idx="29">
                  <c:v>6126.5</c:v>
                </c:pt>
                <c:pt idx="30">
                  <c:v>2200</c:v>
                </c:pt>
                <c:pt idx="31">
                  <c:v>8809.5</c:v>
                </c:pt>
                <c:pt idx="32">
                  <c:v>3149</c:v>
                </c:pt>
                <c:pt idx="33">
                  <c:v>13314</c:v>
                </c:pt>
                <c:pt idx="34">
                  <c:v>11558.5</c:v>
                </c:pt>
                <c:pt idx="35">
                  <c:v>1333.5</c:v>
                </c:pt>
                <c:pt idx="36">
                  <c:v>9887.5</c:v>
                </c:pt>
                <c:pt idx="37">
                  <c:v>4400.5</c:v>
                </c:pt>
                <c:pt idx="38">
                  <c:v>4092</c:v>
                </c:pt>
                <c:pt idx="39">
                  <c:v>22165.5</c:v>
                </c:pt>
                <c:pt idx="40">
                  <c:v>2412.5</c:v>
                </c:pt>
                <c:pt idx="41">
                  <c:v>7239</c:v>
                </c:pt>
                <c:pt idx="42">
                  <c:v>3271.5</c:v>
                </c:pt>
                <c:pt idx="43">
                  <c:v>2872.5</c:v>
                </c:pt>
                <c:pt idx="44">
                  <c:v>3302.5</c:v>
                </c:pt>
                <c:pt idx="45">
                  <c:v>5953.5</c:v>
                </c:pt>
                <c:pt idx="46">
                  <c:v>4759</c:v>
                </c:pt>
                <c:pt idx="47">
                  <c:v>3611</c:v>
                </c:pt>
                <c:pt idx="48">
                  <c:v>1575</c:v>
                </c:pt>
                <c:pt idx="49">
                  <c:v>5290</c:v>
                </c:pt>
                <c:pt idx="50">
                  <c:v>2669</c:v>
                </c:pt>
                <c:pt idx="51">
                  <c:v>11014.5</c:v>
                </c:pt>
                <c:pt idx="52">
                  <c:v>5604.5</c:v>
                </c:pt>
                <c:pt idx="53">
                  <c:v>2291.5</c:v>
                </c:pt>
                <c:pt idx="54">
                  <c:v>2877.5</c:v>
                </c:pt>
                <c:pt idx="55">
                  <c:v>1793.5</c:v>
                </c:pt>
                <c:pt idx="56">
                  <c:v>2896.5</c:v>
                </c:pt>
                <c:pt idx="57">
                  <c:v>1727</c:v>
                </c:pt>
                <c:pt idx="58">
                  <c:v>7032.5</c:v>
                </c:pt>
                <c:pt idx="59">
                  <c:v>9938</c:v>
                </c:pt>
                <c:pt idx="60">
                  <c:v>2827.5</c:v>
                </c:pt>
                <c:pt idx="61">
                  <c:v>1077</c:v>
                </c:pt>
                <c:pt idx="62">
                  <c:v>4444</c:v>
                </c:pt>
                <c:pt idx="63">
                  <c:v>13037.5</c:v>
                </c:pt>
                <c:pt idx="64">
                  <c:v>12147.5</c:v>
                </c:pt>
                <c:pt idx="65">
                  <c:v>4058</c:v>
                </c:pt>
                <c:pt idx="66">
                  <c:v>7782</c:v>
                </c:pt>
                <c:pt idx="67">
                  <c:v>1368</c:v>
                </c:pt>
                <c:pt idx="68">
                  <c:v>2424</c:v>
                </c:pt>
                <c:pt idx="69">
                  <c:v>8145.5</c:v>
                </c:pt>
                <c:pt idx="70">
                  <c:v>4756</c:v>
                </c:pt>
                <c:pt idx="71">
                  <c:v>4505</c:v>
                </c:pt>
                <c:pt idx="72">
                  <c:v>3286</c:v>
                </c:pt>
                <c:pt idx="73">
                  <c:v>1553</c:v>
                </c:pt>
                <c:pt idx="74">
                  <c:v>2628</c:v>
                </c:pt>
                <c:pt idx="75">
                  <c:v>6690.5</c:v>
                </c:pt>
                <c:pt idx="76">
                  <c:v>7316.5</c:v>
                </c:pt>
                <c:pt idx="77">
                  <c:v>2914</c:v>
                </c:pt>
                <c:pt idx="78">
                  <c:v>5850</c:v>
                </c:pt>
                <c:pt idx="79">
                  <c:v>10421.5</c:v>
                </c:pt>
                <c:pt idx="80">
                  <c:v>2462</c:v>
                </c:pt>
                <c:pt idx="81">
                  <c:v>3561.5</c:v>
                </c:pt>
                <c:pt idx="82">
                  <c:v>9535</c:v>
                </c:pt>
                <c:pt idx="83">
                  <c:v>2137</c:v>
                </c:pt>
                <c:pt idx="84">
                  <c:v>6592.5</c:v>
                </c:pt>
                <c:pt idx="85">
                  <c:v>2469</c:v>
                </c:pt>
                <c:pt idx="86">
                  <c:v>6993.5</c:v>
                </c:pt>
                <c:pt idx="87">
                  <c:v>9730</c:v>
                </c:pt>
                <c:pt idx="88">
                  <c:v>4204</c:v>
                </c:pt>
                <c:pt idx="89">
                  <c:v>1823.5</c:v>
                </c:pt>
                <c:pt idx="90">
                  <c:v>3192</c:v>
                </c:pt>
                <c:pt idx="91">
                  <c:v>2626.5</c:v>
                </c:pt>
                <c:pt idx="92">
                  <c:v>3871</c:v>
                </c:pt>
                <c:pt idx="93">
                  <c:v>861.5</c:v>
                </c:pt>
                <c:pt idx="94">
                  <c:v>5529</c:v>
                </c:pt>
                <c:pt idx="95">
                  <c:v>1968.5</c:v>
                </c:pt>
                <c:pt idx="96">
                  <c:v>4439.5</c:v>
                </c:pt>
                <c:pt idx="97">
                  <c:v>4534</c:v>
                </c:pt>
                <c:pt idx="98">
                  <c:v>5580.5</c:v>
                </c:pt>
                <c:pt idx="99">
                  <c:v>17155</c:v>
                </c:pt>
                <c:pt idx="100">
                  <c:v>5549</c:v>
                </c:pt>
                <c:pt idx="101">
                  <c:v>3586</c:v>
                </c:pt>
                <c:pt idx="102">
                  <c:v>1247.5</c:v>
                </c:pt>
              </c:numCache>
            </c:numRef>
          </c:yVal>
          <c:smooth val="0"/>
          <c:extLst>
            <c:ext xmlns:c16="http://schemas.microsoft.com/office/drawing/2014/chart" uri="{C3380CC4-5D6E-409C-BE32-E72D297353CC}">
              <c16:uniqueId val="{00000001-55F6-4584-A7E5-EDBA1CB93174}"/>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Driftsutgifter!$D$356:$D$420</c:f>
              <c:numCache>
                <c:formatCode>0</c:formatCode>
                <c:ptCount val="65"/>
                <c:pt idx="0">
                  <c:v>8677</c:v>
                </c:pt>
                <c:pt idx="1">
                  <c:v>3608.5</c:v>
                </c:pt>
                <c:pt idx="2">
                  <c:v>42722</c:v>
                </c:pt>
                <c:pt idx="3">
                  <c:v>32224</c:v>
                </c:pt>
                <c:pt idx="4">
                  <c:v>9591.5</c:v>
                </c:pt>
                <c:pt idx="5">
                  <c:v>6817.5</c:v>
                </c:pt>
                <c:pt idx="6">
                  <c:v>14935.5</c:v>
                </c:pt>
                <c:pt idx="7">
                  <c:v>2362</c:v>
                </c:pt>
                <c:pt idx="8">
                  <c:v>18596</c:v>
                </c:pt>
                <c:pt idx="9">
                  <c:v>19008.5</c:v>
                </c:pt>
                <c:pt idx="10">
                  <c:v>8400.5</c:v>
                </c:pt>
                <c:pt idx="11">
                  <c:v>24853.5</c:v>
                </c:pt>
                <c:pt idx="12">
                  <c:v>14978.5</c:v>
                </c:pt>
                <c:pt idx="13">
                  <c:v>10514.5</c:v>
                </c:pt>
                <c:pt idx="14">
                  <c:v>23979.5</c:v>
                </c:pt>
                <c:pt idx="15">
                  <c:v>9587.5</c:v>
                </c:pt>
                <c:pt idx="16">
                  <c:v>20257.5</c:v>
                </c:pt>
                <c:pt idx="17">
                  <c:v>14962</c:v>
                </c:pt>
                <c:pt idx="18">
                  <c:v>10881</c:v>
                </c:pt>
                <c:pt idx="19">
                  <c:v>26036</c:v>
                </c:pt>
                <c:pt idx="20">
                  <c:v>10382</c:v>
                </c:pt>
                <c:pt idx="21">
                  <c:v>24086</c:v>
                </c:pt>
                <c:pt idx="22">
                  <c:v>2818.5</c:v>
                </c:pt>
                <c:pt idx="23">
                  <c:v>8514</c:v>
                </c:pt>
                <c:pt idx="24">
                  <c:v>4751.5</c:v>
                </c:pt>
                <c:pt idx="25">
                  <c:v>11344</c:v>
                </c:pt>
                <c:pt idx="26">
                  <c:v>39200</c:v>
                </c:pt>
                <c:pt idx="27">
                  <c:v>5121.5</c:v>
                </c:pt>
                <c:pt idx="28">
                  <c:v>14861.5</c:v>
                </c:pt>
                <c:pt idx="29">
                  <c:v>5549.5</c:v>
                </c:pt>
                <c:pt idx="30">
                  <c:v>10615.5</c:v>
                </c:pt>
                <c:pt idx="31">
                  <c:v>2498</c:v>
                </c:pt>
                <c:pt idx="32">
                  <c:v>3778.5</c:v>
                </c:pt>
                <c:pt idx="33">
                  <c:v>9741</c:v>
                </c:pt>
                <c:pt idx="34">
                  <c:v>8141.5</c:v>
                </c:pt>
                <c:pt idx="35">
                  <c:v>9132</c:v>
                </c:pt>
                <c:pt idx="36">
                  <c:v>6136</c:v>
                </c:pt>
                <c:pt idx="37">
                  <c:v>23313</c:v>
                </c:pt>
                <c:pt idx="38">
                  <c:v>19472.5</c:v>
                </c:pt>
                <c:pt idx="39">
                  <c:v>11292</c:v>
                </c:pt>
                <c:pt idx="40">
                  <c:v>25404.5</c:v>
                </c:pt>
                <c:pt idx="41">
                  <c:v>2728.5</c:v>
                </c:pt>
                <c:pt idx="42">
                  <c:v>27225.5</c:v>
                </c:pt>
                <c:pt idx="43">
                  <c:v>8644.5</c:v>
                </c:pt>
                <c:pt idx="44">
                  <c:v>6377.5</c:v>
                </c:pt>
                <c:pt idx="45">
                  <c:v>21522.5</c:v>
                </c:pt>
                <c:pt idx="46">
                  <c:v>5013</c:v>
                </c:pt>
                <c:pt idx="47">
                  <c:v>6552</c:v>
                </c:pt>
                <c:pt idx="48">
                  <c:v>10884.5</c:v>
                </c:pt>
                <c:pt idx="49">
                  <c:v>6104</c:v>
                </c:pt>
                <c:pt idx="50">
                  <c:v>5366</c:v>
                </c:pt>
                <c:pt idx="51">
                  <c:v>6030</c:v>
                </c:pt>
                <c:pt idx="52">
                  <c:v>6770.5</c:v>
                </c:pt>
                <c:pt idx="53">
                  <c:v>29756.5</c:v>
                </c:pt>
                <c:pt idx="54">
                  <c:v>21230.5</c:v>
                </c:pt>
                <c:pt idx="55">
                  <c:v>16009.5</c:v>
                </c:pt>
                <c:pt idx="56">
                  <c:v>6149.5</c:v>
                </c:pt>
                <c:pt idx="57">
                  <c:v>13287.5</c:v>
                </c:pt>
                <c:pt idx="58">
                  <c:v>6526.5</c:v>
                </c:pt>
                <c:pt idx="59">
                  <c:v>4717</c:v>
                </c:pt>
                <c:pt idx="60">
                  <c:v>2924.5</c:v>
                </c:pt>
                <c:pt idx="61">
                  <c:v>5142.5</c:v>
                </c:pt>
                <c:pt idx="62">
                  <c:v>7594</c:v>
                </c:pt>
                <c:pt idx="63">
                  <c:v>5753.5</c:v>
                </c:pt>
                <c:pt idx="64">
                  <c:v>10637</c:v>
                </c:pt>
              </c:numCache>
            </c:numRef>
          </c:yVal>
          <c:smooth val="0"/>
          <c:extLst>
            <c:ext xmlns:c16="http://schemas.microsoft.com/office/drawing/2014/chart" uri="{C3380CC4-5D6E-409C-BE32-E72D297353CC}">
              <c16:uniqueId val="{00000002-55F6-4584-A7E5-EDBA1CB93174}"/>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Driftsutgifter!$D$421:$D$474</c:f>
              <c:numCache>
                <c:formatCode>0</c:formatCode>
                <c:ptCount val="54"/>
                <c:pt idx="0">
                  <c:v>14543.5</c:v>
                </c:pt>
                <c:pt idx="1">
                  <c:v>31227.5</c:v>
                </c:pt>
                <c:pt idx="2">
                  <c:v>29902.5</c:v>
                </c:pt>
                <c:pt idx="3">
                  <c:v>27027</c:v>
                </c:pt>
                <c:pt idx="4">
                  <c:v>14114</c:v>
                </c:pt>
                <c:pt idx="5">
                  <c:v>28492.5</c:v>
                </c:pt>
                <c:pt idx="6">
                  <c:v>17957.5</c:v>
                </c:pt>
                <c:pt idx="7">
                  <c:v>24090.5</c:v>
                </c:pt>
                <c:pt idx="8">
                  <c:v>7775.5</c:v>
                </c:pt>
                <c:pt idx="9">
                  <c:v>8023.5</c:v>
                </c:pt>
                <c:pt idx="10">
                  <c:v>13027</c:v>
                </c:pt>
                <c:pt idx="11">
                  <c:v>14400</c:v>
                </c:pt>
                <c:pt idx="12">
                  <c:v>12216.5</c:v>
                </c:pt>
                <c:pt idx="13">
                  <c:v>17231.5</c:v>
                </c:pt>
                <c:pt idx="14">
                  <c:v>45995</c:v>
                </c:pt>
                <c:pt idx="15">
                  <c:v>13600.5</c:v>
                </c:pt>
                <c:pt idx="16">
                  <c:v>13603.5</c:v>
                </c:pt>
                <c:pt idx="17">
                  <c:v>30415</c:v>
                </c:pt>
                <c:pt idx="18">
                  <c:v>45700</c:v>
                </c:pt>
                <c:pt idx="19">
                  <c:v>24414</c:v>
                </c:pt>
                <c:pt idx="20">
                  <c:v>3866</c:v>
                </c:pt>
                <c:pt idx="21">
                  <c:v>48011.5</c:v>
                </c:pt>
                <c:pt idx="22">
                  <c:v>114653</c:v>
                </c:pt>
                <c:pt idx="23">
                  <c:v>21501.5</c:v>
                </c:pt>
                <c:pt idx="24">
                  <c:v>20269.5</c:v>
                </c:pt>
                <c:pt idx="25">
                  <c:v>53031</c:v>
                </c:pt>
                <c:pt idx="26">
                  <c:v>20389</c:v>
                </c:pt>
                <c:pt idx="27">
                  <c:v>65258.5</c:v>
                </c:pt>
                <c:pt idx="28">
                  <c:v>13371</c:v>
                </c:pt>
                <c:pt idx="29">
                  <c:v>6873.5</c:v>
                </c:pt>
                <c:pt idx="30">
                  <c:v>55718.5</c:v>
                </c:pt>
                <c:pt idx="31">
                  <c:v>5968</c:v>
                </c:pt>
                <c:pt idx="32">
                  <c:v>28336</c:v>
                </c:pt>
                <c:pt idx="33">
                  <c:v>67317</c:v>
                </c:pt>
                <c:pt idx="34">
                  <c:v>31587</c:v>
                </c:pt>
                <c:pt idx="35">
                  <c:v>20130.5</c:v>
                </c:pt>
                <c:pt idx="36">
                  <c:v>36840</c:v>
                </c:pt>
                <c:pt idx="37">
                  <c:v>35274</c:v>
                </c:pt>
                <c:pt idx="38">
                  <c:v>77768</c:v>
                </c:pt>
                <c:pt idx="39">
                  <c:v>21256</c:v>
                </c:pt>
                <c:pt idx="40">
                  <c:v>24302</c:v>
                </c:pt>
                <c:pt idx="41">
                  <c:v>9225.5</c:v>
                </c:pt>
                <c:pt idx="42">
                  <c:v>6949</c:v>
                </c:pt>
                <c:pt idx="43">
                  <c:v>7975</c:v>
                </c:pt>
                <c:pt idx="44">
                  <c:v>8341.5</c:v>
                </c:pt>
                <c:pt idx="45">
                  <c:v>11349</c:v>
                </c:pt>
                <c:pt idx="46">
                  <c:v>19567</c:v>
                </c:pt>
                <c:pt idx="47">
                  <c:v>11562.5</c:v>
                </c:pt>
                <c:pt idx="48">
                  <c:v>11320.5</c:v>
                </c:pt>
                <c:pt idx="49">
                  <c:v>17849.5</c:v>
                </c:pt>
                <c:pt idx="50">
                  <c:v>15302</c:v>
                </c:pt>
                <c:pt idx="51">
                  <c:v>15208.5</c:v>
                </c:pt>
                <c:pt idx="52">
                  <c:v>25943.5</c:v>
                </c:pt>
                <c:pt idx="53">
                  <c:v>37649.5</c:v>
                </c:pt>
              </c:numCache>
            </c:numRef>
          </c:yVal>
          <c:smooth val="0"/>
          <c:extLst>
            <c:ext xmlns:c16="http://schemas.microsoft.com/office/drawing/2014/chart" uri="{C3380CC4-5D6E-409C-BE32-E72D297353CC}">
              <c16:uniqueId val="{00000003-55F6-4584-A7E5-EDBA1CB93174}"/>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Driftsutgifter!$D$475:$D$495</c:f>
              <c:numCache>
                <c:formatCode>0</c:formatCode>
                <c:ptCount val="21"/>
                <c:pt idx="0">
                  <c:v>32190.5</c:v>
                </c:pt>
                <c:pt idx="1">
                  <c:v>16095</c:v>
                </c:pt>
                <c:pt idx="2">
                  <c:v>27875.5</c:v>
                </c:pt>
                <c:pt idx="3">
                  <c:v>96936</c:v>
                </c:pt>
                <c:pt idx="4">
                  <c:v>58177.5</c:v>
                </c:pt>
                <c:pt idx="5">
                  <c:v>27592</c:v>
                </c:pt>
                <c:pt idx="6">
                  <c:v>58610</c:v>
                </c:pt>
                <c:pt idx="7">
                  <c:v>25193.5</c:v>
                </c:pt>
                <c:pt idx="8">
                  <c:v>7137</c:v>
                </c:pt>
                <c:pt idx="9">
                  <c:v>42215.5</c:v>
                </c:pt>
                <c:pt idx="10">
                  <c:v>50765</c:v>
                </c:pt>
                <c:pt idx="11">
                  <c:v>288130</c:v>
                </c:pt>
                <c:pt idx="12">
                  <c:v>27941.5</c:v>
                </c:pt>
                <c:pt idx="13">
                  <c:v>81926.5</c:v>
                </c:pt>
                <c:pt idx="14">
                  <c:v>61638.5</c:v>
                </c:pt>
                <c:pt idx="15">
                  <c:v>84168</c:v>
                </c:pt>
                <c:pt idx="16">
                  <c:v>21065</c:v>
                </c:pt>
                <c:pt idx="17">
                  <c:v>211578</c:v>
                </c:pt>
                <c:pt idx="18">
                  <c:v>102782</c:v>
                </c:pt>
                <c:pt idx="19">
                  <c:v>18894</c:v>
                </c:pt>
                <c:pt idx="20">
                  <c:v>145355</c:v>
                </c:pt>
              </c:numCache>
            </c:numRef>
          </c:yVal>
          <c:smooth val="0"/>
          <c:extLst>
            <c:ext xmlns:c16="http://schemas.microsoft.com/office/drawing/2014/chart" uri="{C3380CC4-5D6E-409C-BE32-E72D297353CC}">
              <c16:uniqueId val="{00000004-55F6-4584-A7E5-EDBA1CB93174}"/>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Driftsutgifter!$D$496:$D$500</c:f>
              <c:numCache>
                <c:formatCode>0</c:formatCode>
                <c:ptCount val="5"/>
                <c:pt idx="0">
                  <c:v>704432</c:v>
                </c:pt>
                <c:pt idx="1">
                  <c:v>45745</c:v>
                </c:pt>
                <c:pt idx="2">
                  <c:v>19321</c:v>
                </c:pt>
                <c:pt idx="3">
                  <c:v>129428</c:v>
                </c:pt>
                <c:pt idx="4">
                  <c:v>90305</c:v>
                </c:pt>
              </c:numCache>
            </c:numRef>
          </c:yVal>
          <c:smooth val="0"/>
          <c:extLst>
            <c:ext xmlns:c16="http://schemas.microsoft.com/office/drawing/2014/chart" uri="{C3380CC4-5D6E-409C-BE32-E72D297353CC}">
              <c16:uniqueId val="{00000005-55F6-4584-A7E5-EDBA1CB93174}"/>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logBase val="10"/>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Befolkning (tierlogaritmisk skala)</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11355695317958"/>
          <c:y val="4.3358162631905652E-2"/>
          <c:w val="0.64008350803633818"/>
          <c:h val="0.65889478584729966"/>
        </c:manualLayout>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Driftsutgifter!$E$587:$E$666</c:f>
              <c:numCache>
                <c:formatCode>General</c:formatCode>
                <c:ptCount val="80"/>
                <c:pt idx="0">
                  <c:v>1911</c:v>
                </c:pt>
                <c:pt idx="1">
                  <c:v>1223.5</c:v>
                </c:pt>
                <c:pt idx="2">
                  <c:v>1860.5</c:v>
                </c:pt>
                <c:pt idx="3">
                  <c:v>1140.5</c:v>
                </c:pt>
                <c:pt idx="4">
                  <c:v>9587.5</c:v>
                </c:pt>
                <c:pt idx="5">
                  <c:v>2721.5</c:v>
                </c:pt>
                <c:pt idx="6">
                  <c:v>5580.5</c:v>
                </c:pt>
                <c:pt idx="7">
                  <c:v>5546.5</c:v>
                </c:pt>
                <c:pt idx="8">
                  <c:v>1980.5</c:v>
                </c:pt>
                <c:pt idx="9">
                  <c:v>1146</c:v>
                </c:pt>
                <c:pt idx="10">
                  <c:v>9730</c:v>
                </c:pt>
                <c:pt idx="11">
                  <c:v>907</c:v>
                </c:pt>
                <c:pt idx="12">
                  <c:v>2939.5</c:v>
                </c:pt>
                <c:pt idx="13">
                  <c:v>2141</c:v>
                </c:pt>
                <c:pt idx="14">
                  <c:v>77768</c:v>
                </c:pt>
                <c:pt idx="15">
                  <c:v>1284</c:v>
                </c:pt>
                <c:pt idx="16">
                  <c:v>13287.5</c:v>
                </c:pt>
                <c:pt idx="17">
                  <c:v>976.5</c:v>
                </c:pt>
                <c:pt idx="18">
                  <c:v>3421</c:v>
                </c:pt>
                <c:pt idx="19">
                  <c:v>1197</c:v>
                </c:pt>
                <c:pt idx="20">
                  <c:v>21230.5</c:v>
                </c:pt>
                <c:pt idx="21">
                  <c:v>24853.5</c:v>
                </c:pt>
                <c:pt idx="22">
                  <c:v>1398.5</c:v>
                </c:pt>
                <c:pt idx="23">
                  <c:v>1857</c:v>
                </c:pt>
                <c:pt idx="24">
                  <c:v>6690.5</c:v>
                </c:pt>
                <c:pt idx="25">
                  <c:v>14794.5</c:v>
                </c:pt>
                <c:pt idx="26">
                  <c:v>860.5</c:v>
                </c:pt>
                <c:pt idx="27">
                  <c:v>1074.5</c:v>
                </c:pt>
                <c:pt idx="28">
                  <c:v>2797</c:v>
                </c:pt>
                <c:pt idx="29">
                  <c:v>10514.5</c:v>
                </c:pt>
                <c:pt idx="30">
                  <c:v>9887.5</c:v>
                </c:pt>
                <c:pt idx="31">
                  <c:v>2563.5</c:v>
                </c:pt>
                <c:pt idx="32">
                  <c:v>1062</c:v>
                </c:pt>
                <c:pt idx="33">
                  <c:v>1055.5</c:v>
                </c:pt>
                <c:pt idx="34">
                  <c:v>1915</c:v>
                </c:pt>
                <c:pt idx="35">
                  <c:v>11558.5</c:v>
                </c:pt>
                <c:pt idx="36">
                  <c:v>53031</c:v>
                </c:pt>
                <c:pt idx="37">
                  <c:v>683</c:v>
                </c:pt>
                <c:pt idx="38">
                  <c:v>1836</c:v>
                </c:pt>
                <c:pt idx="39">
                  <c:v>1457.5</c:v>
                </c:pt>
                <c:pt idx="40">
                  <c:v>2574.5</c:v>
                </c:pt>
                <c:pt idx="41">
                  <c:v>1832</c:v>
                </c:pt>
                <c:pt idx="42">
                  <c:v>458</c:v>
                </c:pt>
                <c:pt idx="43">
                  <c:v>4574.5</c:v>
                </c:pt>
                <c:pt idx="44">
                  <c:v>11292</c:v>
                </c:pt>
                <c:pt idx="45">
                  <c:v>1138.5</c:v>
                </c:pt>
                <c:pt idx="46">
                  <c:v>4759</c:v>
                </c:pt>
                <c:pt idx="47">
                  <c:v>2175</c:v>
                </c:pt>
                <c:pt idx="48">
                  <c:v>967</c:v>
                </c:pt>
                <c:pt idx="49">
                  <c:v>7316.5</c:v>
                </c:pt>
                <c:pt idx="50">
                  <c:v>2006</c:v>
                </c:pt>
                <c:pt idx="51">
                  <c:v>26036</c:v>
                </c:pt>
                <c:pt idx="52">
                  <c:v>6213</c:v>
                </c:pt>
                <c:pt idx="53">
                  <c:v>469</c:v>
                </c:pt>
                <c:pt idx="54">
                  <c:v>2862</c:v>
                </c:pt>
                <c:pt idx="55">
                  <c:v>4203.5</c:v>
                </c:pt>
                <c:pt idx="56">
                  <c:v>8145.5</c:v>
                </c:pt>
                <c:pt idx="57">
                  <c:v>3971</c:v>
                </c:pt>
                <c:pt idx="58">
                  <c:v>980.5</c:v>
                </c:pt>
                <c:pt idx="59">
                  <c:v>1275.5</c:v>
                </c:pt>
                <c:pt idx="60">
                  <c:v>3883.5</c:v>
                </c:pt>
                <c:pt idx="61">
                  <c:v>2827.5</c:v>
                </c:pt>
                <c:pt idx="62">
                  <c:v>1322</c:v>
                </c:pt>
                <c:pt idx="63">
                  <c:v>859</c:v>
                </c:pt>
                <c:pt idx="64">
                  <c:v>2628</c:v>
                </c:pt>
                <c:pt idx="65">
                  <c:v>4439.5</c:v>
                </c:pt>
                <c:pt idx="66">
                  <c:v>2067.5</c:v>
                </c:pt>
                <c:pt idx="67">
                  <c:v>4495.5</c:v>
                </c:pt>
                <c:pt idx="68">
                  <c:v>2263.5</c:v>
                </c:pt>
                <c:pt idx="69">
                  <c:v>1740.5</c:v>
                </c:pt>
                <c:pt idx="70">
                  <c:v>2695</c:v>
                </c:pt>
                <c:pt idx="71">
                  <c:v>447</c:v>
                </c:pt>
                <c:pt idx="72">
                  <c:v>7782</c:v>
                </c:pt>
                <c:pt idx="73">
                  <c:v>4633.5</c:v>
                </c:pt>
                <c:pt idx="74">
                  <c:v>1975.5</c:v>
                </c:pt>
                <c:pt idx="75">
                  <c:v>1380</c:v>
                </c:pt>
                <c:pt idx="76">
                  <c:v>1218</c:v>
                </c:pt>
                <c:pt idx="77">
                  <c:v>21522.5</c:v>
                </c:pt>
                <c:pt idx="78">
                  <c:v>1019.5</c:v>
                </c:pt>
                <c:pt idx="79">
                  <c:v>2812.5</c:v>
                </c:pt>
              </c:numCache>
            </c:numRef>
          </c:yVal>
          <c:smooth val="0"/>
          <c:extLst>
            <c:ext xmlns:c16="http://schemas.microsoft.com/office/drawing/2014/chart" uri="{C3380CC4-5D6E-409C-BE32-E72D297353CC}">
              <c16:uniqueId val="{00000000-C351-4672-8729-E67BB388ED2D}"/>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Driftsutgifter!$E$667:$E$704</c:f>
              <c:numCache>
                <c:formatCode>General</c:formatCode>
                <c:ptCount val="38"/>
                <c:pt idx="0">
                  <c:v>1104.5</c:v>
                </c:pt>
                <c:pt idx="1">
                  <c:v>18596</c:v>
                </c:pt>
                <c:pt idx="2">
                  <c:v>751.5</c:v>
                </c:pt>
                <c:pt idx="3">
                  <c:v>17231.5</c:v>
                </c:pt>
                <c:pt idx="4">
                  <c:v>9811</c:v>
                </c:pt>
                <c:pt idx="5">
                  <c:v>1975</c:v>
                </c:pt>
                <c:pt idx="6">
                  <c:v>576</c:v>
                </c:pt>
                <c:pt idx="7">
                  <c:v>23979.5</c:v>
                </c:pt>
                <c:pt idx="8">
                  <c:v>6126.5</c:v>
                </c:pt>
                <c:pt idx="9">
                  <c:v>5882</c:v>
                </c:pt>
                <c:pt idx="10">
                  <c:v>5218.5</c:v>
                </c:pt>
                <c:pt idx="11">
                  <c:v>5585</c:v>
                </c:pt>
                <c:pt idx="12">
                  <c:v>2626.5</c:v>
                </c:pt>
                <c:pt idx="13">
                  <c:v>14543.5</c:v>
                </c:pt>
                <c:pt idx="14">
                  <c:v>1968.5</c:v>
                </c:pt>
                <c:pt idx="15">
                  <c:v>14978.5</c:v>
                </c:pt>
                <c:pt idx="16">
                  <c:v>2291.5</c:v>
                </c:pt>
                <c:pt idx="17">
                  <c:v>1204.5</c:v>
                </c:pt>
                <c:pt idx="18">
                  <c:v>904</c:v>
                </c:pt>
                <c:pt idx="19">
                  <c:v>10421.5</c:v>
                </c:pt>
                <c:pt idx="20">
                  <c:v>4252</c:v>
                </c:pt>
                <c:pt idx="21">
                  <c:v>24414</c:v>
                </c:pt>
                <c:pt idx="22">
                  <c:v>6817.5</c:v>
                </c:pt>
                <c:pt idx="23">
                  <c:v>5328</c:v>
                </c:pt>
                <c:pt idx="24">
                  <c:v>7161</c:v>
                </c:pt>
                <c:pt idx="25">
                  <c:v>2412.5</c:v>
                </c:pt>
                <c:pt idx="26">
                  <c:v>211578</c:v>
                </c:pt>
                <c:pt idx="27">
                  <c:v>1302</c:v>
                </c:pt>
                <c:pt idx="28">
                  <c:v>3845</c:v>
                </c:pt>
                <c:pt idx="29">
                  <c:v>2027</c:v>
                </c:pt>
                <c:pt idx="30">
                  <c:v>9938</c:v>
                </c:pt>
                <c:pt idx="31">
                  <c:v>20257.5</c:v>
                </c:pt>
                <c:pt idx="32">
                  <c:v>435</c:v>
                </c:pt>
                <c:pt idx="33">
                  <c:v>816</c:v>
                </c:pt>
                <c:pt idx="34">
                  <c:v>2462</c:v>
                </c:pt>
                <c:pt idx="35">
                  <c:v>8400.5</c:v>
                </c:pt>
                <c:pt idx="36">
                  <c:v>14962</c:v>
                </c:pt>
                <c:pt idx="37">
                  <c:v>4117</c:v>
                </c:pt>
              </c:numCache>
            </c:numRef>
          </c:yVal>
          <c:smooth val="0"/>
          <c:extLst>
            <c:ext xmlns:c16="http://schemas.microsoft.com/office/drawing/2014/chart" uri="{C3380CC4-5D6E-409C-BE32-E72D297353CC}">
              <c16:uniqueId val="{00000001-C351-4672-8729-E67BB388ED2D}"/>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Driftsutgifter!$E$705:$E$796</c:f>
              <c:numCache>
                <c:formatCode>General</c:formatCode>
                <c:ptCount val="92"/>
                <c:pt idx="0">
                  <c:v>42722</c:v>
                </c:pt>
                <c:pt idx="1">
                  <c:v>6993.5</c:v>
                </c:pt>
                <c:pt idx="2">
                  <c:v>5274</c:v>
                </c:pt>
                <c:pt idx="3">
                  <c:v>861.5</c:v>
                </c:pt>
                <c:pt idx="4">
                  <c:v>145355</c:v>
                </c:pt>
                <c:pt idx="5">
                  <c:v>8809.5</c:v>
                </c:pt>
                <c:pt idx="6">
                  <c:v>37649.5</c:v>
                </c:pt>
                <c:pt idx="7">
                  <c:v>9591.5</c:v>
                </c:pt>
                <c:pt idx="8">
                  <c:v>5753.5</c:v>
                </c:pt>
                <c:pt idx="9">
                  <c:v>5880.5</c:v>
                </c:pt>
                <c:pt idx="10">
                  <c:v>198</c:v>
                </c:pt>
                <c:pt idx="11">
                  <c:v>3382.5</c:v>
                </c:pt>
                <c:pt idx="12">
                  <c:v>19472.5</c:v>
                </c:pt>
                <c:pt idx="13">
                  <c:v>529</c:v>
                </c:pt>
                <c:pt idx="14">
                  <c:v>7594</c:v>
                </c:pt>
                <c:pt idx="15">
                  <c:v>5883.5</c:v>
                </c:pt>
                <c:pt idx="16">
                  <c:v>17155</c:v>
                </c:pt>
                <c:pt idx="17">
                  <c:v>7021</c:v>
                </c:pt>
                <c:pt idx="18">
                  <c:v>3871</c:v>
                </c:pt>
                <c:pt idx="19">
                  <c:v>288130</c:v>
                </c:pt>
                <c:pt idx="20">
                  <c:v>3302.5</c:v>
                </c:pt>
                <c:pt idx="21">
                  <c:v>10884.5</c:v>
                </c:pt>
                <c:pt idx="22">
                  <c:v>3957</c:v>
                </c:pt>
                <c:pt idx="23">
                  <c:v>8644.5</c:v>
                </c:pt>
                <c:pt idx="24">
                  <c:v>39200</c:v>
                </c:pt>
                <c:pt idx="25">
                  <c:v>3501.5</c:v>
                </c:pt>
                <c:pt idx="26">
                  <c:v>12147.5</c:v>
                </c:pt>
                <c:pt idx="27">
                  <c:v>12216.5</c:v>
                </c:pt>
                <c:pt idx="28">
                  <c:v>5850</c:v>
                </c:pt>
                <c:pt idx="29">
                  <c:v>3149</c:v>
                </c:pt>
                <c:pt idx="30">
                  <c:v>8677</c:v>
                </c:pt>
                <c:pt idx="31">
                  <c:v>379</c:v>
                </c:pt>
                <c:pt idx="32">
                  <c:v>1641.5</c:v>
                </c:pt>
                <c:pt idx="33">
                  <c:v>27941.5</c:v>
                </c:pt>
                <c:pt idx="34">
                  <c:v>2896.5</c:v>
                </c:pt>
                <c:pt idx="35">
                  <c:v>4444</c:v>
                </c:pt>
                <c:pt idx="36">
                  <c:v>2995.5</c:v>
                </c:pt>
                <c:pt idx="37">
                  <c:v>5142.5</c:v>
                </c:pt>
                <c:pt idx="38">
                  <c:v>29756.5</c:v>
                </c:pt>
                <c:pt idx="39">
                  <c:v>19008.5</c:v>
                </c:pt>
                <c:pt idx="40">
                  <c:v>3586</c:v>
                </c:pt>
                <c:pt idx="41">
                  <c:v>32224</c:v>
                </c:pt>
                <c:pt idx="42">
                  <c:v>762</c:v>
                </c:pt>
                <c:pt idx="43">
                  <c:v>2818.5</c:v>
                </c:pt>
                <c:pt idx="44">
                  <c:v>9535</c:v>
                </c:pt>
                <c:pt idx="45">
                  <c:v>12096.5</c:v>
                </c:pt>
                <c:pt idx="46">
                  <c:v>25404.5</c:v>
                </c:pt>
                <c:pt idx="47">
                  <c:v>13314</c:v>
                </c:pt>
                <c:pt idx="48">
                  <c:v>2123</c:v>
                </c:pt>
                <c:pt idx="49">
                  <c:v>8514</c:v>
                </c:pt>
                <c:pt idx="50">
                  <c:v>4058</c:v>
                </c:pt>
                <c:pt idx="51">
                  <c:v>22165.5</c:v>
                </c:pt>
                <c:pt idx="52">
                  <c:v>2907</c:v>
                </c:pt>
                <c:pt idx="53">
                  <c:v>7225.5</c:v>
                </c:pt>
                <c:pt idx="54">
                  <c:v>2139</c:v>
                </c:pt>
                <c:pt idx="55">
                  <c:v>10881</c:v>
                </c:pt>
                <c:pt idx="56">
                  <c:v>1053.5</c:v>
                </c:pt>
                <c:pt idx="57">
                  <c:v>11344</c:v>
                </c:pt>
                <c:pt idx="58">
                  <c:v>1770.5</c:v>
                </c:pt>
                <c:pt idx="59">
                  <c:v>2872.5</c:v>
                </c:pt>
                <c:pt idx="60">
                  <c:v>8803.5</c:v>
                </c:pt>
                <c:pt idx="61">
                  <c:v>2950</c:v>
                </c:pt>
                <c:pt idx="62">
                  <c:v>2498</c:v>
                </c:pt>
                <c:pt idx="63">
                  <c:v>3799.5</c:v>
                </c:pt>
                <c:pt idx="64">
                  <c:v>949.5</c:v>
                </c:pt>
                <c:pt idx="65">
                  <c:v>3029</c:v>
                </c:pt>
                <c:pt idx="66">
                  <c:v>29902.5</c:v>
                </c:pt>
                <c:pt idx="67">
                  <c:v>7032.5</c:v>
                </c:pt>
                <c:pt idx="68">
                  <c:v>81926.5</c:v>
                </c:pt>
                <c:pt idx="69">
                  <c:v>3192</c:v>
                </c:pt>
                <c:pt idx="70">
                  <c:v>24086</c:v>
                </c:pt>
                <c:pt idx="71">
                  <c:v>2432</c:v>
                </c:pt>
                <c:pt idx="72">
                  <c:v>5188</c:v>
                </c:pt>
                <c:pt idx="73">
                  <c:v>2576.5</c:v>
                </c:pt>
                <c:pt idx="74">
                  <c:v>11014.5</c:v>
                </c:pt>
                <c:pt idx="75">
                  <c:v>507.5</c:v>
                </c:pt>
                <c:pt idx="76">
                  <c:v>1279</c:v>
                </c:pt>
                <c:pt idx="77">
                  <c:v>11562.5</c:v>
                </c:pt>
                <c:pt idx="78">
                  <c:v>67317</c:v>
                </c:pt>
                <c:pt idx="79">
                  <c:v>5290</c:v>
                </c:pt>
                <c:pt idx="80">
                  <c:v>16009.5</c:v>
                </c:pt>
                <c:pt idx="81">
                  <c:v>4534</c:v>
                </c:pt>
                <c:pt idx="82">
                  <c:v>13371</c:v>
                </c:pt>
                <c:pt idx="83">
                  <c:v>2669</c:v>
                </c:pt>
                <c:pt idx="84">
                  <c:v>2492.5</c:v>
                </c:pt>
                <c:pt idx="85">
                  <c:v>20389</c:v>
                </c:pt>
                <c:pt idx="86">
                  <c:v>19567</c:v>
                </c:pt>
                <c:pt idx="87">
                  <c:v>2229</c:v>
                </c:pt>
                <c:pt idx="88">
                  <c:v>13037.5</c:v>
                </c:pt>
                <c:pt idx="89">
                  <c:v>2560.5</c:v>
                </c:pt>
                <c:pt idx="90">
                  <c:v>14935.5</c:v>
                </c:pt>
                <c:pt idx="91">
                  <c:v>8141.5</c:v>
                </c:pt>
              </c:numCache>
            </c:numRef>
          </c:yVal>
          <c:smooth val="0"/>
          <c:extLst>
            <c:ext xmlns:c16="http://schemas.microsoft.com/office/drawing/2014/chart" uri="{C3380CC4-5D6E-409C-BE32-E72D297353CC}">
              <c16:uniqueId val="{00000002-C351-4672-8729-E67BB388ED2D}"/>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Driftsutgifter!$E$797:$E$844</c:f>
              <c:numCache>
                <c:formatCode>General</c:formatCode>
                <c:ptCount val="48"/>
                <c:pt idx="0">
                  <c:v>15208.5</c:v>
                </c:pt>
                <c:pt idx="1">
                  <c:v>24302</c:v>
                </c:pt>
                <c:pt idx="2">
                  <c:v>5953.5</c:v>
                </c:pt>
                <c:pt idx="3">
                  <c:v>58177.5</c:v>
                </c:pt>
                <c:pt idx="4">
                  <c:v>1575</c:v>
                </c:pt>
                <c:pt idx="5">
                  <c:v>5366</c:v>
                </c:pt>
                <c:pt idx="6">
                  <c:v>911.5</c:v>
                </c:pt>
                <c:pt idx="7">
                  <c:v>6149.5</c:v>
                </c:pt>
                <c:pt idx="8">
                  <c:v>45700</c:v>
                </c:pt>
                <c:pt idx="9">
                  <c:v>27225.5</c:v>
                </c:pt>
                <c:pt idx="10">
                  <c:v>36840</c:v>
                </c:pt>
                <c:pt idx="11">
                  <c:v>1135</c:v>
                </c:pt>
                <c:pt idx="12">
                  <c:v>2914</c:v>
                </c:pt>
                <c:pt idx="13">
                  <c:v>1823.5</c:v>
                </c:pt>
                <c:pt idx="14">
                  <c:v>1428</c:v>
                </c:pt>
                <c:pt idx="15">
                  <c:v>27592</c:v>
                </c:pt>
                <c:pt idx="16">
                  <c:v>1333.5</c:v>
                </c:pt>
                <c:pt idx="17">
                  <c:v>2439.5</c:v>
                </c:pt>
                <c:pt idx="18">
                  <c:v>3778.5</c:v>
                </c:pt>
                <c:pt idx="19">
                  <c:v>6136</c:v>
                </c:pt>
                <c:pt idx="20">
                  <c:v>55718.5</c:v>
                </c:pt>
                <c:pt idx="21">
                  <c:v>10615.5</c:v>
                </c:pt>
                <c:pt idx="22">
                  <c:v>2169</c:v>
                </c:pt>
                <c:pt idx="23">
                  <c:v>48011.5</c:v>
                </c:pt>
                <c:pt idx="24">
                  <c:v>965</c:v>
                </c:pt>
                <c:pt idx="25">
                  <c:v>114653</c:v>
                </c:pt>
                <c:pt idx="26">
                  <c:v>1174.5</c:v>
                </c:pt>
                <c:pt idx="27">
                  <c:v>1793.5</c:v>
                </c:pt>
                <c:pt idx="28">
                  <c:v>23313</c:v>
                </c:pt>
                <c:pt idx="29">
                  <c:v>10637</c:v>
                </c:pt>
                <c:pt idx="30">
                  <c:v>1211</c:v>
                </c:pt>
                <c:pt idx="31">
                  <c:v>2137</c:v>
                </c:pt>
                <c:pt idx="32">
                  <c:v>25943.5</c:v>
                </c:pt>
                <c:pt idx="33">
                  <c:v>9132</c:v>
                </c:pt>
                <c:pt idx="34">
                  <c:v>14114</c:v>
                </c:pt>
                <c:pt idx="35">
                  <c:v>3793.5</c:v>
                </c:pt>
                <c:pt idx="36">
                  <c:v>13027</c:v>
                </c:pt>
                <c:pt idx="37">
                  <c:v>4092</c:v>
                </c:pt>
                <c:pt idx="38">
                  <c:v>11349</c:v>
                </c:pt>
                <c:pt idx="39">
                  <c:v>2424</c:v>
                </c:pt>
                <c:pt idx="40">
                  <c:v>10382</c:v>
                </c:pt>
                <c:pt idx="41">
                  <c:v>6526.5</c:v>
                </c:pt>
                <c:pt idx="42">
                  <c:v>1727</c:v>
                </c:pt>
                <c:pt idx="43">
                  <c:v>9741</c:v>
                </c:pt>
                <c:pt idx="44">
                  <c:v>6770.5</c:v>
                </c:pt>
                <c:pt idx="45">
                  <c:v>2362</c:v>
                </c:pt>
                <c:pt idx="46">
                  <c:v>5529</c:v>
                </c:pt>
                <c:pt idx="47">
                  <c:v>65258.5</c:v>
                </c:pt>
              </c:numCache>
            </c:numRef>
          </c:yVal>
          <c:smooth val="0"/>
          <c:extLst>
            <c:ext xmlns:c16="http://schemas.microsoft.com/office/drawing/2014/chart" uri="{C3380CC4-5D6E-409C-BE32-E72D297353CC}">
              <c16:uniqueId val="{00000003-C351-4672-8729-E67BB388ED2D}"/>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Driftsutgifter!$E$845:$E$890</c:f>
              <c:numCache>
                <c:formatCode>General</c:formatCode>
                <c:ptCount val="46"/>
                <c:pt idx="0">
                  <c:v>4204</c:v>
                </c:pt>
                <c:pt idx="1">
                  <c:v>8023.5</c:v>
                </c:pt>
                <c:pt idx="2">
                  <c:v>1611.5</c:v>
                </c:pt>
                <c:pt idx="3">
                  <c:v>2101</c:v>
                </c:pt>
                <c:pt idx="4">
                  <c:v>14861.5</c:v>
                </c:pt>
                <c:pt idx="5">
                  <c:v>2469</c:v>
                </c:pt>
                <c:pt idx="6">
                  <c:v>1247.5</c:v>
                </c:pt>
                <c:pt idx="7">
                  <c:v>32190.5</c:v>
                </c:pt>
                <c:pt idx="8">
                  <c:v>3271.5</c:v>
                </c:pt>
                <c:pt idx="9">
                  <c:v>4560</c:v>
                </c:pt>
                <c:pt idx="10">
                  <c:v>1290.5</c:v>
                </c:pt>
                <c:pt idx="11">
                  <c:v>28492.5</c:v>
                </c:pt>
                <c:pt idx="12">
                  <c:v>7239</c:v>
                </c:pt>
                <c:pt idx="13">
                  <c:v>2299.5</c:v>
                </c:pt>
                <c:pt idx="14">
                  <c:v>2482</c:v>
                </c:pt>
                <c:pt idx="15">
                  <c:v>1849.5</c:v>
                </c:pt>
                <c:pt idx="16">
                  <c:v>6104</c:v>
                </c:pt>
                <c:pt idx="17">
                  <c:v>30415</c:v>
                </c:pt>
                <c:pt idx="18">
                  <c:v>5549</c:v>
                </c:pt>
                <c:pt idx="19">
                  <c:v>6592.5</c:v>
                </c:pt>
                <c:pt idx="20">
                  <c:v>1524.5</c:v>
                </c:pt>
                <c:pt idx="21">
                  <c:v>17957.5</c:v>
                </c:pt>
                <c:pt idx="22">
                  <c:v>5604.5</c:v>
                </c:pt>
                <c:pt idx="23">
                  <c:v>21501.5</c:v>
                </c:pt>
                <c:pt idx="24">
                  <c:v>1553</c:v>
                </c:pt>
                <c:pt idx="25">
                  <c:v>6377.5</c:v>
                </c:pt>
                <c:pt idx="26">
                  <c:v>35274</c:v>
                </c:pt>
                <c:pt idx="27">
                  <c:v>5549.5</c:v>
                </c:pt>
                <c:pt idx="28">
                  <c:v>5121.5</c:v>
                </c:pt>
                <c:pt idx="29">
                  <c:v>3611</c:v>
                </c:pt>
                <c:pt idx="30">
                  <c:v>2149</c:v>
                </c:pt>
                <c:pt idx="31">
                  <c:v>3152</c:v>
                </c:pt>
                <c:pt idx="32">
                  <c:v>4400.5</c:v>
                </c:pt>
                <c:pt idx="33">
                  <c:v>3561.5</c:v>
                </c:pt>
                <c:pt idx="34">
                  <c:v>2211.5</c:v>
                </c:pt>
                <c:pt idx="35">
                  <c:v>6030</c:v>
                </c:pt>
                <c:pt idx="36">
                  <c:v>13603.5</c:v>
                </c:pt>
                <c:pt idx="37">
                  <c:v>13600.5</c:v>
                </c:pt>
                <c:pt idx="38">
                  <c:v>6552</c:v>
                </c:pt>
                <c:pt idx="39">
                  <c:v>5013</c:v>
                </c:pt>
                <c:pt idx="40">
                  <c:v>2877.5</c:v>
                </c:pt>
                <c:pt idx="41">
                  <c:v>1745.5</c:v>
                </c:pt>
                <c:pt idx="42">
                  <c:v>1976</c:v>
                </c:pt>
                <c:pt idx="43">
                  <c:v>7775.5</c:v>
                </c:pt>
                <c:pt idx="44">
                  <c:v>5608.5</c:v>
                </c:pt>
                <c:pt idx="45">
                  <c:v>21256</c:v>
                </c:pt>
              </c:numCache>
            </c:numRef>
          </c:yVal>
          <c:smooth val="0"/>
          <c:extLst>
            <c:ext xmlns:c16="http://schemas.microsoft.com/office/drawing/2014/chart" uri="{C3380CC4-5D6E-409C-BE32-E72D297353CC}">
              <c16:uniqueId val="{00000004-C351-4672-8729-E67BB388ED2D}"/>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Driftsutgifter!$E$891:$E$942</c:f>
              <c:numCache>
                <c:formatCode>General</c:formatCode>
                <c:ptCount val="52"/>
                <c:pt idx="0">
                  <c:v>15302</c:v>
                </c:pt>
                <c:pt idx="1">
                  <c:v>3608.5</c:v>
                </c:pt>
                <c:pt idx="2">
                  <c:v>102782</c:v>
                </c:pt>
                <c:pt idx="3">
                  <c:v>2924.5</c:v>
                </c:pt>
                <c:pt idx="4">
                  <c:v>3485.5</c:v>
                </c:pt>
                <c:pt idx="5">
                  <c:v>61638.5</c:v>
                </c:pt>
                <c:pt idx="6">
                  <c:v>28336</c:v>
                </c:pt>
                <c:pt idx="7">
                  <c:v>20130.5</c:v>
                </c:pt>
                <c:pt idx="8">
                  <c:v>50765</c:v>
                </c:pt>
                <c:pt idx="9">
                  <c:v>9225.5</c:v>
                </c:pt>
                <c:pt idx="10">
                  <c:v>84168</c:v>
                </c:pt>
                <c:pt idx="11">
                  <c:v>7975</c:v>
                </c:pt>
                <c:pt idx="12">
                  <c:v>7137</c:v>
                </c:pt>
                <c:pt idx="13">
                  <c:v>45745</c:v>
                </c:pt>
                <c:pt idx="14">
                  <c:v>14400</c:v>
                </c:pt>
                <c:pt idx="15">
                  <c:v>90305</c:v>
                </c:pt>
                <c:pt idx="16">
                  <c:v>4717</c:v>
                </c:pt>
                <c:pt idx="17">
                  <c:v>27027</c:v>
                </c:pt>
                <c:pt idx="18">
                  <c:v>2628</c:v>
                </c:pt>
                <c:pt idx="19">
                  <c:v>3286</c:v>
                </c:pt>
                <c:pt idx="20">
                  <c:v>42215.5</c:v>
                </c:pt>
                <c:pt idx="21">
                  <c:v>1322</c:v>
                </c:pt>
                <c:pt idx="22">
                  <c:v>5968</c:v>
                </c:pt>
                <c:pt idx="23">
                  <c:v>20269.5</c:v>
                </c:pt>
                <c:pt idx="24">
                  <c:v>704432</c:v>
                </c:pt>
                <c:pt idx="25">
                  <c:v>8341.5</c:v>
                </c:pt>
                <c:pt idx="26">
                  <c:v>25193.5</c:v>
                </c:pt>
                <c:pt idx="27">
                  <c:v>3866</c:v>
                </c:pt>
                <c:pt idx="28">
                  <c:v>4751.5</c:v>
                </c:pt>
                <c:pt idx="29">
                  <c:v>96936</c:v>
                </c:pt>
                <c:pt idx="30">
                  <c:v>6873.5</c:v>
                </c:pt>
                <c:pt idx="31">
                  <c:v>1368</c:v>
                </c:pt>
                <c:pt idx="32">
                  <c:v>2470.5</c:v>
                </c:pt>
                <c:pt idx="33">
                  <c:v>58610</c:v>
                </c:pt>
                <c:pt idx="34">
                  <c:v>31227.5</c:v>
                </c:pt>
                <c:pt idx="35">
                  <c:v>2200</c:v>
                </c:pt>
                <c:pt idx="36">
                  <c:v>1077</c:v>
                </c:pt>
                <c:pt idx="37">
                  <c:v>2728.5</c:v>
                </c:pt>
                <c:pt idx="38">
                  <c:v>6949</c:v>
                </c:pt>
                <c:pt idx="39">
                  <c:v>19321</c:v>
                </c:pt>
                <c:pt idx="40">
                  <c:v>31587</c:v>
                </c:pt>
                <c:pt idx="41">
                  <c:v>18894</c:v>
                </c:pt>
                <c:pt idx="42">
                  <c:v>27875.5</c:v>
                </c:pt>
                <c:pt idx="43">
                  <c:v>4505</c:v>
                </c:pt>
                <c:pt idx="44">
                  <c:v>24090.5</c:v>
                </c:pt>
                <c:pt idx="45">
                  <c:v>45995</c:v>
                </c:pt>
                <c:pt idx="46">
                  <c:v>17849.5</c:v>
                </c:pt>
                <c:pt idx="47">
                  <c:v>21065</c:v>
                </c:pt>
                <c:pt idx="48">
                  <c:v>16095</c:v>
                </c:pt>
                <c:pt idx="49">
                  <c:v>129428</c:v>
                </c:pt>
                <c:pt idx="50">
                  <c:v>4756</c:v>
                </c:pt>
                <c:pt idx="51">
                  <c:v>11320.5</c:v>
                </c:pt>
              </c:numCache>
            </c:numRef>
          </c:yVal>
          <c:smooth val="0"/>
          <c:extLst>
            <c:ext xmlns:c16="http://schemas.microsoft.com/office/drawing/2014/chart" uri="{C3380CC4-5D6E-409C-BE32-E72D297353CC}">
              <c16:uniqueId val="{00000005-C351-4672-8729-E67BB388ED2D}"/>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layout>
            <c:manualLayout>
              <c:xMode val="edge"/>
              <c:yMode val="edge"/>
              <c:x val="0.39476275331935712"/>
              <c:y val="0.7663901303538175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logBase val="10"/>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Befolkning (tierlogaritmisk skala)</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legend>
      <c:legendPos val="b"/>
      <c:layout>
        <c:manualLayout>
          <c:xMode val="edge"/>
          <c:yMode val="edge"/>
          <c:x val="6.6950753415630629E-2"/>
          <c:y val="0.83641371818746124"/>
          <c:w val="0.86609849316873877"/>
          <c:h val="0.1399363749224084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b) Sammensetning av maskiner, utstyr og transportmidler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percentStacked"/>
        <c:varyColors val="0"/>
        <c:ser>
          <c:idx val="0"/>
          <c:order val="0"/>
          <c:tx>
            <c:strRef>
              <c:f>'[Kommunal kapital.xlsx]MUT, sammensetning'!$CH$5</c:f>
              <c:strCache>
                <c:ptCount val="1"/>
                <c:pt idx="0">
                  <c:v>Maskiner og utstyr</c:v>
                </c:pt>
              </c:strCache>
            </c:strRef>
          </c:tx>
          <c:spPr>
            <a:solidFill>
              <a:schemeClr val="accent1"/>
            </a:solidFill>
            <a:ln>
              <a:noFill/>
            </a:ln>
            <a:effectLst/>
          </c:spPr>
          <c:invertIfNegative val="0"/>
          <c:cat>
            <c:strRef>
              <c:f>'[Kommunal kapital.xlsx]MUT, sammensetning'!$E$6:$E$16</c:f>
              <c:strCache>
                <c:ptCount val="11"/>
                <c:pt idx="0">
                  <c:v>Kommunal sektor, samlet</c:v>
                </c:pt>
                <c:pt idx="1">
                  <c:v>Samferdsel</c:v>
                </c:pt>
                <c:pt idx="2">
                  <c:v>VAR-tjenester</c:v>
                </c:pt>
                <c:pt idx="3">
                  <c:v>Kommunale boliger</c:v>
                </c:pt>
                <c:pt idx="4">
                  <c:v>Admin. og beredskap</c:v>
                </c:pt>
                <c:pt idx="5">
                  <c:v>Kirke</c:v>
                </c:pt>
                <c:pt idx="6">
                  <c:v>Barneomsorg og sosial</c:v>
                </c:pt>
                <c:pt idx="7">
                  <c:v>Kultur</c:v>
                </c:pt>
                <c:pt idx="8">
                  <c:v>Helse og eldreomsorg</c:v>
                </c:pt>
                <c:pt idx="9">
                  <c:v>Skole</c:v>
                </c:pt>
                <c:pt idx="10">
                  <c:v>Tannhelse</c:v>
                </c:pt>
              </c:strCache>
            </c:strRef>
          </c:cat>
          <c:val>
            <c:numRef>
              <c:f>'[Kommunal kapital.xlsx]MUT, sammensetning'!$CH$6:$CH$16</c:f>
              <c:numCache>
                <c:formatCode>General</c:formatCode>
                <c:ptCount val="11"/>
                <c:pt idx="0">
                  <c:v>0.85448262757341154</c:v>
                </c:pt>
                <c:pt idx="1">
                  <c:v>0.19645856004530901</c:v>
                </c:pt>
                <c:pt idx="2">
                  <c:v>0.64606619801162357</c:v>
                </c:pt>
                <c:pt idx="3">
                  <c:v>0.76699521830055384</c:v>
                </c:pt>
                <c:pt idx="4">
                  <c:v>0.80204675615427978</c:v>
                </c:pt>
                <c:pt idx="5">
                  <c:v>0.88304564780417305</c:v>
                </c:pt>
                <c:pt idx="6">
                  <c:v>0.93480441694508509</c:v>
                </c:pt>
                <c:pt idx="7">
                  <c:v>0.94406453342434526</c:v>
                </c:pt>
                <c:pt idx="8">
                  <c:v>0.97312578897200974</c:v>
                </c:pt>
                <c:pt idx="9">
                  <c:v>0.97621969382937424</c:v>
                </c:pt>
                <c:pt idx="10">
                  <c:v>0.98845007550807384</c:v>
                </c:pt>
              </c:numCache>
            </c:numRef>
          </c:val>
          <c:extLst>
            <c:ext xmlns:c16="http://schemas.microsoft.com/office/drawing/2014/chart" uri="{C3380CC4-5D6E-409C-BE32-E72D297353CC}">
              <c16:uniqueId val="{00000000-E383-4106-A8B2-B5F0B0A0EAF6}"/>
            </c:ext>
          </c:extLst>
        </c:ser>
        <c:ser>
          <c:idx val="1"/>
          <c:order val="1"/>
          <c:tx>
            <c:strRef>
              <c:f>'[Kommunal kapital.xlsx]MUT, sammensetning'!$CI$5</c:f>
              <c:strCache>
                <c:ptCount val="1"/>
                <c:pt idx="0">
                  <c:v>Transportmidler</c:v>
                </c:pt>
              </c:strCache>
            </c:strRef>
          </c:tx>
          <c:spPr>
            <a:solidFill>
              <a:schemeClr val="accent2"/>
            </a:solidFill>
            <a:ln>
              <a:noFill/>
            </a:ln>
            <a:effectLst/>
          </c:spPr>
          <c:invertIfNegative val="0"/>
          <c:cat>
            <c:strRef>
              <c:f>'[Kommunal kapital.xlsx]MUT, sammensetning'!$E$6:$E$16</c:f>
              <c:strCache>
                <c:ptCount val="11"/>
                <c:pt idx="0">
                  <c:v>Kommunal sektor, samlet</c:v>
                </c:pt>
                <c:pt idx="1">
                  <c:v>Samferdsel</c:v>
                </c:pt>
                <c:pt idx="2">
                  <c:v>VAR-tjenester</c:v>
                </c:pt>
                <c:pt idx="3">
                  <c:v>Kommunale boliger</c:v>
                </c:pt>
                <c:pt idx="4">
                  <c:v>Admin. og beredskap</c:v>
                </c:pt>
                <c:pt idx="5">
                  <c:v>Kirke</c:v>
                </c:pt>
                <c:pt idx="6">
                  <c:v>Barneomsorg og sosial</c:v>
                </c:pt>
                <c:pt idx="7">
                  <c:v>Kultur</c:v>
                </c:pt>
                <c:pt idx="8">
                  <c:v>Helse og eldreomsorg</c:v>
                </c:pt>
                <c:pt idx="9">
                  <c:v>Skole</c:v>
                </c:pt>
                <c:pt idx="10">
                  <c:v>Tannhelse</c:v>
                </c:pt>
              </c:strCache>
            </c:strRef>
          </c:cat>
          <c:val>
            <c:numRef>
              <c:f>'[Kommunal kapital.xlsx]MUT, sammensetning'!$CI$6:$CI$16</c:f>
              <c:numCache>
                <c:formatCode>General</c:formatCode>
                <c:ptCount val="11"/>
                <c:pt idx="0">
                  <c:v>0.14551737242658852</c:v>
                </c:pt>
                <c:pt idx="1">
                  <c:v>0.80354143995469085</c:v>
                </c:pt>
                <c:pt idx="2">
                  <c:v>0.35393380198837648</c:v>
                </c:pt>
                <c:pt idx="3">
                  <c:v>0.23300478169944619</c:v>
                </c:pt>
                <c:pt idx="4">
                  <c:v>0.19795324384571994</c:v>
                </c:pt>
                <c:pt idx="5">
                  <c:v>0.1169543521958268</c:v>
                </c:pt>
                <c:pt idx="6">
                  <c:v>6.5195583054914949E-2</c:v>
                </c:pt>
                <c:pt idx="7">
                  <c:v>5.5935466575654624E-2</c:v>
                </c:pt>
                <c:pt idx="8">
                  <c:v>2.6874211027990293E-2</c:v>
                </c:pt>
                <c:pt idx="9">
                  <c:v>2.3780306170625664E-2</c:v>
                </c:pt>
                <c:pt idx="10">
                  <c:v>1.154992449192634E-2</c:v>
                </c:pt>
              </c:numCache>
            </c:numRef>
          </c:val>
          <c:extLst>
            <c:ext xmlns:c16="http://schemas.microsoft.com/office/drawing/2014/chart" uri="{C3380CC4-5D6E-409C-BE32-E72D297353CC}">
              <c16:uniqueId val="{00000001-E383-4106-A8B2-B5F0B0A0EAF6}"/>
            </c:ext>
          </c:extLst>
        </c:ser>
        <c:dLbls>
          <c:showLegendKey val="0"/>
          <c:showVal val="0"/>
          <c:showCatName val="0"/>
          <c:showSerName val="0"/>
          <c:showPercent val="0"/>
          <c:showBubbleSize val="0"/>
        </c:dLbls>
        <c:gapWidth val="150"/>
        <c:overlap val="100"/>
        <c:axId val="1762074415"/>
        <c:axId val="1762071055"/>
      </c:barChart>
      <c:catAx>
        <c:axId val="176207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1762071055"/>
        <c:crosses val="autoZero"/>
        <c:auto val="1"/>
        <c:lblAlgn val="ctr"/>
        <c:lblOffset val="100"/>
        <c:noMultiLvlLbl val="0"/>
      </c:catAx>
      <c:valAx>
        <c:axId val="17620710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762074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Driftsutgifter!$F$145:$F$252</c:f>
              <c:numCache>
                <c:formatCode>0</c:formatCode>
                <c:ptCount val="108"/>
                <c:pt idx="0">
                  <c:v>5.6896890000000004</c:v>
                </c:pt>
                <c:pt idx="1">
                  <c:v>5.4754209999999999</c:v>
                </c:pt>
                <c:pt idx="2">
                  <c:v>4.3325719999999999</c:v>
                </c:pt>
                <c:pt idx="3">
                  <c:v>21.733879999999999</c:v>
                </c:pt>
                <c:pt idx="4">
                  <c:v>7.9165570000000001</c:v>
                </c:pt>
                <c:pt idx="5">
                  <c:v>18.325330000000001</c:v>
                </c:pt>
                <c:pt idx="6">
                  <c:v>6.050109</c:v>
                </c:pt>
                <c:pt idx="7">
                  <c:v>19.741060000000001</c:v>
                </c:pt>
                <c:pt idx="8">
                  <c:v>119.688</c:v>
                </c:pt>
                <c:pt idx="9">
                  <c:v>37.824860000000001</c:v>
                </c:pt>
                <c:pt idx="10">
                  <c:v>21.181609999999999</c:v>
                </c:pt>
                <c:pt idx="11">
                  <c:v>8.7896699999999992</c:v>
                </c:pt>
                <c:pt idx="12">
                  <c:v>4.510345</c:v>
                </c:pt>
                <c:pt idx="13">
                  <c:v>8.6791499999999999</c:v>
                </c:pt>
                <c:pt idx="14">
                  <c:v>45.522410000000001</c:v>
                </c:pt>
                <c:pt idx="15">
                  <c:v>98.006069999999994</c:v>
                </c:pt>
                <c:pt idx="16">
                  <c:v>23.37903</c:v>
                </c:pt>
                <c:pt idx="17">
                  <c:v>14.407069999999999</c:v>
                </c:pt>
                <c:pt idx="18">
                  <c:v>22.123049999999999</c:v>
                </c:pt>
                <c:pt idx="19">
                  <c:v>23.56973</c:v>
                </c:pt>
                <c:pt idx="20">
                  <c:v>60.205150000000003</c:v>
                </c:pt>
                <c:pt idx="21">
                  <c:v>7.1501809999999999</c:v>
                </c:pt>
                <c:pt idx="22">
                  <c:v>20.19135</c:v>
                </c:pt>
                <c:pt idx="23">
                  <c:v>4.5750830000000002</c:v>
                </c:pt>
                <c:pt idx="24">
                  <c:v>11.6274</c:v>
                </c:pt>
                <c:pt idx="25">
                  <c:v>7.9436780000000002</c:v>
                </c:pt>
                <c:pt idx="26">
                  <c:v>3.8708719999999999</c:v>
                </c:pt>
                <c:pt idx="27">
                  <c:v>11.168139999999999</c:v>
                </c:pt>
                <c:pt idx="28">
                  <c:v>9.7089090000000002</c:v>
                </c:pt>
                <c:pt idx="29">
                  <c:v>44.155200000000001</c:v>
                </c:pt>
                <c:pt idx="30">
                  <c:v>28.69932</c:v>
                </c:pt>
                <c:pt idx="31">
                  <c:v>9.4720750000000002</c:v>
                </c:pt>
                <c:pt idx="32">
                  <c:v>15.083780000000001</c:v>
                </c:pt>
                <c:pt idx="33">
                  <c:v>30.22383</c:v>
                </c:pt>
                <c:pt idx="34">
                  <c:v>21.091139999999999</c:v>
                </c:pt>
                <c:pt idx="35">
                  <c:v>35.867629999999998</c:v>
                </c:pt>
                <c:pt idx="36">
                  <c:v>10.726039999999999</c:v>
                </c:pt>
                <c:pt idx="37">
                  <c:v>23.2437</c:v>
                </c:pt>
                <c:pt idx="38">
                  <c:v>22.09563</c:v>
                </c:pt>
                <c:pt idx="39">
                  <c:v>7.2172729999999996</c:v>
                </c:pt>
                <c:pt idx="40">
                  <c:v>17.727329999999998</c:v>
                </c:pt>
                <c:pt idx="41">
                  <c:v>21.467279999999999</c:v>
                </c:pt>
                <c:pt idx="42">
                  <c:v>11.27299</c:v>
                </c:pt>
                <c:pt idx="43">
                  <c:v>13.45119</c:v>
                </c:pt>
                <c:pt idx="44">
                  <c:v>4.2786210000000002</c:v>
                </c:pt>
                <c:pt idx="45">
                  <c:v>26.14451</c:v>
                </c:pt>
                <c:pt idx="46">
                  <c:v>10.569190000000001</c:v>
                </c:pt>
                <c:pt idx="47">
                  <c:v>9.5522379999999991</c:v>
                </c:pt>
                <c:pt idx="48">
                  <c:v>4.5730880000000003</c:v>
                </c:pt>
                <c:pt idx="49">
                  <c:v>14.649050000000001</c:v>
                </c:pt>
                <c:pt idx="50">
                  <c:v>48.388590000000001</c:v>
                </c:pt>
                <c:pt idx="51">
                  <c:v>12.43525</c:v>
                </c:pt>
                <c:pt idx="52">
                  <c:v>27.401240000000001</c:v>
                </c:pt>
                <c:pt idx="53">
                  <c:v>16.10539</c:v>
                </c:pt>
                <c:pt idx="54">
                  <c:v>30.593769999999999</c:v>
                </c:pt>
                <c:pt idx="55">
                  <c:v>26.147379999999998</c:v>
                </c:pt>
                <c:pt idx="56">
                  <c:v>20.882100000000001</c:v>
                </c:pt>
                <c:pt idx="57">
                  <c:v>37.044849999999997</c:v>
                </c:pt>
                <c:pt idx="58">
                  <c:v>16.760159999999999</c:v>
                </c:pt>
                <c:pt idx="59">
                  <c:v>26.118790000000001</c:v>
                </c:pt>
                <c:pt idx="60">
                  <c:v>42.06776</c:v>
                </c:pt>
                <c:pt idx="61">
                  <c:v>31.65222</c:v>
                </c:pt>
                <c:pt idx="62">
                  <c:v>5.9744489999999999</c:v>
                </c:pt>
                <c:pt idx="63">
                  <c:v>26.417940000000002</c:v>
                </c:pt>
                <c:pt idx="64">
                  <c:v>32.43665</c:v>
                </c:pt>
                <c:pt idx="65">
                  <c:v>7.7294729999999996</c:v>
                </c:pt>
                <c:pt idx="66">
                  <c:v>22.078959999999999</c:v>
                </c:pt>
                <c:pt idx="67">
                  <c:v>9.6729679999999991</c:v>
                </c:pt>
                <c:pt idx="68">
                  <c:v>60.200569999999999</c:v>
                </c:pt>
                <c:pt idx="69">
                  <c:v>6.9115820000000001</c:v>
                </c:pt>
                <c:pt idx="70">
                  <c:v>11.08653</c:v>
                </c:pt>
                <c:pt idx="71">
                  <c:v>6.4723889999999997</c:v>
                </c:pt>
                <c:pt idx="72">
                  <c:v>29.07733</c:v>
                </c:pt>
                <c:pt idx="73">
                  <c:v>8.4405020000000004</c:v>
                </c:pt>
                <c:pt idx="74">
                  <c:v>20.5059</c:v>
                </c:pt>
                <c:pt idx="75">
                  <c:v>19.365749999999998</c:v>
                </c:pt>
                <c:pt idx="76">
                  <c:v>2.9985840000000001</c:v>
                </c:pt>
                <c:pt idx="77">
                  <c:v>19.32321</c:v>
                </c:pt>
                <c:pt idx="78">
                  <c:v>19.326779999999999</c:v>
                </c:pt>
                <c:pt idx="79">
                  <c:v>117.24160000000001</c:v>
                </c:pt>
                <c:pt idx="80">
                  <c:v>1.0497840000000001</c:v>
                </c:pt>
                <c:pt idx="81">
                  <c:v>1.3799079999999999</c:v>
                </c:pt>
                <c:pt idx="82">
                  <c:v>39.80715</c:v>
                </c:pt>
                <c:pt idx="83">
                  <c:v>19.990079999999999</c:v>
                </c:pt>
                <c:pt idx="84">
                  <c:v>18.5977</c:v>
                </c:pt>
                <c:pt idx="85">
                  <c:v>14.570270000000001</c:v>
                </c:pt>
                <c:pt idx="86">
                  <c:v>112.791</c:v>
                </c:pt>
                <c:pt idx="87">
                  <c:v>48.056890000000003</c:v>
                </c:pt>
                <c:pt idx="88">
                  <c:v>42.847880000000004</c:v>
                </c:pt>
                <c:pt idx="89">
                  <c:v>3.4236710000000001</c:v>
                </c:pt>
                <c:pt idx="90">
                  <c:v>3.1990810000000001</c:v>
                </c:pt>
                <c:pt idx="91">
                  <c:v>23.01014</c:v>
                </c:pt>
                <c:pt idx="92">
                  <c:v>20.688389999999998</c:v>
                </c:pt>
                <c:pt idx="93">
                  <c:v>6.5923629999999998</c:v>
                </c:pt>
                <c:pt idx="94">
                  <c:v>27.23958</c:v>
                </c:pt>
                <c:pt idx="95">
                  <c:v>39.438319999999997</c:v>
                </c:pt>
                <c:pt idx="96">
                  <c:v>7.0405800000000003</c:v>
                </c:pt>
                <c:pt idx="97">
                  <c:v>20.27563</c:v>
                </c:pt>
                <c:pt idx="98">
                  <c:v>10.84009</c:v>
                </c:pt>
                <c:pt idx="99">
                  <c:v>16.994949999999999</c:v>
                </c:pt>
                <c:pt idx="100">
                  <c:v>14.452870000000001</c:v>
                </c:pt>
                <c:pt idx="101">
                  <c:v>12.42062</c:v>
                </c:pt>
                <c:pt idx="102">
                  <c:v>52.702660000000002</c:v>
                </c:pt>
                <c:pt idx="103">
                  <c:v>4.9391619999999996</c:v>
                </c:pt>
                <c:pt idx="104">
                  <c:v>36.108049999999999</c:v>
                </c:pt>
                <c:pt idx="105">
                  <c:v>23.67154</c:v>
                </c:pt>
                <c:pt idx="106">
                  <c:v>13.51731</c:v>
                </c:pt>
                <c:pt idx="107">
                  <c:v>34.632129999999997</c:v>
                </c:pt>
              </c:numCache>
            </c:numRef>
          </c:yVal>
          <c:smooth val="0"/>
          <c:extLst>
            <c:ext xmlns:c16="http://schemas.microsoft.com/office/drawing/2014/chart" uri="{C3380CC4-5D6E-409C-BE32-E72D297353CC}">
              <c16:uniqueId val="{00000000-0A86-4439-BFD3-CD08A109C623}"/>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Driftsutgifter!$F$253:$F$355</c:f>
              <c:numCache>
                <c:formatCode>0</c:formatCode>
                <c:ptCount val="103"/>
                <c:pt idx="0">
                  <c:v>75.747259999999997</c:v>
                </c:pt>
                <c:pt idx="1">
                  <c:v>16.346450000000001</c:v>
                </c:pt>
                <c:pt idx="2">
                  <c:v>16.5032</c:v>
                </c:pt>
                <c:pt idx="3">
                  <c:v>7.8912930000000001</c:v>
                </c:pt>
                <c:pt idx="4">
                  <c:v>16.037739999999999</c:v>
                </c:pt>
                <c:pt idx="5">
                  <c:v>15.236969999999999</c:v>
                </c:pt>
                <c:pt idx="6">
                  <c:v>15.012790000000001</c:v>
                </c:pt>
                <c:pt idx="7">
                  <c:v>6.7153510000000001</c:v>
                </c:pt>
                <c:pt idx="8">
                  <c:v>12.32494</c:v>
                </c:pt>
                <c:pt idx="9">
                  <c:v>18.99821</c:v>
                </c:pt>
                <c:pt idx="10">
                  <c:v>8.1929119999999998</c:v>
                </c:pt>
                <c:pt idx="11">
                  <c:v>14.996880000000001</c:v>
                </c:pt>
                <c:pt idx="12">
                  <c:v>4.9248269999999996</c:v>
                </c:pt>
                <c:pt idx="13">
                  <c:v>9.4779319999999991</c:v>
                </c:pt>
                <c:pt idx="14">
                  <c:v>17.505140000000001</c:v>
                </c:pt>
                <c:pt idx="15">
                  <c:v>38.289679999999997</c:v>
                </c:pt>
                <c:pt idx="16">
                  <c:v>30.991050000000001</c:v>
                </c:pt>
                <c:pt idx="17">
                  <c:v>4.2543819999999997</c:v>
                </c:pt>
                <c:pt idx="18">
                  <c:v>28.667960000000001</c:v>
                </c:pt>
                <c:pt idx="19">
                  <c:v>21.362760000000002</c:v>
                </c:pt>
                <c:pt idx="20">
                  <c:v>13.1816</c:v>
                </c:pt>
                <c:pt idx="21">
                  <c:v>13.42591</c:v>
                </c:pt>
                <c:pt idx="22">
                  <c:v>19.20326</c:v>
                </c:pt>
                <c:pt idx="23">
                  <c:v>10.030620000000001</c:v>
                </c:pt>
                <c:pt idx="24">
                  <c:v>8.1906130000000008</c:v>
                </c:pt>
                <c:pt idx="25">
                  <c:v>23.96285</c:v>
                </c:pt>
                <c:pt idx="26">
                  <c:v>12.08982</c:v>
                </c:pt>
                <c:pt idx="27">
                  <c:v>9.7576730000000005</c:v>
                </c:pt>
                <c:pt idx="28">
                  <c:v>14.321070000000001</c:v>
                </c:pt>
                <c:pt idx="29">
                  <c:v>4.7015419999999999</c:v>
                </c:pt>
                <c:pt idx="30">
                  <c:v>11.913639999999999</c:v>
                </c:pt>
                <c:pt idx="31">
                  <c:v>12.826040000000001</c:v>
                </c:pt>
                <c:pt idx="32">
                  <c:v>14.42426</c:v>
                </c:pt>
                <c:pt idx="33">
                  <c:v>16.372689999999999</c:v>
                </c:pt>
                <c:pt idx="34">
                  <c:v>14.46269</c:v>
                </c:pt>
                <c:pt idx="35">
                  <c:v>9.2703410000000002</c:v>
                </c:pt>
                <c:pt idx="36">
                  <c:v>12.11853</c:v>
                </c:pt>
                <c:pt idx="37">
                  <c:v>19.347349999999999</c:v>
                </c:pt>
                <c:pt idx="38">
                  <c:v>19.11046</c:v>
                </c:pt>
                <c:pt idx="39">
                  <c:v>13.82324</c:v>
                </c:pt>
                <c:pt idx="40">
                  <c:v>11.823</c:v>
                </c:pt>
                <c:pt idx="41">
                  <c:v>9.2067969999999999</c:v>
                </c:pt>
                <c:pt idx="42">
                  <c:v>19.705950000000001</c:v>
                </c:pt>
                <c:pt idx="43">
                  <c:v>9.4210619999999992</c:v>
                </c:pt>
                <c:pt idx="44">
                  <c:v>5.3483720000000003</c:v>
                </c:pt>
                <c:pt idx="45">
                  <c:v>15.23574</c:v>
                </c:pt>
                <c:pt idx="46">
                  <c:v>11.0664</c:v>
                </c:pt>
                <c:pt idx="47">
                  <c:v>2.430075</c:v>
                </c:pt>
                <c:pt idx="48">
                  <c:v>4.6355560000000002</c:v>
                </c:pt>
                <c:pt idx="49">
                  <c:v>10.831</c:v>
                </c:pt>
                <c:pt idx="50">
                  <c:v>6.0554509999999997</c:v>
                </c:pt>
                <c:pt idx="51">
                  <c:v>21.22439</c:v>
                </c:pt>
                <c:pt idx="52">
                  <c:v>11.96271</c:v>
                </c:pt>
                <c:pt idx="53">
                  <c:v>10.914680000000001</c:v>
                </c:pt>
                <c:pt idx="54">
                  <c:v>6.2568200000000003</c:v>
                </c:pt>
                <c:pt idx="55">
                  <c:v>15.356009999999999</c:v>
                </c:pt>
                <c:pt idx="56">
                  <c:v>8.8089080000000006</c:v>
                </c:pt>
                <c:pt idx="57">
                  <c:v>18.080490000000001</c:v>
                </c:pt>
                <c:pt idx="58">
                  <c:v>21.805900000000001</c:v>
                </c:pt>
                <c:pt idx="59">
                  <c:v>9.5567519999999995</c:v>
                </c:pt>
                <c:pt idx="60">
                  <c:v>28.829000000000001</c:v>
                </c:pt>
                <c:pt idx="61">
                  <c:v>45.800370000000001</c:v>
                </c:pt>
                <c:pt idx="62">
                  <c:v>17.477499999999999</c:v>
                </c:pt>
                <c:pt idx="63">
                  <c:v>21.694569999999999</c:v>
                </c:pt>
                <c:pt idx="64">
                  <c:v>7.0149410000000003</c:v>
                </c:pt>
                <c:pt idx="65">
                  <c:v>10.548299999999999</c:v>
                </c:pt>
                <c:pt idx="66">
                  <c:v>10.23631</c:v>
                </c:pt>
                <c:pt idx="67">
                  <c:v>6.2185670000000002</c:v>
                </c:pt>
                <c:pt idx="68">
                  <c:v>13.776820000000001</c:v>
                </c:pt>
                <c:pt idx="69">
                  <c:v>22.768889999999999</c:v>
                </c:pt>
                <c:pt idx="70">
                  <c:v>7.8238019999999997</c:v>
                </c:pt>
                <c:pt idx="71">
                  <c:v>11.68835</c:v>
                </c:pt>
                <c:pt idx="72">
                  <c:v>21.597380000000001</c:v>
                </c:pt>
                <c:pt idx="73">
                  <c:v>6.9459109999999997</c:v>
                </c:pt>
                <c:pt idx="74">
                  <c:v>41.025120000000001</c:v>
                </c:pt>
                <c:pt idx="75">
                  <c:v>9.1138180000000002</c:v>
                </c:pt>
                <c:pt idx="76">
                  <c:v>4.2900299999999998</c:v>
                </c:pt>
                <c:pt idx="77">
                  <c:v>15.062110000000001</c:v>
                </c:pt>
                <c:pt idx="78">
                  <c:v>24.758120000000002</c:v>
                </c:pt>
                <c:pt idx="79">
                  <c:v>14.84479</c:v>
                </c:pt>
                <c:pt idx="80">
                  <c:v>23.554829999999999</c:v>
                </c:pt>
                <c:pt idx="81">
                  <c:v>17.588090000000001</c:v>
                </c:pt>
                <c:pt idx="82">
                  <c:v>13.91127</c:v>
                </c:pt>
                <c:pt idx="83">
                  <c:v>5.4108559999999999</c:v>
                </c:pt>
                <c:pt idx="84">
                  <c:v>8.6261659999999996</c:v>
                </c:pt>
                <c:pt idx="85">
                  <c:v>9.2810849999999991</c:v>
                </c:pt>
                <c:pt idx="86">
                  <c:v>3.5338530000000001</c:v>
                </c:pt>
                <c:pt idx="87">
                  <c:v>15.0223</c:v>
                </c:pt>
                <c:pt idx="88">
                  <c:v>6.0463839999999998</c:v>
                </c:pt>
                <c:pt idx="89">
                  <c:v>65.464770000000001</c:v>
                </c:pt>
                <c:pt idx="90">
                  <c:v>8.8305140000000009</c:v>
                </c:pt>
                <c:pt idx="91">
                  <c:v>1.7787930000000001</c:v>
                </c:pt>
                <c:pt idx="92">
                  <c:v>39.585120000000003</c:v>
                </c:pt>
                <c:pt idx="93">
                  <c:v>66.783519999999996</c:v>
                </c:pt>
                <c:pt idx="94">
                  <c:v>27.77374</c:v>
                </c:pt>
                <c:pt idx="95">
                  <c:v>2.3169930000000001</c:v>
                </c:pt>
                <c:pt idx="96">
                  <c:v>15.81597</c:v>
                </c:pt>
                <c:pt idx="97">
                  <c:v>14.001099999999999</c:v>
                </c:pt>
                <c:pt idx="98">
                  <c:v>23.265840000000001</c:v>
                </c:pt>
                <c:pt idx="99">
                  <c:v>18.839580000000002</c:v>
                </c:pt>
                <c:pt idx="100">
                  <c:v>48.630020000000002</c:v>
                </c:pt>
                <c:pt idx="101">
                  <c:v>28.732009999999999</c:v>
                </c:pt>
                <c:pt idx="102">
                  <c:v>24.144290000000002</c:v>
                </c:pt>
              </c:numCache>
            </c:numRef>
          </c:yVal>
          <c:smooth val="0"/>
          <c:extLst>
            <c:ext xmlns:c16="http://schemas.microsoft.com/office/drawing/2014/chart" uri="{C3380CC4-5D6E-409C-BE32-E72D297353CC}">
              <c16:uniqueId val="{00000001-0A86-4439-BFD3-CD08A109C623}"/>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Driftsutgifter!$F$356:$F$420</c:f>
              <c:numCache>
                <c:formatCode>0</c:formatCode>
                <c:ptCount val="65"/>
                <c:pt idx="0">
                  <c:v>7.0108329999999999</c:v>
                </c:pt>
                <c:pt idx="1">
                  <c:v>9.0616599999999998</c:v>
                </c:pt>
                <c:pt idx="2">
                  <c:v>15.569710000000001</c:v>
                </c:pt>
                <c:pt idx="3">
                  <c:v>17.834350000000001</c:v>
                </c:pt>
                <c:pt idx="4">
                  <c:v>19.932960000000001</c:v>
                </c:pt>
                <c:pt idx="5">
                  <c:v>30.613420000000001</c:v>
                </c:pt>
                <c:pt idx="6">
                  <c:v>20.6739</c:v>
                </c:pt>
                <c:pt idx="7">
                  <c:v>4.3357320000000001</c:v>
                </c:pt>
                <c:pt idx="8">
                  <c:v>14.29856</c:v>
                </c:pt>
                <c:pt idx="9">
                  <c:v>22.536809999999999</c:v>
                </c:pt>
                <c:pt idx="10">
                  <c:v>10.77495</c:v>
                </c:pt>
                <c:pt idx="11">
                  <c:v>20.278230000000001</c:v>
                </c:pt>
                <c:pt idx="12">
                  <c:v>8.5155390000000004</c:v>
                </c:pt>
                <c:pt idx="13">
                  <c:v>12.620760000000001</c:v>
                </c:pt>
                <c:pt idx="14">
                  <c:v>9.0590720000000005</c:v>
                </c:pt>
                <c:pt idx="15">
                  <c:v>16.505870000000002</c:v>
                </c:pt>
                <c:pt idx="16">
                  <c:v>11.44317</c:v>
                </c:pt>
                <c:pt idx="17">
                  <c:v>11.81259</c:v>
                </c:pt>
                <c:pt idx="18">
                  <c:v>21.8626</c:v>
                </c:pt>
                <c:pt idx="19">
                  <c:v>9.0259640000000001</c:v>
                </c:pt>
                <c:pt idx="20">
                  <c:v>12.91033</c:v>
                </c:pt>
                <c:pt idx="21">
                  <c:v>19.818190000000001</c:v>
                </c:pt>
                <c:pt idx="22">
                  <c:v>11.41245</c:v>
                </c:pt>
                <c:pt idx="23">
                  <c:v>26.603829999999999</c:v>
                </c:pt>
                <c:pt idx="24">
                  <c:v>11.754810000000001</c:v>
                </c:pt>
                <c:pt idx="25">
                  <c:v>14.29452</c:v>
                </c:pt>
                <c:pt idx="26">
                  <c:v>5.1666840000000001</c:v>
                </c:pt>
                <c:pt idx="27">
                  <c:v>14.657030000000001</c:v>
                </c:pt>
                <c:pt idx="28">
                  <c:v>7.6165260000000004</c:v>
                </c:pt>
                <c:pt idx="29">
                  <c:v>13.8371</c:v>
                </c:pt>
                <c:pt idx="30">
                  <c:v>6.3236780000000001</c:v>
                </c:pt>
                <c:pt idx="31">
                  <c:v>10.57366</c:v>
                </c:pt>
                <c:pt idx="32">
                  <c:v>4.757708</c:v>
                </c:pt>
                <c:pt idx="33">
                  <c:v>10.29494</c:v>
                </c:pt>
                <c:pt idx="34">
                  <c:v>9.4212369999999996</c:v>
                </c:pt>
                <c:pt idx="35">
                  <c:v>7.7139730000000002</c:v>
                </c:pt>
                <c:pt idx="36">
                  <c:v>2.6047910000000001</c:v>
                </c:pt>
                <c:pt idx="37">
                  <c:v>5.5193240000000001</c:v>
                </c:pt>
                <c:pt idx="38">
                  <c:v>10.928750000000001</c:v>
                </c:pt>
                <c:pt idx="39">
                  <c:v>41.978659999999998</c:v>
                </c:pt>
                <c:pt idx="40">
                  <c:v>7.5737370000000004</c:v>
                </c:pt>
                <c:pt idx="41">
                  <c:v>3.3384640000000001</c:v>
                </c:pt>
                <c:pt idx="42">
                  <c:v>13.487030000000001</c:v>
                </c:pt>
                <c:pt idx="43">
                  <c:v>16.927530000000001</c:v>
                </c:pt>
                <c:pt idx="44">
                  <c:v>15.7913</c:v>
                </c:pt>
                <c:pt idx="45">
                  <c:v>24.471229999999998</c:v>
                </c:pt>
                <c:pt idx="46">
                  <c:v>4.5423900000000001</c:v>
                </c:pt>
                <c:pt idx="47">
                  <c:v>8.3931629999999995</c:v>
                </c:pt>
                <c:pt idx="48">
                  <c:v>23.397770000000001</c:v>
                </c:pt>
                <c:pt idx="49">
                  <c:v>9.6436759999999992</c:v>
                </c:pt>
                <c:pt idx="50">
                  <c:v>10.52721</c:v>
                </c:pt>
                <c:pt idx="51">
                  <c:v>17.29983</c:v>
                </c:pt>
                <c:pt idx="52">
                  <c:v>13.405799999999999</c:v>
                </c:pt>
                <c:pt idx="53">
                  <c:v>8.8541659999999993</c:v>
                </c:pt>
                <c:pt idx="54">
                  <c:v>5.822425</c:v>
                </c:pt>
                <c:pt idx="55">
                  <c:v>13.998250000000001</c:v>
                </c:pt>
                <c:pt idx="56">
                  <c:v>34.7986</c:v>
                </c:pt>
                <c:pt idx="57">
                  <c:v>9.9968400000000006</c:v>
                </c:pt>
                <c:pt idx="58">
                  <c:v>6.2244700000000002</c:v>
                </c:pt>
                <c:pt idx="59">
                  <c:v>14.55904</c:v>
                </c:pt>
                <c:pt idx="60">
                  <c:v>13.53154</c:v>
                </c:pt>
                <c:pt idx="61">
                  <c:v>28.35605</c:v>
                </c:pt>
                <c:pt idx="62">
                  <c:v>31.023440000000001</c:v>
                </c:pt>
                <c:pt idx="63">
                  <c:v>7.2223860000000002</c:v>
                </c:pt>
                <c:pt idx="64">
                  <c:v>2.5541040000000002</c:v>
                </c:pt>
              </c:numCache>
            </c:numRef>
          </c:yVal>
          <c:smooth val="0"/>
          <c:extLst>
            <c:ext xmlns:c16="http://schemas.microsoft.com/office/drawing/2014/chart" uri="{C3380CC4-5D6E-409C-BE32-E72D297353CC}">
              <c16:uniqueId val="{00000002-0A86-4439-BFD3-CD08A109C623}"/>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Driftsutgifter!$F$421:$F$474</c:f>
              <c:numCache>
                <c:formatCode>0</c:formatCode>
                <c:ptCount val="54"/>
                <c:pt idx="0">
                  <c:v>35.822189999999999</c:v>
                </c:pt>
                <c:pt idx="1">
                  <c:v>14.98423</c:v>
                </c:pt>
                <c:pt idx="2">
                  <c:v>10.48625</c:v>
                </c:pt>
                <c:pt idx="3">
                  <c:v>18.52684</c:v>
                </c:pt>
                <c:pt idx="4">
                  <c:v>12.94537</c:v>
                </c:pt>
                <c:pt idx="5">
                  <c:v>11.5814</c:v>
                </c:pt>
                <c:pt idx="6">
                  <c:v>17.193650000000002</c:v>
                </c:pt>
                <c:pt idx="7">
                  <c:v>5.5631469999999998</c:v>
                </c:pt>
                <c:pt idx="8">
                  <c:v>11.83628</c:v>
                </c:pt>
                <c:pt idx="9">
                  <c:v>8.2444070000000007</c:v>
                </c:pt>
                <c:pt idx="10">
                  <c:v>7.3217930000000004</c:v>
                </c:pt>
                <c:pt idx="11">
                  <c:v>8.7691669999999995</c:v>
                </c:pt>
                <c:pt idx="12">
                  <c:v>12.824870000000001</c:v>
                </c:pt>
                <c:pt idx="13">
                  <c:v>15.9682</c:v>
                </c:pt>
                <c:pt idx="14">
                  <c:v>9.6812480000000001</c:v>
                </c:pt>
                <c:pt idx="15">
                  <c:v>8.414396</c:v>
                </c:pt>
                <c:pt idx="16">
                  <c:v>9.9591279999999998</c:v>
                </c:pt>
                <c:pt idx="17">
                  <c:v>19.554659999999998</c:v>
                </c:pt>
                <c:pt idx="18">
                  <c:v>11.86098</c:v>
                </c:pt>
                <c:pt idx="19">
                  <c:v>19.79618</c:v>
                </c:pt>
                <c:pt idx="20">
                  <c:v>35.38308</c:v>
                </c:pt>
                <c:pt idx="21">
                  <c:v>8.8452140000000004</c:v>
                </c:pt>
                <c:pt idx="22">
                  <c:v>10.168810000000001</c:v>
                </c:pt>
                <c:pt idx="23">
                  <c:v>4.12148</c:v>
                </c:pt>
                <c:pt idx="24">
                  <c:v>12.59113</c:v>
                </c:pt>
                <c:pt idx="25">
                  <c:v>9.0089009999999998</c:v>
                </c:pt>
                <c:pt idx="26">
                  <c:v>10.730980000000001</c:v>
                </c:pt>
                <c:pt idx="27">
                  <c:v>10.50079</c:v>
                </c:pt>
                <c:pt idx="28">
                  <c:v>19.50348</c:v>
                </c:pt>
                <c:pt idx="29">
                  <c:v>3.9886520000000001</c:v>
                </c:pt>
                <c:pt idx="30">
                  <c:v>11.909190000000001</c:v>
                </c:pt>
                <c:pt idx="31">
                  <c:v>6.818365</c:v>
                </c:pt>
                <c:pt idx="32">
                  <c:v>8.3027949999999997</c:v>
                </c:pt>
                <c:pt idx="33">
                  <c:v>12.213939999999999</c:v>
                </c:pt>
                <c:pt idx="34">
                  <c:v>31.14199</c:v>
                </c:pt>
                <c:pt idx="35">
                  <c:v>11.05899</c:v>
                </c:pt>
                <c:pt idx="36">
                  <c:v>14.90049</c:v>
                </c:pt>
                <c:pt idx="37">
                  <c:v>9.9803259999999998</c:v>
                </c:pt>
                <c:pt idx="38">
                  <c:v>19.11307</c:v>
                </c:pt>
                <c:pt idx="39">
                  <c:v>15.90817</c:v>
                </c:pt>
                <c:pt idx="40">
                  <c:v>5.129537</c:v>
                </c:pt>
                <c:pt idx="41">
                  <c:v>11.37716</c:v>
                </c:pt>
                <c:pt idx="42">
                  <c:v>7.0657649999999999</c:v>
                </c:pt>
                <c:pt idx="43">
                  <c:v>15.847149999999999</c:v>
                </c:pt>
                <c:pt idx="44">
                  <c:v>6.4272609999999997</c:v>
                </c:pt>
                <c:pt idx="45">
                  <c:v>12.800420000000001</c:v>
                </c:pt>
                <c:pt idx="46">
                  <c:v>11.33347</c:v>
                </c:pt>
                <c:pt idx="47">
                  <c:v>6.5966699999999996</c:v>
                </c:pt>
                <c:pt idx="48">
                  <c:v>10.80297</c:v>
                </c:pt>
                <c:pt idx="49">
                  <c:v>10.138489999999999</c:v>
                </c:pt>
                <c:pt idx="50">
                  <c:v>25.473859999999998</c:v>
                </c:pt>
                <c:pt idx="51">
                  <c:v>13.167439999999999</c:v>
                </c:pt>
                <c:pt idx="52">
                  <c:v>20.954499999999999</c:v>
                </c:pt>
                <c:pt idx="53">
                  <c:v>10.37355</c:v>
                </c:pt>
              </c:numCache>
            </c:numRef>
          </c:yVal>
          <c:smooth val="0"/>
          <c:extLst>
            <c:ext xmlns:c16="http://schemas.microsoft.com/office/drawing/2014/chart" uri="{C3380CC4-5D6E-409C-BE32-E72D297353CC}">
              <c16:uniqueId val="{00000003-0A86-4439-BFD3-CD08A109C623}"/>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Driftsutgifter!$F$475:$F$495</c:f>
              <c:numCache>
                <c:formatCode>0</c:formatCode>
                <c:ptCount val="21"/>
                <c:pt idx="0">
                  <c:v>11.589259999999999</c:v>
                </c:pt>
                <c:pt idx="1">
                  <c:v>22.64188</c:v>
                </c:pt>
                <c:pt idx="2">
                  <c:v>8.9621720000000007</c:v>
                </c:pt>
                <c:pt idx="3">
                  <c:v>29.534389999999998</c:v>
                </c:pt>
                <c:pt idx="4">
                  <c:v>14.682689999999999</c:v>
                </c:pt>
                <c:pt idx="5">
                  <c:v>14.50141</c:v>
                </c:pt>
                <c:pt idx="6">
                  <c:v>11.47156</c:v>
                </c:pt>
                <c:pt idx="7">
                  <c:v>7.7914139999999996</c:v>
                </c:pt>
                <c:pt idx="8">
                  <c:v>6.6148239999999996</c:v>
                </c:pt>
                <c:pt idx="9">
                  <c:v>19.035499999999999</c:v>
                </c:pt>
                <c:pt idx="10">
                  <c:v>7.9950159999999997</c:v>
                </c:pt>
                <c:pt idx="11">
                  <c:v>10.88658</c:v>
                </c:pt>
                <c:pt idx="12">
                  <c:v>7.5429380000000004</c:v>
                </c:pt>
                <c:pt idx="13">
                  <c:v>11.17394</c:v>
                </c:pt>
                <c:pt idx="14">
                  <c:v>11.210190000000001</c:v>
                </c:pt>
                <c:pt idx="15">
                  <c:v>10.842790000000001</c:v>
                </c:pt>
                <c:pt idx="16">
                  <c:v>20.741700000000002</c:v>
                </c:pt>
                <c:pt idx="17">
                  <c:v>12.15049</c:v>
                </c:pt>
                <c:pt idx="18">
                  <c:v>14.96542</c:v>
                </c:pt>
                <c:pt idx="19">
                  <c:v>34.647559999999999</c:v>
                </c:pt>
                <c:pt idx="20">
                  <c:v>14.386279999999999</c:v>
                </c:pt>
              </c:numCache>
            </c:numRef>
          </c:yVal>
          <c:smooth val="0"/>
          <c:extLst>
            <c:ext xmlns:c16="http://schemas.microsoft.com/office/drawing/2014/chart" uri="{C3380CC4-5D6E-409C-BE32-E72D297353CC}">
              <c16:uniqueId val="{00000004-0A86-4439-BFD3-CD08A109C623}"/>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Driftsutgifter!$F$496:$F$500</c:f>
              <c:numCache>
                <c:formatCode>0</c:formatCode>
                <c:ptCount val="5"/>
                <c:pt idx="0">
                  <c:v>18.50309</c:v>
                </c:pt>
                <c:pt idx="1">
                  <c:v>35.388019999999997</c:v>
                </c:pt>
                <c:pt idx="2">
                  <c:v>23.365349999999999</c:v>
                </c:pt>
                <c:pt idx="3">
                  <c:v>18.316009999999999</c:v>
                </c:pt>
                <c:pt idx="4">
                  <c:v>10.994590000000001</c:v>
                </c:pt>
              </c:numCache>
            </c:numRef>
          </c:yVal>
          <c:smooth val="0"/>
          <c:extLst>
            <c:ext xmlns:c16="http://schemas.microsoft.com/office/drawing/2014/chart" uri="{C3380CC4-5D6E-409C-BE32-E72D297353CC}">
              <c16:uniqueId val="{00000005-0A86-4439-BFD3-CD08A109C62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(1) Bruttoinvesteringsutgifter</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Driftsutgifter!$G$145:$G$252</c:f>
              <c:numCache>
                <c:formatCode>0</c:formatCode>
                <c:ptCount val="108"/>
                <c:pt idx="0">
                  <c:v>5.680809</c:v>
                </c:pt>
                <c:pt idx="1">
                  <c:v>5.4754209999999999</c:v>
                </c:pt>
                <c:pt idx="2">
                  <c:v>4.1955859999999996</c:v>
                </c:pt>
                <c:pt idx="3">
                  <c:v>21.70598</c:v>
                </c:pt>
                <c:pt idx="4">
                  <c:v>7.4211679999999998</c:v>
                </c:pt>
                <c:pt idx="5">
                  <c:v>17.702870000000001</c:v>
                </c:pt>
                <c:pt idx="6">
                  <c:v>5.6165580000000004</c:v>
                </c:pt>
                <c:pt idx="7">
                  <c:v>19.284739999999999</c:v>
                </c:pt>
                <c:pt idx="8">
                  <c:v>117.9688</c:v>
                </c:pt>
                <c:pt idx="9">
                  <c:v>37.574289999999998</c:v>
                </c:pt>
                <c:pt idx="10">
                  <c:v>20.335629999999998</c:v>
                </c:pt>
                <c:pt idx="11">
                  <c:v>8.4332250000000002</c:v>
                </c:pt>
                <c:pt idx="12">
                  <c:v>0.8334975</c:v>
                </c:pt>
                <c:pt idx="13">
                  <c:v>7.77834</c:v>
                </c:pt>
                <c:pt idx="14">
                  <c:v>37.09104</c:v>
                </c:pt>
                <c:pt idx="15">
                  <c:v>97.954700000000003</c:v>
                </c:pt>
                <c:pt idx="16">
                  <c:v>23.305530000000001</c:v>
                </c:pt>
                <c:pt idx="17">
                  <c:v>14.33183</c:v>
                </c:pt>
                <c:pt idx="18">
                  <c:v>20.799029999999998</c:v>
                </c:pt>
                <c:pt idx="19">
                  <c:v>23.448799999999999</c:v>
                </c:pt>
                <c:pt idx="20">
                  <c:v>60.183900000000001</c:v>
                </c:pt>
                <c:pt idx="21">
                  <c:v>7.1482469999999996</c:v>
                </c:pt>
                <c:pt idx="22">
                  <c:v>18.793330000000001</c:v>
                </c:pt>
                <c:pt idx="23">
                  <c:v>4.5750830000000002</c:v>
                </c:pt>
                <c:pt idx="24">
                  <c:v>11.6274</c:v>
                </c:pt>
                <c:pt idx="25">
                  <c:v>7.7696639999999997</c:v>
                </c:pt>
                <c:pt idx="26">
                  <c:v>3.8348789999999999</c:v>
                </c:pt>
                <c:pt idx="27">
                  <c:v>11.14823</c:v>
                </c:pt>
                <c:pt idx="28">
                  <c:v>9.3586790000000004</c:v>
                </c:pt>
                <c:pt idx="29">
                  <c:v>41.64714</c:v>
                </c:pt>
                <c:pt idx="30">
                  <c:v>24.815169999999998</c:v>
                </c:pt>
                <c:pt idx="31">
                  <c:v>9.301304</c:v>
                </c:pt>
                <c:pt idx="32">
                  <c:v>13.9671</c:v>
                </c:pt>
                <c:pt idx="33">
                  <c:v>25.892230000000001</c:v>
                </c:pt>
                <c:pt idx="34">
                  <c:v>16.32658</c:v>
                </c:pt>
                <c:pt idx="35">
                  <c:v>35.298029999999997</c:v>
                </c:pt>
                <c:pt idx="36">
                  <c:v>9.7779340000000001</c:v>
                </c:pt>
                <c:pt idx="37">
                  <c:v>22.571100000000001</c:v>
                </c:pt>
                <c:pt idx="38">
                  <c:v>21.715859999999999</c:v>
                </c:pt>
                <c:pt idx="39">
                  <c:v>7.2000900000000003</c:v>
                </c:pt>
                <c:pt idx="40">
                  <c:v>17.161560000000001</c:v>
                </c:pt>
                <c:pt idx="41">
                  <c:v>20.637350000000001</c:v>
                </c:pt>
                <c:pt idx="42">
                  <c:v>11.148669999999999</c:v>
                </c:pt>
                <c:pt idx="43">
                  <c:v>13.373659999999999</c:v>
                </c:pt>
                <c:pt idx="44">
                  <c:v>4.2754019999999997</c:v>
                </c:pt>
                <c:pt idx="45">
                  <c:v>25.730399999999999</c:v>
                </c:pt>
                <c:pt idx="46">
                  <c:v>10.430809999999999</c:v>
                </c:pt>
                <c:pt idx="47">
                  <c:v>9.5522379999999991</c:v>
                </c:pt>
                <c:pt idx="48">
                  <c:v>3.992426</c:v>
                </c:pt>
                <c:pt idx="49">
                  <c:v>14.55035</c:v>
                </c:pt>
                <c:pt idx="50">
                  <c:v>40.594180000000001</c:v>
                </c:pt>
                <c:pt idx="51">
                  <c:v>11.41119</c:v>
                </c:pt>
                <c:pt idx="52">
                  <c:v>27.398140000000001</c:v>
                </c:pt>
                <c:pt idx="53">
                  <c:v>15.49142</c:v>
                </c:pt>
                <c:pt idx="54">
                  <c:v>30.593769999999999</c:v>
                </c:pt>
                <c:pt idx="55">
                  <c:v>26.067689999999999</c:v>
                </c:pt>
                <c:pt idx="56">
                  <c:v>20.882100000000001</c:v>
                </c:pt>
                <c:pt idx="57">
                  <c:v>37.044849999999997</c:v>
                </c:pt>
                <c:pt idx="58">
                  <c:v>16.608129999999999</c:v>
                </c:pt>
                <c:pt idx="59">
                  <c:v>25.310310000000001</c:v>
                </c:pt>
                <c:pt idx="60">
                  <c:v>34.201709999999999</c:v>
                </c:pt>
                <c:pt idx="61">
                  <c:v>31.008230000000001</c:v>
                </c:pt>
                <c:pt idx="62">
                  <c:v>4.7365640000000004</c:v>
                </c:pt>
                <c:pt idx="63">
                  <c:v>26.148</c:v>
                </c:pt>
                <c:pt idx="64">
                  <c:v>24.8996</c:v>
                </c:pt>
                <c:pt idx="65">
                  <c:v>4.1850969999999998</c:v>
                </c:pt>
                <c:pt idx="66">
                  <c:v>22.078959999999999</c:v>
                </c:pt>
                <c:pt idx="67">
                  <c:v>9.6200379999999992</c:v>
                </c:pt>
                <c:pt idx="68">
                  <c:v>60.06026</c:v>
                </c:pt>
                <c:pt idx="69">
                  <c:v>6.7023659999999996</c:v>
                </c:pt>
                <c:pt idx="70">
                  <c:v>11.08653</c:v>
                </c:pt>
                <c:pt idx="71">
                  <c:v>2.5216229999999999</c:v>
                </c:pt>
                <c:pt idx="72">
                  <c:v>27.16404</c:v>
                </c:pt>
                <c:pt idx="73">
                  <c:v>8.4384329999999999</c:v>
                </c:pt>
                <c:pt idx="74">
                  <c:v>20.336790000000001</c:v>
                </c:pt>
                <c:pt idx="75">
                  <c:v>14.030749999999999</c:v>
                </c:pt>
                <c:pt idx="76">
                  <c:v>2.9877690000000001</c:v>
                </c:pt>
                <c:pt idx="77">
                  <c:v>19.188179999999999</c:v>
                </c:pt>
                <c:pt idx="78">
                  <c:v>19.323049999999999</c:v>
                </c:pt>
                <c:pt idx="79">
                  <c:v>116.4183</c:v>
                </c:pt>
                <c:pt idx="80">
                  <c:v>0.24696199999999999</c:v>
                </c:pt>
                <c:pt idx="81">
                  <c:v>1.27078</c:v>
                </c:pt>
                <c:pt idx="82">
                  <c:v>38.586550000000003</c:v>
                </c:pt>
                <c:pt idx="83">
                  <c:v>19.854859999999999</c:v>
                </c:pt>
                <c:pt idx="84">
                  <c:v>18.55002</c:v>
                </c:pt>
                <c:pt idx="85">
                  <c:v>14.496499999999999</c:v>
                </c:pt>
                <c:pt idx="86">
                  <c:v>112.26009999999999</c:v>
                </c:pt>
                <c:pt idx="87">
                  <c:v>48.056890000000003</c:v>
                </c:pt>
                <c:pt idx="88">
                  <c:v>42.043349999999997</c:v>
                </c:pt>
                <c:pt idx="89">
                  <c:v>3.4236710000000001</c:v>
                </c:pt>
                <c:pt idx="90">
                  <c:v>3.0726800000000001</c:v>
                </c:pt>
                <c:pt idx="91">
                  <c:v>22.717379999999999</c:v>
                </c:pt>
                <c:pt idx="92">
                  <c:v>20.194649999999999</c:v>
                </c:pt>
                <c:pt idx="93">
                  <c:v>5.1538000000000004</c:v>
                </c:pt>
                <c:pt idx="94">
                  <c:v>27.23958</c:v>
                </c:pt>
                <c:pt idx="95">
                  <c:v>37.40157</c:v>
                </c:pt>
                <c:pt idx="96">
                  <c:v>7.0405800000000003</c:v>
                </c:pt>
                <c:pt idx="97">
                  <c:v>20.170909999999999</c:v>
                </c:pt>
                <c:pt idx="98">
                  <c:v>10.34998</c:v>
                </c:pt>
                <c:pt idx="99">
                  <c:v>16.994949999999999</c:v>
                </c:pt>
                <c:pt idx="100">
                  <c:v>14.11928</c:v>
                </c:pt>
                <c:pt idx="101">
                  <c:v>11.132440000000001</c:v>
                </c:pt>
                <c:pt idx="102">
                  <c:v>52.50629</c:v>
                </c:pt>
                <c:pt idx="103">
                  <c:v>4.9391619999999996</c:v>
                </c:pt>
                <c:pt idx="104">
                  <c:v>36.108049999999999</c:v>
                </c:pt>
                <c:pt idx="105">
                  <c:v>23.018319999999999</c:v>
                </c:pt>
                <c:pt idx="106">
                  <c:v>12.5077</c:v>
                </c:pt>
                <c:pt idx="107">
                  <c:v>34.469149999999999</c:v>
                </c:pt>
              </c:numCache>
            </c:numRef>
          </c:yVal>
          <c:smooth val="0"/>
          <c:extLst>
            <c:ext xmlns:c16="http://schemas.microsoft.com/office/drawing/2014/chart" uri="{C3380CC4-5D6E-409C-BE32-E72D297353CC}">
              <c16:uniqueId val="{00000000-2702-4D65-989B-0D0A558851F1}"/>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Driftsutgifter!$G$253:$G$355</c:f>
              <c:numCache>
                <c:formatCode>0</c:formatCode>
                <c:ptCount val="103"/>
                <c:pt idx="0">
                  <c:v>75.747259999999997</c:v>
                </c:pt>
                <c:pt idx="1">
                  <c:v>13.31467</c:v>
                </c:pt>
                <c:pt idx="2">
                  <c:v>15.521430000000001</c:v>
                </c:pt>
                <c:pt idx="3">
                  <c:v>6.7014259999999997</c:v>
                </c:pt>
                <c:pt idx="4">
                  <c:v>15.763859999999999</c:v>
                </c:pt>
                <c:pt idx="5">
                  <c:v>14.969530000000001</c:v>
                </c:pt>
                <c:pt idx="6">
                  <c:v>14.93538</c:v>
                </c:pt>
                <c:pt idx="7">
                  <c:v>5.9320170000000001</c:v>
                </c:pt>
                <c:pt idx="8">
                  <c:v>10.82489</c:v>
                </c:pt>
                <c:pt idx="9">
                  <c:v>18.486129999999999</c:v>
                </c:pt>
                <c:pt idx="10">
                  <c:v>7.5546870000000004</c:v>
                </c:pt>
                <c:pt idx="11">
                  <c:v>14.88114</c:v>
                </c:pt>
                <c:pt idx="12">
                  <c:v>4.9157669999999998</c:v>
                </c:pt>
                <c:pt idx="13">
                  <c:v>9.3180099999999992</c:v>
                </c:pt>
                <c:pt idx="14">
                  <c:v>16.293030000000002</c:v>
                </c:pt>
                <c:pt idx="15">
                  <c:v>37.781939999999999</c:v>
                </c:pt>
                <c:pt idx="16">
                  <c:v>21.2666</c:v>
                </c:pt>
                <c:pt idx="17">
                  <c:v>4.2023029999999997</c:v>
                </c:pt>
                <c:pt idx="18">
                  <c:v>28.426770000000001</c:v>
                </c:pt>
                <c:pt idx="19">
                  <c:v>21.361149999999999</c:v>
                </c:pt>
                <c:pt idx="20">
                  <c:v>12.43684</c:v>
                </c:pt>
                <c:pt idx="21">
                  <c:v>13.14847</c:v>
                </c:pt>
                <c:pt idx="22">
                  <c:v>17.95279</c:v>
                </c:pt>
                <c:pt idx="23">
                  <c:v>9.2709019999999995</c:v>
                </c:pt>
                <c:pt idx="24">
                  <c:v>8.1315840000000001</c:v>
                </c:pt>
                <c:pt idx="25">
                  <c:v>23.297029999999999</c:v>
                </c:pt>
                <c:pt idx="26">
                  <c:v>11.757389999999999</c:v>
                </c:pt>
                <c:pt idx="27">
                  <c:v>9.4653519999999993</c:v>
                </c:pt>
                <c:pt idx="28">
                  <c:v>14.21256</c:v>
                </c:pt>
                <c:pt idx="29">
                  <c:v>4.0535379999999996</c:v>
                </c:pt>
                <c:pt idx="30">
                  <c:v>11.77591</c:v>
                </c:pt>
                <c:pt idx="31">
                  <c:v>10.616149999999999</c:v>
                </c:pt>
                <c:pt idx="32">
                  <c:v>14.348050000000001</c:v>
                </c:pt>
                <c:pt idx="33">
                  <c:v>15.927070000000001</c:v>
                </c:pt>
                <c:pt idx="34">
                  <c:v>14.27979</c:v>
                </c:pt>
                <c:pt idx="35">
                  <c:v>7.3273339999999996</c:v>
                </c:pt>
                <c:pt idx="36">
                  <c:v>12.102349999999999</c:v>
                </c:pt>
                <c:pt idx="37">
                  <c:v>19.24418</c:v>
                </c:pt>
                <c:pt idx="38">
                  <c:v>18.175219999999999</c:v>
                </c:pt>
                <c:pt idx="39">
                  <c:v>12.38334</c:v>
                </c:pt>
                <c:pt idx="40">
                  <c:v>11.679589999999999</c:v>
                </c:pt>
                <c:pt idx="41">
                  <c:v>8.7657139999999991</c:v>
                </c:pt>
                <c:pt idx="42">
                  <c:v>17.634720000000002</c:v>
                </c:pt>
                <c:pt idx="43">
                  <c:v>-8.6454310000000003</c:v>
                </c:pt>
                <c:pt idx="44">
                  <c:v>4.9180919999999997</c:v>
                </c:pt>
                <c:pt idx="45">
                  <c:v>15.21072</c:v>
                </c:pt>
                <c:pt idx="46">
                  <c:v>10.63354</c:v>
                </c:pt>
                <c:pt idx="47">
                  <c:v>0.2251454</c:v>
                </c:pt>
                <c:pt idx="48">
                  <c:v>4.5593649999999997</c:v>
                </c:pt>
                <c:pt idx="49">
                  <c:v>10.831</c:v>
                </c:pt>
                <c:pt idx="50">
                  <c:v>5.7969270000000002</c:v>
                </c:pt>
                <c:pt idx="51">
                  <c:v>20.9847</c:v>
                </c:pt>
                <c:pt idx="52">
                  <c:v>11.932729999999999</c:v>
                </c:pt>
                <c:pt idx="53">
                  <c:v>10.100809999999999</c:v>
                </c:pt>
                <c:pt idx="54">
                  <c:v>6.2151170000000002</c:v>
                </c:pt>
                <c:pt idx="55">
                  <c:v>14.751049999999999</c:v>
                </c:pt>
                <c:pt idx="56">
                  <c:v>8.1484550000000002</c:v>
                </c:pt>
                <c:pt idx="57">
                  <c:v>18.031269999999999</c:v>
                </c:pt>
                <c:pt idx="58">
                  <c:v>20.801850000000002</c:v>
                </c:pt>
                <c:pt idx="59">
                  <c:v>9.2729920000000003</c:v>
                </c:pt>
                <c:pt idx="60">
                  <c:v>28.829000000000001</c:v>
                </c:pt>
                <c:pt idx="61">
                  <c:v>45.447539999999996</c:v>
                </c:pt>
                <c:pt idx="62">
                  <c:v>16.891310000000001</c:v>
                </c:pt>
                <c:pt idx="63">
                  <c:v>21.114709999999999</c:v>
                </c:pt>
                <c:pt idx="64">
                  <c:v>6.973204</c:v>
                </c:pt>
                <c:pt idx="65">
                  <c:v>9.8920650000000006</c:v>
                </c:pt>
                <c:pt idx="66">
                  <c:v>9.55654</c:v>
                </c:pt>
                <c:pt idx="67">
                  <c:v>5.284357</c:v>
                </c:pt>
                <c:pt idx="68">
                  <c:v>13.146039999999999</c:v>
                </c:pt>
                <c:pt idx="69">
                  <c:v>21.94586</c:v>
                </c:pt>
                <c:pt idx="70">
                  <c:v>7.6215310000000001</c:v>
                </c:pt>
                <c:pt idx="71">
                  <c:v>10.59445</c:v>
                </c:pt>
                <c:pt idx="72">
                  <c:v>21.22824</c:v>
                </c:pt>
                <c:pt idx="73">
                  <c:v>6.8956860000000004</c:v>
                </c:pt>
                <c:pt idx="74">
                  <c:v>40.115299999999998</c:v>
                </c:pt>
                <c:pt idx="75">
                  <c:v>8.8896200000000007</c:v>
                </c:pt>
                <c:pt idx="76">
                  <c:v>4.0624609999999999</c:v>
                </c:pt>
                <c:pt idx="77">
                  <c:v>15.026770000000001</c:v>
                </c:pt>
                <c:pt idx="78">
                  <c:v>24.483419999999999</c:v>
                </c:pt>
                <c:pt idx="79">
                  <c:v>13.02087</c:v>
                </c:pt>
                <c:pt idx="80">
                  <c:v>23.078800000000001</c:v>
                </c:pt>
                <c:pt idx="81">
                  <c:v>17.535869999999999</c:v>
                </c:pt>
                <c:pt idx="82">
                  <c:v>12.122920000000001</c:v>
                </c:pt>
                <c:pt idx="83">
                  <c:v>4.9892370000000001</c:v>
                </c:pt>
                <c:pt idx="84">
                  <c:v>8.2003789999999999</c:v>
                </c:pt>
                <c:pt idx="85">
                  <c:v>8.8246249999999993</c:v>
                </c:pt>
                <c:pt idx="86">
                  <c:v>3.1339100000000002</c:v>
                </c:pt>
                <c:pt idx="87">
                  <c:v>14.75211</c:v>
                </c:pt>
                <c:pt idx="88">
                  <c:v>5.939343</c:v>
                </c:pt>
                <c:pt idx="89">
                  <c:v>65.139020000000002</c:v>
                </c:pt>
                <c:pt idx="90">
                  <c:v>8.6381580000000007</c:v>
                </c:pt>
                <c:pt idx="91">
                  <c:v>1.7787930000000001</c:v>
                </c:pt>
                <c:pt idx="92">
                  <c:v>39.381549999999997</c:v>
                </c:pt>
                <c:pt idx="93">
                  <c:v>66.782359999999997</c:v>
                </c:pt>
                <c:pt idx="94">
                  <c:v>27.506239999999998</c:v>
                </c:pt>
                <c:pt idx="95">
                  <c:v>1.7002790000000001</c:v>
                </c:pt>
                <c:pt idx="96">
                  <c:v>15.047409999999999</c:v>
                </c:pt>
                <c:pt idx="97">
                  <c:v>13.82841</c:v>
                </c:pt>
                <c:pt idx="98">
                  <c:v>23.004570000000001</c:v>
                </c:pt>
                <c:pt idx="99">
                  <c:v>18.605650000000001</c:v>
                </c:pt>
                <c:pt idx="100">
                  <c:v>47.892769999999999</c:v>
                </c:pt>
                <c:pt idx="101">
                  <c:v>27.91132</c:v>
                </c:pt>
                <c:pt idx="102">
                  <c:v>22.428059999999999</c:v>
                </c:pt>
              </c:numCache>
            </c:numRef>
          </c:yVal>
          <c:smooth val="0"/>
          <c:extLst>
            <c:ext xmlns:c16="http://schemas.microsoft.com/office/drawing/2014/chart" uri="{C3380CC4-5D6E-409C-BE32-E72D297353CC}">
              <c16:uniqueId val="{00000001-2702-4D65-989B-0D0A558851F1}"/>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Driftsutgifter!$G$356:$G$420</c:f>
              <c:numCache>
                <c:formatCode>0</c:formatCode>
                <c:ptCount val="65"/>
                <c:pt idx="0">
                  <c:v>3.167224</c:v>
                </c:pt>
                <c:pt idx="1">
                  <c:v>7.1497849999999996</c:v>
                </c:pt>
                <c:pt idx="2">
                  <c:v>14.794370000000001</c:v>
                </c:pt>
                <c:pt idx="3">
                  <c:v>16.411709999999999</c:v>
                </c:pt>
                <c:pt idx="4">
                  <c:v>19.929829999999999</c:v>
                </c:pt>
                <c:pt idx="5">
                  <c:v>29.815180000000002</c:v>
                </c:pt>
                <c:pt idx="6">
                  <c:v>16.983229999999999</c:v>
                </c:pt>
                <c:pt idx="7">
                  <c:v>2.671888</c:v>
                </c:pt>
                <c:pt idx="8">
                  <c:v>14.101150000000001</c:v>
                </c:pt>
                <c:pt idx="9">
                  <c:v>22.3369</c:v>
                </c:pt>
                <c:pt idx="10">
                  <c:v>10.408899999999999</c:v>
                </c:pt>
                <c:pt idx="11">
                  <c:v>20.03444</c:v>
                </c:pt>
                <c:pt idx="12">
                  <c:v>8.2529620000000001</c:v>
                </c:pt>
                <c:pt idx="13">
                  <c:v>12.36702</c:v>
                </c:pt>
                <c:pt idx="14">
                  <c:v>8.6859190000000002</c:v>
                </c:pt>
                <c:pt idx="15">
                  <c:v>14.588369999999999</c:v>
                </c:pt>
                <c:pt idx="16">
                  <c:v>10.855779999999999</c:v>
                </c:pt>
                <c:pt idx="17">
                  <c:v>11.28359</c:v>
                </c:pt>
                <c:pt idx="18">
                  <c:v>21.03603</c:v>
                </c:pt>
                <c:pt idx="19">
                  <c:v>8.2133199999999995</c:v>
                </c:pt>
                <c:pt idx="20">
                  <c:v>12.17473</c:v>
                </c:pt>
                <c:pt idx="21">
                  <c:v>17.960100000000001</c:v>
                </c:pt>
                <c:pt idx="22">
                  <c:v>9.7186450000000004</c:v>
                </c:pt>
                <c:pt idx="23">
                  <c:v>25.206600000000002</c:v>
                </c:pt>
                <c:pt idx="24">
                  <c:v>10.57056</c:v>
                </c:pt>
                <c:pt idx="25">
                  <c:v>9.4497529999999994</c:v>
                </c:pt>
                <c:pt idx="26">
                  <c:v>5.1398979999999996</c:v>
                </c:pt>
                <c:pt idx="27">
                  <c:v>14.657030000000001</c:v>
                </c:pt>
                <c:pt idx="28">
                  <c:v>7.5406250000000004</c:v>
                </c:pt>
                <c:pt idx="29">
                  <c:v>13.69204</c:v>
                </c:pt>
                <c:pt idx="30">
                  <c:v>5.5489620000000004</c:v>
                </c:pt>
                <c:pt idx="31">
                  <c:v>10.523619999999999</c:v>
                </c:pt>
                <c:pt idx="32">
                  <c:v>4.6439060000000003</c:v>
                </c:pt>
                <c:pt idx="33">
                  <c:v>9.1564519999999998</c:v>
                </c:pt>
                <c:pt idx="34">
                  <c:v>9.4138669999999998</c:v>
                </c:pt>
                <c:pt idx="35">
                  <c:v>6.2963199999999997</c:v>
                </c:pt>
                <c:pt idx="36">
                  <c:v>1.749674</c:v>
                </c:pt>
                <c:pt idx="37">
                  <c:v>5.1642000000000001</c:v>
                </c:pt>
                <c:pt idx="38">
                  <c:v>9.7655150000000006</c:v>
                </c:pt>
                <c:pt idx="39">
                  <c:v>39.53463</c:v>
                </c:pt>
                <c:pt idx="40">
                  <c:v>6.0953369999999998</c:v>
                </c:pt>
                <c:pt idx="41">
                  <c:v>0.68755730000000004</c:v>
                </c:pt>
                <c:pt idx="42">
                  <c:v>12.818530000000001</c:v>
                </c:pt>
                <c:pt idx="43">
                  <c:v>16.60397</c:v>
                </c:pt>
                <c:pt idx="44">
                  <c:v>15.203290000000001</c:v>
                </c:pt>
                <c:pt idx="45">
                  <c:v>22.747820000000001</c:v>
                </c:pt>
                <c:pt idx="46">
                  <c:v>3.0578500000000002</c:v>
                </c:pt>
                <c:pt idx="47">
                  <c:v>7.9862640000000003</c:v>
                </c:pt>
                <c:pt idx="48">
                  <c:v>22.874089999999999</c:v>
                </c:pt>
                <c:pt idx="49">
                  <c:v>9.2026540000000008</c:v>
                </c:pt>
                <c:pt idx="50">
                  <c:v>8.9049569999999996</c:v>
                </c:pt>
                <c:pt idx="51">
                  <c:v>17.01559</c:v>
                </c:pt>
                <c:pt idx="52">
                  <c:v>12.621079999999999</c:v>
                </c:pt>
                <c:pt idx="53">
                  <c:v>8.0314549999999993</c:v>
                </c:pt>
                <c:pt idx="54">
                  <c:v>4.1357480000000004</c:v>
                </c:pt>
                <c:pt idx="55">
                  <c:v>13.884320000000001</c:v>
                </c:pt>
                <c:pt idx="56">
                  <c:v>32.529640000000001</c:v>
                </c:pt>
                <c:pt idx="57">
                  <c:v>8.7153340000000004</c:v>
                </c:pt>
                <c:pt idx="58">
                  <c:v>6.1558260000000002</c:v>
                </c:pt>
                <c:pt idx="59">
                  <c:v>13.650840000000001</c:v>
                </c:pt>
                <c:pt idx="60">
                  <c:v>13.53018</c:v>
                </c:pt>
                <c:pt idx="61">
                  <c:v>27.551390000000001</c:v>
                </c:pt>
                <c:pt idx="62">
                  <c:v>30.69858</c:v>
                </c:pt>
                <c:pt idx="63">
                  <c:v>5.3390110000000002</c:v>
                </c:pt>
                <c:pt idx="64">
                  <c:v>2.5422579999999999</c:v>
                </c:pt>
              </c:numCache>
            </c:numRef>
          </c:yVal>
          <c:smooth val="0"/>
          <c:extLst>
            <c:ext xmlns:c16="http://schemas.microsoft.com/office/drawing/2014/chart" uri="{C3380CC4-5D6E-409C-BE32-E72D297353CC}">
              <c16:uniqueId val="{00000002-2702-4D65-989B-0D0A558851F1}"/>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Driftsutgifter!$G$421:$G$474</c:f>
              <c:numCache>
                <c:formatCode>0</c:formatCode>
                <c:ptCount val="54"/>
                <c:pt idx="0">
                  <c:v>35.145249999999997</c:v>
                </c:pt>
                <c:pt idx="1">
                  <c:v>14.453799999999999</c:v>
                </c:pt>
                <c:pt idx="2">
                  <c:v>10.03251</c:v>
                </c:pt>
                <c:pt idx="3">
                  <c:v>18.268429999999999</c:v>
                </c:pt>
                <c:pt idx="4">
                  <c:v>12.49943</c:v>
                </c:pt>
                <c:pt idx="5">
                  <c:v>10.220230000000001</c:v>
                </c:pt>
                <c:pt idx="6">
                  <c:v>16.77683</c:v>
                </c:pt>
                <c:pt idx="7">
                  <c:v>4.246238</c:v>
                </c:pt>
                <c:pt idx="8">
                  <c:v>8.8094649999999994</c:v>
                </c:pt>
                <c:pt idx="9">
                  <c:v>7.8584160000000001</c:v>
                </c:pt>
                <c:pt idx="10">
                  <c:v>7.1352580000000003</c:v>
                </c:pt>
                <c:pt idx="11">
                  <c:v>8.6023610000000001</c:v>
                </c:pt>
                <c:pt idx="12">
                  <c:v>7.8209799999999996</c:v>
                </c:pt>
                <c:pt idx="13">
                  <c:v>15.850160000000001</c:v>
                </c:pt>
                <c:pt idx="14">
                  <c:v>9.1124910000000003</c:v>
                </c:pt>
                <c:pt idx="15">
                  <c:v>8.1723470000000002</c:v>
                </c:pt>
                <c:pt idx="16">
                  <c:v>9.8007869999999997</c:v>
                </c:pt>
                <c:pt idx="17">
                  <c:v>19.300280000000001</c:v>
                </c:pt>
                <c:pt idx="18">
                  <c:v>9.8396059999999999</c:v>
                </c:pt>
                <c:pt idx="19">
                  <c:v>18.75047</c:v>
                </c:pt>
                <c:pt idx="20">
                  <c:v>2.8378169999999998</c:v>
                </c:pt>
                <c:pt idx="21">
                  <c:v>6.8070979999999999</c:v>
                </c:pt>
                <c:pt idx="22">
                  <c:v>9.3270470000000003</c:v>
                </c:pt>
                <c:pt idx="23">
                  <c:v>3.85615</c:v>
                </c:pt>
                <c:pt idx="24">
                  <c:v>12.419790000000001</c:v>
                </c:pt>
                <c:pt idx="25">
                  <c:v>8.1329220000000007</c:v>
                </c:pt>
                <c:pt idx="26">
                  <c:v>10.04439</c:v>
                </c:pt>
                <c:pt idx="27">
                  <c:v>10.382199999999999</c:v>
                </c:pt>
                <c:pt idx="28">
                  <c:v>18.854009999999999</c:v>
                </c:pt>
                <c:pt idx="29">
                  <c:v>3.988216</c:v>
                </c:pt>
                <c:pt idx="30">
                  <c:v>11.20922</c:v>
                </c:pt>
                <c:pt idx="31">
                  <c:v>6.818365</c:v>
                </c:pt>
                <c:pt idx="32">
                  <c:v>7.7166499999999996</c:v>
                </c:pt>
                <c:pt idx="33">
                  <c:v>12.09482</c:v>
                </c:pt>
                <c:pt idx="34">
                  <c:v>29.986930000000001</c:v>
                </c:pt>
                <c:pt idx="35">
                  <c:v>6.8109580000000003</c:v>
                </c:pt>
                <c:pt idx="36">
                  <c:v>14.61026</c:v>
                </c:pt>
                <c:pt idx="37">
                  <c:v>9.0036850000000008</c:v>
                </c:pt>
                <c:pt idx="38">
                  <c:v>11.60252</c:v>
                </c:pt>
                <c:pt idx="39">
                  <c:v>14.62947</c:v>
                </c:pt>
                <c:pt idx="40">
                  <c:v>4.8626040000000001</c:v>
                </c:pt>
                <c:pt idx="41">
                  <c:v>11.36556</c:v>
                </c:pt>
                <c:pt idx="42">
                  <c:v>6.0969920000000002</c:v>
                </c:pt>
                <c:pt idx="43">
                  <c:v>15.84665</c:v>
                </c:pt>
                <c:pt idx="44">
                  <c:v>3.4596900000000002</c:v>
                </c:pt>
                <c:pt idx="45">
                  <c:v>11.567539999999999</c:v>
                </c:pt>
                <c:pt idx="46">
                  <c:v>10.7134</c:v>
                </c:pt>
                <c:pt idx="47">
                  <c:v>6.5964109999999998</c:v>
                </c:pt>
                <c:pt idx="48">
                  <c:v>10.483370000000001</c:v>
                </c:pt>
                <c:pt idx="49">
                  <c:v>9.6440239999999999</c:v>
                </c:pt>
                <c:pt idx="50">
                  <c:v>25.43458</c:v>
                </c:pt>
                <c:pt idx="51">
                  <c:v>13.114509999999999</c:v>
                </c:pt>
                <c:pt idx="52">
                  <c:v>20.076589999999999</c:v>
                </c:pt>
                <c:pt idx="53">
                  <c:v>10.28125</c:v>
                </c:pt>
              </c:numCache>
            </c:numRef>
          </c:yVal>
          <c:smooth val="0"/>
          <c:extLst>
            <c:ext xmlns:c16="http://schemas.microsoft.com/office/drawing/2014/chart" uri="{C3380CC4-5D6E-409C-BE32-E72D297353CC}">
              <c16:uniqueId val="{00000003-2702-4D65-989B-0D0A558851F1}"/>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Driftsutgifter!$G$475:$G$495</c:f>
              <c:numCache>
                <c:formatCode>0</c:formatCode>
                <c:ptCount val="21"/>
                <c:pt idx="0">
                  <c:v>11.04609</c:v>
                </c:pt>
                <c:pt idx="1">
                  <c:v>21.37875</c:v>
                </c:pt>
                <c:pt idx="2">
                  <c:v>8.9382429999999999</c:v>
                </c:pt>
                <c:pt idx="3">
                  <c:v>29.282730000000001</c:v>
                </c:pt>
                <c:pt idx="4">
                  <c:v>13.821440000000001</c:v>
                </c:pt>
                <c:pt idx="5">
                  <c:v>14.25123</c:v>
                </c:pt>
                <c:pt idx="6">
                  <c:v>11.129110000000001</c:v>
                </c:pt>
                <c:pt idx="7">
                  <c:v>7.7797450000000001</c:v>
                </c:pt>
                <c:pt idx="8">
                  <c:v>6.6135630000000001</c:v>
                </c:pt>
                <c:pt idx="9">
                  <c:v>17.828659999999999</c:v>
                </c:pt>
                <c:pt idx="10">
                  <c:v>7.9565640000000002</c:v>
                </c:pt>
                <c:pt idx="11">
                  <c:v>10.722379999999999</c:v>
                </c:pt>
                <c:pt idx="12">
                  <c:v>5.1044859999999996</c:v>
                </c:pt>
                <c:pt idx="13">
                  <c:v>10.021839999999999</c:v>
                </c:pt>
                <c:pt idx="14">
                  <c:v>11.00286</c:v>
                </c:pt>
                <c:pt idx="15">
                  <c:v>10.458080000000001</c:v>
                </c:pt>
                <c:pt idx="16">
                  <c:v>19.904150000000001</c:v>
                </c:pt>
                <c:pt idx="17">
                  <c:v>11.22015</c:v>
                </c:pt>
                <c:pt idx="18">
                  <c:v>14.390840000000001</c:v>
                </c:pt>
                <c:pt idx="19">
                  <c:v>33.319099999999999</c:v>
                </c:pt>
                <c:pt idx="20">
                  <c:v>13.560840000000001</c:v>
                </c:pt>
              </c:numCache>
            </c:numRef>
          </c:yVal>
          <c:smooth val="0"/>
          <c:extLst>
            <c:ext xmlns:c16="http://schemas.microsoft.com/office/drawing/2014/chart" uri="{C3380CC4-5D6E-409C-BE32-E72D297353CC}">
              <c16:uniqueId val="{00000004-2702-4D65-989B-0D0A558851F1}"/>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Driftsutgifter!$G$496:$G$500</c:f>
              <c:numCache>
                <c:formatCode>0</c:formatCode>
                <c:ptCount val="5"/>
                <c:pt idx="0">
                  <c:v>18.503080000000001</c:v>
                </c:pt>
                <c:pt idx="1">
                  <c:v>34.551229999999997</c:v>
                </c:pt>
                <c:pt idx="2">
                  <c:v>21.795919999999999</c:v>
                </c:pt>
                <c:pt idx="3">
                  <c:v>17.354019999999998</c:v>
                </c:pt>
                <c:pt idx="4">
                  <c:v>9.6829079999999994</c:v>
                </c:pt>
              </c:numCache>
            </c:numRef>
          </c:yVal>
          <c:smooth val="0"/>
          <c:extLst>
            <c:ext xmlns:c16="http://schemas.microsoft.com/office/drawing/2014/chart" uri="{C3380CC4-5D6E-409C-BE32-E72D297353CC}">
              <c16:uniqueId val="{00000005-2702-4D65-989B-0D0A558851F1}"/>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(2) Bruttoinvesteringerstrøm</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Driftsutgifter!$H$145:$H$252</c:f>
              <c:numCache>
                <c:formatCode>0</c:formatCode>
                <c:ptCount val="108"/>
                <c:pt idx="0">
                  <c:v>6.4188460000000003</c:v>
                </c:pt>
                <c:pt idx="1">
                  <c:v>7.6101380000000001</c:v>
                </c:pt>
                <c:pt idx="2">
                  <c:v>5.6366059999999996</c:v>
                </c:pt>
                <c:pt idx="3">
                  <c:v>8.993608</c:v>
                </c:pt>
                <c:pt idx="4">
                  <c:v>12.624510000000001</c:v>
                </c:pt>
                <c:pt idx="5">
                  <c:v>10.770239999999999</c:v>
                </c:pt>
                <c:pt idx="6">
                  <c:v>13.12527</c:v>
                </c:pt>
                <c:pt idx="7">
                  <c:v>7.6803980000000003</c:v>
                </c:pt>
                <c:pt idx="8">
                  <c:v>4.7857139999999996</c:v>
                </c:pt>
                <c:pt idx="9">
                  <c:v>5.8143649999999996</c:v>
                </c:pt>
                <c:pt idx="10">
                  <c:v>15.149430000000001</c:v>
                </c:pt>
                <c:pt idx="11">
                  <c:v>7.278734</c:v>
                </c:pt>
                <c:pt idx="12">
                  <c:v>9.2630540000000003</c:v>
                </c:pt>
                <c:pt idx="13">
                  <c:v>9.20749</c:v>
                </c:pt>
                <c:pt idx="14">
                  <c:v>10.375349999999999</c:v>
                </c:pt>
                <c:pt idx="15">
                  <c:v>12.18403</c:v>
                </c:pt>
                <c:pt idx="16">
                  <c:v>7.7068539999999999</c:v>
                </c:pt>
                <c:pt idx="17">
                  <c:v>6.8836349999999999</c:v>
                </c:pt>
                <c:pt idx="18">
                  <c:v>8.6751670000000001</c:v>
                </c:pt>
                <c:pt idx="19">
                  <c:v>5.2354200000000004</c:v>
                </c:pt>
                <c:pt idx="20">
                  <c:v>12.63425</c:v>
                </c:pt>
                <c:pt idx="21">
                  <c:v>7.1163239999999996</c:v>
                </c:pt>
                <c:pt idx="22">
                  <c:v>7.8376780000000004</c:v>
                </c:pt>
                <c:pt idx="23">
                  <c:v>8.4263379999999994</c:v>
                </c:pt>
                <c:pt idx="24">
                  <c:v>9.8551479999999998</c:v>
                </c:pt>
                <c:pt idx="25">
                  <c:v>7.6939209999999996</c:v>
                </c:pt>
                <c:pt idx="26">
                  <c:v>3.6560299999999999</c:v>
                </c:pt>
                <c:pt idx="27">
                  <c:v>9.2665930000000003</c:v>
                </c:pt>
                <c:pt idx="28">
                  <c:v>9.1797240000000002</c:v>
                </c:pt>
                <c:pt idx="29">
                  <c:v>7.828697</c:v>
                </c:pt>
                <c:pt idx="30">
                  <c:v>20.180099999999999</c:v>
                </c:pt>
                <c:pt idx="31">
                  <c:v>6.5044259999999996</c:v>
                </c:pt>
                <c:pt idx="32">
                  <c:v>6.5542899999999999</c:v>
                </c:pt>
                <c:pt idx="33">
                  <c:v>28.02073</c:v>
                </c:pt>
                <c:pt idx="34">
                  <c:v>6.9610130000000003</c:v>
                </c:pt>
                <c:pt idx="35">
                  <c:v>9.6732230000000001</c:v>
                </c:pt>
                <c:pt idx="36">
                  <c:v>8.8863950000000003</c:v>
                </c:pt>
                <c:pt idx="37">
                  <c:v>8.7074780000000001</c:v>
                </c:pt>
                <c:pt idx="38">
                  <c:v>6.753698</c:v>
                </c:pt>
                <c:pt idx="39">
                  <c:v>7.3031879999999996</c:v>
                </c:pt>
                <c:pt idx="40">
                  <c:v>5.9943470000000003</c:v>
                </c:pt>
                <c:pt idx="41">
                  <c:v>8.2678930000000008</c:v>
                </c:pt>
                <c:pt idx="42">
                  <c:v>5.6814669999999996</c:v>
                </c:pt>
                <c:pt idx="43">
                  <c:v>5.900658</c:v>
                </c:pt>
                <c:pt idx="44">
                  <c:v>7.4629880000000002</c:v>
                </c:pt>
                <c:pt idx="45">
                  <c:v>7.7164070000000002</c:v>
                </c:pt>
                <c:pt idx="46">
                  <c:v>10.326040000000001</c:v>
                </c:pt>
                <c:pt idx="47">
                  <c:v>6.668291</c:v>
                </c:pt>
                <c:pt idx="48">
                  <c:v>7.0047969999999999</c:v>
                </c:pt>
                <c:pt idx="49">
                  <c:v>9.9740780000000004</c:v>
                </c:pt>
                <c:pt idx="50">
                  <c:v>15.326739999999999</c:v>
                </c:pt>
                <c:pt idx="51">
                  <c:v>5.7815630000000002</c:v>
                </c:pt>
                <c:pt idx="52">
                  <c:v>6.4756980000000004</c:v>
                </c:pt>
                <c:pt idx="53">
                  <c:v>9.3247549999999997</c:v>
                </c:pt>
                <c:pt idx="54">
                  <c:v>7.1847370000000002</c:v>
                </c:pt>
                <c:pt idx="55">
                  <c:v>8.2472709999999996</c:v>
                </c:pt>
                <c:pt idx="56">
                  <c:v>5.9192140000000002</c:v>
                </c:pt>
                <c:pt idx="57">
                  <c:v>21.992080000000001</c:v>
                </c:pt>
                <c:pt idx="58">
                  <c:v>12.478440000000001</c:v>
                </c:pt>
                <c:pt idx="59">
                  <c:v>10.678179999999999</c:v>
                </c:pt>
                <c:pt idx="60">
                  <c:v>10.78505</c:v>
                </c:pt>
                <c:pt idx="61">
                  <c:v>24.235869999999998</c:v>
                </c:pt>
                <c:pt idx="62">
                  <c:v>9.069604</c:v>
                </c:pt>
                <c:pt idx="63">
                  <c:v>5.4199250000000001</c:v>
                </c:pt>
                <c:pt idx="64">
                  <c:v>12.317399999999999</c:v>
                </c:pt>
                <c:pt idx="65">
                  <c:v>9.8224959999999992</c:v>
                </c:pt>
                <c:pt idx="66">
                  <c:v>5.6765369999999997</c:v>
                </c:pt>
                <c:pt idx="67">
                  <c:v>6.7315690000000004</c:v>
                </c:pt>
                <c:pt idx="68">
                  <c:v>8.8418080000000003</c:v>
                </c:pt>
                <c:pt idx="69">
                  <c:v>7.7600670000000003</c:v>
                </c:pt>
                <c:pt idx="70">
                  <c:v>9.5412189999999999</c:v>
                </c:pt>
                <c:pt idx="71">
                  <c:v>12.31138</c:v>
                </c:pt>
                <c:pt idx="72">
                  <c:v>7.4198579999999996</c:v>
                </c:pt>
                <c:pt idx="73">
                  <c:v>7.8388770000000001</c:v>
                </c:pt>
                <c:pt idx="74">
                  <c:v>6.5112620000000003</c:v>
                </c:pt>
                <c:pt idx="75">
                  <c:v>10.23311</c:v>
                </c:pt>
                <c:pt idx="76">
                  <c:v>5.108536</c:v>
                </c:pt>
                <c:pt idx="77">
                  <c:v>5.3694290000000002</c:v>
                </c:pt>
                <c:pt idx="78">
                  <c:v>5.4183050000000001</c:v>
                </c:pt>
                <c:pt idx="79">
                  <c:v>13.11633</c:v>
                </c:pt>
                <c:pt idx="80">
                  <c:v>7.3814190000000002</c:v>
                </c:pt>
                <c:pt idx="81">
                  <c:v>8.2621110000000009</c:v>
                </c:pt>
                <c:pt idx="82">
                  <c:v>9.4687199999999994</c:v>
                </c:pt>
                <c:pt idx="83">
                  <c:v>10.298730000000001</c:v>
                </c:pt>
                <c:pt idx="84">
                  <c:v>11.13325</c:v>
                </c:pt>
                <c:pt idx="85">
                  <c:v>7.8228330000000001</c:v>
                </c:pt>
                <c:pt idx="86">
                  <c:v>12.38593</c:v>
                </c:pt>
                <c:pt idx="87">
                  <c:v>11.02796</c:v>
                </c:pt>
                <c:pt idx="88">
                  <c:v>8.1448940000000007</c:v>
                </c:pt>
                <c:pt idx="89">
                  <c:v>10.43019</c:v>
                </c:pt>
                <c:pt idx="90">
                  <c:v>7.4030449999999997</c:v>
                </c:pt>
                <c:pt idx="91">
                  <c:v>8.5140619999999991</c:v>
                </c:pt>
                <c:pt idx="92">
                  <c:v>8.4243950000000005</c:v>
                </c:pt>
                <c:pt idx="93">
                  <c:v>6.7213029999999998</c:v>
                </c:pt>
                <c:pt idx="94">
                  <c:v>7.3454860000000002</c:v>
                </c:pt>
                <c:pt idx="95">
                  <c:v>8.2270350000000008</c:v>
                </c:pt>
                <c:pt idx="96">
                  <c:v>8.7326090000000001</c:v>
                </c:pt>
                <c:pt idx="97">
                  <c:v>9.7929790000000008</c:v>
                </c:pt>
                <c:pt idx="98">
                  <c:v>5.9016279999999997</c:v>
                </c:pt>
                <c:pt idx="99">
                  <c:v>10.454549999999999</c:v>
                </c:pt>
                <c:pt idx="100">
                  <c:v>8.6995199999999997</c:v>
                </c:pt>
                <c:pt idx="101">
                  <c:v>8.3712</c:v>
                </c:pt>
                <c:pt idx="102">
                  <c:v>4.648498</c:v>
                </c:pt>
                <c:pt idx="103">
                  <c:v>6.1937949999999997</c:v>
                </c:pt>
                <c:pt idx="104">
                  <c:v>19.96913</c:v>
                </c:pt>
                <c:pt idx="105">
                  <c:v>12.833</c:v>
                </c:pt>
                <c:pt idx="106">
                  <c:v>11.738910000000001</c:v>
                </c:pt>
                <c:pt idx="107">
                  <c:v>12.068680000000001</c:v>
                </c:pt>
              </c:numCache>
            </c:numRef>
          </c:yVal>
          <c:smooth val="0"/>
          <c:extLst>
            <c:ext xmlns:c16="http://schemas.microsoft.com/office/drawing/2014/chart" uri="{C3380CC4-5D6E-409C-BE32-E72D297353CC}">
              <c16:uniqueId val="{00000000-BFFC-4976-AA36-F68149101526}"/>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Driftsutgifter!$H$253:$H$355</c:f>
              <c:numCache>
                <c:formatCode>0</c:formatCode>
                <c:ptCount val="103"/>
                <c:pt idx="0">
                  <c:v>6.4007620000000003</c:v>
                </c:pt>
                <c:pt idx="1">
                  <c:v>7.4909230000000004</c:v>
                </c:pt>
                <c:pt idx="2">
                  <c:v>3.9522179999999998</c:v>
                </c:pt>
                <c:pt idx="3">
                  <c:v>4.7959329999999998</c:v>
                </c:pt>
                <c:pt idx="4">
                  <c:v>5.9243449999999998</c:v>
                </c:pt>
                <c:pt idx="5">
                  <c:v>6.0193909999999997</c:v>
                </c:pt>
                <c:pt idx="6">
                  <c:v>5.7123790000000003</c:v>
                </c:pt>
                <c:pt idx="7">
                  <c:v>5.0771930000000003</c:v>
                </c:pt>
                <c:pt idx="8">
                  <c:v>7.3391089999999997</c:v>
                </c:pt>
                <c:pt idx="9">
                  <c:v>6.5279660000000002</c:v>
                </c:pt>
                <c:pt idx="10">
                  <c:v>5.6039770000000004</c:v>
                </c:pt>
                <c:pt idx="11">
                  <c:v>5.9841350000000002</c:v>
                </c:pt>
                <c:pt idx="12">
                  <c:v>6.3872400000000003</c:v>
                </c:pt>
                <c:pt idx="13">
                  <c:v>4.8132080000000004</c:v>
                </c:pt>
                <c:pt idx="14">
                  <c:v>8.6466139999999996</c:v>
                </c:pt>
                <c:pt idx="15">
                  <c:v>5.1628179999999997</c:v>
                </c:pt>
                <c:pt idx="16">
                  <c:v>8.4507770000000004</c:v>
                </c:pt>
                <c:pt idx="17">
                  <c:v>6.0477379999999998</c:v>
                </c:pt>
                <c:pt idx="18">
                  <c:v>6.7743500000000001</c:v>
                </c:pt>
                <c:pt idx="19">
                  <c:v>6.8612359999999999</c:v>
                </c:pt>
                <c:pt idx="20">
                  <c:v>6.3812069999999999</c:v>
                </c:pt>
                <c:pt idx="21">
                  <c:v>4.7820970000000003</c:v>
                </c:pt>
                <c:pt idx="22">
                  <c:v>6.9931739999999998</c:v>
                </c:pt>
                <c:pt idx="23">
                  <c:v>5.8111379999999997</c:v>
                </c:pt>
                <c:pt idx="24">
                  <c:v>6.1528999999999998</c:v>
                </c:pt>
                <c:pt idx="25">
                  <c:v>4.7997480000000001</c:v>
                </c:pt>
                <c:pt idx="26">
                  <c:v>4.823334</c:v>
                </c:pt>
                <c:pt idx="27">
                  <c:v>5.4847380000000001</c:v>
                </c:pt>
                <c:pt idx="28">
                  <c:v>6.7376269999999998</c:v>
                </c:pt>
                <c:pt idx="29">
                  <c:v>5.5858970000000001</c:v>
                </c:pt>
                <c:pt idx="30">
                  <c:v>7.9413640000000001</c:v>
                </c:pt>
                <c:pt idx="31">
                  <c:v>3.8056640000000002</c:v>
                </c:pt>
                <c:pt idx="32">
                  <c:v>4.7602419999999999</c:v>
                </c:pt>
                <c:pt idx="33">
                  <c:v>5.0487460000000004</c:v>
                </c:pt>
                <c:pt idx="34">
                  <c:v>5.794956</c:v>
                </c:pt>
                <c:pt idx="35">
                  <c:v>9.4360700000000008</c:v>
                </c:pt>
                <c:pt idx="36">
                  <c:v>6.6015680000000003</c:v>
                </c:pt>
                <c:pt idx="37">
                  <c:v>9.9284169999999996</c:v>
                </c:pt>
                <c:pt idx="38">
                  <c:v>7.740958</c:v>
                </c:pt>
                <c:pt idx="39">
                  <c:v>6.335521</c:v>
                </c:pt>
                <c:pt idx="40">
                  <c:v>5.9763729999999997</c:v>
                </c:pt>
                <c:pt idx="41">
                  <c:v>4.3689739999999997</c:v>
                </c:pt>
                <c:pt idx="42">
                  <c:v>9.509093</c:v>
                </c:pt>
                <c:pt idx="43">
                  <c:v>6.0932979999999999</c:v>
                </c:pt>
                <c:pt idx="44">
                  <c:v>5.0476910000000004</c:v>
                </c:pt>
                <c:pt idx="45">
                  <c:v>5.8710000000000004</c:v>
                </c:pt>
                <c:pt idx="46">
                  <c:v>5.5068289999999998</c:v>
                </c:pt>
                <c:pt idx="47">
                  <c:v>5.7180840000000002</c:v>
                </c:pt>
                <c:pt idx="48">
                  <c:v>5.6958729999999997</c:v>
                </c:pt>
                <c:pt idx="49">
                  <c:v>4.7911149999999996</c:v>
                </c:pt>
                <c:pt idx="50">
                  <c:v>4.9831399999999997</c:v>
                </c:pt>
                <c:pt idx="51">
                  <c:v>9.3454080000000008</c:v>
                </c:pt>
                <c:pt idx="52">
                  <c:v>4.6633950000000004</c:v>
                </c:pt>
                <c:pt idx="53">
                  <c:v>10.473929999999999</c:v>
                </c:pt>
                <c:pt idx="54">
                  <c:v>6.2759340000000003</c:v>
                </c:pt>
                <c:pt idx="55">
                  <c:v>3.2322280000000001</c:v>
                </c:pt>
                <c:pt idx="56">
                  <c:v>5.4410499999999997</c:v>
                </c:pt>
                <c:pt idx="57">
                  <c:v>7.8419220000000003</c:v>
                </c:pt>
                <c:pt idx="58">
                  <c:v>6.1601140000000001</c:v>
                </c:pt>
                <c:pt idx="59">
                  <c:v>6.9525059999999996</c:v>
                </c:pt>
                <c:pt idx="60">
                  <c:v>4.494783</c:v>
                </c:pt>
                <c:pt idx="61">
                  <c:v>9.7353760000000005</c:v>
                </c:pt>
                <c:pt idx="62">
                  <c:v>6.953195</c:v>
                </c:pt>
                <c:pt idx="63">
                  <c:v>6.6751290000000001</c:v>
                </c:pt>
                <c:pt idx="64">
                  <c:v>6.2358510000000003</c:v>
                </c:pt>
                <c:pt idx="65">
                  <c:v>3.947511</c:v>
                </c:pt>
                <c:pt idx="66">
                  <c:v>6.1184789999999998</c:v>
                </c:pt>
                <c:pt idx="67">
                  <c:v>7.4788009999999998</c:v>
                </c:pt>
                <c:pt idx="68">
                  <c:v>6.7916670000000003</c:v>
                </c:pt>
                <c:pt idx="69">
                  <c:v>6.4209690000000004</c:v>
                </c:pt>
                <c:pt idx="70">
                  <c:v>6.9871740000000004</c:v>
                </c:pt>
                <c:pt idx="71">
                  <c:v>8.2852379999999997</c:v>
                </c:pt>
                <c:pt idx="72">
                  <c:v>5.8645769999999997</c:v>
                </c:pt>
                <c:pt idx="73">
                  <c:v>7.94076</c:v>
                </c:pt>
                <c:pt idx="74">
                  <c:v>6.5437589999999997</c:v>
                </c:pt>
                <c:pt idx="75">
                  <c:v>6.1026829999999999</c:v>
                </c:pt>
                <c:pt idx="76">
                  <c:v>7.3218069999999997</c:v>
                </c:pt>
                <c:pt idx="77">
                  <c:v>5.7278659999999997</c:v>
                </c:pt>
                <c:pt idx="78">
                  <c:v>4.531282</c:v>
                </c:pt>
                <c:pt idx="79">
                  <c:v>7.6081180000000002</c:v>
                </c:pt>
                <c:pt idx="80">
                  <c:v>5.0129979999999996</c:v>
                </c:pt>
                <c:pt idx="81">
                  <c:v>6.370349</c:v>
                </c:pt>
                <c:pt idx="82">
                  <c:v>6.2440480000000003</c:v>
                </c:pt>
                <c:pt idx="83">
                  <c:v>5.9452509999999998</c:v>
                </c:pt>
                <c:pt idx="84">
                  <c:v>6.1325750000000001</c:v>
                </c:pt>
                <c:pt idx="85">
                  <c:v>5.5099229999999997</c:v>
                </c:pt>
                <c:pt idx="86">
                  <c:v>6.1328379999999996</c:v>
                </c:pt>
                <c:pt idx="87">
                  <c:v>7.6794450000000003</c:v>
                </c:pt>
                <c:pt idx="88">
                  <c:v>6.3408660000000001</c:v>
                </c:pt>
                <c:pt idx="89">
                  <c:v>15.642989999999999</c:v>
                </c:pt>
                <c:pt idx="90">
                  <c:v>5.2515660000000004</c:v>
                </c:pt>
                <c:pt idx="91">
                  <c:v>4.5714829999999997</c:v>
                </c:pt>
                <c:pt idx="92">
                  <c:v>9.0250579999999996</c:v>
                </c:pt>
                <c:pt idx="93">
                  <c:v>12.25305</c:v>
                </c:pt>
                <c:pt idx="94">
                  <c:v>6.6143970000000003</c:v>
                </c:pt>
                <c:pt idx="95">
                  <c:v>6.404369</c:v>
                </c:pt>
                <c:pt idx="96">
                  <c:v>7.3111839999999999</c:v>
                </c:pt>
                <c:pt idx="97">
                  <c:v>9.1398320000000002</c:v>
                </c:pt>
                <c:pt idx="98">
                  <c:v>8.8518950000000007</c:v>
                </c:pt>
                <c:pt idx="99">
                  <c:v>7.8357910000000004</c:v>
                </c:pt>
                <c:pt idx="100">
                  <c:v>6.0508199999999999</c:v>
                </c:pt>
                <c:pt idx="101">
                  <c:v>12.629670000000001</c:v>
                </c:pt>
                <c:pt idx="102">
                  <c:v>9.6577160000000006</c:v>
                </c:pt>
              </c:numCache>
            </c:numRef>
          </c:yVal>
          <c:smooth val="0"/>
          <c:extLst>
            <c:ext xmlns:c16="http://schemas.microsoft.com/office/drawing/2014/chart" uri="{C3380CC4-5D6E-409C-BE32-E72D297353CC}">
              <c16:uniqueId val="{00000001-BFFC-4976-AA36-F68149101526}"/>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Driftsutgifter!$H$356:$H$420</c:f>
              <c:numCache>
                <c:formatCode>0</c:formatCode>
                <c:ptCount val="65"/>
                <c:pt idx="0">
                  <c:v>7.348738</c:v>
                </c:pt>
                <c:pt idx="1">
                  <c:v>3.5981709999999998</c:v>
                </c:pt>
                <c:pt idx="2">
                  <c:v>3.3646829999999999</c:v>
                </c:pt>
                <c:pt idx="3">
                  <c:v>6.7083849999999998</c:v>
                </c:pt>
                <c:pt idx="4">
                  <c:v>5.0117289999999999</c:v>
                </c:pt>
                <c:pt idx="5">
                  <c:v>6.821415</c:v>
                </c:pt>
                <c:pt idx="6">
                  <c:v>5.5448430000000002</c:v>
                </c:pt>
                <c:pt idx="7">
                  <c:v>4.5842499999999999</c:v>
                </c:pt>
                <c:pt idx="8">
                  <c:v>9.4474619999999998</c:v>
                </c:pt>
                <c:pt idx="9">
                  <c:v>5.87432</c:v>
                </c:pt>
                <c:pt idx="10">
                  <c:v>5.6607349999999999</c:v>
                </c:pt>
                <c:pt idx="11">
                  <c:v>6.1551489999999998</c:v>
                </c:pt>
                <c:pt idx="12">
                  <c:v>6.2765969999999998</c:v>
                </c:pt>
                <c:pt idx="13">
                  <c:v>4.4064870000000003</c:v>
                </c:pt>
                <c:pt idx="14">
                  <c:v>5.3142060000000004</c:v>
                </c:pt>
                <c:pt idx="15">
                  <c:v>7.8548109999999998</c:v>
                </c:pt>
                <c:pt idx="16">
                  <c:v>6.0853020000000004</c:v>
                </c:pt>
                <c:pt idx="17">
                  <c:v>5.4330970000000001</c:v>
                </c:pt>
                <c:pt idx="18">
                  <c:v>4.7095859999999998</c:v>
                </c:pt>
                <c:pt idx="19">
                  <c:v>4.4609389999999998</c:v>
                </c:pt>
                <c:pt idx="20">
                  <c:v>6.0486420000000001</c:v>
                </c:pt>
                <c:pt idx="21">
                  <c:v>7.3144559999999998</c:v>
                </c:pt>
                <c:pt idx="22">
                  <c:v>4.4190170000000002</c:v>
                </c:pt>
                <c:pt idx="23">
                  <c:v>6.1055910000000004</c:v>
                </c:pt>
                <c:pt idx="24">
                  <c:v>11.374930000000001</c:v>
                </c:pt>
                <c:pt idx="25">
                  <c:v>7.2492070000000002</c:v>
                </c:pt>
                <c:pt idx="26">
                  <c:v>3.9985460000000002</c:v>
                </c:pt>
                <c:pt idx="27">
                  <c:v>7.2972760000000001</c:v>
                </c:pt>
                <c:pt idx="28">
                  <c:v>4.3390639999999996</c:v>
                </c:pt>
                <c:pt idx="29">
                  <c:v>6.8580949999999996</c:v>
                </c:pt>
                <c:pt idx="30">
                  <c:v>5.8797980000000001</c:v>
                </c:pt>
                <c:pt idx="31">
                  <c:v>6.2477980000000004</c:v>
                </c:pt>
                <c:pt idx="32">
                  <c:v>5.1779809999999999</c:v>
                </c:pt>
                <c:pt idx="33">
                  <c:v>5.5869010000000001</c:v>
                </c:pt>
                <c:pt idx="34">
                  <c:v>4.1464100000000004</c:v>
                </c:pt>
                <c:pt idx="35">
                  <c:v>4.8106660000000003</c:v>
                </c:pt>
                <c:pt idx="36">
                  <c:v>5.1665580000000002</c:v>
                </c:pt>
                <c:pt idx="37">
                  <c:v>5.3929999999999998</c:v>
                </c:pt>
                <c:pt idx="38">
                  <c:v>5.9274360000000001</c:v>
                </c:pt>
                <c:pt idx="39">
                  <c:v>14.11849</c:v>
                </c:pt>
                <c:pt idx="40">
                  <c:v>5.7043039999999996</c:v>
                </c:pt>
                <c:pt idx="41">
                  <c:v>7.3857429999999997</c:v>
                </c:pt>
                <c:pt idx="42">
                  <c:v>5.7309510000000001</c:v>
                </c:pt>
                <c:pt idx="43">
                  <c:v>4.703106</c:v>
                </c:pt>
                <c:pt idx="44">
                  <c:v>6.6093299999999999</c:v>
                </c:pt>
                <c:pt idx="45">
                  <c:v>6.3451740000000001</c:v>
                </c:pt>
                <c:pt idx="46">
                  <c:v>5.3195690000000004</c:v>
                </c:pt>
                <c:pt idx="47">
                  <c:v>4.9149880000000001</c:v>
                </c:pt>
                <c:pt idx="48">
                  <c:v>6.5856950000000003</c:v>
                </c:pt>
                <c:pt idx="49">
                  <c:v>9.9844360000000005</c:v>
                </c:pt>
                <c:pt idx="50">
                  <c:v>5.5218040000000004</c:v>
                </c:pt>
                <c:pt idx="51">
                  <c:v>4.7524050000000004</c:v>
                </c:pt>
                <c:pt idx="52">
                  <c:v>5.0644710000000002</c:v>
                </c:pt>
                <c:pt idx="53">
                  <c:v>4.1263920000000001</c:v>
                </c:pt>
                <c:pt idx="54">
                  <c:v>6.2144560000000002</c:v>
                </c:pt>
                <c:pt idx="55">
                  <c:v>4.2071269999999998</c:v>
                </c:pt>
                <c:pt idx="56">
                  <c:v>5.7957559999999999</c:v>
                </c:pt>
                <c:pt idx="57">
                  <c:v>6.3749390000000004</c:v>
                </c:pt>
                <c:pt idx="58">
                  <c:v>4.0686429999999998</c:v>
                </c:pt>
                <c:pt idx="59">
                  <c:v>4.9412760000000002</c:v>
                </c:pt>
                <c:pt idx="60">
                  <c:v>4.9475129999999998</c:v>
                </c:pt>
                <c:pt idx="61">
                  <c:v>4.6555179999999998</c:v>
                </c:pt>
                <c:pt idx="62">
                  <c:v>3.1478799999999998</c:v>
                </c:pt>
                <c:pt idx="63">
                  <c:v>5.0944640000000003</c:v>
                </c:pt>
                <c:pt idx="64">
                  <c:v>4.8502400000000003</c:v>
                </c:pt>
              </c:numCache>
            </c:numRef>
          </c:yVal>
          <c:smooth val="0"/>
          <c:extLst>
            <c:ext xmlns:c16="http://schemas.microsoft.com/office/drawing/2014/chart" uri="{C3380CC4-5D6E-409C-BE32-E72D297353CC}">
              <c16:uniqueId val="{00000002-BFFC-4976-AA36-F68149101526}"/>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Driftsutgifter!$H$421:$H$474</c:f>
              <c:numCache>
                <c:formatCode>0</c:formatCode>
                <c:ptCount val="54"/>
                <c:pt idx="0">
                  <c:v>5.3196269999999997</c:v>
                </c:pt>
                <c:pt idx="1">
                  <c:v>5.028645</c:v>
                </c:pt>
                <c:pt idx="2">
                  <c:v>4.4481900000000003</c:v>
                </c:pt>
                <c:pt idx="3">
                  <c:v>4.4519549999999999</c:v>
                </c:pt>
                <c:pt idx="4">
                  <c:v>6.3673659999999996</c:v>
                </c:pt>
                <c:pt idx="5">
                  <c:v>6.062087</c:v>
                </c:pt>
                <c:pt idx="6">
                  <c:v>4.5563140000000004</c:v>
                </c:pt>
                <c:pt idx="7">
                  <c:v>3.422428</c:v>
                </c:pt>
                <c:pt idx="8">
                  <c:v>4.3022309999999999</c:v>
                </c:pt>
                <c:pt idx="9">
                  <c:v>4.6710289999999999</c:v>
                </c:pt>
                <c:pt idx="10">
                  <c:v>5.6034389999999998</c:v>
                </c:pt>
                <c:pt idx="11">
                  <c:v>4.6311109999999998</c:v>
                </c:pt>
                <c:pt idx="12">
                  <c:v>5.3347519999999999</c:v>
                </c:pt>
                <c:pt idx="13">
                  <c:v>5.9124280000000002</c:v>
                </c:pt>
                <c:pt idx="14">
                  <c:v>4.0021089999999999</c:v>
                </c:pt>
                <c:pt idx="15">
                  <c:v>3.822727</c:v>
                </c:pt>
                <c:pt idx="16">
                  <c:v>4.9907009999999996</c:v>
                </c:pt>
                <c:pt idx="17">
                  <c:v>4.5928979999999999</c:v>
                </c:pt>
                <c:pt idx="18">
                  <c:v>4.8778990000000002</c:v>
                </c:pt>
                <c:pt idx="19">
                  <c:v>5.8248540000000002</c:v>
                </c:pt>
                <c:pt idx="20">
                  <c:v>4.8292809999999999</c:v>
                </c:pt>
                <c:pt idx="21">
                  <c:v>4.6791919999999996</c:v>
                </c:pt>
                <c:pt idx="22">
                  <c:v>5.7926089999999997</c:v>
                </c:pt>
                <c:pt idx="23">
                  <c:v>5.8534519999999999</c:v>
                </c:pt>
                <c:pt idx="24">
                  <c:v>4.4520090000000003</c:v>
                </c:pt>
                <c:pt idx="25">
                  <c:v>6.591145</c:v>
                </c:pt>
                <c:pt idx="26">
                  <c:v>4.8499189999999999</c:v>
                </c:pt>
                <c:pt idx="27">
                  <c:v>3.3580299999999998</c:v>
                </c:pt>
                <c:pt idx="28">
                  <c:v>4.9368030000000003</c:v>
                </c:pt>
                <c:pt idx="29">
                  <c:v>3.4230010000000002</c:v>
                </c:pt>
                <c:pt idx="30">
                  <c:v>4.4609240000000003</c:v>
                </c:pt>
                <c:pt idx="31">
                  <c:v>3.4229219999999998</c:v>
                </c:pt>
                <c:pt idx="32">
                  <c:v>5.6037549999999996</c:v>
                </c:pt>
                <c:pt idx="33">
                  <c:v>4.4518180000000003</c:v>
                </c:pt>
                <c:pt idx="34">
                  <c:v>5.2014440000000004</c:v>
                </c:pt>
                <c:pt idx="35">
                  <c:v>4.4042120000000002</c:v>
                </c:pt>
                <c:pt idx="36">
                  <c:v>5.0991039999999996</c:v>
                </c:pt>
                <c:pt idx="37">
                  <c:v>4.8502580000000002</c:v>
                </c:pt>
                <c:pt idx="38">
                  <c:v>6.293552</c:v>
                </c:pt>
                <c:pt idx="39">
                  <c:v>4.7160799999999998</c:v>
                </c:pt>
                <c:pt idx="40">
                  <c:v>3.975228</c:v>
                </c:pt>
                <c:pt idx="41">
                  <c:v>5.0667169999999997</c:v>
                </c:pt>
                <c:pt idx="42">
                  <c:v>4.985322</c:v>
                </c:pt>
                <c:pt idx="43">
                  <c:v>3.8573040000000001</c:v>
                </c:pt>
                <c:pt idx="44">
                  <c:v>4.4923570000000002</c:v>
                </c:pt>
                <c:pt idx="45">
                  <c:v>6.2793200000000002</c:v>
                </c:pt>
                <c:pt idx="46">
                  <c:v>5.3849340000000003</c:v>
                </c:pt>
                <c:pt idx="47">
                  <c:v>6.7052110000000003</c:v>
                </c:pt>
                <c:pt idx="48">
                  <c:v>4.5192350000000001</c:v>
                </c:pt>
                <c:pt idx="49">
                  <c:v>5.1478190000000001</c:v>
                </c:pt>
                <c:pt idx="50">
                  <c:v>3.7647370000000002</c:v>
                </c:pt>
                <c:pt idx="51">
                  <c:v>4.0340600000000002</c:v>
                </c:pt>
                <c:pt idx="52">
                  <c:v>4.7159019999999998</c:v>
                </c:pt>
                <c:pt idx="53">
                  <c:v>4.0385660000000003</c:v>
                </c:pt>
              </c:numCache>
            </c:numRef>
          </c:yVal>
          <c:smooth val="0"/>
          <c:extLst>
            <c:ext xmlns:c16="http://schemas.microsoft.com/office/drawing/2014/chart" uri="{C3380CC4-5D6E-409C-BE32-E72D297353CC}">
              <c16:uniqueId val="{00000003-BFFC-4976-AA36-F68149101526}"/>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Driftsutgifter!$H$475:$H$495</c:f>
              <c:numCache>
                <c:formatCode>0</c:formatCode>
                <c:ptCount val="21"/>
                <c:pt idx="0">
                  <c:v>7.1545639999999997</c:v>
                </c:pt>
                <c:pt idx="1">
                  <c:v>7.07667</c:v>
                </c:pt>
                <c:pt idx="2">
                  <c:v>4.553318</c:v>
                </c:pt>
                <c:pt idx="3">
                  <c:v>6.0760810000000003</c:v>
                </c:pt>
                <c:pt idx="4">
                  <c:v>4.2130890000000001</c:v>
                </c:pt>
                <c:pt idx="5">
                  <c:v>6.1652290000000001</c:v>
                </c:pt>
                <c:pt idx="6">
                  <c:v>4.5499229999999997</c:v>
                </c:pt>
                <c:pt idx="7">
                  <c:v>4.1196339999999996</c:v>
                </c:pt>
                <c:pt idx="8">
                  <c:v>4.425389</c:v>
                </c:pt>
                <c:pt idx="9">
                  <c:v>6.0464520000000004</c:v>
                </c:pt>
                <c:pt idx="10">
                  <c:v>4.2998519999999996</c:v>
                </c:pt>
                <c:pt idx="11">
                  <c:v>3.7466940000000002</c:v>
                </c:pt>
                <c:pt idx="12">
                  <c:v>5.2534049999999999</c:v>
                </c:pt>
                <c:pt idx="13">
                  <c:v>5.609076</c:v>
                </c:pt>
                <c:pt idx="14">
                  <c:v>6.4417039999999997</c:v>
                </c:pt>
                <c:pt idx="15">
                  <c:v>5.3653880000000003</c:v>
                </c:pt>
                <c:pt idx="16">
                  <c:v>5.4517449999999998</c:v>
                </c:pt>
                <c:pt idx="17">
                  <c:v>4.6310630000000002</c:v>
                </c:pt>
                <c:pt idx="18">
                  <c:v>5.3153569999999997</c:v>
                </c:pt>
                <c:pt idx="19">
                  <c:v>5.9112419999999997</c:v>
                </c:pt>
                <c:pt idx="20">
                  <c:v>4.9647069999999998</c:v>
                </c:pt>
              </c:numCache>
            </c:numRef>
          </c:yVal>
          <c:smooth val="0"/>
          <c:extLst>
            <c:ext xmlns:c16="http://schemas.microsoft.com/office/drawing/2014/chart" uri="{C3380CC4-5D6E-409C-BE32-E72D297353CC}">
              <c16:uniqueId val="{00000004-BFFC-4976-AA36-F68149101526}"/>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Driftsutgifter!$H$496:$H$500</c:f>
              <c:numCache>
                <c:formatCode>0</c:formatCode>
                <c:ptCount val="5"/>
                <c:pt idx="0">
                  <c:v>5.5083580000000003</c:v>
                </c:pt>
                <c:pt idx="1">
                  <c:v>5.210515</c:v>
                </c:pt>
                <c:pt idx="2">
                  <c:v>5.1824960000000004</c:v>
                </c:pt>
                <c:pt idx="3">
                  <c:v>5.8287769999999997</c:v>
                </c:pt>
                <c:pt idx="4">
                  <c:v>5.0253920000000001</c:v>
                </c:pt>
              </c:numCache>
            </c:numRef>
          </c:yVal>
          <c:smooth val="0"/>
          <c:extLst>
            <c:ext xmlns:c16="http://schemas.microsoft.com/office/drawing/2014/chart" uri="{C3380CC4-5D6E-409C-BE32-E72D297353CC}">
              <c16:uniqueId val="{00000005-BFFC-4976-AA36-F68149101526}"/>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(3) Kapitalslit, DM</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Driftsutgifter!$I$145:$I$252</c:f>
              <c:numCache>
                <c:formatCode>0</c:formatCode>
                <c:ptCount val="108"/>
                <c:pt idx="0">
                  <c:v>9.2854670000000006</c:v>
                </c:pt>
                <c:pt idx="1">
                  <c:v>15.6427</c:v>
                </c:pt>
                <c:pt idx="2">
                  <c:v>8.1797269999999997</c:v>
                </c:pt>
                <c:pt idx="3">
                  <c:v>17.23049</c:v>
                </c:pt>
                <c:pt idx="4">
                  <c:v>19.9499</c:v>
                </c:pt>
                <c:pt idx="5">
                  <c:v>13.63402</c:v>
                </c:pt>
                <c:pt idx="6">
                  <c:v>22.67456</c:v>
                </c:pt>
                <c:pt idx="7">
                  <c:v>10.24845</c:v>
                </c:pt>
                <c:pt idx="8">
                  <c:v>10.37472</c:v>
                </c:pt>
                <c:pt idx="9">
                  <c:v>9.7148629999999994</c:v>
                </c:pt>
                <c:pt idx="10">
                  <c:v>29.266870000000001</c:v>
                </c:pt>
                <c:pt idx="11">
                  <c:v>9.5005869999999994</c:v>
                </c:pt>
                <c:pt idx="12">
                  <c:v>8.8776609999999998</c:v>
                </c:pt>
                <c:pt idx="13">
                  <c:v>9.2222790000000003</c:v>
                </c:pt>
                <c:pt idx="14">
                  <c:v>14.1995</c:v>
                </c:pt>
                <c:pt idx="15">
                  <c:v>13.983219999999999</c:v>
                </c:pt>
                <c:pt idx="16">
                  <c:v>10.135160000000001</c:v>
                </c:pt>
                <c:pt idx="17">
                  <c:v>8.1784300000000005</c:v>
                </c:pt>
                <c:pt idx="18">
                  <c:v>11.118830000000001</c:v>
                </c:pt>
                <c:pt idx="19">
                  <c:v>11.242470000000001</c:v>
                </c:pt>
                <c:pt idx="20">
                  <c:v>17.890720000000002</c:v>
                </c:pt>
                <c:pt idx="21">
                  <c:v>12.35524</c:v>
                </c:pt>
                <c:pt idx="22">
                  <c:v>9.8985640000000004</c:v>
                </c:pt>
                <c:pt idx="23">
                  <c:v>13.076790000000001</c:v>
                </c:pt>
                <c:pt idx="24">
                  <c:v>12.823650000000001</c:v>
                </c:pt>
                <c:pt idx="25">
                  <c:v>11.164440000000001</c:v>
                </c:pt>
                <c:pt idx="26">
                  <c:v>4.7696990000000001</c:v>
                </c:pt>
                <c:pt idx="27">
                  <c:v>13.005610000000001</c:v>
                </c:pt>
                <c:pt idx="28">
                  <c:v>11.13452</c:v>
                </c:pt>
                <c:pt idx="29">
                  <c:v>9.8416759999999996</c:v>
                </c:pt>
                <c:pt idx="30">
                  <c:v>29.048100000000002</c:v>
                </c:pt>
                <c:pt idx="31">
                  <c:v>7.674582</c:v>
                </c:pt>
                <c:pt idx="32">
                  <c:v>8.7879900000000006</c:v>
                </c:pt>
                <c:pt idx="33">
                  <c:v>31.345970000000001</c:v>
                </c:pt>
                <c:pt idx="34">
                  <c:v>10.21857</c:v>
                </c:pt>
                <c:pt idx="35">
                  <c:v>13.09625</c:v>
                </c:pt>
                <c:pt idx="36">
                  <c:v>15.060370000000001</c:v>
                </c:pt>
                <c:pt idx="37">
                  <c:v>11.07949</c:v>
                </c:pt>
                <c:pt idx="38">
                  <c:v>8.8168939999999996</c:v>
                </c:pt>
                <c:pt idx="39">
                  <c:v>10.076449999999999</c:v>
                </c:pt>
                <c:pt idx="40">
                  <c:v>8.5225860000000004</c:v>
                </c:pt>
                <c:pt idx="41">
                  <c:v>10.981870000000001</c:v>
                </c:pt>
                <c:pt idx="42">
                  <c:v>9.9631509999999999</c:v>
                </c:pt>
                <c:pt idx="43">
                  <c:v>7.5668449999999998</c:v>
                </c:pt>
                <c:pt idx="44">
                  <c:v>14.965339999999999</c:v>
                </c:pt>
                <c:pt idx="45">
                  <c:v>10.9808</c:v>
                </c:pt>
                <c:pt idx="46">
                  <c:v>11.613440000000001</c:v>
                </c:pt>
                <c:pt idx="47">
                  <c:v>7.4686269999999997</c:v>
                </c:pt>
                <c:pt idx="48">
                  <c:v>11.0634</c:v>
                </c:pt>
                <c:pt idx="49">
                  <c:v>14.01492</c:v>
                </c:pt>
                <c:pt idx="50">
                  <c:v>20.006049999999998</c:v>
                </c:pt>
                <c:pt idx="51">
                  <c:v>8.8441449999999993</c:v>
                </c:pt>
                <c:pt idx="52">
                  <c:v>8.8442699999999999</c:v>
                </c:pt>
                <c:pt idx="53">
                  <c:v>15.15936</c:v>
                </c:pt>
                <c:pt idx="54">
                  <c:v>12.345689999999999</c:v>
                </c:pt>
                <c:pt idx="55">
                  <c:v>9.3361689999999999</c:v>
                </c:pt>
                <c:pt idx="56">
                  <c:v>12.40094</c:v>
                </c:pt>
                <c:pt idx="57">
                  <c:v>23.2088</c:v>
                </c:pt>
                <c:pt idx="58">
                  <c:v>16.798079999999999</c:v>
                </c:pt>
                <c:pt idx="59">
                  <c:v>20.477709999999998</c:v>
                </c:pt>
                <c:pt idx="60">
                  <c:v>16.53471</c:v>
                </c:pt>
                <c:pt idx="61">
                  <c:v>25.97166</c:v>
                </c:pt>
                <c:pt idx="62">
                  <c:v>11.4392</c:v>
                </c:pt>
                <c:pt idx="63">
                  <c:v>7.208323</c:v>
                </c:pt>
                <c:pt idx="64">
                  <c:v>17.022369999999999</c:v>
                </c:pt>
                <c:pt idx="65">
                  <c:v>14.68951</c:v>
                </c:pt>
                <c:pt idx="66">
                  <c:v>5.9426930000000002</c:v>
                </c:pt>
                <c:pt idx="67">
                  <c:v>8.9323230000000002</c:v>
                </c:pt>
                <c:pt idx="68">
                  <c:v>12.70191</c:v>
                </c:pt>
                <c:pt idx="69">
                  <c:v>10.399620000000001</c:v>
                </c:pt>
                <c:pt idx="70">
                  <c:v>14.52633</c:v>
                </c:pt>
                <c:pt idx="71">
                  <c:v>16.70476</c:v>
                </c:pt>
                <c:pt idx="72">
                  <c:v>11.16244</c:v>
                </c:pt>
                <c:pt idx="73">
                  <c:v>7.8104940000000003</c:v>
                </c:pt>
                <c:pt idx="74">
                  <c:v>10.818630000000001</c:v>
                </c:pt>
                <c:pt idx="75">
                  <c:v>12.90977</c:v>
                </c:pt>
                <c:pt idx="76">
                  <c:v>6.6621160000000001</c:v>
                </c:pt>
                <c:pt idx="77">
                  <c:v>8.0116549999999993</c:v>
                </c:pt>
                <c:pt idx="78">
                  <c:v>7.714499</c:v>
                </c:pt>
                <c:pt idx="79">
                  <c:v>11.79745</c:v>
                </c:pt>
                <c:pt idx="80">
                  <c:v>11.61295</c:v>
                </c:pt>
                <c:pt idx="81">
                  <c:v>7.0476260000000002</c:v>
                </c:pt>
                <c:pt idx="82">
                  <c:v>11.15404</c:v>
                </c:pt>
                <c:pt idx="83">
                  <c:v>16.22467</c:v>
                </c:pt>
                <c:pt idx="84">
                  <c:v>17.393999999999998</c:v>
                </c:pt>
                <c:pt idx="85">
                  <c:v>10.84482</c:v>
                </c:pt>
                <c:pt idx="86">
                  <c:v>18.49015</c:v>
                </c:pt>
                <c:pt idx="87">
                  <c:v>14.776999999999999</c:v>
                </c:pt>
                <c:pt idx="88">
                  <c:v>8.0596019999999999</c:v>
                </c:pt>
                <c:pt idx="89">
                  <c:v>13.2934</c:v>
                </c:pt>
                <c:pt idx="90">
                  <c:v>11.26553</c:v>
                </c:pt>
                <c:pt idx="91">
                  <c:v>12.81554</c:v>
                </c:pt>
                <c:pt idx="92">
                  <c:v>12.62599</c:v>
                </c:pt>
                <c:pt idx="93">
                  <c:v>9.4916820000000008</c:v>
                </c:pt>
                <c:pt idx="94">
                  <c:v>12.73663</c:v>
                </c:pt>
                <c:pt idx="95">
                  <c:v>15.11356</c:v>
                </c:pt>
                <c:pt idx="96">
                  <c:v>11.163019999999999</c:v>
                </c:pt>
                <c:pt idx="97">
                  <c:v>12.67051</c:v>
                </c:pt>
                <c:pt idx="98">
                  <c:v>6.4481739999999999</c:v>
                </c:pt>
                <c:pt idx="99">
                  <c:v>15.97939</c:v>
                </c:pt>
                <c:pt idx="100">
                  <c:v>10.537330000000001</c:v>
                </c:pt>
                <c:pt idx="101">
                  <c:v>15.501300000000001</c:v>
                </c:pt>
                <c:pt idx="102">
                  <c:v>9.0081129999999998</c:v>
                </c:pt>
                <c:pt idx="103">
                  <c:v>6.917872</c:v>
                </c:pt>
                <c:pt idx="104">
                  <c:v>22.817499999999999</c:v>
                </c:pt>
                <c:pt idx="105">
                  <c:v>18.739039999999999</c:v>
                </c:pt>
                <c:pt idx="106">
                  <c:v>12.69964</c:v>
                </c:pt>
                <c:pt idx="107">
                  <c:v>17.45027</c:v>
                </c:pt>
              </c:numCache>
            </c:numRef>
          </c:yVal>
          <c:smooth val="0"/>
          <c:extLst>
            <c:ext xmlns:c16="http://schemas.microsoft.com/office/drawing/2014/chart" uri="{C3380CC4-5D6E-409C-BE32-E72D297353CC}">
              <c16:uniqueId val="{00000000-F608-455D-B1BC-05EE4C03EE51}"/>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Driftsutgifter!$I$253:$I$355</c:f>
              <c:numCache>
                <c:formatCode>0</c:formatCode>
                <c:ptCount val="103"/>
                <c:pt idx="0">
                  <c:v>9.6860990000000005</c:v>
                </c:pt>
                <c:pt idx="1">
                  <c:v>7.5734729999999999</c:v>
                </c:pt>
                <c:pt idx="2">
                  <c:v>6.0211680000000003</c:v>
                </c:pt>
                <c:pt idx="3">
                  <c:v>6.3927949999999996</c:v>
                </c:pt>
                <c:pt idx="4">
                  <c:v>8.2441110000000002</c:v>
                </c:pt>
                <c:pt idx="5">
                  <c:v>11.175090000000001</c:v>
                </c:pt>
                <c:pt idx="6">
                  <c:v>9.1339400000000008</c:v>
                </c:pt>
                <c:pt idx="7">
                  <c:v>7.3328369999999996</c:v>
                </c:pt>
                <c:pt idx="8">
                  <c:v>9.4576039999999999</c:v>
                </c:pt>
                <c:pt idx="9">
                  <c:v>6.7030279999999998</c:v>
                </c:pt>
                <c:pt idx="10">
                  <c:v>7.430612</c:v>
                </c:pt>
                <c:pt idx="11">
                  <c:v>7.7338659999999999</c:v>
                </c:pt>
                <c:pt idx="12">
                  <c:v>8.7163780000000006</c:v>
                </c:pt>
                <c:pt idx="13">
                  <c:v>6.8247010000000001</c:v>
                </c:pt>
                <c:pt idx="14">
                  <c:v>15.31348</c:v>
                </c:pt>
                <c:pt idx="15">
                  <c:v>6.2164080000000004</c:v>
                </c:pt>
                <c:pt idx="16">
                  <c:v>10.744300000000001</c:v>
                </c:pt>
                <c:pt idx="17">
                  <c:v>8.2119710000000001</c:v>
                </c:pt>
                <c:pt idx="18">
                  <c:v>9.5562290000000001</c:v>
                </c:pt>
                <c:pt idx="19">
                  <c:v>8.7494340000000008</c:v>
                </c:pt>
                <c:pt idx="20">
                  <c:v>7.231738</c:v>
                </c:pt>
                <c:pt idx="21">
                  <c:v>5.8686400000000001</c:v>
                </c:pt>
                <c:pt idx="22">
                  <c:v>9.1314250000000001</c:v>
                </c:pt>
                <c:pt idx="23">
                  <c:v>5.8210559999999996</c:v>
                </c:pt>
                <c:pt idx="24">
                  <c:v>7.7962619999999996</c:v>
                </c:pt>
                <c:pt idx="25">
                  <c:v>7.5697530000000004</c:v>
                </c:pt>
                <c:pt idx="26">
                  <c:v>6.324363</c:v>
                </c:pt>
                <c:pt idx="27">
                  <c:v>7.3678819999999998</c:v>
                </c:pt>
                <c:pt idx="28">
                  <c:v>7.9681949999999997</c:v>
                </c:pt>
                <c:pt idx="29">
                  <c:v>5.8297420000000004</c:v>
                </c:pt>
                <c:pt idx="30">
                  <c:v>17.114450000000001</c:v>
                </c:pt>
                <c:pt idx="31">
                  <c:v>5.4034079999999998</c:v>
                </c:pt>
                <c:pt idx="32">
                  <c:v>7.424836</c:v>
                </c:pt>
                <c:pt idx="33">
                  <c:v>6.4989610000000004</c:v>
                </c:pt>
                <c:pt idx="34">
                  <c:v>7.232329</c:v>
                </c:pt>
                <c:pt idx="35">
                  <c:v>10.6449</c:v>
                </c:pt>
                <c:pt idx="36">
                  <c:v>9.3952279999999995</c:v>
                </c:pt>
                <c:pt idx="37">
                  <c:v>9.9401410000000006</c:v>
                </c:pt>
                <c:pt idx="38">
                  <c:v>10.30635</c:v>
                </c:pt>
                <c:pt idx="39">
                  <c:v>6.8621169999999996</c:v>
                </c:pt>
                <c:pt idx="40">
                  <c:v>6.6935079999999996</c:v>
                </c:pt>
                <c:pt idx="41">
                  <c:v>5.9872880000000004</c:v>
                </c:pt>
                <c:pt idx="42">
                  <c:v>13.2355</c:v>
                </c:pt>
                <c:pt idx="43">
                  <c:v>6.6255819999999996</c:v>
                </c:pt>
                <c:pt idx="44">
                  <c:v>7.9498199999999999</c:v>
                </c:pt>
                <c:pt idx="45">
                  <c:v>8.8267070000000007</c:v>
                </c:pt>
                <c:pt idx="46">
                  <c:v>10.162409999999999</c:v>
                </c:pt>
                <c:pt idx="47">
                  <c:v>7.2150999999999996</c:v>
                </c:pt>
                <c:pt idx="48">
                  <c:v>8.2272700000000007</c:v>
                </c:pt>
                <c:pt idx="49">
                  <c:v>7.0903960000000001</c:v>
                </c:pt>
                <c:pt idx="50">
                  <c:v>6.086239</c:v>
                </c:pt>
                <c:pt idx="51">
                  <c:v>13.31639</c:v>
                </c:pt>
                <c:pt idx="52">
                  <c:v>6.0367509999999998</c:v>
                </c:pt>
                <c:pt idx="53">
                  <c:v>13.00046</c:v>
                </c:pt>
                <c:pt idx="54">
                  <c:v>9.8304650000000002</c:v>
                </c:pt>
                <c:pt idx="55">
                  <c:v>7.87073</c:v>
                </c:pt>
                <c:pt idx="56">
                  <c:v>7.664981</c:v>
                </c:pt>
                <c:pt idx="57">
                  <c:v>10.637040000000001</c:v>
                </c:pt>
                <c:pt idx="58">
                  <c:v>10.27641</c:v>
                </c:pt>
                <c:pt idx="59">
                  <c:v>9.0063200000000005</c:v>
                </c:pt>
                <c:pt idx="60">
                  <c:v>7.1719039999999996</c:v>
                </c:pt>
                <c:pt idx="61">
                  <c:v>13.948499999999999</c:v>
                </c:pt>
                <c:pt idx="62">
                  <c:v>10.109170000000001</c:v>
                </c:pt>
                <c:pt idx="63">
                  <c:v>8.8959109999999999</c:v>
                </c:pt>
                <c:pt idx="64">
                  <c:v>7.6932340000000003</c:v>
                </c:pt>
                <c:pt idx="65">
                  <c:v>5.8507740000000004</c:v>
                </c:pt>
                <c:pt idx="66">
                  <c:v>9.9660799999999998</c:v>
                </c:pt>
                <c:pt idx="67">
                  <c:v>8.7370090000000005</c:v>
                </c:pt>
                <c:pt idx="68">
                  <c:v>9.0448760000000004</c:v>
                </c:pt>
                <c:pt idx="69">
                  <c:v>10.81231</c:v>
                </c:pt>
                <c:pt idx="70">
                  <c:v>11.22322</c:v>
                </c:pt>
                <c:pt idx="71">
                  <c:v>10.983000000000001</c:v>
                </c:pt>
                <c:pt idx="72">
                  <c:v>8.0332150000000002</c:v>
                </c:pt>
                <c:pt idx="73">
                  <c:v>8.6159459999999992</c:v>
                </c:pt>
                <c:pt idx="74">
                  <c:v>9.6605790000000002</c:v>
                </c:pt>
                <c:pt idx="75">
                  <c:v>7.5695540000000001</c:v>
                </c:pt>
                <c:pt idx="76">
                  <c:v>8.0282020000000003</c:v>
                </c:pt>
                <c:pt idx="77">
                  <c:v>7.0404280000000004</c:v>
                </c:pt>
                <c:pt idx="78">
                  <c:v>5.885065</c:v>
                </c:pt>
                <c:pt idx="79">
                  <c:v>9.2256970000000003</c:v>
                </c:pt>
                <c:pt idx="80">
                  <c:v>12.03645</c:v>
                </c:pt>
                <c:pt idx="81">
                  <c:v>8.121442</c:v>
                </c:pt>
                <c:pt idx="82">
                  <c:v>7.3285260000000001</c:v>
                </c:pt>
                <c:pt idx="83">
                  <c:v>7.4777040000000001</c:v>
                </c:pt>
                <c:pt idx="84">
                  <c:v>7.8048289999999998</c:v>
                </c:pt>
                <c:pt idx="85">
                  <c:v>7.7690250000000001</c:v>
                </c:pt>
                <c:pt idx="86">
                  <c:v>8.091075</c:v>
                </c:pt>
                <c:pt idx="87">
                  <c:v>24.587900000000001</c:v>
                </c:pt>
                <c:pt idx="88">
                  <c:v>7.9417840000000002</c:v>
                </c:pt>
                <c:pt idx="89">
                  <c:v>30.683140000000002</c:v>
                </c:pt>
                <c:pt idx="90">
                  <c:v>6.4433769999999999</c:v>
                </c:pt>
                <c:pt idx="91">
                  <c:v>5.4372239999999996</c:v>
                </c:pt>
                <c:pt idx="92">
                  <c:v>16.411449999999999</c:v>
                </c:pt>
                <c:pt idx="93">
                  <c:v>10.933920000000001</c:v>
                </c:pt>
                <c:pt idx="94">
                  <c:v>8.9923490000000008</c:v>
                </c:pt>
                <c:pt idx="95">
                  <c:v>7.8254650000000003</c:v>
                </c:pt>
                <c:pt idx="96">
                  <c:v>9.1436329999999995</c:v>
                </c:pt>
                <c:pt idx="97">
                  <c:v>9.9067760000000007</c:v>
                </c:pt>
                <c:pt idx="98">
                  <c:v>11.62473</c:v>
                </c:pt>
                <c:pt idx="99">
                  <c:v>10.26304</c:v>
                </c:pt>
                <c:pt idx="100">
                  <c:v>8.9616790000000002</c:v>
                </c:pt>
                <c:pt idx="101">
                  <c:v>15.360670000000001</c:v>
                </c:pt>
                <c:pt idx="102">
                  <c:v>10.872249999999999</c:v>
                </c:pt>
              </c:numCache>
            </c:numRef>
          </c:yVal>
          <c:smooth val="0"/>
          <c:extLst>
            <c:ext xmlns:c16="http://schemas.microsoft.com/office/drawing/2014/chart" uri="{C3380CC4-5D6E-409C-BE32-E72D297353CC}">
              <c16:uniqueId val="{00000001-F608-455D-B1BC-05EE4C03EE51}"/>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Driftsutgifter!$I$356:$I$420</c:f>
              <c:numCache>
                <c:formatCode>0</c:formatCode>
                <c:ptCount val="65"/>
                <c:pt idx="0">
                  <c:v>10.96888</c:v>
                </c:pt>
                <c:pt idx="1">
                  <c:v>7.5123069999999998</c:v>
                </c:pt>
                <c:pt idx="2">
                  <c:v>4.1584500000000002</c:v>
                </c:pt>
                <c:pt idx="3">
                  <c:v>8.2109760000000005</c:v>
                </c:pt>
                <c:pt idx="4">
                  <c:v>6.0893059999999997</c:v>
                </c:pt>
                <c:pt idx="5">
                  <c:v>9.7267299999999999</c:v>
                </c:pt>
                <c:pt idx="6">
                  <c:v>6.9100450000000002</c:v>
                </c:pt>
                <c:pt idx="7">
                  <c:v>6.2932519999999998</c:v>
                </c:pt>
                <c:pt idx="8">
                  <c:v>10.80579</c:v>
                </c:pt>
                <c:pt idx="9">
                  <c:v>9.5281830000000003</c:v>
                </c:pt>
                <c:pt idx="10">
                  <c:v>7.5983270000000003</c:v>
                </c:pt>
                <c:pt idx="11">
                  <c:v>7.9728880000000002</c:v>
                </c:pt>
                <c:pt idx="12">
                  <c:v>6.5518200000000002</c:v>
                </c:pt>
                <c:pt idx="13">
                  <c:v>6.916944</c:v>
                </c:pt>
                <c:pt idx="14">
                  <c:v>9.5478009999999998</c:v>
                </c:pt>
                <c:pt idx="15">
                  <c:v>6.6425400000000003</c:v>
                </c:pt>
                <c:pt idx="16">
                  <c:v>7.7970860000000002</c:v>
                </c:pt>
                <c:pt idx="17">
                  <c:v>8.6003799999999995</c:v>
                </c:pt>
                <c:pt idx="18">
                  <c:v>7.6525210000000001</c:v>
                </c:pt>
                <c:pt idx="19">
                  <c:v>6.4539710000000001</c:v>
                </c:pt>
                <c:pt idx="20">
                  <c:v>7.9984859999999998</c:v>
                </c:pt>
                <c:pt idx="21">
                  <c:v>8.6331570000000006</c:v>
                </c:pt>
                <c:pt idx="22">
                  <c:v>5.2588939999999997</c:v>
                </c:pt>
                <c:pt idx="23">
                  <c:v>12.86889</c:v>
                </c:pt>
                <c:pt idx="24">
                  <c:v>16.075320000000001</c:v>
                </c:pt>
                <c:pt idx="25">
                  <c:v>8.7378850000000003</c:v>
                </c:pt>
                <c:pt idx="26">
                  <c:v>5.9917030000000002</c:v>
                </c:pt>
                <c:pt idx="27">
                  <c:v>8.786448</c:v>
                </c:pt>
                <c:pt idx="28">
                  <c:v>6.185346</c:v>
                </c:pt>
                <c:pt idx="29">
                  <c:v>10.06851</c:v>
                </c:pt>
                <c:pt idx="30">
                  <c:v>8.7423730000000006</c:v>
                </c:pt>
                <c:pt idx="31">
                  <c:v>8.1770029999999991</c:v>
                </c:pt>
                <c:pt idx="32">
                  <c:v>5.8938800000000002</c:v>
                </c:pt>
                <c:pt idx="33">
                  <c:v>7.5704289999999999</c:v>
                </c:pt>
                <c:pt idx="34">
                  <c:v>4.8869020000000001</c:v>
                </c:pt>
                <c:pt idx="35">
                  <c:v>7.2822649999999998</c:v>
                </c:pt>
                <c:pt idx="36">
                  <c:v>5.2750459999999997</c:v>
                </c:pt>
                <c:pt idx="37">
                  <c:v>7.7027299999999999</c:v>
                </c:pt>
                <c:pt idx="38">
                  <c:v>8.6814169999999997</c:v>
                </c:pt>
                <c:pt idx="39">
                  <c:v>16.044560000000001</c:v>
                </c:pt>
                <c:pt idx="40">
                  <c:v>6.1315869999999997</c:v>
                </c:pt>
                <c:pt idx="41">
                  <c:v>7.905958</c:v>
                </c:pt>
                <c:pt idx="42">
                  <c:v>4.0075269999999996</c:v>
                </c:pt>
                <c:pt idx="43">
                  <c:v>6.5396650000000003</c:v>
                </c:pt>
                <c:pt idx="44">
                  <c:v>9.5021070000000005</c:v>
                </c:pt>
                <c:pt idx="45">
                  <c:v>9.6944579999999991</c:v>
                </c:pt>
                <c:pt idx="46">
                  <c:v>7.7928420000000003</c:v>
                </c:pt>
                <c:pt idx="47">
                  <c:v>6.5951339999999998</c:v>
                </c:pt>
                <c:pt idx="48">
                  <c:v>10.453849999999999</c:v>
                </c:pt>
                <c:pt idx="49">
                  <c:v>8.9632319999999996</c:v>
                </c:pt>
                <c:pt idx="50">
                  <c:v>6.6589159999999996</c:v>
                </c:pt>
                <c:pt idx="51">
                  <c:v>7.3736610000000002</c:v>
                </c:pt>
                <c:pt idx="52">
                  <c:v>6.5243690000000001</c:v>
                </c:pt>
                <c:pt idx="53">
                  <c:v>5.7153330000000002</c:v>
                </c:pt>
                <c:pt idx="54">
                  <c:v>8.6656250000000004</c:v>
                </c:pt>
                <c:pt idx="55">
                  <c:v>5.8072980000000003</c:v>
                </c:pt>
                <c:pt idx="56">
                  <c:v>6.7606450000000002</c:v>
                </c:pt>
                <c:pt idx="57">
                  <c:v>8.1859300000000008</c:v>
                </c:pt>
                <c:pt idx="58">
                  <c:v>7.0305790000000004</c:v>
                </c:pt>
                <c:pt idx="59">
                  <c:v>6.7763710000000001</c:v>
                </c:pt>
                <c:pt idx="60">
                  <c:v>6.8463320000000003</c:v>
                </c:pt>
                <c:pt idx="61">
                  <c:v>10.180759999999999</c:v>
                </c:pt>
                <c:pt idx="62">
                  <c:v>4.6419889999999997</c:v>
                </c:pt>
                <c:pt idx="63">
                  <c:v>6.6885089999999998</c:v>
                </c:pt>
                <c:pt idx="64">
                  <c:v>6.4524900000000001</c:v>
                </c:pt>
              </c:numCache>
            </c:numRef>
          </c:yVal>
          <c:smooth val="0"/>
          <c:extLst>
            <c:ext xmlns:c16="http://schemas.microsoft.com/office/drawing/2014/chart" uri="{C3380CC4-5D6E-409C-BE32-E72D297353CC}">
              <c16:uniqueId val="{00000002-F608-455D-B1BC-05EE4C03EE51}"/>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Driftsutgifter!$I$421:$I$474</c:f>
              <c:numCache>
                <c:formatCode>0</c:formatCode>
                <c:ptCount val="54"/>
                <c:pt idx="0">
                  <c:v>6.818816</c:v>
                </c:pt>
                <c:pt idx="1">
                  <c:v>6.9630859999999997</c:v>
                </c:pt>
                <c:pt idx="2">
                  <c:v>6.6663699999999997</c:v>
                </c:pt>
                <c:pt idx="3">
                  <c:v>5.5635219999999999</c:v>
                </c:pt>
                <c:pt idx="4">
                  <c:v>9.000966</c:v>
                </c:pt>
                <c:pt idx="5">
                  <c:v>7.4625440000000003</c:v>
                </c:pt>
                <c:pt idx="6">
                  <c:v>5.6130779999999998</c:v>
                </c:pt>
                <c:pt idx="7">
                  <c:v>4.8898060000000001</c:v>
                </c:pt>
                <c:pt idx="8">
                  <c:v>5.8374810000000004</c:v>
                </c:pt>
                <c:pt idx="9">
                  <c:v>6.7945330000000004</c:v>
                </c:pt>
                <c:pt idx="10">
                  <c:v>19.328510000000001</c:v>
                </c:pt>
                <c:pt idx="11">
                  <c:v>6.4982800000000003</c:v>
                </c:pt>
                <c:pt idx="12">
                  <c:v>7.4569979999999996</c:v>
                </c:pt>
                <c:pt idx="13">
                  <c:v>6.8311789999999997</c:v>
                </c:pt>
                <c:pt idx="14">
                  <c:v>5.8290379999999997</c:v>
                </c:pt>
                <c:pt idx="15">
                  <c:v>5.1418999999999997</c:v>
                </c:pt>
                <c:pt idx="16">
                  <c:v>7.8452520000000003</c:v>
                </c:pt>
                <c:pt idx="17">
                  <c:v>5.7451999999999996</c:v>
                </c:pt>
                <c:pt idx="18">
                  <c:v>5.6158859999999997</c:v>
                </c:pt>
                <c:pt idx="19">
                  <c:v>7.5148820000000001</c:v>
                </c:pt>
                <c:pt idx="20">
                  <c:v>14.09755</c:v>
                </c:pt>
                <c:pt idx="21">
                  <c:v>8.9897320000000001</c:v>
                </c:pt>
                <c:pt idx="22">
                  <c:v>6.6838319999999998</c:v>
                </c:pt>
                <c:pt idx="23">
                  <c:v>7.2094399999999998</c:v>
                </c:pt>
                <c:pt idx="24">
                  <c:v>5.9118740000000001</c:v>
                </c:pt>
                <c:pt idx="25">
                  <c:v>8.5185519999999997</c:v>
                </c:pt>
                <c:pt idx="26">
                  <c:v>6.614852</c:v>
                </c:pt>
                <c:pt idx="27">
                  <c:v>4.3989310000000001</c:v>
                </c:pt>
                <c:pt idx="28">
                  <c:v>7.7128540000000001</c:v>
                </c:pt>
                <c:pt idx="29">
                  <c:v>5.2366229999999998</c:v>
                </c:pt>
                <c:pt idx="30">
                  <c:v>4.9558239999999998</c:v>
                </c:pt>
                <c:pt idx="31">
                  <c:v>4.1925939999999997</c:v>
                </c:pt>
                <c:pt idx="32">
                  <c:v>6.6433749999999998</c:v>
                </c:pt>
                <c:pt idx="33">
                  <c:v>6.6380410000000003</c:v>
                </c:pt>
                <c:pt idx="34">
                  <c:v>7.2958850000000002</c:v>
                </c:pt>
                <c:pt idx="35">
                  <c:v>6.0738659999999998</c:v>
                </c:pt>
                <c:pt idx="36">
                  <c:v>7.2000529999999996</c:v>
                </c:pt>
                <c:pt idx="37">
                  <c:v>6.4023079999999997</c:v>
                </c:pt>
                <c:pt idx="38">
                  <c:v>7.5910919999999997</c:v>
                </c:pt>
                <c:pt idx="39">
                  <c:v>5.7452750000000004</c:v>
                </c:pt>
                <c:pt idx="40">
                  <c:v>5.446097</c:v>
                </c:pt>
                <c:pt idx="41">
                  <c:v>6.7887940000000002</c:v>
                </c:pt>
                <c:pt idx="42">
                  <c:v>7.0030520000000003</c:v>
                </c:pt>
                <c:pt idx="43">
                  <c:v>5.2485889999999999</c:v>
                </c:pt>
                <c:pt idx="44">
                  <c:v>6.3260110000000003</c:v>
                </c:pt>
                <c:pt idx="45">
                  <c:v>8.3619330000000005</c:v>
                </c:pt>
                <c:pt idx="46">
                  <c:v>9.8177649999999996</c:v>
                </c:pt>
                <c:pt idx="47">
                  <c:v>7.8724930000000004</c:v>
                </c:pt>
                <c:pt idx="48">
                  <c:v>5.5302579999999999</c:v>
                </c:pt>
                <c:pt idx="49">
                  <c:v>6.303248</c:v>
                </c:pt>
                <c:pt idx="50">
                  <c:v>5.0612760000000003</c:v>
                </c:pt>
                <c:pt idx="51">
                  <c:v>5.2948440000000003</c:v>
                </c:pt>
                <c:pt idx="52">
                  <c:v>4.1630549999999999</c:v>
                </c:pt>
                <c:pt idx="53">
                  <c:v>4.8191470000000001</c:v>
                </c:pt>
              </c:numCache>
            </c:numRef>
          </c:yVal>
          <c:smooth val="0"/>
          <c:extLst>
            <c:ext xmlns:c16="http://schemas.microsoft.com/office/drawing/2014/chart" uri="{C3380CC4-5D6E-409C-BE32-E72D297353CC}">
              <c16:uniqueId val="{00000003-F608-455D-B1BC-05EE4C03EE51}"/>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Driftsutgifter!$I$475:$I$495</c:f>
              <c:numCache>
                <c:formatCode>0</c:formatCode>
                <c:ptCount val="21"/>
                <c:pt idx="0">
                  <c:v>9.4367900000000002</c:v>
                </c:pt>
                <c:pt idx="1">
                  <c:v>13.64865</c:v>
                </c:pt>
                <c:pt idx="2">
                  <c:v>6.8312369999999998</c:v>
                </c:pt>
                <c:pt idx="3">
                  <c:v>7.7491890000000003</c:v>
                </c:pt>
                <c:pt idx="4">
                  <c:v>6.4790840000000003</c:v>
                </c:pt>
                <c:pt idx="5">
                  <c:v>8.1681629999999998</c:v>
                </c:pt>
                <c:pt idx="6">
                  <c:v>6.161759</c:v>
                </c:pt>
                <c:pt idx="7">
                  <c:v>5.8620910000000004</c:v>
                </c:pt>
                <c:pt idx="8">
                  <c:v>5.7417509999999998</c:v>
                </c:pt>
                <c:pt idx="9">
                  <c:v>7.1149740000000001</c:v>
                </c:pt>
                <c:pt idx="10">
                  <c:v>5.4343440000000003</c:v>
                </c:pt>
                <c:pt idx="11">
                  <c:v>4.5073350000000003</c:v>
                </c:pt>
                <c:pt idx="12">
                  <c:v>7.7335830000000003</c:v>
                </c:pt>
                <c:pt idx="13">
                  <c:v>7.9035289999999998</c:v>
                </c:pt>
                <c:pt idx="14">
                  <c:v>6.0791050000000002</c:v>
                </c:pt>
                <c:pt idx="15">
                  <c:v>6.7952329999999996</c:v>
                </c:pt>
                <c:pt idx="16">
                  <c:v>12.86032</c:v>
                </c:pt>
                <c:pt idx="17">
                  <c:v>7.7094490000000002</c:v>
                </c:pt>
                <c:pt idx="18">
                  <c:v>6.800662</c:v>
                </c:pt>
                <c:pt idx="19">
                  <c:v>7.9799499999999997</c:v>
                </c:pt>
                <c:pt idx="20">
                  <c:v>7.4994180000000004</c:v>
                </c:pt>
              </c:numCache>
            </c:numRef>
          </c:yVal>
          <c:smooth val="0"/>
          <c:extLst>
            <c:ext xmlns:c16="http://schemas.microsoft.com/office/drawing/2014/chart" uri="{C3380CC4-5D6E-409C-BE32-E72D297353CC}">
              <c16:uniqueId val="{00000004-F608-455D-B1BC-05EE4C03EE51}"/>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Driftsutgifter!$I$496:$I$500</c:f>
              <c:numCache>
                <c:formatCode>0</c:formatCode>
                <c:ptCount val="5"/>
                <c:pt idx="0">
                  <c:v>8.8053849999999994</c:v>
                </c:pt>
                <c:pt idx="1">
                  <c:v>7.2684230000000003</c:v>
                </c:pt>
                <c:pt idx="2">
                  <c:v>6.5398230000000002</c:v>
                </c:pt>
                <c:pt idx="3">
                  <c:v>8.3804079999999992</c:v>
                </c:pt>
                <c:pt idx="4">
                  <c:v>6.4702029999999997</c:v>
                </c:pt>
              </c:numCache>
            </c:numRef>
          </c:yVal>
          <c:smooth val="0"/>
          <c:extLst>
            <c:ext xmlns:c16="http://schemas.microsoft.com/office/drawing/2014/chart" uri="{C3380CC4-5D6E-409C-BE32-E72D297353CC}">
              <c16:uniqueId val="{00000005-F608-455D-B1BC-05EE4C03EE51}"/>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(4) Kapitalslit, PIM-dd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Driftsutgifter!$J$145:$J$252</c:f>
              <c:numCache>
                <c:formatCode>0</c:formatCode>
                <c:ptCount val="108"/>
                <c:pt idx="0">
                  <c:v>10.809979999999999</c:v>
                </c:pt>
                <c:pt idx="1">
                  <c:v>13.155379999999999</c:v>
                </c:pt>
                <c:pt idx="2">
                  <c:v>8.2673439999999996</c:v>
                </c:pt>
                <c:pt idx="3">
                  <c:v>19.20617</c:v>
                </c:pt>
                <c:pt idx="4">
                  <c:v>16.35772</c:v>
                </c:pt>
                <c:pt idx="5">
                  <c:v>14.49522</c:v>
                </c:pt>
                <c:pt idx="6">
                  <c:v>15.110279999999999</c:v>
                </c:pt>
                <c:pt idx="7">
                  <c:v>14.930669999999999</c:v>
                </c:pt>
                <c:pt idx="8">
                  <c:v>9.3169050000000002</c:v>
                </c:pt>
                <c:pt idx="9">
                  <c:v>7.5273459999999996</c:v>
                </c:pt>
                <c:pt idx="10">
                  <c:v>19.55095</c:v>
                </c:pt>
                <c:pt idx="11">
                  <c:v>10.12322</c:v>
                </c:pt>
                <c:pt idx="12">
                  <c:v>9.8156029999999994</c:v>
                </c:pt>
                <c:pt idx="13">
                  <c:v>13.6152</c:v>
                </c:pt>
                <c:pt idx="14">
                  <c:v>15.699769999999999</c:v>
                </c:pt>
                <c:pt idx="15">
                  <c:v>19.576530000000002</c:v>
                </c:pt>
                <c:pt idx="16">
                  <c:v>11.089499999999999</c:v>
                </c:pt>
                <c:pt idx="17">
                  <c:v>9.8005119999999994</c:v>
                </c:pt>
                <c:pt idx="18">
                  <c:v>11.61215</c:v>
                </c:pt>
                <c:pt idx="19">
                  <c:v>7.6686620000000003</c:v>
                </c:pt>
                <c:pt idx="20">
                  <c:v>22.71921</c:v>
                </c:pt>
                <c:pt idx="21">
                  <c:v>11.91525</c:v>
                </c:pt>
                <c:pt idx="22">
                  <c:v>10.70984</c:v>
                </c:pt>
                <c:pt idx="23">
                  <c:v>13.427899999999999</c:v>
                </c:pt>
                <c:pt idx="24">
                  <c:v>12.67826</c:v>
                </c:pt>
                <c:pt idx="25">
                  <c:v>13.75459</c:v>
                </c:pt>
                <c:pt idx="26">
                  <c:v>5.5720210000000003</c:v>
                </c:pt>
                <c:pt idx="27">
                  <c:v>12.800649999999999</c:v>
                </c:pt>
                <c:pt idx="28">
                  <c:v>11.619490000000001</c:v>
                </c:pt>
                <c:pt idx="29">
                  <c:v>10.78213</c:v>
                </c:pt>
                <c:pt idx="30">
                  <c:v>36.355580000000003</c:v>
                </c:pt>
                <c:pt idx="31">
                  <c:v>10.482480000000001</c:v>
                </c:pt>
                <c:pt idx="32">
                  <c:v>8.7885620000000007</c:v>
                </c:pt>
                <c:pt idx="33">
                  <c:v>38.127029999999998</c:v>
                </c:pt>
                <c:pt idx="34">
                  <c:v>9.4125370000000004</c:v>
                </c:pt>
                <c:pt idx="35">
                  <c:v>12.73395</c:v>
                </c:pt>
                <c:pt idx="36">
                  <c:v>13.19511</c:v>
                </c:pt>
                <c:pt idx="37">
                  <c:v>10.966530000000001</c:v>
                </c:pt>
                <c:pt idx="38">
                  <c:v>9.2083390000000005</c:v>
                </c:pt>
                <c:pt idx="39">
                  <c:v>10.970129999999999</c:v>
                </c:pt>
                <c:pt idx="40">
                  <c:v>7.7153900000000002</c:v>
                </c:pt>
                <c:pt idx="41">
                  <c:v>11.928330000000001</c:v>
                </c:pt>
                <c:pt idx="42">
                  <c:v>8.8394860000000008</c:v>
                </c:pt>
                <c:pt idx="43">
                  <c:v>7.8831170000000004</c:v>
                </c:pt>
                <c:pt idx="44">
                  <c:v>12.755800000000001</c:v>
                </c:pt>
                <c:pt idx="45">
                  <c:v>11.9315</c:v>
                </c:pt>
                <c:pt idx="46">
                  <c:v>11.656040000000001</c:v>
                </c:pt>
                <c:pt idx="47">
                  <c:v>9.5038699999999992</c:v>
                </c:pt>
                <c:pt idx="48">
                  <c:v>9.2823550000000008</c:v>
                </c:pt>
                <c:pt idx="49">
                  <c:v>16.593520000000002</c:v>
                </c:pt>
                <c:pt idx="50">
                  <c:v>21.69388</c:v>
                </c:pt>
                <c:pt idx="51">
                  <c:v>8.5398540000000001</c:v>
                </c:pt>
                <c:pt idx="52">
                  <c:v>8.9608229999999995</c:v>
                </c:pt>
                <c:pt idx="53">
                  <c:v>20.2056</c:v>
                </c:pt>
                <c:pt idx="54">
                  <c:v>11.695180000000001</c:v>
                </c:pt>
                <c:pt idx="55">
                  <c:v>11.89371</c:v>
                </c:pt>
                <c:pt idx="56">
                  <c:v>13.27814</c:v>
                </c:pt>
                <c:pt idx="57">
                  <c:v>27.711960000000001</c:v>
                </c:pt>
                <c:pt idx="58">
                  <c:v>16.58756</c:v>
                </c:pt>
                <c:pt idx="59">
                  <c:v>14.142770000000001</c:v>
                </c:pt>
                <c:pt idx="60">
                  <c:v>19.232050000000001</c:v>
                </c:pt>
                <c:pt idx="61">
                  <c:v>30.03613</c:v>
                </c:pt>
                <c:pt idx="62">
                  <c:v>9.8962640000000004</c:v>
                </c:pt>
                <c:pt idx="63">
                  <c:v>7.4138299999999999</c:v>
                </c:pt>
                <c:pt idx="64">
                  <c:v>20.004760000000001</c:v>
                </c:pt>
                <c:pt idx="65">
                  <c:v>16.509599999999999</c:v>
                </c:pt>
                <c:pt idx="66">
                  <c:v>7.0018440000000002</c:v>
                </c:pt>
                <c:pt idx="67">
                  <c:v>8.7122589999999995</c:v>
                </c:pt>
                <c:pt idx="68">
                  <c:v>17.350349999999999</c:v>
                </c:pt>
                <c:pt idx="69">
                  <c:v>9.6764980000000005</c:v>
                </c:pt>
                <c:pt idx="70">
                  <c:v>13.64437</c:v>
                </c:pt>
                <c:pt idx="71">
                  <c:v>15.13903</c:v>
                </c:pt>
                <c:pt idx="72">
                  <c:v>15.83666</c:v>
                </c:pt>
                <c:pt idx="73">
                  <c:v>9.6838069999999998</c:v>
                </c:pt>
                <c:pt idx="74">
                  <c:v>9.7501230000000003</c:v>
                </c:pt>
                <c:pt idx="75">
                  <c:v>16.804829999999999</c:v>
                </c:pt>
                <c:pt idx="76">
                  <c:v>6.830991</c:v>
                </c:pt>
                <c:pt idx="77">
                  <c:v>7.7421509999999998</c:v>
                </c:pt>
                <c:pt idx="78">
                  <c:v>7.5839280000000002</c:v>
                </c:pt>
                <c:pt idx="79">
                  <c:v>16.123000000000001</c:v>
                </c:pt>
                <c:pt idx="80">
                  <c:v>13.6417</c:v>
                </c:pt>
                <c:pt idx="81">
                  <c:v>6.1812740000000002</c:v>
                </c:pt>
                <c:pt idx="82">
                  <c:v>13.90052</c:v>
                </c:pt>
                <c:pt idx="83">
                  <c:v>16.114329999999999</c:v>
                </c:pt>
                <c:pt idx="84">
                  <c:v>15.946300000000001</c:v>
                </c:pt>
                <c:pt idx="85">
                  <c:v>11.46921</c:v>
                </c:pt>
                <c:pt idx="86">
                  <c:v>17.094380000000001</c:v>
                </c:pt>
                <c:pt idx="87">
                  <c:v>17.708950000000002</c:v>
                </c:pt>
                <c:pt idx="88">
                  <c:v>10.83905</c:v>
                </c:pt>
                <c:pt idx="89">
                  <c:v>15.25535</c:v>
                </c:pt>
                <c:pt idx="90">
                  <c:v>11.734780000000001</c:v>
                </c:pt>
                <c:pt idx="91">
                  <c:v>12.406079999999999</c:v>
                </c:pt>
                <c:pt idx="92">
                  <c:v>13.84989</c:v>
                </c:pt>
                <c:pt idx="93">
                  <c:v>10.03806</c:v>
                </c:pt>
                <c:pt idx="94">
                  <c:v>8.7474880000000006</c:v>
                </c:pt>
                <c:pt idx="95">
                  <c:v>19.764140000000001</c:v>
                </c:pt>
                <c:pt idx="96">
                  <c:v>12.747669999999999</c:v>
                </c:pt>
                <c:pt idx="97">
                  <c:v>13.27402</c:v>
                </c:pt>
                <c:pt idx="98">
                  <c:v>6.7566119999999996</c:v>
                </c:pt>
                <c:pt idx="99">
                  <c:v>20.354659999999999</c:v>
                </c:pt>
                <c:pt idx="100">
                  <c:v>10.6675</c:v>
                </c:pt>
                <c:pt idx="101">
                  <c:v>13.543100000000001</c:v>
                </c:pt>
                <c:pt idx="102">
                  <c:v>8.2279210000000003</c:v>
                </c:pt>
                <c:pt idx="103">
                  <c:v>7.7006889999999997</c:v>
                </c:pt>
                <c:pt idx="104">
                  <c:v>30.635480000000001</c:v>
                </c:pt>
                <c:pt idx="105">
                  <c:v>18.938980000000001</c:v>
                </c:pt>
                <c:pt idx="106">
                  <c:v>14.41173</c:v>
                </c:pt>
                <c:pt idx="107">
                  <c:v>20.505420000000001</c:v>
                </c:pt>
              </c:numCache>
            </c:numRef>
          </c:yVal>
          <c:smooth val="0"/>
          <c:extLst>
            <c:ext xmlns:c16="http://schemas.microsoft.com/office/drawing/2014/chart" uri="{C3380CC4-5D6E-409C-BE32-E72D297353CC}">
              <c16:uniqueId val="{00000000-D23A-42F0-8B9E-8B2656B772AB}"/>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Driftsutgifter!$J$253:$J$355</c:f>
              <c:numCache>
                <c:formatCode>0</c:formatCode>
                <c:ptCount val="103"/>
                <c:pt idx="0">
                  <c:v>11.424099999999999</c:v>
                </c:pt>
                <c:pt idx="1">
                  <c:v>9.2366910000000004</c:v>
                </c:pt>
                <c:pt idx="2">
                  <c:v>5.6460160000000004</c:v>
                </c:pt>
                <c:pt idx="3">
                  <c:v>7.7589449999999998</c:v>
                </c:pt>
                <c:pt idx="4">
                  <c:v>8.1535589999999996</c:v>
                </c:pt>
                <c:pt idx="5">
                  <c:v>13.29454</c:v>
                </c:pt>
                <c:pt idx="6">
                  <c:v>8.0164059999999999</c:v>
                </c:pt>
                <c:pt idx="7">
                  <c:v>7.6588940000000001</c:v>
                </c:pt>
                <c:pt idx="8">
                  <c:v>10.320119999999999</c:v>
                </c:pt>
                <c:pt idx="9">
                  <c:v>8.9602850000000007</c:v>
                </c:pt>
                <c:pt idx="10">
                  <c:v>7.7874040000000004</c:v>
                </c:pt>
                <c:pt idx="11">
                  <c:v>8.1700060000000008</c:v>
                </c:pt>
                <c:pt idx="12">
                  <c:v>8.2139070000000007</c:v>
                </c:pt>
                <c:pt idx="13">
                  <c:v>6.9334660000000001</c:v>
                </c:pt>
                <c:pt idx="14">
                  <c:v>11.163729999999999</c:v>
                </c:pt>
                <c:pt idx="15">
                  <c:v>8.5018390000000004</c:v>
                </c:pt>
                <c:pt idx="16">
                  <c:v>11.614420000000001</c:v>
                </c:pt>
                <c:pt idx="17">
                  <c:v>8.4650160000000003</c:v>
                </c:pt>
                <c:pt idx="18">
                  <c:v>10.480980000000001</c:v>
                </c:pt>
                <c:pt idx="19">
                  <c:v>9.6019799999999993</c:v>
                </c:pt>
                <c:pt idx="20">
                  <c:v>9.9405629999999991</c:v>
                </c:pt>
                <c:pt idx="21">
                  <c:v>6.9911620000000001</c:v>
                </c:pt>
                <c:pt idx="22">
                  <c:v>10.12618</c:v>
                </c:pt>
                <c:pt idx="23">
                  <c:v>6.5862410000000002</c:v>
                </c:pt>
                <c:pt idx="24">
                  <c:v>7.6318599999999996</c:v>
                </c:pt>
                <c:pt idx="25">
                  <c:v>7.3192490000000001</c:v>
                </c:pt>
                <c:pt idx="26">
                  <c:v>7.3469530000000001</c:v>
                </c:pt>
                <c:pt idx="27">
                  <c:v>7.3708289999999996</c:v>
                </c:pt>
                <c:pt idx="28">
                  <c:v>9.2100600000000004</c:v>
                </c:pt>
                <c:pt idx="29">
                  <c:v>6.8573909999999998</c:v>
                </c:pt>
                <c:pt idx="30">
                  <c:v>13.883470000000001</c:v>
                </c:pt>
                <c:pt idx="31">
                  <c:v>6.0387370000000002</c:v>
                </c:pt>
                <c:pt idx="32">
                  <c:v>5.5285000000000002</c:v>
                </c:pt>
                <c:pt idx="33">
                  <c:v>6.7329920000000003</c:v>
                </c:pt>
                <c:pt idx="34">
                  <c:v>7.0244799999999996</c:v>
                </c:pt>
                <c:pt idx="35">
                  <c:v>10.10406</c:v>
                </c:pt>
                <c:pt idx="36">
                  <c:v>9.3807919999999996</c:v>
                </c:pt>
                <c:pt idx="37">
                  <c:v>13.301069999999999</c:v>
                </c:pt>
                <c:pt idx="38">
                  <c:v>9.8987639999999999</c:v>
                </c:pt>
                <c:pt idx="39">
                  <c:v>7.5409430000000004</c:v>
                </c:pt>
                <c:pt idx="40">
                  <c:v>9.0668360000000003</c:v>
                </c:pt>
                <c:pt idx="41">
                  <c:v>7.186623</c:v>
                </c:pt>
                <c:pt idx="42">
                  <c:v>13.39363</c:v>
                </c:pt>
                <c:pt idx="43">
                  <c:v>7.948474</c:v>
                </c:pt>
                <c:pt idx="44">
                  <c:v>6.9594699999999996</c:v>
                </c:pt>
                <c:pt idx="45">
                  <c:v>6.7359429999999998</c:v>
                </c:pt>
                <c:pt idx="46">
                  <c:v>8.5139840000000007</c:v>
                </c:pt>
                <c:pt idx="47">
                  <c:v>7.7548170000000001</c:v>
                </c:pt>
                <c:pt idx="48">
                  <c:v>7.4699929999999997</c:v>
                </c:pt>
                <c:pt idx="49">
                  <c:v>7.9652589999999996</c:v>
                </c:pt>
                <c:pt idx="50">
                  <c:v>6.0800809999999998</c:v>
                </c:pt>
                <c:pt idx="51">
                  <c:v>9.5462059999999997</c:v>
                </c:pt>
                <c:pt idx="52">
                  <c:v>7.5583109999999998</c:v>
                </c:pt>
                <c:pt idx="53">
                  <c:v>12.544879999999999</c:v>
                </c:pt>
                <c:pt idx="54">
                  <c:v>7.9719930000000003</c:v>
                </c:pt>
                <c:pt idx="55">
                  <c:v>8.0931689999999996</c:v>
                </c:pt>
                <c:pt idx="56">
                  <c:v>8.5493140000000007</c:v>
                </c:pt>
                <c:pt idx="57">
                  <c:v>10.395250000000001</c:v>
                </c:pt>
                <c:pt idx="58">
                  <c:v>9.8827259999999999</c:v>
                </c:pt>
                <c:pt idx="59">
                  <c:v>10.59215</c:v>
                </c:pt>
                <c:pt idx="60">
                  <c:v>9.028314</c:v>
                </c:pt>
                <c:pt idx="61">
                  <c:v>18.623360000000002</c:v>
                </c:pt>
                <c:pt idx="62">
                  <c:v>12.46622</c:v>
                </c:pt>
                <c:pt idx="63">
                  <c:v>9.2847150000000003</c:v>
                </c:pt>
                <c:pt idx="64">
                  <c:v>8.3912870000000002</c:v>
                </c:pt>
                <c:pt idx="65">
                  <c:v>6.9882720000000003</c:v>
                </c:pt>
                <c:pt idx="66">
                  <c:v>10.14992</c:v>
                </c:pt>
                <c:pt idx="67">
                  <c:v>9.8474640000000004</c:v>
                </c:pt>
                <c:pt idx="68">
                  <c:v>9.0829149999999998</c:v>
                </c:pt>
                <c:pt idx="69">
                  <c:v>10.3947</c:v>
                </c:pt>
                <c:pt idx="70">
                  <c:v>13.85586</c:v>
                </c:pt>
                <c:pt idx="71">
                  <c:v>14.94435</c:v>
                </c:pt>
                <c:pt idx="72">
                  <c:v>9.9937380000000005</c:v>
                </c:pt>
                <c:pt idx="73">
                  <c:v>9.2039559999999998</c:v>
                </c:pt>
                <c:pt idx="74">
                  <c:v>9.7115299999999998</c:v>
                </c:pt>
                <c:pt idx="75">
                  <c:v>9.6380020000000002</c:v>
                </c:pt>
                <c:pt idx="76">
                  <c:v>9.9839070000000003</c:v>
                </c:pt>
                <c:pt idx="77">
                  <c:v>8.2467299999999994</c:v>
                </c:pt>
                <c:pt idx="78">
                  <c:v>6.6531149999999997</c:v>
                </c:pt>
                <c:pt idx="79">
                  <c:v>9.6221029999999992</c:v>
                </c:pt>
                <c:pt idx="80">
                  <c:v>9.153848</c:v>
                </c:pt>
                <c:pt idx="81">
                  <c:v>9.1326699999999992</c:v>
                </c:pt>
                <c:pt idx="82">
                  <c:v>7.9216480000000002</c:v>
                </c:pt>
                <c:pt idx="83">
                  <c:v>8.3421699999999994</c:v>
                </c:pt>
                <c:pt idx="84">
                  <c:v>7.9712560000000003</c:v>
                </c:pt>
                <c:pt idx="85">
                  <c:v>9.4428560000000008</c:v>
                </c:pt>
                <c:pt idx="86">
                  <c:v>9.3909610000000008</c:v>
                </c:pt>
                <c:pt idx="87">
                  <c:v>13.083220000000001</c:v>
                </c:pt>
                <c:pt idx="88">
                  <c:v>9.1850909999999999</c:v>
                </c:pt>
                <c:pt idx="89">
                  <c:v>20.225680000000001</c:v>
                </c:pt>
                <c:pt idx="90">
                  <c:v>6.5610499999999998</c:v>
                </c:pt>
                <c:pt idx="91">
                  <c:v>5.4281180000000004</c:v>
                </c:pt>
                <c:pt idx="92">
                  <c:v>10.46388</c:v>
                </c:pt>
                <c:pt idx="93">
                  <c:v>12.727</c:v>
                </c:pt>
                <c:pt idx="94">
                  <c:v>10.52412</c:v>
                </c:pt>
                <c:pt idx="95">
                  <c:v>7.1788189999999998</c:v>
                </c:pt>
                <c:pt idx="96">
                  <c:v>12.10605</c:v>
                </c:pt>
                <c:pt idx="97">
                  <c:v>9.3790110000000002</c:v>
                </c:pt>
                <c:pt idx="98">
                  <c:v>13.83718</c:v>
                </c:pt>
                <c:pt idx="99">
                  <c:v>10.418049999999999</c:v>
                </c:pt>
                <c:pt idx="100">
                  <c:v>10.2087</c:v>
                </c:pt>
                <c:pt idx="101">
                  <c:v>19.557700000000001</c:v>
                </c:pt>
                <c:pt idx="102">
                  <c:v>9.8776320000000002</c:v>
                </c:pt>
              </c:numCache>
            </c:numRef>
          </c:yVal>
          <c:smooth val="0"/>
          <c:extLst>
            <c:ext xmlns:c16="http://schemas.microsoft.com/office/drawing/2014/chart" uri="{C3380CC4-5D6E-409C-BE32-E72D297353CC}">
              <c16:uniqueId val="{00000001-D23A-42F0-8B9E-8B2656B772AB}"/>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Driftsutgifter!$J$356:$J$420</c:f>
              <c:numCache>
                <c:formatCode>0</c:formatCode>
                <c:ptCount val="65"/>
                <c:pt idx="0">
                  <c:v>9.1706500000000002</c:v>
                </c:pt>
                <c:pt idx="1">
                  <c:v>6.5470709999999999</c:v>
                </c:pt>
                <c:pt idx="2">
                  <c:v>4.4606510000000004</c:v>
                </c:pt>
                <c:pt idx="3">
                  <c:v>8.7475009999999997</c:v>
                </c:pt>
                <c:pt idx="4">
                  <c:v>6.4916200000000002</c:v>
                </c:pt>
                <c:pt idx="5">
                  <c:v>10.382070000000001</c:v>
                </c:pt>
                <c:pt idx="6">
                  <c:v>7.7151139999999998</c:v>
                </c:pt>
                <c:pt idx="7">
                  <c:v>6.0556000000000001</c:v>
                </c:pt>
                <c:pt idx="8">
                  <c:v>8.9946570000000001</c:v>
                </c:pt>
                <c:pt idx="9">
                  <c:v>8.7768979999999992</c:v>
                </c:pt>
                <c:pt idx="10">
                  <c:v>6.842168</c:v>
                </c:pt>
                <c:pt idx="11">
                  <c:v>8.9726110000000006</c:v>
                </c:pt>
                <c:pt idx="12">
                  <c:v>7.9787169999999996</c:v>
                </c:pt>
                <c:pt idx="13">
                  <c:v>6.9340289999999998</c:v>
                </c:pt>
                <c:pt idx="14">
                  <c:v>7.9959920000000002</c:v>
                </c:pt>
                <c:pt idx="15">
                  <c:v>8.1908209999999997</c:v>
                </c:pt>
                <c:pt idx="16">
                  <c:v>8.1467609999999997</c:v>
                </c:pt>
                <c:pt idx="17">
                  <c:v>6.9852879999999997</c:v>
                </c:pt>
                <c:pt idx="18">
                  <c:v>7.4730939999999997</c:v>
                </c:pt>
                <c:pt idx="19">
                  <c:v>6.4953479999999999</c:v>
                </c:pt>
                <c:pt idx="20">
                  <c:v>7.5500410000000002</c:v>
                </c:pt>
                <c:pt idx="21">
                  <c:v>7.4988770000000002</c:v>
                </c:pt>
                <c:pt idx="22">
                  <c:v>5.7875389999999998</c:v>
                </c:pt>
                <c:pt idx="23">
                  <c:v>9.8337850000000007</c:v>
                </c:pt>
                <c:pt idx="24">
                  <c:v>11.73645</c:v>
                </c:pt>
                <c:pt idx="25">
                  <c:v>9.1982560000000007</c:v>
                </c:pt>
                <c:pt idx="26">
                  <c:v>5.918685</c:v>
                </c:pt>
                <c:pt idx="27">
                  <c:v>9.9597680000000004</c:v>
                </c:pt>
                <c:pt idx="28">
                  <c:v>7.1403889999999999</c:v>
                </c:pt>
                <c:pt idx="29">
                  <c:v>10.2949</c:v>
                </c:pt>
                <c:pt idx="30">
                  <c:v>8.3730309999999992</c:v>
                </c:pt>
                <c:pt idx="31">
                  <c:v>8.7392570000000003</c:v>
                </c:pt>
                <c:pt idx="32">
                  <c:v>5.6575059999999997</c:v>
                </c:pt>
                <c:pt idx="33">
                  <c:v>7.6455270000000004</c:v>
                </c:pt>
                <c:pt idx="34">
                  <c:v>5.1206589999999998</c:v>
                </c:pt>
                <c:pt idx="35">
                  <c:v>6.5599179999999997</c:v>
                </c:pt>
                <c:pt idx="36">
                  <c:v>6.1674990000000003</c:v>
                </c:pt>
                <c:pt idx="37">
                  <c:v>6.4840400000000002</c:v>
                </c:pt>
                <c:pt idx="38">
                  <c:v>7.8403749999999999</c:v>
                </c:pt>
                <c:pt idx="39">
                  <c:v>22.189150000000001</c:v>
                </c:pt>
                <c:pt idx="40">
                  <c:v>7.4579630000000003</c:v>
                </c:pt>
                <c:pt idx="41">
                  <c:v>9.0350070000000002</c:v>
                </c:pt>
                <c:pt idx="42">
                  <c:v>4.5670109999999999</c:v>
                </c:pt>
                <c:pt idx="43">
                  <c:v>7.1810229999999997</c:v>
                </c:pt>
                <c:pt idx="44">
                  <c:v>8.5589899999999997</c:v>
                </c:pt>
                <c:pt idx="45">
                  <c:v>10.08081</c:v>
                </c:pt>
                <c:pt idx="46">
                  <c:v>7.0086149999999998</c:v>
                </c:pt>
                <c:pt idx="47">
                  <c:v>6.7744049999999998</c:v>
                </c:pt>
                <c:pt idx="48">
                  <c:v>9.1508439999999993</c:v>
                </c:pt>
                <c:pt idx="49">
                  <c:v>9.4169359999999998</c:v>
                </c:pt>
                <c:pt idx="50">
                  <c:v>5.5714689999999996</c:v>
                </c:pt>
                <c:pt idx="51">
                  <c:v>7.5469660000000003</c:v>
                </c:pt>
                <c:pt idx="52">
                  <c:v>7.4034829999999996</c:v>
                </c:pt>
                <c:pt idx="53">
                  <c:v>6.1992430000000001</c:v>
                </c:pt>
                <c:pt idx="54">
                  <c:v>7.8223820000000002</c:v>
                </c:pt>
                <c:pt idx="55">
                  <c:v>5.951416</c:v>
                </c:pt>
                <c:pt idx="56">
                  <c:v>7.1146399999999996</c:v>
                </c:pt>
                <c:pt idx="57">
                  <c:v>8.6440450000000002</c:v>
                </c:pt>
                <c:pt idx="58">
                  <c:v>7.7356730000000002</c:v>
                </c:pt>
                <c:pt idx="59">
                  <c:v>8.0859089999999991</c:v>
                </c:pt>
                <c:pt idx="60">
                  <c:v>6.9559119999999997</c:v>
                </c:pt>
                <c:pt idx="61">
                  <c:v>8.7867300000000004</c:v>
                </c:pt>
                <c:pt idx="62">
                  <c:v>5.5372209999999997</c:v>
                </c:pt>
                <c:pt idx="63">
                  <c:v>6.5682330000000002</c:v>
                </c:pt>
                <c:pt idx="64">
                  <c:v>7.1278689999999996</c:v>
                </c:pt>
              </c:numCache>
            </c:numRef>
          </c:yVal>
          <c:smooth val="0"/>
          <c:extLst>
            <c:ext xmlns:c16="http://schemas.microsoft.com/office/drawing/2014/chart" uri="{C3380CC4-5D6E-409C-BE32-E72D297353CC}">
              <c16:uniqueId val="{00000002-D23A-42F0-8B9E-8B2656B772AB}"/>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Driftsutgifter!$J$421:$J$474</c:f>
              <c:numCache>
                <c:formatCode>0</c:formatCode>
                <c:ptCount val="54"/>
                <c:pt idx="0">
                  <c:v>6.5439629999999998</c:v>
                </c:pt>
                <c:pt idx="1">
                  <c:v>7.0384900000000004</c:v>
                </c:pt>
                <c:pt idx="2">
                  <c:v>6.1560430000000004</c:v>
                </c:pt>
                <c:pt idx="3">
                  <c:v>5.1251189999999998</c:v>
                </c:pt>
                <c:pt idx="4">
                  <c:v>8.4527079999999994</c:v>
                </c:pt>
                <c:pt idx="5">
                  <c:v>7.7775030000000003</c:v>
                </c:pt>
                <c:pt idx="6">
                  <c:v>6.1480509999999997</c:v>
                </c:pt>
                <c:pt idx="7">
                  <c:v>4.9502470000000001</c:v>
                </c:pt>
                <c:pt idx="8">
                  <c:v>5.9250489999999996</c:v>
                </c:pt>
                <c:pt idx="9">
                  <c:v>6.5315709999999996</c:v>
                </c:pt>
                <c:pt idx="10">
                  <c:v>26.423639999999999</c:v>
                </c:pt>
                <c:pt idx="11">
                  <c:v>7.5366160000000004</c:v>
                </c:pt>
                <c:pt idx="12">
                  <c:v>6.5285019999999996</c:v>
                </c:pt>
                <c:pt idx="13">
                  <c:v>8.1462660000000007</c:v>
                </c:pt>
                <c:pt idx="14">
                  <c:v>5.821923</c:v>
                </c:pt>
                <c:pt idx="15">
                  <c:v>5.952674</c:v>
                </c:pt>
                <c:pt idx="16">
                  <c:v>7.1186530000000001</c:v>
                </c:pt>
                <c:pt idx="17">
                  <c:v>5.8014070000000002</c:v>
                </c:pt>
                <c:pt idx="18">
                  <c:v>5.989401</c:v>
                </c:pt>
                <c:pt idx="19">
                  <c:v>7.3977570000000004</c:v>
                </c:pt>
                <c:pt idx="20">
                  <c:v>5.225606</c:v>
                </c:pt>
                <c:pt idx="21">
                  <c:v>7.3162640000000003</c:v>
                </c:pt>
                <c:pt idx="22">
                  <c:v>6.4511430000000001</c:v>
                </c:pt>
                <c:pt idx="23">
                  <c:v>7.7464589999999998</c:v>
                </c:pt>
                <c:pt idx="24">
                  <c:v>5.8026280000000003</c:v>
                </c:pt>
                <c:pt idx="25">
                  <c:v>9.5957629999999998</c:v>
                </c:pt>
                <c:pt idx="26">
                  <c:v>6.3039389999999997</c:v>
                </c:pt>
                <c:pt idx="27">
                  <c:v>4.9549830000000004</c:v>
                </c:pt>
                <c:pt idx="28">
                  <c:v>7.4109959999999999</c:v>
                </c:pt>
                <c:pt idx="29">
                  <c:v>5.1789259999999997</c:v>
                </c:pt>
                <c:pt idx="30">
                  <c:v>5.3569000000000004</c:v>
                </c:pt>
                <c:pt idx="31">
                  <c:v>4.1087829999999999</c:v>
                </c:pt>
                <c:pt idx="32">
                  <c:v>6.4765030000000001</c:v>
                </c:pt>
                <c:pt idx="33">
                  <c:v>7.0490979999999999</c:v>
                </c:pt>
                <c:pt idx="34">
                  <c:v>7.1604010000000002</c:v>
                </c:pt>
                <c:pt idx="35">
                  <c:v>6.1682740000000003</c:v>
                </c:pt>
                <c:pt idx="36">
                  <c:v>8.2109749999999995</c:v>
                </c:pt>
                <c:pt idx="37">
                  <c:v>6.8623539999999998</c:v>
                </c:pt>
                <c:pt idx="38">
                  <c:v>8.6762669999999993</c:v>
                </c:pt>
                <c:pt idx="39">
                  <c:v>5.4015170000000001</c:v>
                </c:pt>
                <c:pt idx="40">
                  <c:v>4.2271830000000001</c:v>
                </c:pt>
                <c:pt idx="41">
                  <c:v>8.0812659999999994</c:v>
                </c:pt>
                <c:pt idx="42">
                  <c:v>7.0373890000000001</c:v>
                </c:pt>
                <c:pt idx="43">
                  <c:v>5.0020819999999997</c:v>
                </c:pt>
                <c:pt idx="44">
                  <c:v>6.4557609999999999</c:v>
                </c:pt>
                <c:pt idx="45">
                  <c:v>7.4285730000000001</c:v>
                </c:pt>
                <c:pt idx="46">
                  <c:v>6.5037560000000001</c:v>
                </c:pt>
                <c:pt idx="47">
                  <c:v>7.3580930000000002</c:v>
                </c:pt>
                <c:pt idx="48">
                  <c:v>6.4515779999999996</c:v>
                </c:pt>
                <c:pt idx="49">
                  <c:v>6.156523</c:v>
                </c:pt>
                <c:pt idx="50">
                  <c:v>5.3319489999999998</c:v>
                </c:pt>
                <c:pt idx="51">
                  <c:v>5.2892279999999996</c:v>
                </c:pt>
                <c:pt idx="52">
                  <c:v>4.6809000000000003</c:v>
                </c:pt>
                <c:pt idx="53">
                  <c:v>4.387041</c:v>
                </c:pt>
              </c:numCache>
            </c:numRef>
          </c:yVal>
          <c:smooth val="0"/>
          <c:extLst>
            <c:ext xmlns:c16="http://schemas.microsoft.com/office/drawing/2014/chart" uri="{C3380CC4-5D6E-409C-BE32-E72D297353CC}">
              <c16:uniqueId val="{00000003-D23A-42F0-8B9E-8B2656B772AB}"/>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Driftsutgifter!$J$475:$J$495</c:f>
              <c:numCache>
                <c:formatCode>0</c:formatCode>
                <c:ptCount val="21"/>
                <c:pt idx="0">
                  <c:v>8.4453589999999998</c:v>
                </c:pt>
                <c:pt idx="1">
                  <c:v>9.8905340000000006</c:v>
                </c:pt>
                <c:pt idx="2">
                  <c:v>7.4120549999999996</c:v>
                </c:pt>
                <c:pt idx="3">
                  <c:v>8.9224689999999995</c:v>
                </c:pt>
                <c:pt idx="4">
                  <c:v>6.6030189999999997</c:v>
                </c:pt>
                <c:pt idx="5">
                  <c:v>8.7926020000000005</c:v>
                </c:pt>
                <c:pt idx="6">
                  <c:v>6.2571180000000002</c:v>
                </c:pt>
                <c:pt idx="7">
                  <c:v>6.2326610000000002</c:v>
                </c:pt>
                <c:pt idx="8">
                  <c:v>5.9657749999999998</c:v>
                </c:pt>
                <c:pt idx="9">
                  <c:v>7.2724789999999997</c:v>
                </c:pt>
                <c:pt idx="10">
                  <c:v>5.5073639999999999</c:v>
                </c:pt>
                <c:pt idx="11">
                  <c:v>4.7789270000000004</c:v>
                </c:pt>
                <c:pt idx="12">
                  <c:v>7.300821</c:v>
                </c:pt>
                <c:pt idx="13">
                  <c:v>7.3642779999999997</c:v>
                </c:pt>
                <c:pt idx="14">
                  <c:v>6.4451130000000001</c:v>
                </c:pt>
                <c:pt idx="15">
                  <c:v>6.4918699999999996</c:v>
                </c:pt>
                <c:pt idx="16">
                  <c:v>11.356579999999999</c:v>
                </c:pt>
                <c:pt idx="17">
                  <c:v>7.5174950000000003</c:v>
                </c:pt>
                <c:pt idx="18">
                  <c:v>7.0926239999999998</c:v>
                </c:pt>
                <c:pt idx="19">
                  <c:v>7.9052069999999999</c:v>
                </c:pt>
                <c:pt idx="20">
                  <c:v>5.9830259999999997</c:v>
                </c:pt>
              </c:numCache>
            </c:numRef>
          </c:yVal>
          <c:smooth val="0"/>
          <c:extLst>
            <c:ext xmlns:c16="http://schemas.microsoft.com/office/drawing/2014/chart" uri="{C3380CC4-5D6E-409C-BE32-E72D297353CC}">
              <c16:uniqueId val="{00000004-D23A-42F0-8B9E-8B2656B772AB}"/>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Driftsutgifter!$J$496:$J$500</c:f>
              <c:numCache>
                <c:formatCode>0</c:formatCode>
                <c:ptCount val="5"/>
                <c:pt idx="0">
                  <c:v>9.3449980000000004</c:v>
                </c:pt>
                <c:pt idx="1">
                  <c:v>8.7258429999999993</c:v>
                </c:pt>
                <c:pt idx="2">
                  <c:v>7.0321759999999998</c:v>
                </c:pt>
                <c:pt idx="3">
                  <c:v>8.3450389999999999</c:v>
                </c:pt>
                <c:pt idx="4">
                  <c:v>6.7502170000000001</c:v>
                </c:pt>
              </c:numCache>
            </c:numRef>
          </c:yVal>
          <c:smooth val="0"/>
          <c:extLst>
            <c:ext xmlns:c16="http://schemas.microsoft.com/office/drawing/2014/chart" uri="{C3380CC4-5D6E-409C-BE32-E72D297353CC}">
              <c16:uniqueId val="{00000005-D23A-42F0-8B9E-8B2656B772AB}"/>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(5) Kapitalslit, PIM-dd funksjon</a:t>
                </a:r>
                <a:r>
                  <a:rPr lang="nb-NO" sz="800" b="1" i="0" u="none" strike="noStrike" baseline="0"/>
                  <a:t> </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Driftsutgifter!$K$145:$K$252</c:f>
              <c:numCache>
                <c:formatCode>0</c:formatCode>
                <c:ptCount val="108"/>
                <c:pt idx="0">
                  <c:v>11.6128</c:v>
                </c:pt>
                <c:pt idx="1">
                  <c:v>13.98343</c:v>
                </c:pt>
                <c:pt idx="2">
                  <c:v>8.5871089999999999</c:v>
                </c:pt>
                <c:pt idx="3">
                  <c:v>20.688040000000001</c:v>
                </c:pt>
                <c:pt idx="4">
                  <c:v>17.346029999999999</c:v>
                </c:pt>
                <c:pt idx="5">
                  <c:v>15.04391</c:v>
                </c:pt>
                <c:pt idx="6">
                  <c:v>15.44422</c:v>
                </c:pt>
                <c:pt idx="7">
                  <c:v>15.73226</c:v>
                </c:pt>
                <c:pt idx="8">
                  <c:v>9.8669340000000005</c:v>
                </c:pt>
                <c:pt idx="9">
                  <c:v>8.0799249999999994</c:v>
                </c:pt>
                <c:pt idx="10">
                  <c:v>21.39808</c:v>
                </c:pt>
                <c:pt idx="11">
                  <c:v>10.81274</c:v>
                </c:pt>
                <c:pt idx="12">
                  <c:v>11.591530000000001</c:v>
                </c:pt>
                <c:pt idx="13">
                  <c:v>14.80011</c:v>
                </c:pt>
                <c:pt idx="14">
                  <c:v>15.666589999999999</c:v>
                </c:pt>
                <c:pt idx="15">
                  <c:v>20.30247</c:v>
                </c:pt>
                <c:pt idx="16">
                  <c:v>11.25525</c:v>
                </c:pt>
                <c:pt idx="17">
                  <c:v>11.39855</c:v>
                </c:pt>
                <c:pt idx="18">
                  <c:v>11.58212</c:v>
                </c:pt>
                <c:pt idx="19">
                  <c:v>8.0192580000000007</c:v>
                </c:pt>
                <c:pt idx="20">
                  <c:v>24.12745</c:v>
                </c:pt>
                <c:pt idx="21">
                  <c:v>12.77403</c:v>
                </c:pt>
                <c:pt idx="22">
                  <c:v>11.135149999999999</c:v>
                </c:pt>
                <c:pt idx="23">
                  <c:v>14.449870000000001</c:v>
                </c:pt>
                <c:pt idx="24">
                  <c:v>13.27605</c:v>
                </c:pt>
                <c:pt idx="25">
                  <c:v>14.658189999999999</c:v>
                </c:pt>
                <c:pt idx="26">
                  <c:v>5.7397790000000004</c:v>
                </c:pt>
                <c:pt idx="27">
                  <c:v>13.778130000000001</c:v>
                </c:pt>
                <c:pt idx="28">
                  <c:v>12.49156</c:v>
                </c:pt>
                <c:pt idx="29">
                  <c:v>11.62856</c:v>
                </c:pt>
                <c:pt idx="30">
                  <c:v>41.637149999999998</c:v>
                </c:pt>
                <c:pt idx="31">
                  <c:v>10.94516</c:v>
                </c:pt>
                <c:pt idx="32">
                  <c:v>9.1695910000000005</c:v>
                </c:pt>
                <c:pt idx="33">
                  <c:v>43.570639999999997</c:v>
                </c:pt>
                <c:pt idx="34">
                  <c:v>10.104839999999999</c:v>
                </c:pt>
                <c:pt idx="35">
                  <c:v>13.19055</c:v>
                </c:pt>
                <c:pt idx="36">
                  <c:v>14.796720000000001</c:v>
                </c:pt>
                <c:pt idx="37">
                  <c:v>11.8969</c:v>
                </c:pt>
                <c:pt idx="38">
                  <c:v>10.131169999999999</c:v>
                </c:pt>
                <c:pt idx="39">
                  <c:v>12.20407</c:v>
                </c:pt>
                <c:pt idx="40">
                  <c:v>8.6235800000000005</c:v>
                </c:pt>
                <c:pt idx="41">
                  <c:v>12.798</c:v>
                </c:pt>
                <c:pt idx="42">
                  <c:v>9.5799409999999998</c:v>
                </c:pt>
                <c:pt idx="43">
                  <c:v>8.3639530000000004</c:v>
                </c:pt>
                <c:pt idx="44">
                  <c:v>13.151009999999999</c:v>
                </c:pt>
                <c:pt idx="45">
                  <c:v>13.617599999999999</c:v>
                </c:pt>
                <c:pt idx="46">
                  <c:v>13.11004</c:v>
                </c:pt>
                <c:pt idx="47">
                  <c:v>10.755599999999999</c:v>
                </c:pt>
                <c:pt idx="48">
                  <c:v>9.90259</c:v>
                </c:pt>
                <c:pt idx="49">
                  <c:v>17.213159999999998</c:v>
                </c:pt>
                <c:pt idx="50">
                  <c:v>24.392669999999999</c:v>
                </c:pt>
                <c:pt idx="51">
                  <c:v>9.2504430000000006</c:v>
                </c:pt>
                <c:pt idx="52">
                  <c:v>9.2200220000000002</c:v>
                </c:pt>
                <c:pt idx="53">
                  <c:v>21.821840000000002</c:v>
                </c:pt>
                <c:pt idx="54">
                  <c:v>12.25794</c:v>
                </c:pt>
                <c:pt idx="55">
                  <c:v>11.969060000000001</c:v>
                </c:pt>
                <c:pt idx="56">
                  <c:v>14.253640000000001</c:v>
                </c:pt>
                <c:pt idx="57">
                  <c:v>31.408439999999999</c:v>
                </c:pt>
                <c:pt idx="58">
                  <c:v>18.109670000000001</c:v>
                </c:pt>
                <c:pt idx="59">
                  <c:v>14.97852</c:v>
                </c:pt>
                <c:pt idx="60">
                  <c:v>19.852620000000002</c:v>
                </c:pt>
                <c:pt idx="61">
                  <c:v>33.935870000000001</c:v>
                </c:pt>
                <c:pt idx="62">
                  <c:v>11.55064</c:v>
                </c:pt>
                <c:pt idx="63">
                  <c:v>7.9199970000000004</c:v>
                </c:pt>
                <c:pt idx="64">
                  <c:v>20.937429999999999</c:v>
                </c:pt>
                <c:pt idx="65">
                  <c:v>18.030190000000001</c:v>
                </c:pt>
                <c:pt idx="66">
                  <c:v>7.7714449999999999</c:v>
                </c:pt>
                <c:pt idx="67">
                  <c:v>10.37725</c:v>
                </c:pt>
                <c:pt idx="68">
                  <c:v>17.673690000000001</c:v>
                </c:pt>
                <c:pt idx="69">
                  <c:v>10.342079999999999</c:v>
                </c:pt>
                <c:pt idx="70">
                  <c:v>14.00928</c:v>
                </c:pt>
                <c:pt idx="71">
                  <c:v>16.74736</c:v>
                </c:pt>
                <c:pt idx="72">
                  <c:v>16.484940000000002</c:v>
                </c:pt>
                <c:pt idx="73">
                  <c:v>10.955780000000001</c:v>
                </c:pt>
                <c:pt idx="74">
                  <c:v>10.34872</c:v>
                </c:pt>
                <c:pt idx="75">
                  <c:v>17.575869999999998</c:v>
                </c:pt>
                <c:pt idx="76">
                  <c:v>7.277692</c:v>
                </c:pt>
                <c:pt idx="77">
                  <c:v>8.9630969999999994</c:v>
                </c:pt>
                <c:pt idx="78">
                  <c:v>8.594868</c:v>
                </c:pt>
                <c:pt idx="79">
                  <c:v>16.597079999999998</c:v>
                </c:pt>
                <c:pt idx="80">
                  <c:v>14.57621</c:v>
                </c:pt>
                <c:pt idx="81">
                  <c:v>6.2141120000000001</c:v>
                </c:pt>
                <c:pt idx="82">
                  <c:v>14.828340000000001</c:v>
                </c:pt>
                <c:pt idx="83">
                  <c:v>16.733599999999999</c:v>
                </c:pt>
                <c:pt idx="84">
                  <c:v>18.90551</c:v>
                </c:pt>
                <c:pt idx="85">
                  <c:v>12.04556</c:v>
                </c:pt>
                <c:pt idx="86">
                  <c:v>18.074909999999999</c:v>
                </c:pt>
                <c:pt idx="87">
                  <c:v>18.63618</c:v>
                </c:pt>
                <c:pt idx="88">
                  <c:v>11.66891</c:v>
                </c:pt>
                <c:pt idx="89">
                  <c:v>15.757400000000001</c:v>
                </c:pt>
                <c:pt idx="90">
                  <c:v>12.32696</c:v>
                </c:pt>
                <c:pt idx="91">
                  <c:v>12.99076</c:v>
                </c:pt>
                <c:pt idx="92">
                  <c:v>14.76047</c:v>
                </c:pt>
                <c:pt idx="93">
                  <c:v>10.63719</c:v>
                </c:pt>
                <c:pt idx="94">
                  <c:v>9.7056179999999994</c:v>
                </c:pt>
                <c:pt idx="95">
                  <c:v>21.872050000000002</c:v>
                </c:pt>
                <c:pt idx="96">
                  <c:v>13.446569999999999</c:v>
                </c:pt>
                <c:pt idx="97">
                  <c:v>15.496650000000001</c:v>
                </c:pt>
                <c:pt idx="98">
                  <c:v>6.8994049999999998</c:v>
                </c:pt>
                <c:pt idx="99">
                  <c:v>23.842120000000001</c:v>
                </c:pt>
                <c:pt idx="100">
                  <c:v>12.310090000000001</c:v>
                </c:pt>
                <c:pt idx="101">
                  <c:v>13.9536</c:v>
                </c:pt>
                <c:pt idx="102">
                  <c:v>8.7117389999999997</c:v>
                </c:pt>
                <c:pt idx="103">
                  <c:v>8.2670250000000003</c:v>
                </c:pt>
                <c:pt idx="104">
                  <c:v>31.43497</c:v>
                </c:pt>
                <c:pt idx="105">
                  <c:v>19.022629999999999</c:v>
                </c:pt>
                <c:pt idx="106">
                  <c:v>16.643329999999999</c:v>
                </c:pt>
                <c:pt idx="107">
                  <c:v>21.17033</c:v>
                </c:pt>
              </c:numCache>
            </c:numRef>
          </c:yVal>
          <c:smooth val="0"/>
          <c:extLst>
            <c:ext xmlns:c16="http://schemas.microsoft.com/office/drawing/2014/chart" uri="{C3380CC4-5D6E-409C-BE32-E72D297353CC}">
              <c16:uniqueId val="{00000000-CC59-4BF0-A3A7-8ECB814AD463}"/>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Driftsutgifter!$K$253:$K$355</c:f>
              <c:numCache>
                <c:formatCode>0</c:formatCode>
                <c:ptCount val="103"/>
                <c:pt idx="0">
                  <c:v>12.03955</c:v>
                </c:pt>
                <c:pt idx="1">
                  <c:v>9.2754989999999999</c:v>
                </c:pt>
                <c:pt idx="2">
                  <c:v>6.3889199999999997</c:v>
                </c:pt>
                <c:pt idx="3">
                  <c:v>8.786994</c:v>
                </c:pt>
                <c:pt idx="4">
                  <c:v>8.7905599999999993</c:v>
                </c:pt>
                <c:pt idx="5">
                  <c:v>13.867900000000001</c:v>
                </c:pt>
                <c:pt idx="6">
                  <c:v>8.3757660000000005</c:v>
                </c:pt>
                <c:pt idx="7">
                  <c:v>8.7219890000000007</c:v>
                </c:pt>
                <c:pt idx="8">
                  <c:v>11.051069999999999</c:v>
                </c:pt>
                <c:pt idx="9">
                  <c:v>9.2350189999999994</c:v>
                </c:pt>
                <c:pt idx="10">
                  <c:v>8.7151429999999994</c:v>
                </c:pt>
                <c:pt idx="11">
                  <c:v>8.6372999999999998</c:v>
                </c:pt>
                <c:pt idx="12">
                  <c:v>9.6298049999999993</c:v>
                </c:pt>
                <c:pt idx="13">
                  <c:v>7.3775589999999998</c:v>
                </c:pt>
                <c:pt idx="14">
                  <c:v>13.19543</c:v>
                </c:pt>
                <c:pt idx="15">
                  <c:v>8.9681789999999992</c:v>
                </c:pt>
                <c:pt idx="16">
                  <c:v>13.235709999999999</c:v>
                </c:pt>
                <c:pt idx="17">
                  <c:v>9.8964940000000006</c:v>
                </c:pt>
                <c:pt idx="18">
                  <c:v>11.08797</c:v>
                </c:pt>
                <c:pt idx="19">
                  <c:v>10.18529</c:v>
                </c:pt>
                <c:pt idx="20">
                  <c:v>10.58751</c:v>
                </c:pt>
                <c:pt idx="21">
                  <c:v>7.1080860000000001</c:v>
                </c:pt>
                <c:pt idx="22">
                  <c:v>11.6508</c:v>
                </c:pt>
                <c:pt idx="23">
                  <c:v>7.7951829999999998</c:v>
                </c:pt>
                <c:pt idx="24">
                  <c:v>7.8161329999999998</c:v>
                </c:pt>
                <c:pt idx="25">
                  <c:v>7.9535980000000004</c:v>
                </c:pt>
                <c:pt idx="26">
                  <c:v>8.3170169999999999</c:v>
                </c:pt>
                <c:pt idx="27">
                  <c:v>8.3976640000000007</c:v>
                </c:pt>
                <c:pt idx="28">
                  <c:v>9.9585880000000007</c:v>
                </c:pt>
                <c:pt idx="29">
                  <c:v>7.4194190000000004</c:v>
                </c:pt>
                <c:pt idx="30">
                  <c:v>13.87242</c:v>
                </c:pt>
                <c:pt idx="31">
                  <c:v>6.9700980000000001</c:v>
                </c:pt>
                <c:pt idx="32">
                  <c:v>6.0410870000000001</c:v>
                </c:pt>
                <c:pt idx="33">
                  <c:v>7.5974069999999996</c:v>
                </c:pt>
                <c:pt idx="34">
                  <c:v>7.3763569999999996</c:v>
                </c:pt>
                <c:pt idx="35">
                  <c:v>11.404540000000001</c:v>
                </c:pt>
                <c:pt idx="36">
                  <c:v>9.9094920000000002</c:v>
                </c:pt>
                <c:pt idx="37">
                  <c:v>14.26648</c:v>
                </c:pt>
                <c:pt idx="38">
                  <c:v>9.9740369999999992</c:v>
                </c:pt>
                <c:pt idx="39">
                  <c:v>8.3596280000000007</c:v>
                </c:pt>
                <c:pt idx="40">
                  <c:v>10.072279999999999</c:v>
                </c:pt>
                <c:pt idx="41">
                  <c:v>7.8512219999999999</c:v>
                </c:pt>
                <c:pt idx="42">
                  <c:v>14.04585</c:v>
                </c:pt>
                <c:pt idx="43">
                  <c:v>9.2979479999999999</c:v>
                </c:pt>
                <c:pt idx="44">
                  <c:v>8.299417</c:v>
                </c:pt>
                <c:pt idx="45">
                  <c:v>7.841577</c:v>
                </c:pt>
                <c:pt idx="46">
                  <c:v>8.9683899999999994</c:v>
                </c:pt>
                <c:pt idx="47">
                  <c:v>8.5418719999999997</c:v>
                </c:pt>
                <c:pt idx="48">
                  <c:v>7.5218210000000001</c:v>
                </c:pt>
                <c:pt idx="49">
                  <c:v>8.9778179999999992</c:v>
                </c:pt>
                <c:pt idx="50">
                  <c:v>6.9693059999999996</c:v>
                </c:pt>
                <c:pt idx="51">
                  <c:v>10.573169999999999</c:v>
                </c:pt>
                <c:pt idx="52">
                  <c:v>8.2071400000000008</c:v>
                </c:pt>
                <c:pt idx="53">
                  <c:v>13.450699999999999</c:v>
                </c:pt>
                <c:pt idx="54">
                  <c:v>8.7430810000000001</c:v>
                </c:pt>
                <c:pt idx="55">
                  <c:v>9.3353280000000005</c:v>
                </c:pt>
                <c:pt idx="56">
                  <c:v>9.3491199999999992</c:v>
                </c:pt>
                <c:pt idx="57">
                  <c:v>12.137359999999999</c:v>
                </c:pt>
                <c:pt idx="58">
                  <c:v>10.891629999999999</c:v>
                </c:pt>
                <c:pt idx="59">
                  <c:v>11.31212</c:v>
                </c:pt>
                <c:pt idx="60">
                  <c:v>9.4550879999999999</c:v>
                </c:pt>
                <c:pt idx="61">
                  <c:v>18.43788</c:v>
                </c:pt>
                <c:pt idx="62">
                  <c:v>14.383430000000001</c:v>
                </c:pt>
                <c:pt idx="63">
                  <c:v>10.39922</c:v>
                </c:pt>
                <c:pt idx="64">
                  <c:v>9.4195180000000001</c:v>
                </c:pt>
                <c:pt idx="65">
                  <c:v>7.752815</c:v>
                </c:pt>
                <c:pt idx="66">
                  <c:v>10.714650000000001</c:v>
                </c:pt>
                <c:pt idx="67">
                  <c:v>9.9078970000000002</c:v>
                </c:pt>
                <c:pt idx="68">
                  <c:v>10.42558</c:v>
                </c:pt>
                <c:pt idx="69">
                  <c:v>10.751910000000001</c:v>
                </c:pt>
                <c:pt idx="70">
                  <c:v>14.09525</c:v>
                </c:pt>
                <c:pt idx="71">
                  <c:v>15.03703</c:v>
                </c:pt>
                <c:pt idx="72">
                  <c:v>10.029299999999999</c:v>
                </c:pt>
                <c:pt idx="73">
                  <c:v>9.9388489999999994</c:v>
                </c:pt>
                <c:pt idx="74">
                  <c:v>9.9128980000000002</c:v>
                </c:pt>
                <c:pt idx="75">
                  <c:v>10.05383</c:v>
                </c:pt>
                <c:pt idx="76">
                  <c:v>10.471550000000001</c:v>
                </c:pt>
                <c:pt idx="77">
                  <c:v>8.4385499999999993</c:v>
                </c:pt>
                <c:pt idx="78">
                  <c:v>7.6344519999999996</c:v>
                </c:pt>
                <c:pt idx="79">
                  <c:v>10.20919</c:v>
                </c:pt>
                <c:pt idx="80">
                  <c:v>9.775048</c:v>
                </c:pt>
                <c:pt idx="81">
                  <c:v>9.9253889999999991</c:v>
                </c:pt>
                <c:pt idx="82">
                  <c:v>8.8544809999999998</c:v>
                </c:pt>
                <c:pt idx="83">
                  <c:v>9.4257729999999995</c:v>
                </c:pt>
                <c:pt idx="84">
                  <c:v>8.4885169999999999</c:v>
                </c:pt>
                <c:pt idx="85">
                  <c:v>10.21805</c:v>
                </c:pt>
                <c:pt idx="86">
                  <c:v>10.44936</c:v>
                </c:pt>
                <c:pt idx="87">
                  <c:v>14.00944</c:v>
                </c:pt>
                <c:pt idx="88">
                  <c:v>10.19107</c:v>
                </c:pt>
                <c:pt idx="89">
                  <c:v>23.154949999999999</c:v>
                </c:pt>
                <c:pt idx="90">
                  <c:v>7.6252259999999996</c:v>
                </c:pt>
                <c:pt idx="91">
                  <c:v>5.8704489999999998</c:v>
                </c:pt>
                <c:pt idx="92">
                  <c:v>11.73179</c:v>
                </c:pt>
                <c:pt idx="93">
                  <c:v>13.78758</c:v>
                </c:pt>
                <c:pt idx="94">
                  <c:v>10.67596</c:v>
                </c:pt>
                <c:pt idx="95">
                  <c:v>8.2743490000000008</c:v>
                </c:pt>
                <c:pt idx="96">
                  <c:v>12.91464</c:v>
                </c:pt>
                <c:pt idx="97">
                  <c:v>10.93417</c:v>
                </c:pt>
                <c:pt idx="98">
                  <c:v>14.50764</c:v>
                </c:pt>
                <c:pt idx="99">
                  <c:v>11.60196</c:v>
                </c:pt>
                <c:pt idx="100">
                  <c:v>11.052429999999999</c:v>
                </c:pt>
                <c:pt idx="101">
                  <c:v>21.44342</c:v>
                </c:pt>
                <c:pt idx="102">
                  <c:v>10.53298</c:v>
                </c:pt>
              </c:numCache>
            </c:numRef>
          </c:yVal>
          <c:smooth val="0"/>
          <c:extLst>
            <c:ext xmlns:c16="http://schemas.microsoft.com/office/drawing/2014/chart" uri="{C3380CC4-5D6E-409C-BE32-E72D297353CC}">
              <c16:uniqueId val="{00000001-CC59-4BF0-A3A7-8ECB814AD463}"/>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Driftsutgifter!$K$356:$K$420</c:f>
              <c:numCache>
                <c:formatCode>0</c:formatCode>
                <c:ptCount val="65"/>
                <c:pt idx="0">
                  <c:v>10.3903</c:v>
                </c:pt>
                <c:pt idx="1">
                  <c:v>6.767779</c:v>
                </c:pt>
                <c:pt idx="2">
                  <c:v>5.0927949999999997</c:v>
                </c:pt>
                <c:pt idx="3">
                  <c:v>9.9259500000000003</c:v>
                </c:pt>
                <c:pt idx="4">
                  <c:v>7.2385279999999996</c:v>
                </c:pt>
                <c:pt idx="5">
                  <c:v>10.982760000000001</c:v>
                </c:pt>
                <c:pt idx="6">
                  <c:v>8.7035129999999992</c:v>
                </c:pt>
                <c:pt idx="7">
                  <c:v>6.0423879999999999</c:v>
                </c:pt>
                <c:pt idx="8">
                  <c:v>9.5087220000000006</c:v>
                </c:pt>
                <c:pt idx="9">
                  <c:v>9.6791669999999996</c:v>
                </c:pt>
                <c:pt idx="10">
                  <c:v>7.3290959999999998</c:v>
                </c:pt>
                <c:pt idx="11">
                  <c:v>9.3768440000000002</c:v>
                </c:pt>
                <c:pt idx="12">
                  <c:v>8.3806670000000008</c:v>
                </c:pt>
                <c:pt idx="13">
                  <c:v>7.3807099999999997</c:v>
                </c:pt>
                <c:pt idx="14">
                  <c:v>8.3799919999999997</c:v>
                </c:pt>
                <c:pt idx="15">
                  <c:v>8.3463250000000002</c:v>
                </c:pt>
                <c:pt idx="16">
                  <c:v>8.7062030000000004</c:v>
                </c:pt>
                <c:pt idx="17">
                  <c:v>7.5289419999999998</c:v>
                </c:pt>
                <c:pt idx="18">
                  <c:v>8.3035599999999992</c:v>
                </c:pt>
                <c:pt idx="19">
                  <c:v>6.7975630000000002</c:v>
                </c:pt>
                <c:pt idx="20">
                  <c:v>7.5864929999999999</c:v>
                </c:pt>
                <c:pt idx="21">
                  <c:v>8.3569999999999993</c:v>
                </c:pt>
                <c:pt idx="22">
                  <c:v>6.7423089999999997</c:v>
                </c:pt>
                <c:pt idx="23">
                  <c:v>11.04007</c:v>
                </c:pt>
                <c:pt idx="24">
                  <c:v>11.790900000000001</c:v>
                </c:pt>
                <c:pt idx="25">
                  <c:v>10.42174</c:v>
                </c:pt>
                <c:pt idx="26">
                  <c:v>6.7373799999999999</c:v>
                </c:pt>
                <c:pt idx="27">
                  <c:v>10.53528</c:v>
                </c:pt>
                <c:pt idx="28">
                  <c:v>7.6321000000000003</c:v>
                </c:pt>
                <c:pt idx="29">
                  <c:v>11.003080000000001</c:v>
                </c:pt>
                <c:pt idx="30">
                  <c:v>9.2390509999999999</c:v>
                </c:pt>
                <c:pt idx="31">
                  <c:v>9.8636079999999993</c:v>
                </c:pt>
                <c:pt idx="32">
                  <c:v>6.4128040000000004</c:v>
                </c:pt>
                <c:pt idx="33">
                  <c:v>8.9401399999999995</c:v>
                </c:pt>
                <c:pt idx="34">
                  <c:v>5.8874709999999997</c:v>
                </c:pt>
                <c:pt idx="35">
                  <c:v>7.5575210000000004</c:v>
                </c:pt>
                <c:pt idx="36">
                  <c:v>7.1676489999999999</c:v>
                </c:pt>
                <c:pt idx="37">
                  <c:v>7.5264119999999997</c:v>
                </c:pt>
                <c:pt idx="38">
                  <c:v>8.8347789999999993</c:v>
                </c:pt>
                <c:pt idx="39">
                  <c:v>22.755199999999999</c:v>
                </c:pt>
                <c:pt idx="40">
                  <c:v>8.2736820000000009</c:v>
                </c:pt>
                <c:pt idx="41">
                  <c:v>9.0560890000000001</c:v>
                </c:pt>
                <c:pt idx="42">
                  <c:v>4.578945</c:v>
                </c:pt>
                <c:pt idx="43">
                  <c:v>8.1424240000000001</c:v>
                </c:pt>
                <c:pt idx="44">
                  <c:v>9.0890149999999998</c:v>
                </c:pt>
                <c:pt idx="45">
                  <c:v>10.58798</c:v>
                </c:pt>
                <c:pt idx="46">
                  <c:v>7.7566620000000004</c:v>
                </c:pt>
                <c:pt idx="47">
                  <c:v>7.3234450000000004</c:v>
                </c:pt>
                <c:pt idx="48">
                  <c:v>10.274520000000001</c:v>
                </c:pt>
                <c:pt idx="49">
                  <c:v>10.1273</c:v>
                </c:pt>
                <c:pt idx="50">
                  <c:v>6.4130209999999996</c:v>
                </c:pt>
                <c:pt idx="51">
                  <c:v>8.4217150000000007</c:v>
                </c:pt>
                <c:pt idx="52">
                  <c:v>8.5182549999999999</c:v>
                </c:pt>
                <c:pt idx="53">
                  <c:v>6.9064059999999996</c:v>
                </c:pt>
                <c:pt idx="54">
                  <c:v>8.1562710000000003</c:v>
                </c:pt>
                <c:pt idx="55">
                  <c:v>6.8080670000000003</c:v>
                </c:pt>
                <c:pt idx="56">
                  <c:v>7.9136980000000001</c:v>
                </c:pt>
                <c:pt idx="57">
                  <c:v>9.0088010000000001</c:v>
                </c:pt>
                <c:pt idx="58">
                  <c:v>8.0517730000000007</c:v>
                </c:pt>
                <c:pt idx="59">
                  <c:v>8.1066579999999995</c:v>
                </c:pt>
                <c:pt idx="60">
                  <c:v>6.9683789999999997</c:v>
                </c:pt>
                <c:pt idx="61">
                  <c:v>9.5886709999999997</c:v>
                </c:pt>
                <c:pt idx="62">
                  <c:v>6.2833969999999999</c:v>
                </c:pt>
                <c:pt idx="63">
                  <c:v>7.5248549999999996</c:v>
                </c:pt>
                <c:pt idx="64">
                  <c:v>7.2446679999999999</c:v>
                </c:pt>
              </c:numCache>
            </c:numRef>
          </c:yVal>
          <c:smooth val="0"/>
          <c:extLst>
            <c:ext xmlns:c16="http://schemas.microsoft.com/office/drawing/2014/chart" uri="{C3380CC4-5D6E-409C-BE32-E72D297353CC}">
              <c16:uniqueId val="{00000002-CC59-4BF0-A3A7-8ECB814AD463}"/>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Driftsutgifter!$K$421:$K$474</c:f>
              <c:numCache>
                <c:formatCode>0</c:formatCode>
                <c:ptCount val="54"/>
                <c:pt idx="0">
                  <c:v>6.9181999999999997</c:v>
                </c:pt>
                <c:pt idx="1">
                  <c:v>7.1730039999999997</c:v>
                </c:pt>
                <c:pt idx="2">
                  <c:v>6.9853949999999996</c:v>
                </c:pt>
                <c:pt idx="3">
                  <c:v>5.1623530000000004</c:v>
                </c:pt>
                <c:pt idx="4">
                  <c:v>8.5294179999999997</c:v>
                </c:pt>
                <c:pt idx="5">
                  <c:v>8.3019739999999995</c:v>
                </c:pt>
                <c:pt idx="6">
                  <c:v>6.615685</c:v>
                </c:pt>
                <c:pt idx="7">
                  <c:v>5.0661800000000001</c:v>
                </c:pt>
                <c:pt idx="8">
                  <c:v>6.3465160000000003</c:v>
                </c:pt>
                <c:pt idx="9">
                  <c:v>7.1172440000000003</c:v>
                </c:pt>
                <c:pt idx="10">
                  <c:v>26.99784</c:v>
                </c:pt>
                <c:pt idx="11">
                  <c:v>7.6309209999999998</c:v>
                </c:pt>
                <c:pt idx="12">
                  <c:v>7.3672279999999999</c:v>
                </c:pt>
                <c:pt idx="13">
                  <c:v>8.7565729999999995</c:v>
                </c:pt>
                <c:pt idx="14">
                  <c:v>5.9208179999999997</c:v>
                </c:pt>
                <c:pt idx="15">
                  <c:v>6.4257280000000003</c:v>
                </c:pt>
                <c:pt idx="16">
                  <c:v>7.5985959999999997</c:v>
                </c:pt>
                <c:pt idx="17">
                  <c:v>6.2141799999999998</c:v>
                </c:pt>
                <c:pt idx="18">
                  <c:v>6.7490449999999997</c:v>
                </c:pt>
                <c:pt idx="19">
                  <c:v>7.8611399999999998</c:v>
                </c:pt>
                <c:pt idx="20">
                  <c:v>5.3406310000000001</c:v>
                </c:pt>
                <c:pt idx="21">
                  <c:v>7.4594769999999997</c:v>
                </c:pt>
                <c:pt idx="22">
                  <c:v>7.5262359999999999</c:v>
                </c:pt>
                <c:pt idx="23">
                  <c:v>8.2314450000000008</c:v>
                </c:pt>
                <c:pt idx="24">
                  <c:v>5.8305210000000001</c:v>
                </c:pt>
                <c:pt idx="25">
                  <c:v>9.925376</c:v>
                </c:pt>
                <c:pt idx="26">
                  <c:v>7.2681329999999997</c:v>
                </c:pt>
                <c:pt idx="27">
                  <c:v>4.9913869999999996</c:v>
                </c:pt>
                <c:pt idx="28">
                  <c:v>8.1588259999999995</c:v>
                </c:pt>
                <c:pt idx="29">
                  <c:v>5.4509299999999996</c:v>
                </c:pt>
                <c:pt idx="30">
                  <c:v>5.4302760000000001</c:v>
                </c:pt>
                <c:pt idx="31">
                  <c:v>4.1463169999999998</c:v>
                </c:pt>
                <c:pt idx="32">
                  <c:v>6.5743220000000004</c:v>
                </c:pt>
                <c:pt idx="33">
                  <c:v>7.9831159999999999</c:v>
                </c:pt>
                <c:pt idx="34">
                  <c:v>7.2222429999999997</c:v>
                </c:pt>
                <c:pt idx="35">
                  <c:v>6.1502350000000003</c:v>
                </c:pt>
                <c:pt idx="36">
                  <c:v>8.2967230000000001</c:v>
                </c:pt>
                <c:pt idx="37">
                  <c:v>7.3128719999999996</c:v>
                </c:pt>
                <c:pt idx="38">
                  <c:v>9.0403140000000004</c:v>
                </c:pt>
                <c:pt idx="39">
                  <c:v>5.7912160000000004</c:v>
                </c:pt>
                <c:pt idx="40">
                  <c:v>4.9417900000000001</c:v>
                </c:pt>
                <c:pt idx="41">
                  <c:v>8.1563289999999995</c:v>
                </c:pt>
                <c:pt idx="42">
                  <c:v>7.2461010000000003</c:v>
                </c:pt>
                <c:pt idx="43">
                  <c:v>5.059361</c:v>
                </c:pt>
                <c:pt idx="44">
                  <c:v>6.5253899999999998</c:v>
                </c:pt>
                <c:pt idx="45">
                  <c:v>8.6028599999999997</c:v>
                </c:pt>
                <c:pt idx="46">
                  <c:v>7.4314660000000003</c:v>
                </c:pt>
                <c:pt idx="47">
                  <c:v>8.2566939999999995</c:v>
                </c:pt>
                <c:pt idx="48">
                  <c:v>6.4945130000000004</c:v>
                </c:pt>
                <c:pt idx="49">
                  <c:v>6.166385</c:v>
                </c:pt>
                <c:pt idx="50">
                  <c:v>5.4304899999999998</c:v>
                </c:pt>
                <c:pt idx="51">
                  <c:v>6.0959349999999999</c:v>
                </c:pt>
                <c:pt idx="52">
                  <c:v>4.7446400000000004</c:v>
                </c:pt>
                <c:pt idx="53">
                  <c:v>5.1037439999999998</c:v>
                </c:pt>
              </c:numCache>
            </c:numRef>
          </c:yVal>
          <c:smooth val="0"/>
          <c:extLst>
            <c:ext xmlns:c16="http://schemas.microsoft.com/office/drawing/2014/chart" uri="{C3380CC4-5D6E-409C-BE32-E72D297353CC}">
              <c16:uniqueId val="{00000003-CC59-4BF0-A3A7-8ECB814AD463}"/>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Driftsutgifter!$K$475:$K$495</c:f>
              <c:numCache>
                <c:formatCode>0</c:formatCode>
                <c:ptCount val="21"/>
                <c:pt idx="0">
                  <c:v>9.06142</c:v>
                </c:pt>
                <c:pt idx="1">
                  <c:v>10.10595</c:v>
                </c:pt>
                <c:pt idx="2">
                  <c:v>7.4524660000000003</c:v>
                </c:pt>
                <c:pt idx="3">
                  <c:v>9.1564119999999996</c:v>
                </c:pt>
                <c:pt idx="4">
                  <c:v>6.6693680000000004</c:v>
                </c:pt>
                <c:pt idx="5">
                  <c:v>8.9878230000000006</c:v>
                </c:pt>
                <c:pt idx="6">
                  <c:v>6.3268110000000002</c:v>
                </c:pt>
                <c:pt idx="7">
                  <c:v>6.3597460000000003</c:v>
                </c:pt>
                <c:pt idx="8">
                  <c:v>5.97499</c:v>
                </c:pt>
                <c:pt idx="9">
                  <c:v>7.3576420000000002</c:v>
                </c:pt>
                <c:pt idx="10">
                  <c:v>5.5677950000000003</c:v>
                </c:pt>
                <c:pt idx="11">
                  <c:v>5.2053010000000004</c:v>
                </c:pt>
                <c:pt idx="12">
                  <c:v>8.3701600000000003</c:v>
                </c:pt>
                <c:pt idx="13">
                  <c:v>8.3235860000000006</c:v>
                </c:pt>
                <c:pt idx="14">
                  <c:v>6.5045630000000001</c:v>
                </c:pt>
                <c:pt idx="15">
                  <c:v>6.6124559999999999</c:v>
                </c:pt>
                <c:pt idx="16">
                  <c:v>11.5686</c:v>
                </c:pt>
                <c:pt idx="17">
                  <c:v>7.7715319999999997</c:v>
                </c:pt>
                <c:pt idx="18">
                  <c:v>7.2391220000000001</c:v>
                </c:pt>
                <c:pt idx="19">
                  <c:v>7.9399129999999998</c:v>
                </c:pt>
                <c:pt idx="20">
                  <c:v>6.9571670000000001</c:v>
                </c:pt>
              </c:numCache>
            </c:numRef>
          </c:yVal>
          <c:smooth val="0"/>
          <c:extLst>
            <c:ext xmlns:c16="http://schemas.microsoft.com/office/drawing/2014/chart" uri="{C3380CC4-5D6E-409C-BE32-E72D297353CC}">
              <c16:uniqueId val="{00000004-CC59-4BF0-A3A7-8ECB814AD463}"/>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Driftsutgifter!$K$496:$K$500</c:f>
              <c:numCache>
                <c:formatCode>0</c:formatCode>
                <c:ptCount val="5"/>
                <c:pt idx="0">
                  <c:v>8.9918580000000006</c:v>
                </c:pt>
                <c:pt idx="1">
                  <c:v>8.7392690000000002</c:v>
                </c:pt>
                <c:pt idx="2">
                  <c:v>7.0684990000000001</c:v>
                </c:pt>
                <c:pt idx="3">
                  <c:v>8.0009300000000003</c:v>
                </c:pt>
                <c:pt idx="4">
                  <c:v>6.8342530000000004</c:v>
                </c:pt>
              </c:numCache>
            </c:numRef>
          </c:yVal>
          <c:smooth val="0"/>
          <c:extLst>
            <c:ext xmlns:c16="http://schemas.microsoft.com/office/drawing/2014/chart" uri="{C3380CC4-5D6E-409C-BE32-E72D297353CC}">
              <c16:uniqueId val="{00000005-CC59-4BF0-A3A7-8ECB814AD46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(6) Kapitalslit, PIM-ad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Driftsutgifter!$L$145:$L$252</c:f>
              <c:numCache>
                <c:formatCode>0</c:formatCode>
                <c:ptCount val="108"/>
                <c:pt idx="0">
                  <c:v>10.533910000000001</c:v>
                </c:pt>
                <c:pt idx="1">
                  <c:v>11.89181</c:v>
                </c:pt>
                <c:pt idx="2">
                  <c:v>9.3990749999999998</c:v>
                </c:pt>
                <c:pt idx="3">
                  <c:v>18.032589999999999</c:v>
                </c:pt>
                <c:pt idx="4">
                  <c:v>17.991620000000001</c:v>
                </c:pt>
                <c:pt idx="5">
                  <c:v>14.546340000000001</c:v>
                </c:pt>
                <c:pt idx="6">
                  <c:v>14.108890000000001</c:v>
                </c:pt>
                <c:pt idx="7">
                  <c:v>13.904640000000001</c:v>
                </c:pt>
                <c:pt idx="8">
                  <c:v>9.6317599999999999</c:v>
                </c:pt>
                <c:pt idx="9">
                  <c:v>7.6950190000000003</c:v>
                </c:pt>
                <c:pt idx="10">
                  <c:v>22.819459999999999</c:v>
                </c:pt>
                <c:pt idx="11">
                  <c:v>10.90072</c:v>
                </c:pt>
                <c:pt idx="12">
                  <c:v>11.1858</c:v>
                </c:pt>
                <c:pt idx="13">
                  <c:v>12.463179999999999</c:v>
                </c:pt>
                <c:pt idx="14">
                  <c:v>16.241099999999999</c:v>
                </c:pt>
                <c:pt idx="15">
                  <c:v>16.19735</c:v>
                </c:pt>
                <c:pt idx="16">
                  <c:v>11.84473</c:v>
                </c:pt>
                <c:pt idx="17">
                  <c:v>9.4038170000000001</c:v>
                </c:pt>
                <c:pt idx="18">
                  <c:v>12.3972</c:v>
                </c:pt>
                <c:pt idx="19">
                  <c:v>8.4155569999999997</c:v>
                </c:pt>
                <c:pt idx="20">
                  <c:v>22.270479999999999</c:v>
                </c:pt>
                <c:pt idx="21">
                  <c:v>12.39165</c:v>
                </c:pt>
                <c:pt idx="22">
                  <c:v>12.09788</c:v>
                </c:pt>
                <c:pt idx="23">
                  <c:v>13.46827</c:v>
                </c:pt>
                <c:pt idx="24">
                  <c:v>13.05016</c:v>
                </c:pt>
                <c:pt idx="25">
                  <c:v>12.70345</c:v>
                </c:pt>
                <c:pt idx="26">
                  <c:v>5.9046859999999999</c:v>
                </c:pt>
                <c:pt idx="27">
                  <c:v>12.64016</c:v>
                </c:pt>
                <c:pt idx="28">
                  <c:v>12.021470000000001</c:v>
                </c:pt>
                <c:pt idx="29">
                  <c:v>11.20684</c:v>
                </c:pt>
                <c:pt idx="30">
                  <c:v>33.838740000000001</c:v>
                </c:pt>
                <c:pt idx="31">
                  <c:v>10.063319999999999</c:v>
                </c:pt>
                <c:pt idx="32">
                  <c:v>9.7409090000000003</c:v>
                </c:pt>
                <c:pt idx="33">
                  <c:v>36.268610000000002</c:v>
                </c:pt>
                <c:pt idx="34">
                  <c:v>10.87172</c:v>
                </c:pt>
                <c:pt idx="35">
                  <c:v>15.207269999999999</c:v>
                </c:pt>
                <c:pt idx="36">
                  <c:v>13.47148</c:v>
                </c:pt>
                <c:pt idx="37">
                  <c:v>11.109590000000001</c:v>
                </c:pt>
                <c:pt idx="38">
                  <c:v>10.02613</c:v>
                </c:pt>
                <c:pt idx="39">
                  <c:v>11.14278</c:v>
                </c:pt>
                <c:pt idx="40">
                  <c:v>8.2407509999999995</c:v>
                </c:pt>
                <c:pt idx="41">
                  <c:v>12.075659999999999</c:v>
                </c:pt>
                <c:pt idx="42">
                  <c:v>8.9348779999999994</c:v>
                </c:pt>
                <c:pt idx="43">
                  <c:v>7.908474</c:v>
                </c:pt>
                <c:pt idx="44">
                  <c:v>12.342320000000001</c:v>
                </c:pt>
                <c:pt idx="45">
                  <c:v>11.37546</c:v>
                </c:pt>
                <c:pt idx="46">
                  <c:v>11.67975</c:v>
                </c:pt>
                <c:pt idx="47">
                  <c:v>9.8193629999999992</c:v>
                </c:pt>
                <c:pt idx="48">
                  <c:v>10.14123</c:v>
                </c:pt>
                <c:pt idx="49">
                  <c:v>15.30411</c:v>
                </c:pt>
                <c:pt idx="50">
                  <c:v>20.43496</c:v>
                </c:pt>
                <c:pt idx="51">
                  <c:v>8.7743249999999993</c:v>
                </c:pt>
                <c:pt idx="52">
                  <c:v>9.8566870000000009</c:v>
                </c:pt>
                <c:pt idx="53">
                  <c:v>18.400880000000001</c:v>
                </c:pt>
                <c:pt idx="54">
                  <c:v>12.227790000000001</c:v>
                </c:pt>
                <c:pt idx="55">
                  <c:v>12.39734</c:v>
                </c:pt>
                <c:pt idx="56">
                  <c:v>12.73329</c:v>
                </c:pt>
                <c:pt idx="57">
                  <c:v>30.809360000000002</c:v>
                </c:pt>
                <c:pt idx="58">
                  <c:v>17.923159999999999</c:v>
                </c:pt>
                <c:pt idx="59">
                  <c:v>13.66076</c:v>
                </c:pt>
                <c:pt idx="60">
                  <c:v>17.635210000000001</c:v>
                </c:pt>
                <c:pt idx="61">
                  <c:v>28.795390000000001</c:v>
                </c:pt>
                <c:pt idx="62">
                  <c:v>10.58009</c:v>
                </c:pt>
                <c:pt idx="63">
                  <c:v>8.3926499999999997</c:v>
                </c:pt>
                <c:pt idx="64">
                  <c:v>18.748090000000001</c:v>
                </c:pt>
                <c:pt idx="65">
                  <c:v>14.94374</c:v>
                </c:pt>
                <c:pt idx="66">
                  <c:v>7.2155670000000001</c:v>
                </c:pt>
                <c:pt idx="67">
                  <c:v>10.02374</c:v>
                </c:pt>
                <c:pt idx="68">
                  <c:v>16.885249999999999</c:v>
                </c:pt>
                <c:pt idx="69">
                  <c:v>10.992900000000001</c:v>
                </c:pt>
                <c:pt idx="70">
                  <c:v>14.946429999999999</c:v>
                </c:pt>
                <c:pt idx="71">
                  <c:v>15.58343</c:v>
                </c:pt>
                <c:pt idx="72">
                  <c:v>14.651009999999999</c:v>
                </c:pt>
                <c:pt idx="73">
                  <c:v>9.8852419999999999</c:v>
                </c:pt>
                <c:pt idx="74">
                  <c:v>9.8815869999999997</c:v>
                </c:pt>
                <c:pt idx="75">
                  <c:v>16.37067</c:v>
                </c:pt>
                <c:pt idx="76">
                  <c:v>6.7324630000000001</c:v>
                </c:pt>
                <c:pt idx="77">
                  <c:v>7.4478099999999996</c:v>
                </c:pt>
                <c:pt idx="78">
                  <c:v>7.5950749999999996</c:v>
                </c:pt>
                <c:pt idx="79">
                  <c:v>16.051770000000001</c:v>
                </c:pt>
                <c:pt idx="80">
                  <c:v>13.73179</c:v>
                </c:pt>
                <c:pt idx="81">
                  <c:v>7.1728540000000001</c:v>
                </c:pt>
                <c:pt idx="82">
                  <c:v>13.990780000000001</c:v>
                </c:pt>
                <c:pt idx="83">
                  <c:v>16.334340000000001</c:v>
                </c:pt>
                <c:pt idx="84">
                  <c:v>17.174900000000001</c:v>
                </c:pt>
                <c:pt idx="85">
                  <c:v>12.046279999999999</c:v>
                </c:pt>
                <c:pt idx="86">
                  <c:v>19.563939999999999</c:v>
                </c:pt>
                <c:pt idx="87">
                  <c:v>17.74586</c:v>
                </c:pt>
                <c:pt idx="88">
                  <c:v>9.9157709999999994</c:v>
                </c:pt>
                <c:pt idx="89">
                  <c:v>13.964779999999999</c:v>
                </c:pt>
                <c:pt idx="90">
                  <c:v>12.106820000000001</c:v>
                </c:pt>
                <c:pt idx="91">
                  <c:v>12.77262</c:v>
                </c:pt>
                <c:pt idx="92">
                  <c:v>14.29171</c:v>
                </c:pt>
                <c:pt idx="93">
                  <c:v>10.364699999999999</c:v>
                </c:pt>
                <c:pt idx="94">
                  <c:v>9.3845840000000003</c:v>
                </c:pt>
                <c:pt idx="95">
                  <c:v>17.415710000000001</c:v>
                </c:pt>
                <c:pt idx="96">
                  <c:v>13.440379999999999</c:v>
                </c:pt>
                <c:pt idx="97">
                  <c:v>13.514089999999999</c:v>
                </c:pt>
                <c:pt idx="98">
                  <c:v>6.3890399999999996</c:v>
                </c:pt>
                <c:pt idx="99">
                  <c:v>22.1326</c:v>
                </c:pt>
                <c:pt idx="100">
                  <c:v>11.155799999999999</c:v>
                </c:pt>
                <c:pt idx="101">
                  <c:v>13.999180000000001</c:v>
                </c:pt>
                <c:pt idx="102">
                  <c:v>9.1794200000000004</c:v>
                </c:pt>
                <c:pt idx="103">
                  <c:v>8.2106890000000003</c:v>
                </c:pt>
                <c:pt idx="104">
                  <c:v>28.0928</c:v>
                </c:pt>
                <c:pt idx="105">
                  <c:v>19.09891</c:v>
                </c:pt>
                <c:pt idx="106">
                  <c:v>15.53584</c:v>
                </c:pt>
                <c:pt idx="107">
                  <c:v>21.704879999999999</c:v>
                </c:pt>
              </c:numCache>
            </c:numRef>
          </c:yVal>
          <c:smooth val="0"/>
          <c:extLst>
            <c:ext xmlns:c16="http://schemas.microsoft.com/office/drawing/2014/chart" uri="{C3380CC4-5D6E-409C-BE32-E72D297353CC}">
              <c16:uniqueId val="{00000000-D070-4B2D-9017-CED544B56D35}"/>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Driftsutgifter!$L$253:$L$355</c:f>
              <c:numCache>
                <c:formatCode>0</c:formatCode>
                <c:ptCount val="103"/>
                <c:pt idx="0">
                  <c:v>10.536949999999999</c:v>
                </c:pt>
                <c:pt idx="1">
                  <c:v>10.381069999999999</c:v>
                </c:pt>
                <c:pt idx="2">
                  <c:v>5.8541080000000001</c:v>
                </c:pt>
                <c:pt idx="3">
                  <c:v>7.4741689999999998</c:v>
                </c:pt>
                <c:pt idx="4">
                  <c:v>8.7597179999999994</c:v>
                </c:pt>
                <c:pt idx="5">
                  <c:v>14.639900000000001</c:v>
                </c:pt>
                <c:pt idx="6">
                  <c:v>8.0662850000000006</c:v>
                </c:pt>
                <c:pt idx="7">
                  <c:v>7.7699040000000004</c:v>
                </c:pt>
                <c:pt idx="8">
                  <c:v>11.0145</c:v>
                </c:pt>
                <c:pt idx="9">
                  <c:v>8.5420719999999992</c:v>
                </c:pt>
                <c:pt idx="10">
                  <c:v>7.9452910000000001</c:v>
                </c:pt>
                <c:pt idx="11">
                  <c:v>9.1351859999999991</c:v>
                </c:pt>
                <c:pt idx="12">
                  <c:v>8.4968529999999998</c:v>
                </c:pt>
                <c:pt idx="13">
                  <c:v>6.9288559999999997</c:v>
                </c:pt>
                <c:pt idx="14">
                  <c:v>11.15931</c:v>
                </c:pt>
                <c:pt idx="15">
                  <c:v>9.0166389999999996</c:v>
                </c:pt>
                <c:pt idx="16">
                  <c:v>12.240919999999999</c:v>
                </c:pt>
                <c:pt idx="17">
                  <c:v>8.7249770000000009</c:v>
                </c:pt>
                <c:pt idx="18">
                  <c:v>10.771229999999999</c:v>
                </c:pt>
                <c:pt idx="19">
                  <c:v>8.7605769999999996</c:v>
                </c:pt>
                <c:pt idx="20">
                  <c:v>9.7396320000000003</c:v>
                </c:pt>
                <c:pt idx="21">
                  <c:v>7.1592960000000003</c:v>
                </c:pt>
                <c:pt idx="22">
                  <c:v>10.508330000000001</c:v>
                </c:pt>
                <c:pt idx="23">
                  <c:v>6.7022459999999997</c:v>
                </c:pt>
                <c:pt idx="24">
                  <c:v>8.2059549999999994</c:v>
                </c:pt>
                <c:pt idx="25">
                  <c:v>7.6557620000000002</c:v>
                </c:pt>
                <c:pt idx="26">
                  <c:v>7.5308849999999996</c:v>
                </c:pt>
                <c:pt idx="27">
                  <c:v>7.7373529999999997</c:v>
                </c:pt>
                <c:pt idx="28">
                  <c:v>9.2747790000000006</c:v>
                </c:pt>
                <c:pt idx="29">
                  <c:v>7.604177</c:v>
                </c:pt>
                <c:pt idx="30">
                  <c:v>13.882149999999999</c:v>
                </c:pt>
                <c:pt idx="31">
                  <c:v>6.2448199999999998</c:v>
                </c:pt>
                <c:pt idx="32">
                  <c:v>5.431934</c:v>
                </c:pt>
                <c:pt idx="33">
                  <c:v>6.828532</c:v>
                </c:pt>
                <c:pt idx="34">
                  <c:v>6.4858399999999996</c:v>
                </c:pt>
                <c:pt idx="35">
                  <c:v>10.31409</c:v>
                </c:pt>
                <c:pt idx="36">
                  <c:v>10.314679999999999</c:v>
                </c:pt>
                <c:pt idx="37">
                  <c:v>12.01755</c:v>
                </c:pt>
                <c:pt idx="38">
                  <c:v>10.43117</c:v>
                </c:pt>
                <c:pt idx="39">
                  <c:v>7.6669239999999999</c:v>
                </c:pt>
                <c:pt idx="40">
                  <c:v>9.1126369999999994</c:v>
                </c:pt>
                <c:pt idx="41">
                  <c:v>7.085769</c:v>
                </c:pt>
                <c:pt idx="42">
                  <c:v>13.338939999999999</c:v>
                </c:pt>
                <c:pt idx="43">
                  <c:v>8.0355709999999991</c:v>
                </c:pt>
                <c:pt idx="44">
                  <c:v>7.0140459999999996</c:v>
                </c:pt>
                <c:pt idx="45">
                  <c:v>7.0829079999999998</c:v>
                </c:pt>
                <c:pt idx="46">
                  <c:v>8.6579359999999994</c:v>
                </c:pt>
                <c:pt idx="47">
                  <c:v>8.8269420000000007</c:v>
                </c:pt>
                <c:pt idx="48">
                  <c:v>8.6819939999999995</c:v>
                </c:pt>
                <c:pt idx="49">
                  <c:v>8.8050929999999994</c:v>
                </c:pt>
                <c:pt idx="50">
                  <c:v>6.2458929999999997</c:v>
                </c:pt>
                <c:pt idx="51">
                  <c:v>9.3675309999999996</c:v>
                </c:pt>
                <c:pt idx="52">
                  <c:v>7.5136149999999997</c:v>
                </c:pt>
                <c:pt idx="53">
                  <c:v>13.775840000000001</c:v>
                </c:pt>
                <c:pt idx="54">
                  <c:v>8.4552589999999999</c:v>
                </c:pt>
                <c:pt idx="55">
                  <c:v>8.648892</c:v>
                </c:pt>
                <c:pt idx="56">
                  <c:v>8.1869340000000008</c:v>
                </c:pt>
                <c:pt idx="57">
                  <c:v>10.789479999999999</c:v>
                </c:pt>
                <c:pt idx="58">
                  <c:v>9.3599110000000003</c:v>
                </c:pt>
                <c:pt idx="59">
                  <c:v>11.042719999999999</c:v>
                </c:pt>
                <c:pt idx="60">
                  <c:v>8.8121460000000003</c:v>
                </c:pt>
                <c:pt idx="61">
                  <c:v>18.690249999999999</c:v>
                </c:pt>
                <c:pt idx="62">
                  <c:v>12.077310000000001</c:v>
                </c:pt>
                <c:pt idx="63">
                  <c:v>8.6419779999999999</c:v>
                </c:pt>
                <c:pt idx="64">
                  <c:v>8.0945300000000007</c:v>
                </c:pt>
                <c:pt idx="65">
                  <c:v>6.1230549999999999</c:v>
                </c:pt>
                <c:pt idx="66">
                  <c:v>9.8678039999999996</c:v>
                </c:pt>
                <c:pt idx="67">
                  <c:v>10.311999999999999</c:v>
                </c:pt>
                <c:pt idx="68">
                  <c:v>10.141299999999999</c:v>
                </c:pt>
                <c:pt idx="69">
                  <c:v>10.706530000000001</c:v>
                </c:pt>
                <c:pt idx="70">
                  <c:v>13.34473</c:v>
                </c:pt>
                <c:pt idx="71">
                  <c:v>13.77529</c:v>
                </c:pt>
                <c:pt idx="72">
                  <c:v>10.228770000000001</c:v>
                </c:pt>
                <c:pt idx="73">
                  <c:v>10.28267</c:v>
                </c:pt>
                <c:pt idx="74">
                  <c:v>10.00727</c:v>
                </c:pt>
                <c:pt idx="75">
                  <c:v>9.3420880000000004</c:v>
                </c:pt>
                <c:pt idx="76">
                  <c:v>9.8065510000000007</c:v>
                </c:pt>
                <c:pt idx="77">
                  <c:v>7.9896240000000001</c:v>
                </c:pt>
                <c:pt idx="78">
                  <c:v>7.1302459999999996</c:v>
                </c:pt>
                <c:pt idx="79">
                  <c:v>10.47494</c:v>
                </c:pt>
                <c:pt idx="80">
                  <c:v>9.3967109999999998</c:v>
                </c:pt>
                <c:pt idx="81">
                  <c:v>9.0866570000000007</c:v>
                </c:pt>
                <c:pt idx="82">
                  <c:v>8.2136530000000008</c:v>
                </c:pt>
                <c:pt idx="83">
                  <c:v>8.7250920000000001</c:v>
                </c:pt>
                <c:pt idx="84">
                  <c:v>7.8602959999999999</c:v>
                </c:pt>
                <c:pt idx="85">
                  <c:v>9.9844679999999997</c:v>
                </c:pt>
                <c:pt idx="86">
                  <c:v>8.2728260000000002</c:v>
                </c:pt>
                <c:pt idx="87">
                  <c:v>13.436310000000001</c:v>
                </c:pt>
                <c:pt idx="88">
                  <c:v>9.0003740000000008</c:v>
                </c:pt>
                <c:pt idx="89">
                  <c:v>22.33953</c:v>
                </c:pt>
                <c:pt idx="90">
                  <c:v>6.8499670000000004</c:v>
                </c:pt>
                <c:pt idx="91">
                  <c:v>6.1750780000000001</c:v>
                </c:pt>
                <c:pt idx="92">
                  <c:v>11.967750000000001</c:v>
                </c:pt>
                <c:pt idx="93">
                  <c:v>14.980969999999999</c:v>
                </c:pt>
                <c:pt idx="94">
                  <c:v>10.855079999999999</c:v>
                </c:pt>
                <c:pt idx="95">
                  <c:v>7.9128230000000004</c:v>
                </c:pt>
                <c:pt idx="96">
                  <c:v>11.75746</c:v>
                </c:pt>
                <c:pt idx="97">
                  <c:v>9.5258099999999999</c:v>
                </c:pt>
                <c:pt idx="98">
                  <c:v>14.520960000000001</c:v>
                </c:pt>
                <c:pt idx="99">
                  <c:v>10.12106</c:v>
                </c:pt>
                <c:pt idx="100">
                  <c:v>10.25967</c:v>
                </c:pt>
                <c:pt idx="101">
                  <c:v>20.58352</c:v>
                </c:pt>
                <c:pt idx="102">
                  <c:v>10.40315</c:v>
                </c:pt>
              </c:numCache>
            </c:numRef>
          </c:yVal>
          <c:smooth val="0"/>
          <c:extLst>
            <c:ext xmlns:c16="http://schemas.microsoft.com/office/drawing/2014/chart" uri="{C3380CC4-5D6E-409C-BE32-E72D297353CC}">
              <c16:uniqueId val="{00000001-D070-4B2D-9017-CED544B56D35}"/>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Driftsutgifter!$L$356:$L$420</c:f>
              <c:numCache>
                <c:formatCode>0</c:formatCode>
                <c:ptCount val="65"/>
                <c:pt idx="0">
                  <c:v>9.9849910000000008</c:v>
                </c:pt>
                <c:pt idx="1">
                  <c:v>6.8521470000000004</c:v>
                </c:pt>
                <c:pt idx="2">
                  <c:v>4.6106389999999999</c:v>
                </c:pt>
                <c:pt idx="3">
                  <c:v>9.1431100000000001</c:v>
                </c:pt>
                <c:pt idx="4">
                  <c:v>7.0343450000000001</c:v>
                </c:pt>
                <c:pt idx="5">
                  <c:v>10.30096</c:v>
                </c:pt>
                <c:pt idx="6">
                  <c:v>7.5281630000000002</c:v>
                </c:pt>
                <c:pt idx="7">
                  <c:v>6.6366690000000004</c:v>
                </c:pt>
                <c:pt idx="8">
                  <c:v>9.5999020000000002</c:v>
                </c:pt>
                <c:pt idx="9">
                  <c:v>8.790578</c:v>
                </c:pt>
                <c:pt idx="10">
                  <c:v>8.0518110000000007</c:v>
                </c:pt>
                <c:pt idx="11">
                  <c:v>8.6243560000000006</c:v>
                </c:pt>
                <c:pt idx="12">
                  <c:v>7.8294940000000004</c:v>
                </c:pt>
                <c:pt idx="13">
                  <c:v>6.6533049999999996</c:v>
                </c:pt>
                <c:pt idx="14">
                  <c:v>8.6929599999999994</c:v>
                </c:pt>
                <c:pt idx="15">
                  <c:v>8.7217169999999999</c:v>
                </c:pt>
                <c:pt idx="16">
                  <c:v>8.1963840000000001</c:v>
                </c:pt>
                <c:pt idx="17">
                  <c:v>7.4588200000000002</c:v>
                </c:pt>
                <c:pt idx="18">
                  <c:v>7.7156229999999999</c:v>
                </c:pt>
                <c:pt idx="19">
                  <c:v>6.7994349999999999</c:v>
                </c:pt>
                <c:pt idx="20">
                  <c:v>7.8042939999999996</c:v>
                </c:pt>
                <c:pt idx="21">
                  <c:v>7.7605810000000002</c:v>
                </c:pt>
                <c:pt idx="22">
                  <c:v>5.9251550000000002</c:v>
                </c:pt>
                <c:pt idx="23">
                  <c:v>10.11434</c:v>
                </c:pt>
                <c:pt idx="24">
                  <c:v>12.13209</c:v>
                </c:pt>
                <c:pt idx="25">
                  <c:v>9.2613439999999994</c:v>
                </c:pt>
                <c:pt idx="26">
                  <c:v>5.928369</c:v>
                </c:pt>
                <c:pt idx="27">
                  <c:v>10.02596</c:v>
                </c:pt>
                <c:pt idx="28">
                  <c:v>6.6355560000000002</c:v>
                </c:pt>
                <c:pt idx="29">
                  <c:v>9.973865</c:v>
                </c:pt>
                <c:pt idx="30">
                  <c:v>7.8581839999999996</c:v>
                </c:pt>
                <c:pt idx="31">
                  <c:v>8.5222770000000008</c:v>
                </c:pt>
                <c:pt idx="32">
                  <c:v>6.1171730000000002</c:v>
                </c:pt>
                <c:pt idx="33">
                  <c:v>7.463692</c:v>
                </c:pt>
                <c:pt idx="34">
                  <c:v>5.2088489999999998</c:v>
                </c:pt>
                <c:pt idx="35">
                  <c:v>6.8021250000000002</c:v>
                </c:pt>
                <c:pt idx="36">
                  <c:v>6.587053</c:v>
                </c:pt>
                <c:pt idx="37">
                  <c:v>6.8016059999999996</c:v>
                </c:pt>
                <c:pt idx="38">
                  <c:v>8.0015590000000003</c:v>
                </c:pt>
                <c:pt idx="39">
                  <c:v>19.857199999999999</c:v>
                </c:pt>
                <c:pt idx="40">
                  <c:v>7.7743979999999997</c:v>
                </c:pt>
                <c:pt idx="41">
                  <c:v>10.461029999999999</c:v>
                </c:pt>
                <c:pt idx="42">
                  <c:v>4.7217219999999998</c:v>
                </c:pt>
                <c:pt idx="43">
                  <c:v>7.4689990000000002</c:v>
                </c:pt>
                <c:pt idx="44">
                  <c:v>8.5798819999999996</c:v>
                </c:pt>
                <c:pt idx="45">
                  <c:v>9.4572719999999997</c:v>
                </c:pt>
                <c:pt idx="46">
                  <c:v>7.4299780000000002</c:v>
                </c:pt>
                <c:pt idx="47">
                  <c:v>7.3190530000000003</c:v>
                </c:pt>
                <c:pt idx="48">
                  <c:v>9.2620009999999997</c:v>
                </c:pt>
                <c:pt idx="49">
                  <c:v>9.8352930000000001</c:v>
                </c:pt>
                <c:pt idx="50">
                  <c:v>5.5771699999999997</c:v>
                </c:pt>
                <c:pt idx="51">
                  <c:v>7.1996270000000004</c:v>
                </c:pt>
                <c:pt idx="52">
                  <c:v>7.4522370000000002</c:v>
                </c:pt>
                <c:pt idx="53">
                  <c:v>6.5955579999999996</c:v>
                </c:pt>
                <c:pt idx="54">
                  <c:v>8.4178479999999993</c:v>
                </c:pt>
                <c:pt idx="55">
                  <c:v>6.0304640000000003</c:v>
                </c:pt>
                <c:pt idx="56">
                  <c:v>7.6139390000000002</c:v>
                </c:pt>
                <c:pt idx="57">
                  <c:v>8.6734380000000009</c:v>
                </c:pt>
                <c:pt idx="58">
                  <c:v>7.8176300000000003</c:v>
                </c:pt>
                <c:pt idx="59">
                  <c:v>8.7411209999999997</c:v>
                </c:pt>
                <c:pt idx="60">
                  <c:v>7.7854200000000002</c:v>
                </c:pt>
                <c:pt idx="61">
                  <c:v>8.656936</c:v>
                </c:pt>
                <c:pt idx="62">
                  <c:v>5.5304279999999997</c:v>
                </c:pt>
                <c:pt idx="63">
                  <c:v>6.6799770000000001</c:v>
                </c:pt>
                <c:pt idx="64">
                  <c:v>7.0808299999999997</c:v>
                </c:pt>
              </c:numCache>
            </c:numRef>
          </c:yVal>
          <c:smooth val="0"/>
          <c:extLst>
            <c:ext xmlns:c16="http://schemas.microsoft.com/office/drawing/2014/chart" uri="{C3380CC4-5D6E-409C-BE32-E72D297353CC}">
              <c16:uniqueId val="{00000002-D070-4B2D-9017-CED544B56D35}"/>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Driftsutgifter!$L$421:$L$474</c:f>
              <c:numCache>
                <c:formatCode>0</c:formatCode>
                <c:ptCount val="54"/>
                <c:pt idx="0">
                  <c:v>7.3734359999999999</c:v>
                </c:pt>
                <c:pt idx="1">
                  <c:v>7.3250089999999997</c:v>
                </c:pt>
                <c:pt idx="2">
                  <c:v>6.6630089999999997</c:v>
                </c:pt>
                <c:pt idx="3">
                  <c:v>5.4859140000000002</c:v>
                </c:pt>
                <c:pt idx="4">
                  <c:v>8.9034209999999998</c:v>
                </c:pt>
                <c:pt idx="5">
                  <c:v>7.9157580000000003</c:v>
                </c:pt>
                <c:pt idx="6">
                  <c:v>6.3247289999999996</c:v>
                </c:pt>
                <c:pt idx="7">
                  <c:v>4.9422259999999998</c:v>
                </c:pt>
                <c:pt idx="8">
                  <c:v>5.8442259999999999</c:v>
                </c:pt>
                <c:pt idx="9">
                  <c:v>7.0723739999999999</c:v>
                </c:pt>
                <c:pt idx="10">
                  <c:v>27.024550000000001</c:v>
                </c:pt>
                <c:pt idx="11">
                  <c:v>7.1190499999999997</c:v>
                </c:pt>
                <c:pt idx="12">
                  <c:v>6.7367109999999997</c:v>
                </c:pt>
                <c:pt idx="13">
                  <c:v>8.132536</c:v>
                </c:pt>
                <c:pt idx="14">
                  <c:v>6.0680300000000003</c:v>
                </c:pt>
                <c:pt idx="15">
                  <c:v>6.1992279999999997</c:v>
                </c:pt>
                <c:pt idx="16">
                  <c:v>7.3664040000000002</c:v>
                </c:pt>
                <c:pt idx="17">
                  <c:v>5.8261459999999996</c:v>
                </c:pt>
                <c:pt idx="18">
                  <c:v>5.9561739999999999</c:v>
                </c:pt>
                <c:pt idx="19">
                  <c:v>7.6045749999999996</c:v>
                </c:pt>
                <c:pt idx="20">
                  <c:v>6.041353</c:v>
                </c:pt>
                <c:pt idx="21">
                  <c:v>7.5470839999999999</c:v>
                </c:pt>
                <c:pt idx="22">
                  <c:v>6.7899630000000002</c:v>
                </c:pt>
                <c:pt idx="23">
                  <c:v>7.6150099999999998</c:v>
                </c:pt>
                <c:pt idx="24">
                  <c:v>5.4075810000000004</c:v>
                </c:pt>
                <c:pt idx="25">
                  <c:v>9.4794750000000008</c:v>
                </c:pt>
                <c:pt idx="26">
                  <c:v>6.5008679999999996</c:v>
                </c:pt>
                <c:pt idx="27">
                  <c:v>5.0080549999999997</c:v>
                </c:pt>
                <c:pt idx="28">
                  <c:v>7.9572760000000002</c:v>
                </c:pt>
                <c:pt idx="29">
                  <c:v>5.3427210000000001</c:v>
                </c:pt>
                <c:pt idx="30">
                  <c:v>5.4024429999999999</c:v>
                </c:pt>
                <c:pt idx="31">
                  <c:v>4.5124149999999998</c:v>
                </c:pt>
                <c:pt idx="32">
                  <c:v>6.9918690000000003</c:v>
                </c:pt>
                <c:pt idx="33">
                  <c:v>7.0315479999999999</c:v>
                </c:pt>
                <c:pt idx="34">
                  <c:v>7.012365</c:v>
                </c:pt>
                <c:pt idx="35">
                  <c:v>6.6278160000000002</c:v>
                </c:pt>
                <c:pt idx="36">
                  <c:v>8.3166550000000008</c:v>
                </c:pt>
                <c:pt idx="37">
                  <c:v>7.0945320000000001</c:v>
                </c:pt>
                <c:pt idx="38">
                  <c:v>8.5296299999999992</c:v>
                </c:pt>
                <c:pt idx="39">
                  <c:v>5.8480020000000001</c:v>
                </c:pt>
                <c:pt idx="40">
                  <c:v>4.4905869999999997</c:v>
                </c:pt>
                <c:pt idx="41">
                  <c:v>7.9252640000000003</c:v>
                </c:pt>
                <c:pt idx="42">
                  <c:v>7.2983250000000002</c:v>
                </c:pt>
                <c:pt idx="43">
                  <c:v>5.3323770000000001</c:v>
                </c:pt>
                <c:pt idx="44">
                  <c:v>6.8716689999999998</c:v>
                </c:pt>
                <c:pt idx="45">
                  <c:v>7.693651</c:v>
                </c:pt>
                <c:pt idx="46">
                  <c:v>7.0742089999999997</c:v>
                </c:pt>
                <c:pt idx="47">
                  <c:v>7.862215</c:v>
                </c:pt>
                <c:pt idx="48">
                  <c:v>6.6469259999999997</c:v>
                </c:pt>
                <c:pt idx="49">
                  <c:v>6.5254450000000004</c:v>
                </c:pt>
                <c:pt idx="50">
                  <c:v>5.6880610000000003</c:v>
                </c:pt>
                <c:pt idx="51">
                  <c:v>5.4162569999999999</c:v>
                </c:pt>
                <c:pt idx="52">
                  <c:v>4.8417880000000002</c:v>
                </c:pt>
                <c:pt idx="53">
                  <c:v>4.5341139999999998</c:v>
                </c:pt>
              </c:numCache>
            </c:numRef>
          </c:yVal>
          <c:smooth val="0"/>
          <c:extLst>
            <c:ext xmlns:c16="http://schemas.microsoft.com/office/drawing/2014/chart" uri="{C3380CC4-5D6E-409C-BE32-E72D297353CC}">
              <c16:uniqueId val="{00000003-D070-4B2D-9017-CED544B56D35}"/>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Driftsutgifter!$L$475:$L$495</c:f>
              <c:numCache>
                <c:formatCode>0</c:formatCode>
                <c:ptCount val="21"/>
                <c:pt idx="0">
                  <c:v>8.6917050000000007</c:v>
                </c:pt>
                <c:pt idx="1">
                  <c:v>9.9343009999999996</c:v>
                </c:pt>
                <c:pt idx="2">
                  <c:v>7.4085349999999996</c:v>
                </c:pt>
                <c:pt idx="3">
                  <c:v>9.1026810000000005</c:v>
                </c:pt>
                <c:pt idx="4">
                  <c:v>6.8194900000000001</c:v>
                </c:pt>
                <c:pt idx="5">
                  <c:v>8.7643459999999997</c:v>
                </c:pt>
                <c:pt idx="6">
                  <c:v>6.1949550000000002</c:v>
                </c:pt>
                <c:pt idx="7">
                  <c:v>6.8537800000000004</c:v>
                </c:pt>
                <c:pt idx="8">
                  <c:v>6.0675020000000002</c:v>
                </c:pt>
                <c:pt idx="9">
                  <c:v>7.5655999999999999</c:v>
                </c:pt>
                <c:pt idx="10">
                  <c:v>5.6951910000000003</c:v>
                </c:pt>
                <c:pt idx="11">
                  <c:v>5.0667679999999997</c:v>
                </c:pt>
                <c:pt idx="12">
                  <c:v>7.6576500000000003</c:v>
                </c:pt>
                <c:pt idx="13">
                  <c:v>7.7581530000000001</c:v>
                </c:pt>
                <c:pt idx="14">
                  <c:v>6.7652029999999996</c:v>
                </c:pt>
                <c:pt idx="15">
                  <c:v>6.4882239999999998</c:v>
                </c:pt>
                <c:pt idx="16">
                  <c:v>11.875590000000001</c:v>
                </c:pt>
                <c:pt idx="17">
                  <c:v>7.5321040000000004</c:v>
                </c:pt>
                <c:pt idx="18">
                  <c:v>7.1246419999999997</c:v>
                </c:pt>
                <c:pt idx="19">
                  <c:v>8.5855169999999994</c:v>
                </c:pt>
                <c:pt idx="20">
                  <c:v>6.2878579999999999</c:v>
                </c:pt>
              </c:numCache>
            </c:numRef>
          </c:yVal>
          <c:smooth val="0"/>
          <c:extLst>
            <c:ext xmlns:c16="http://schemas.microsoft.com/office/drawing/2014/chart" uri="{C3380CC4-5D6E-409C-BE32-E72D297353CC}">
              <c16:uniqueId val="{00000004-D070-4B2D-9017-CED544B56D35}"/>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Driftsutgifter!$L$496:$L$500</c:f>
              <c:numCache>
                <c:formatCode>0</c:formatCode>
                <c:ptCount val="5"/>
                <c:pt idx="0">
                  <c:v>10.167999999999999</c:v>
                </c:pt>
                <c:pt idx="1">
                  <c:v>8.8647500000000008</c:v>
                </c:pt>
                <c:pt idx="2">
                  <c:v>7.7756280000000002</c:v>
                </c:pt>
                <c:pt idx="3">
                  <c:v>8.9606490000000001</c:v>
                </c:pt>
                <c:pt idx="4">
                  <c:v>7.1222240000000001</c:v>
                </c:pt>
              </c:numCache>
            </c:numRef>
          </c:yVal>
          <c:smooth val="0"/>
          <c:extLst>
            <c:ext xmlns:c16="http://schemas.microsoft.com/office/drawing/2014/chart" uri="{C3380CC4-5D6E-409C-BE32-E72D297353CC}">
              <c16:uniqueId val="{00000005-D070-4B2D-9017-CED544B56D35}"/>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(7) Kapitalslit, PIM-da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Driftsutgifter!$M$145:$M$252</c:f>
              <c:numCache>
                <c:formatCode>0</c:formatCode>
                <c:ptCount val="108"/>
                <c:pt idx="0">
                  <c:v>11.353859999999999</c:v>
                </c:pt>
                <c:pt idx="1">
                  <c:v>12.69501</c:v>
                </c:pt>
                <c:pt idx="2">
                  <c:v>9.7183069999999994</c:v>
                </c:pt>
                <c:pt idx="3">
                  <c:v>19.297920000000001</c:v>
                </c:pt>
                <c:pt idx="4">
                  <c:v>18.850860000000001</c:v>
                </c:pt>
                <c:pt idx="5">
                  <c:v>15.122640000000001</c:v>
                </c:pt>
                <c:pt idx="6">
                  <c:v>14.39396</c:v>
                </c:pt>
                <c:pt idx="7">
                  <c:v>14.67966</c:v>
                </c:pt>
                <c:pt idx="8">
                  <c:v>10.11337</c:v>
                </c:pt>
                <c:pt idx="9">
                  <c:v>8.2938759999999991</c:v>
                </c:pt>
                <c:pt idx="10">
                  <c:v>24.867619999999999</c:v>
                </c:pt>
                <c:pt idx="11">
                  <c:v>11.601760000000001</c:v>
                </c:pt>
                <c:pt idx="12">
                  <c:v>13.192690000000001</c:v>
                </c:pt>
                <c:pt idx="13">
                  <c:v>13.54217</c:v>
                </c:pt>
                <c:pt idx="14">
                  <c:v>16.158239999999999</c:v>
                </c:pt>
                <c:pt idx="15">
                  <c:v>16.827760000000001</c:v>
                </c:pt>
                <c:pt idx="16">
                  <c:v>11.97527</c:v>
                </c:pt>
                <c:pt idx="17">
                  <c:v>10.87594</c:v>
                </c:pt>
                <c:pt idx="18">
                  <c:v>12.296329999999999</c:v>
                </c:pt>
                <c:pt idx="19">
                  <c:v>8.7662440000000004</c:v>
                </c:pt>
                <c:pt idx="20">
                  <c:v>23.39</c:v>
                </c:pt>
                <c:pt idx="21">
                  <c:v>13.224780000000001</c:v>
                </c:pt>
                <c:pt idx="22">
                  <c:v>12.52009</c:v>
                </c:pt>
                <c:pt idx="23">
                  <c:v>14.28276</c:v>
                </c:pt>
                <c:pt idx="24">
                  <c:v>13.61716</c:v>
                </c:pt>
                <c:pt idx="25">
                  <c:v>13.44966</c:v>
                </c:pt>
                <c:pt idx="26">
                  <c:v>6.0881020000000001</c:v>
                </c:pt>
                <c:pt idx="27">
                  <c:v>13.565799999999999</c:v>
                </c:pt>
                <c:pt idx="28">
                  <c:v>12.946</c:v>
                </c:pt>
                <c:pt idx="29">
                  <c:v>11.946199999999999</c:v>
                </c:pt>
                <c:pt idx="30">
                  <c:v>38.710979999999999</c:v>
                </c:pt>
                <c:pt idx="31">
                  <c:v>10.485480000000001</c:v>
                </c:pt>
                <c:pt idx="32">
                  <c:v>10.081020000000001</c:v>
                </c:pt>
                <c:pt idx="33">
                  <c:v>41.653590000000001</c:v>
                </c:pt>
                <c:pt idx="34">
                  <c:v>11.667719999999999</c:v>
                </c:pt>
                <c:pt idx="35">
                  <c:v>15.597849999999999</c:v>
                </c:pt>
                <c:pt idx="36">
                  <c:v>15.15536</c:v>
                </c:pt>
                <c:pt idx="37">
                  <c:v>11.997059999999999</c:v>
                </c:pt>
                <c:pt idx="38">
                  <c:v>10.92353</c:v>
                </c:pt>
                <c:pt idx="39">
                  <c:v>12.3276</c:v>
                </c:pt>
                <c:pt idx="40">
                  <c:v>9.156345</c:v>
                </c:pt>
                <c:pt idx="41">
                  <c:v>12.899369999999999</c:v>
                </c:pt>
                <c:pt idx="42">
                  <c:v>9.6665369999999999</c:v>
                </c:pt>
                <c:pt idx="43">
                  <c:v>8.3493089999999999</c:v>
                </c:pt>
                <c:pt idx="44">
                  <c:v>12.605420000000001</c:v>
                </c:pt>
                <c:pt idx="45">
                  <c:v>12.9749</c:v>
                </c:pt>
                <c:pt idx="46">
                  <c:v>13.116669999999999</c:v>
                </c:pt>
                <c:pt idx="47">
                  <c:v>11.110390000000001</c:v>
                </c:pt>
                <c:pt idx="48">
                  <c:v>10.72453</c:v>
                </c:pt>
                <c:pt idx="49">
                  <c:v>15.827299999999999</c:v>
                </c:pt>
                <c:pt idx="50">
                  <c:v>23.116289999999999</c:v>
                </c:pt>
                <c:pt idx="51">
                  <c:v>9.4765870000000003</c:v>
                </c:pt>
                <c:pt idx="52">
                  <c:v>10.044</c:v>
                </c:pt>
                <c:pt idx="53">
                  <c:v>19.82028</c:v>
                </c:pt>
                <c:pt idx="54">
                  <c:v>12.72606</c:v>
                </c:pt>
                <c:pt idx="55">
                  <c:v>12.42287</c:v>
                </c:pt>
                <c:pt idx="56">
                  <c:v>13.53497</c:v>
                </c:pt>
                <c:pt idx="57">
                  <c:v>34.97392</c:v>
                </c:pt>
                <c:pt idx="58">
                  <c:v>19.400590000000001</c:v>
                </c:pt>
                <c:pt idx="59">
                  <c:v>14.453290000000001</c:v>
                </c:pt>
                <c:pt idx="60">
                  <c:v>18.223859999999998</c:v>
                </c:pt>
                <c:pt idx="61">
                  <c:v>32.982399999999998</c:v>
                </c:pt>
                <c:pt idx="62">
                  <c:v>12.278309999999999</c:v>
                </c:pt>
                <c:pt idx="63">
                  <c:v>8.9169499999999999</c:v>
                </c:pt>
                <c:pt idx="64">
                  <c:v>19.470880000000001</c:v>
                </c:pt>
                <c:pt idx="65">
                  <c:v>16.439879999999999</c:v>
                </c:pt>
                <c:pt idx="66">
                  <c:v>7.9860379999999997</c:v>
                </c:pt>
                <c:pt idx="67">
                  <c:v>11.93699</c:v>
                </c:pt>
                <c:pt idx="68">
                  <c:v>17.135190000000001</c:v>
                </c:pt>
                <c:pt idx="69">
                  <c:v>11.687279999999999</c:v>
                </c:pt>
                <c:pt idx="70">
                  <c:v>15.27678</c:v>
                </c:pt>
                <c:pt idx="71">
                  <c:v>17.150569999999998</c:v>
                </c:pt>
                <c:pt idx="72">
                  <c:v>15.338839999999999</c:v>
                </c:pt>
                <c:pt idx="73">
                  <c:v>11.22566</c:v>
                </c:pt>
                <c:pt idx="74">
                  <c:v>10.335470000000001</c:v>
                </c:pt>
                <c:pt idx="75">
                  <c:v>17.048749999999998</c:v>
                </c:pt>
                <c:pt idx="76">
                  <c:v>7.1137110000000003</c:v>
                </c:pt>
                <c:pt idx="77">
                  <c:v>8.5756189999999997</c:v>
                </c:pt>
                <c:pt idx="78">
                  <c:v>8.573423</c:v>
                </c:pt>
                <c:pt idx="79">
                  <c:v>16.576070000000001</c:v>
                </c:pt>
                <c:pt idx="80">
                  <c:v>14.59925</c:v>
                </c:pt>
                <c:pt idx="81">
                  <c:v>7.2164760000000001</c:v>
                </c:pt>
                <c:pt idx="82">
                  <c:v>14.838039999999999</c:v>
                </c:pt>
                <c:pt idx="83">
                  <c:v>16.926279999999998</c:v>
                </c:pt>
                <c:pt idx="84">
                  <c:v>20.193549999999998</c:v>
                </c:pt>
                <c:pt idx="85">
                  <c:v>12.60131</c:v>
                </c:pt>
                <c:pt idx="86">
                  <c:v>20.606539999999999</c:v>
                </c:pt>
                <c:pt idx="87">
                  <c:v>18.50712</c:v>
                </c:pt>
                <c:pt idx="88">
                  <c:v>10.73315</c:v>
                </c:pt>
                <c:pt idx="89">
                  <c:v>14.412409999999999</c:v>
                </c:pt>
                <c:pt idx="90">
                  <c:v>12.67746</c:v>
                </c:pt>
                <c:pt idx="91">
                  <c:v>13.302060000000001</c:v>
                </c:pt>
                <c:pt idx="92">
                  <c:v>15.153700000000001</c:v>
                </c:pt>
                <c:pt idx="93">
                  <c:v>10.92516</c:v>
                </c:pt>
                <c:pt idx="94">
                  <c:v>10.26263</c:v>
                </c:pt>
                <c:pt idx="95">
                  <c:v>19.38757</c:v>
                </c:pt>
                <c:pt idx="96">
                  <c:v>14.06912</c:v>
                </c:pt>
                <c:pt idx="97">
                  <c:v>15.64203</c:v>
                </c:pt>
                <c:pt idx="98">
                  <c:v>6.5404400000000003</c:v>
                </c:pt>
                <c:pt idx="99">
                  <c:v>26.186389999999999</c:v>
                </c:pt>
                <c:pt idx="100">
                  <c:v>12.8157</c:v>
                </c:pt>
                <c:pt idx="101">
                  <c:v>14.42057</c:v>
                </c:pt>
                <c:pt idx="102">
                  <c:v>9.5836159999999992</c:v>
                </c:pt>
                <c:pt idx="103">
                  <c:v>8.7855349999999994</c:v>
                </c:pt>
                <c:pt idx="104">
                  <c:v>28.946339999999999</c:v>
                </c:pt>
                <c:pt idx="105">
                  <c:v>19.087029999999999</c:v>
                </c:pt>
                <c:pt idx="106">
                  <c:v>17.88644</c:v>
                </c:pt>
                <c:pt idx="107">
                  <c:v>22.3309</c:v>
                </c:pt>
              </c:numCache>
            </c:numRef>
          </c:yVal>
          <c:smooth val="0"/>
          <c:extLst>
            <c:ext xmlns:c16="http://schemas.microsoft.com/office/drawing/2014/chart" uri="{C3380CC4-5D6E-409C-BE32-E72D297353CC}">
              <c16:uniqueId val="{00000000-98D2-4DD1-8034-54E853EEEE6F}"/>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Driftsutgifter!$M$253:$M$355</c:f>
              <c:numCache>
                <c:formatCode>0</c:formatCode>
                <c:ptCount val="103"/>
                <c:pt idx="0">
                  <c:v>11.144410000000001</c:v>
                </c:pt>
                <c:pt idx="1">
                  <c:v>10.41201</c:v>
                </c:pt>
                <c:pt idx="2">
                  <c:v>6.6418280000000003</c:v>
                </c:pt>
                <c:pt idx="3">
                  <c:v>8.490907</c:v>
                </c:pt>
                <c:pt idx="4">
                  <c:v>9.4151699999999998</c:v>
                </c:pt>
                <c:pt idx="5">
                  <c:v>15.13251</c:v>
                </c:pt>
                <c:pt idx="6">
                  <c:v>8.3939120000000003</c:v>
                </c:pt>
                <c:pt idx="7">
                  <c:v>8.7523099999999996</c:v>
                </c:pt>
                <c:pt idx="8">
                  <c:v>11.740220000000001</c:v>
                </c:pt>
                <c:pt idx="9">
                  <c:v>8.7985009999999999</c:v>
                </c:pt>
                <c:pt idx="10">
                  <c:v>8.9036960000000001</c:v>
                </c:pt>
                <c:pt idx="11">
                  <c:v>9.6075189999999999</c:v>
                </c:pt>
                <c:pt idx="12">
                  <c:v>9.9841239999999996</c:v>
                </c:pt>
                <c:pt idx="13">
                  <c:v>7.277857</c:v>
                </c:pt>
                <c:pt idx="14">
                  <c:v>13.11979</c:v>
                </c:pt>
                <c:pt idx="15">
                  <c:v>9.4303670000000004</c:v>
                </c:pt>
                <c:pt idx="16">
                  <c:v>13.971310000000001</c:v>
                </c:pt>
                <c:pt idx="17">
                  <c:v>10.15775</c:v>
                </c:pt>
                <c:pt idx="18">
                  <c:v>11.346360000000001</c:v>
                </c:pt>
                <c:pt idx="19">
                  <c:v>9.3347850000000001</c:v>
                </c:pt>
                <c:pt idx="20">
                  <c:v>10.38222</c:v>
                </c:pt>
                <c:pt idx="21">
                  <c:v>7.2734769999999997</c:v>
                </c:pt>
                <c:pt idx="22">
                  <c:v>12.07719</c:v>
                </c:pt>
                <c:pt idx="23">
                  <c:v>7.9430560000000003</c:v>
                </c:pt>
                <c:pt idx="24">
                  <c:v>8.3692519999999995</c:v>
                </c:pt>
                <c:pt idx="25">
                  <c:v>8.2981289999999994</c:v>
                </c:pt>
                <c:pt idx="26">
                  <c:v>8.4916440000000009</c:v>
                </c:pt>
                <c:pt idx="27">
                  <c:v>8.7515699999999992</c:v>
                </c:pt>
                <c:pt idx="28">
                  <c:v>10.044739999999999</c:v>
                </c:pt>
                <c:pt idx="29">
                  <c:v>8.1914639999999999</c:v>
                </c:pt>
                <c:pt idx="30">
                  <c:v>13.791790000000001</c:v>
                </c:pt>
                <c:pt idx="31">
                  <c:v>7.1889110000000001</c:v>
                </c:pt>
                <c:pt idx="32">
                  <c:v>5.9725669999999997</c:v>
                </c:pt>
                <c:pt idx="33">
                  <c:v>7.6764599999999996</c:v>
                </c:pt>
                <c:pt idx="34">
                  <c:v>6.8065879999999996</c:v>
                </c:pt>
                <c:pt idx="35">
                  <c:v>11.66136</c:v>
                </c:pt>
                <c:pt idx="36">
                  <c:v>10.82957</c:v>
                </c:pt>
                <c:pt idx="37">
                  <c:v>12.924519999999999</c:v>
                </c:pt>
                <c:pt idx="38">
                  <c:v>10.43805</c:v>
                </c:pt>
                <c:pt idx="39">
                  <c:v>8.5401740000000004</c:v>
                </c:pt>
                <c:pt idx="40">
                  <c:v>10.018039999999999</c:v>
                </c:pt>
                <c:pt idx="41">
                  <c:v>7.7156289999999998</c:v>
                </c:pt>
                <c:pt idx="42">
                  <c:v>14.00643</c:v>
                </c:pt>
                <c:pt idx="43">
                  <c:v>9.3602830000000008</c:v>
                </c:pt>
                <c:pt idx="44">
                  <c:v>8.4093029999999995</c:v>
                </c:pt>
                <c:pt idx="45">
                  <c:v>8.2942850000000004</c:v>
                </c:pt>
                <c:pt idx="46">
                  <c:v>9.0682480000000005</c:v>
                </c:pt>
                <c:pt idx="47">
                  <c:v>9.5883310000000002</c:v>
                </c:pt>
                <c:pt idx="48">
                  <c:v>8.6794609999999999</c:v>
                </c:pt>
                <c:pt idx="49">
                  <c:v>9.8611170000000001</c:v>
                </c:pt>
                <c:pt idx="50">
                  <c:v>7.1259620000000004</c:v>
                </c:pt>
                <c:pt idx="51">
                  <c:v>10.375489999999999</c:v>
                </c:pt>
                <c:pt idx="52">
                  <c:v>8.1210500000000003</c:v>
                </c:pt>
                <c:pt idx="53">
                  <c:v>14.70425</c:v>
                </c:pt>
                <c:pt idx="54">
                  <c:v>9.1718589999999995</c:v>
                </c:pt>
                <c:pt idx="55">
                  <c:v>10.02975</c:v>
                </c:pt>
                <c:pt idx="56">
                  <c:v>8.9899570000000004</c:v>
                </c:pt>
                <c:pt idx="57">
                  <c:v>12.566610000000001</c:v>
                </c:pt>
                <c:pt idx="58">
                  <c:v>10.347619999999999</c:v>
                </c:pt>
                <c:pt idx="59">
                  <c:v>11.74508</c:v>
                </c:pt>
                <c:pt idx="60">
                  <c:v>9.2004929999999998</c:v>
                </c:pt>
                <c:pt idx="61">
                  <c:v>18.402699999999999</c:v>
                </c:pt>
                <c:pt idx="62">
                  <c:v>13.97805</c:v>
                </c:pt>
                <c:pt idx="63">
                  <c:v>9.7193520000000007</c:v>
                </c:pt>
                <c:pt idx="64">
                  <c:v>9.0859860000000001</c:v>
                </c:pt>
                <c:pt idx="65">
                  <c:v>6.8852200000000003</c:v>
                </c:pt>
                <c:pt idx="66">
                  <c:v>10.36402</c:v>
                </c:pt>
                <c:pt idx="67">
                  <c:v>10.254049999999999</c:v>
                </c:pt>
                <c:pt idx="68">
                  <c:v>11.638159999999999</c:v>
                </c:pt>
                <c:pt idx="69">
                  <c:v>11.03599</c:v>
                </c:pt>
                <c:pt idx="70">
                  <c:v>13.514480000000001</c:v>
                </c:pt>
                <c:pt idx="71">
                  <c:v>13.803739999999999</c:v>
                </c:pt>
                <c:pt idx="72">
                  <c:v>10.199</c:v>
                </c:pt>
                <c:pt idx="73">
                  <c:v>11.045500000000001</c:v>
                </c:pt>
                <c:pt idx="74">
                  <c:v>10.16395</c:v>
                </c:pt>
                <c:pt idx="75">
                  <c:v>9.710566</c:v>
                </c:pt>
                <c:pt idx="76">
                  <c:v>10.26835</c:v>
                </c:pt>
                <c:pt idx="77">
                  <c:v>8.104177</c:v>
                </c:pt>
                <c:pt idx="78">
                  <c:v>8.1162589999999994</c:v>
                </c:pt>
                <c:pt idx="79">
                  <c:v>11.05829</c:v>
                </c:pt>
                <c:pt idx="80">
                  <c:v>10.02915</c:v>
                </c:pt>
                <c:pt idx="81">
                  <c:v>9.8556050000000006</c:v>
                </c:pt>
                <c:pt idx="82">
                  <c:v>9.1745529999999995</c:v>
                </c:pt>
                <c:pt idx="83">
                  <c:v>9.9011289999999992</c:v>
                </c:pt>
                <c:pt idx="84">
                  <c:v>8.3624910000000003</c:v>
                </c:pt>
                <c:pt idx="85">
                  <c:v>10.71293</c:v>
                </c:pt>
                <c:pt idx="86">
                  <c:v>9.2928390000000007</c:v>
                </c:pt>
                <c:pt idx="87">
                  <c:v>14.263210000000001</c:v>
                </c:pt>
                <c:pt idx="88">
                  <c:v>9.8766160000000003</c:v>
                </c:pt>
                <c:pt idx="89">
                  <c:v>25.64049</c:v>
                </c:pt>
                <c:pt idx="90">
                  <c:v>7.9769740000000002</c:v>
                </c:pt>
                <c:pt idx="91">
                  <c:v>6.6463590000000003</c:v>
                </c:pt>
                <c:pt idx="92">
                  <c:v>13.2523</c:v>
                </c:pt>
                <c:pt idx="93">
                  <c:v>16.19042</c:v>
                </c:pt>
                <c:pt idx="94">
                  <c:v>10.976470000000001</c:v>
                </c:pt>
                <c:pt idx="95">
                  <c:v>9.0946669999999994</c:v>
                </c:pt>
                <c:pt idx="96">
                  <c:v>12.485429999999999</c:v>
                </c:pt>
                <c:pt idx="97">
                  <c:v>11.159750000000001</c:v>
                </c:pt>
                <c:pt idx="98">
                  <c:v>15.14987</c:v>
                </c:pt>
                <c:pt idx="99">
                  <c:v>11.27258</c:v>
                </c:pt>
                <c:pt idx="100">
                  <c:v>11.076650000000001</c:v>
                </c:pt>
                <c:pt idx="101">
                  <c:v>22.606929999999998</c:v>
                </c:pt>
                <c:pt idx="102">
                  <c:v>11.097329999999999</c:v>
                </c:pt>
              </c:numCache>
            </c:numRef>
          </c:yVal>
          <c:smooth val="0"/>
          <c:extLst>
            <c:ext xmlns:c16="http://schemas.microsoft.com/office/drawing/2014/chart" uri="{C3380CC4-5D6E-409C-BE32-E72D297353CC}">
              <c16:uniqueId val="{00000001-98D2-4DD1-8034-54E853EEEE6F}"/>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Driftsutgifter!$M$356:$M$420</c:f>
              <c:numCache>
                <c:formatCode>0</c:formatCode>
                <c:ptCount val="65"/>
                <c:pt idx="0">
                  <c:v>11.266030000000001</c:v>
                </c:pt>
                <c:pt idx="1">
                  <c:v>6.9777449999999996</c:v>
                </c:pt>
                <c:pt idx="2">
                  <c:v>5.2591400000000004</c:v>
                </c:pt>
                <c:pt idx="3">
                  <c:v>10.350569999999999</c:v>
                </c:pt>
                <c:pt idx="4">
                  <c:v>7.8319559999999999</c:v>
                </c:pt>
                <c:pt idx="5">
                  <c:v>10.910589999999999</c:v>
                </c:pt>
                <c:pt idx="6">
                  <c:v>8.4974779999999992</c:v>
                </c:pt>
                <c:pt idx="7">
                  <c:v>6.5870259999999998</c:v>
                </c:pt>
                <c:pt idx="8">
                  <c:v>10.14507</c:v>
                </c:pt>
                <c:pt idx="9">
                  <c:v>9.7221309999999992</c:v>
                </c:pt>
                <c:pt idx="10">
                  <c:v>8.5691369999999996</c:v>
                </c:pt>
                <c:pt idx="11">
                  <c:v>8.9957100000000008</c:v>
                </c:pt>
                <c:pt idx="12">
                  <c:v>8.2461470000000006</c:v>
                </c:pt>
                <c:pt idx="13">
                  <c:v>7.0510669999999998</c:v>
                </c:pt>
                <c:pt idx="14">
                  <c:v>9.0864560000000001</c:v>
                </c:pt>
                <c:pt idx="15">
                  <c:v>8.8997919999999997</c:v>
                </c:pt>
                <c:pt idx="16">
                  <c:v>8.7620170000000002</c:v>
                </c:pt>
                <c:pt idx="17">
                  <c:v>7.9968209999999997</c:v>
                </c:pt>
                <c:pt idx="18">
                  <c:v>8.5483039999999999</c:v>
                </c:pt>
                <c:pt idx="19">
                  <c:v>7.0804049999999998</c:v>
                </c:pt>
                <c:pt idx="20">
                  <c:v>7.814209</c:v>
                </c:pt>
                <c:pt idx="21">
                  <c:v>8.6454269999999998</c:v>
                </c:pt>
                <c:pt idx="22">
                  <c:v>6.9368129999999999</c:v>
                </c:pt>
                <c:pt idx="23">
                  <c:v>11.37168</c:v>
                </c:pt>
                <c:pt idx="24">
                  <c:v>12.1114</c:v>
                </c:pt>
                <c:pt idx="25">
                  <c:v>10.555910000000001</c:v>
                </c:pt>
                <c:pt idx="26">
                  <c:v>6.7493590000000001</c:v>
                </c:pt>
                <c:pt idx="27">
                  <c:v>10.624269999999999</c:v>
                </c:pt>
                <c:pt idx="28">
                  <c:v>7.1099920000000001</c:v>
                </c:pt>
                <c:pt idx="29">
                  <c:v>10.68146</c:v>
                </c:pt>
                <c:pt idx="30">
                  <c:v>8.8057949999999998</c:v>
                </c:pt>
                <c:pt idx="31">
                  <c:v>9.6175420000000003</c:v>
                </c:pt>
                <c:pt idx="32">
                  <c:v>6.9141570000000003</c:v>
                </c:pt>
                <c:pt idx="33">
                  <c:v>8.761374</c:v>
                </c:pt>
                <c:pt idx="34">
                  <c:v>5.9430129999999997</c:v>
                </c:pt>
                <c:pt idx="35">
                  <c:v>7.8135110000000001</c:v>
                </c:pt>
                <c:pt idx="36">
                  <c:v>7.7349209999999999</c:v>
                </c:pt>
                <c:pt idx="37">
                  <c:v>7.9371499999999999</c:v>
                </c:pt>
                <c:pt idx="38">
                  <c:v>9.0418559999999992</c:v>
                </c:pt>
                <c:pt idx="39">
                  <c:v>20.448119999999999</c:v>
                </c:pt>
                <c:pt idx="40">
                  <c:v>8.6434300000000004</c:v>
                </c:pt>
                <c:pt idx="41">
                  <c:v>10.4086</c:v>
                </c:pt>
                <c:pt idx="42">
                  <c:v>4.7100049999999998</c:v>
                </c:pt>
                <c:pt idx="43">
                  <c:v>8.4769310000000004</c:v>
                </c:pt>
                <c:pt idx="44">
                  <c:v>9.1169650000000004</c:v>
                </c:pt>
                <c:pt idx="45">
                  <c:v>9.9131429999999998</c:v>
                </c:pt>
                <c:pt idx="46">
                  <c:v>8.1621279999999992</c:v>
                </c:pt>
                <c:pt idx="47">
                  <c:v>7.8912060000000004</c:v>
                </c:pt>
                <c:pt idx="48">
                  <c:v>10.356669999999999</c:v>
                </c:pt>
                <c:pt idx="49">
                  <c:v>10.547090000000001</c:v>
                </c:pt>
                <c:pt idx="50">
                  <c:v>6.4722390000000001</c:v>
                </c:pt>
                <c:pt idx="51">
                  <c:v>8.0057419999999997</c:v>
                </c:pt>
                <c:pt idx="52">
                  <c:v>8.6152999999999995</c:v>
                </c:pt>
                <c:pt idx="53">
                  <c:v>7.3398849999999998</c:v>
                </c:pt>
                <c:pt idx="54">
                  <c:v>8.7349340000000009</c:v>
                </c:pt>
                <c:pt idx="55">
                  <c:v>6.8921890000000001</c:v>
                </c:pt>
                <c:pt idx="56">
                  <c:v>8.4700799999999994</c:v>
                </c:pt>
                <c:pt idx="57">
                  <c:v>9.0137909999999994</c:v>
                </c:pt>
                <c:pt idx="58">
                  <c:v>8.0638620000000003</c:v>
                </c:pt>
                <c:pt idx="59">
                  <c:v>8.724615</c:v>
                </c:pt>
                <c:pt idx="60">
                  <c:v>7.7651490000000001</c:v>
                </c:pt>
                <c:pt idx="61">
                  <c:v>9.4932580000000009</c:v>
                </c:pt>
                <c:pt idx="62">
                  <c:v>6.2996590000000001</c:v>
                </c:pt>
                <c:pt idx="63">
                  <c:v>7.6317719999999998</c:v>
                </c:pt>
                <c:pt idx="64">
                  <c:v>7.1593419999999997</c:v>
                </c:pt>
              </c:numCache>
            </c:numRef>
          </c:yVal>
          <c:smooth val="0"/>
          <c:extLst>
            <c:ext xmlns:c16="http://schemas.microsoft.com/office/drawing/2014/chart" uri="{C3380CC4-5D6E-409C-BE32-E72D297353CC}">
              <c16:uniqueId val="{00000002-98D2-4DD1-8034-54E853EEEE6F}"/>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Driftsutgifter!$M$421:$M$474</c:f>
              <c:numCache>
                <c:formatCode>0</c:formatCode>
                <c:ptCount val="54"/>
                <c:pt idx="0">
                  <c:v>7.7944360000000001</c:v>
                </c:pt>
                <c:pt idx="1">
                  <c:v>7.4256640000000003</c:v>
                </c:pt>
                <c:pt idx="2">
                  <c:v>7.5420920000000002</c:v>
                </c:pt>
                <c:pt idx="3">
                  <c:v>5.5126759999999999</c:v>
                </c:pt>
                <c:pt idx="4">
                  <c:v>8.9264910000000004</c:v>
                </c:pt>
                <c:pt idx="5">
                  <c:v>8.4247549999999993</c:v>
                </c:pt>
                <c:pt idx="6">
                  <c:v>6.7883190000000004</c:v>
                </c:pt>
                <c:pt idx="7">
                  <c:v>5.025169</c:v>
                </c:pt>
                <c:pt idx="8">
                  <c:v>6.2747250000000001</c:v>
                </c:pt>
                <c:pt idx="9">
                  <c:v>7.6627029999999996</c:v>
                </c:pt>
                <c:pt idx="10">
                  <c:v>27.525179999999999</c:v>
                </c:pt>
                <c:pt idx="11">
                  <c:v>7.1852679999999998</c:v>
                </c:pt>
                <c:pt idx="12">
                  <c:v>7.656657</c:v>
                </c:pt>
                <c:pt idx="13">
                  <c:v>8.7266790000000007</c:v>
                </c:pt>
                <c:pt idx="14">
                  <c:v>6.1366759999999996</c:v>
                </c:pt>
                <c:pt idx="15">
                  <c:v>6.6555799999999996</c:v>
                </c:pt>
                <c:pt idx="16">
                  <c:v>7.8543950000000002</c:v>
                </c:pt>
                <c:pt idx="17">
                  <c:v>6.2534799999999997</c:v>
                </c:pt>
                <c:pt idx="18">
                  <c:v>6.7752619999999997</c:v>
                </c:pt>
                <c:pt idx="19">
                  <c:v>8.0688130000000005</c:v>
                </c:pt>
                <c:pt idx="20">
                  <c:v>6.1086650000000002</c:v>
                </c:pt>
                <c:pt idx="21">
                  <c:v>7.6430040000000004</c:v>
                </c:pt>
                <c:pt idx="22">
                  <c:v>7.9292309999999997</c:v>
                </c:pt>
                <c:pt idx="23">
                  <c:v>8.0843950000000007</c:v>
                </c:pt>
                <c:pt idx="24">
                  <c:v>5.4276400000000002</c:v>
                </c:pt>
                <c:pt idx="25">
                  <c:v>9.8040730000000007</c:v>
                </c:pt>
                <c:pt idx="26">
                  <c:v>7.4717789999999997</c:v>
                </c:pt>
                <c:pt idx="27">
                  <c:v>5.0240349999999996</c:v>
                </c:pt>
                <c:pt idx="28">
                  <c:v>8.7452740000000002</c:v>
                </c:pt>
                <c:pt idx="29">
                  <c:v>5.5855560000000004</c:v>
                </c:pt>
                <c:pt idx="30">
                  <c:v>5.4681629999999997</c:v>
                </c:pt>
                <c:pt idx="31">
                  <c:v>4.531466</c:v>
                </c:pt>
                <c:pt idx="32">
                  <c:v>7.0330870000000001</c:v>
                </c:pt>
                <c:pt idx="33">
                  <c:v>7.967911</c:v>
                </c:pt>
                <c:pt idx="34">
                  <c:v>7.046691</c:v>
                </c:pt>
                <c:pt idx="35">
                  <c:v>6.5748930000000003</c:v>
                </c:pt>
                <c:pt idx="36">
                  <c:v>8.3589110000000009</c:v>
                </c:pt>
                <c:pt idx="37">
                  <c:v>7.5407500000000001</c:v>
                </c:pt>
                <c:pt idx="38">
                  <c:v>8.8681370000000008</c:v>
                </c:pt>
                <c:pt idx="39">
                  <c:v>6.2472190000000003</c:v>
                </c:pt>
                <c:pt idx="40">
                  <c:v>5.2454400000000003</c:v>
                </c:pt>
                <c:pt idx="41">
                  <c:v>7.9731589999999999</c:v>
                </c:pt>
                <c:pt idx="42">
                  <c:v>7.4364030000000003</c:v>
                </c:pt>
                <c:pt idx="43">
                  <c:v>5.3615779999999997</c:v>
                </c:pt>
                <c:pt idx="44">
                  <c:v>6.9121940000000004</c:v>
                </c:pt>
                <c:pt idx="45">
                  <c:v>8.937481</c:v>
                </c:pt>
                <c:pt idx="46">
                  <c:v>8.0785300000000007</c:v>
                </c:pt>
                <c:pt idx="47">
                  <c:v>8.8854620000000004</c:v>
                </c:pt>
                <c:pt idx="48">
                  <c:v>6.6673609999999996</c:v>
                </c:pt>
                <c:pt idx="49">
                  <c:v>6.4985179999999998</c:v>
                </c:pt>
                <c:pt idx="50">
                  <c:v>5.7731960000000004</c:v>
                </c:pt>
                <c:pt idx="51">
                  <c:v>6.2562810000000004</c:v>
                </c:pt>
                <c:pt idx="52">
                  <c:v>4.8877649999999999</c:v>
                </c:pt>
                <c:pt idx="53">
                  <c:v>5.2678279999999997</c:v>
                </c:pt>
              </c:numCache>
            </c:numRef>
          </c:yVal>
          <c:smooth val="0"/>
          <c:extLst>
            <c:ext xmlns:c16="http://schemas.microsoft.com/office/drawing/2014/chart" uri="{C3380CC4-5D6E-409C-BE32-E72D297353CC}">
              <c16:uniqueId val="{00000003-98D2-4DD1-8034-54E853EEEE6F}"/>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Driftsutgifter!$M$475:$M$495</c:f>
              <c:numCache>
                <c:formatCode>0</c:formatCode>
                <c:ptCount val="21"/>
                <c:pt idx="0">
                  <c:v>9.3216470000000005</c:v>
                </c:pt>
                <c:pt idx="1">
                  <c:v>10.14179</c:v>
                </c:pt>
                <c:pt idx="2">
                  <c:v>7.4415269999999998</c:v>
                </c:pt>
                <c:pt idx="3">
                  <c:v>9.3018929999999997</c:v>
                </c:pt>
                <c:pt idx="4">
                  <c:v>6.8535550000000001</c:v>
                </c:pt>
                <c:pt idx="5">
                  <c:v>8.9148219999999991</c:v>
                </c:pt>
                <c:pt idx="6">
                  <c:v>6.2317960000000001</c:v>
                </c:pt>
                <c:pt idx="7">
                  <c:v>6.9661780000000002</c:v>
                </c:pt>
                <c:pt idx="8">
                  <c:v>6.0586710000000004</c:v>
                </c:pt>
                <c:pt idx="9">
                  <c:v>7.6227859999999996</c:v>
                </c:pt>
                <c:pt idx="10">
                  <c:v>5.7322139999999999</c:v>
                </c:pt>
                <c:pt idx="11">
                  <c:v>5.4949969999999997</c:v>
                </c:pt>
                <c:pt idx="12">
                  <c:v>8.804691</c:v>
                </c:pt>
                <c:pt idx="13">
                  <c:v>8.7669910000000009</c:v>
                </c:pt>
                <c:pt idx="14">
                  <c:v>6.8089570000000004</c:v>
                </c:pt>
                <c:pt idx="15">
                  <c:v>6.5719279999999998</c:v>
                </c:pt>
                <c:pt idx="16">
                  <c:v>12.031280000000001</c:v>
                </c:pt>
                <c:pt idx="17">
                  <c:v>7.768402</c:v>
                </c:pt>
                <c:pt idx="18">
                  <c:v>7.2314230000000004</c:v>
                </c:pt>
                <c:pt idx="19">
                  <c:v>8.6090319999999991</c:v>
                </c:pt>
                <c:pt idx="20">
                  <c:v>7.3296999999999999</c:v>
                </c:pt>
              </c:numCache>
            </c:numRef>
          </c:yVal>
          <c:smooth val="0"/>
          <c:extLst>
            <c:ext xmlns:c16="http://schemas.microsoft.com/office/drawing/2014/chart" uri="{C3380CC4-5D6E-409C-BE32-E72D297353CC}">
              <c16:uniqueId val="{00000004-98D2-4DD1-8034-54E853EEEE6F}"/>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Driftsutgifter!$M$496:$M$500</c:f>
              <c:numCache>
                <c:formatCode>0</c:formatCode>
                <c:ptCount val="5"/>
                <c:pt idx="0">
                  <c:v>9.6689659999999993</c:v>
                </c:pt>
                <c:pt idx="1">
                  <c:v>8.8318659999999998</c:v>
                </c:pt>
                <c:pt idx="2">
                  <c:v>7.8035990000000002</c:v>
                </c:pt>
                <c:pt idx="3">
                  <c:v>8.5501470000000008</c:v>
                </c:pt>
                <c:pt idx="4">
                  <c:v>7.1693860000000003</c:v>
                </c:pt>
              </c:numCache>
            </c:numRef>
          </c:yVal>
          <c:smooth val="0"/>
          <c:extLst>
            <c:ext xmlns:c16="http://schemas.microsoft.com/office/drawing/2014/chart" uri="{C3380CC4-5D6E-409C-BE32-E72D297353CC}">
              <c16:uniqueId val="{00000005-98D2-4DD1-8034-54E853EEEE6F}"/>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(8) Kapitalslit, PIM-aa funksjon</a:t>
                </a:r>
                <a:r>
                  <a:rPr lang="nb-NO" sz="800" b="1" i="0" u="none" strike="noStrike" baseline="0"/>
                  <a:t> </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Driftsutgifter!$N$145:$N$252</c:f>
              <c:numCache>
                <c:formatCode>0</c:formatCode>
                <c:ptCount val="108"/>
                <c:pt idx="0">
                  <c:v>27.511060000000001</c:v>
                </c:pt>
                <c:pt idx="1">
                  <c:v>34.98657</c:v>
                </c:pt>
                <c:pt idx="2">
                  <c:v>24.9236</c:v>
                </c:pt>
                <c:pt idx="3">
                  <c:v>51.391280000000002</c:v>
                </c:pt>
                <c:pt idx="4">
                  <c:v>46.577730000000003</c:v>
                </c:pt>
                <c:pt idx="5">
                  <c:v>36.804000000000002</c:v>
                </c:pt>
                <c:pt idx="6">
                  <c:v>41.310639999999999</c:v>
                </c:pt>
                <c:pt idx="7">
                  <c:v>33.850020000000001</c:v>
                </c:pt>
                <c:pt idx="8">
                  <c:v>26.559840000000001</c:v>
                </c:pt>
                <c:pt idx="9">
                  <c:v>22.39227</c:v>
                </c:pt>
                <c:pt idx="10">
                  <c:v>59.574640000000002</c:v>
                </c:pt>
                <c:pt idx="11">
                  <c:v>26.576789999999999</c:v>
                </c:pt>
                <c:pt idx="12">
                  <c:v>29.345829999999999</c:v>
                </c:pt>
                <c:pt idx="13">
                  <c:v>28.59704</c:v>
                </c:pt>
                <c:pt idx="14">
                  <c:v>40.617919999999998</c:v>
                </c:pt>
                <c:pt idx="15">
                  <c:v>38.497970000000002</c:v>
                </c:pt>
                <c:pt idx="16">
                  <c:v>30.478190000000001</c:v>
                </c:pt>
                <c:pt idx="17">
                  <c:v>23.427009999999999</c:v>
                </c:pt>
                <c:pt idx="18">
                  <c:v>28.692969999999999</c:v>
                </c:pt>
                <c:pt idx="19">
                  <c:v>23.841000000000001</c:v>
                </c:pt>
                <c:pt idx="20">
                  <c:v>52.369199999999999</c:v>
                </c:pt>
                <c:pt idx="21">
                  <c:v>33.231310000000001</c:v>
                </c:pt>
                <c:pt idx="22">
                  <c:v>31.01022</c:v>
                </c:pt>
                <c:pt idx="23">
                  <c:v>37.017780000000002</c:v>
                </c:pt>
                <c:pt idx="24">
                  <c:v>33.729410000000001</c:v>
                </c:pt>
                <c:pt idx="25">
                  <c:v>34.44</c:v>
                </c:pt>
                <c:pt idx="26">
                  <c:v>13.043570000000001</c:v>
                </c:pt>
                <c:pt idx="27">
                  <c:v>33.78584</c:v>
                </c:pt>
                <c:pt idx="28">
                  <c:v>31.926010000000002</c:v>
                </c:pt>
                <c:pt idx="29">
                  <c:v>29.618839999999999</c:v>
                </c:pt>
                <c:pt idx="30">
                  <c:v>86.579059999999998</c:v>
                </c:pt>
                <c:pt idx="31">
                  <c:v>24.83774</c:v>
                </c:pt>
                <c:pt idx="32">
                  <c:v>25.072929999999999</c:v>
                </c:pt>
                <c:pt idx="33">
                  <c:v>90.169730000000001</c:v>
                </c:pt>
                <c:pt idx="34">
                  <c:v>28.543289999999999</c:v>
                </c:pt>
                <c:pt idx="35">
                  <c:v>36.369540000000001</c:v>
                </c:pt>
                <c:pt idx="36">
                  <c:v>36.090530000000001</c:v>
                </c:pt>
                <c:pt idx="37">
                  <c:v>28.892019999999999</c:v>
                </c:pt>
                <c:pt idx="38">
                  <c:v>23.757110000000001</c:v>
                </c:pt>
                <c:pt idx="39">
                  <c:v>29.625499999999999</c:v>
                </c:pt>
                <c:pt idx="40">
                  <c:v>22.332609999999999</c:v>
                </c:pt>
                <c:pt idx="41">
                  <c:v>31.318770000000001</c:v>
                </c:pt>
                <c:pt idx="42">
                  <c:v>24.558810000000001</c:v>
                </c:pt>
                <c:pt idx="43">
                  <c:v>18.387820000000001</c:v>
                </c:pt>
                <c:pt idx="44">
                  <c:v>34.563290000000002</c:v>
                </c:pt>
                <c:pt idx="45">
                  <c:v>29.874379999999999</c:v>
                </c:pt>
                <c:pt idx="46">
                  <c:v>30.042899999999999</c:v>
                </c:pt>
                <c:pt idx="47">
                  <c:v>23.46133</c:v>
                </c:pt>
                <c:pt idx="48">
                  <c:v>27.792359999999999</c:v>
                </c:pt>
                <c:pt idx="49">
                  <c:v>37.037579999999998</c:v>
                </c:pt>
                <c:pt idx="50">
                  <c:v>53.470910000000003</c:v>
                </c:pt>
                <c:pt idx="51">
                  <c:v>23.387910000000002</c:v>
                </c:pt>
                <c:pt idx="52">
                  <c:v>25.15062</c:v>
                </c:pt>
                <c:pt idx="53">
                  <c:v>45.592390000000002</c:v>
                </c:pt>
                <c:pt idx="54">
                  <c:v>31.766069999999999</c:v>
                </c:pt>
                <c:pt idx="55">
                  <c:v>29.9678</c:v>
                </c:pt>
                <c:pt idx="56">
                  <c:v>34.253340000000001</c:v>
                </c:pt>
                <c:pt idx="57">
                  <c:v>69.6785</c:v>
                </c:pt>
                <c:pt idx="58">
                  <c:v>45.470419999999997</c:v>
                </c:pt>
                <c:pt idx="59">
                  <c:v>43.527700000000003</c:v>
                </c:pt>
                <c:pt idx="60">
                  <c:v>45.344630000000002</c:v>
                </c:pt>
                <c:pt idx="61">
                  <c:v>70.240530000000007</c:v>
                </c:pt>
                <c:pt idx="62">
                  <c:v>28.60575</c:v>
                </c:pt>
                <c:pt idx="63">
                  <c:v>20.609169999999999</c:v>
                </c:pt>
                <c:pt idx="64">
                  <c:v>48.446300000000001</c:v>
                </c:pt>
                <c:pt idx="65">
                  <c:v>36.272530000000003</c:v>
                </c:pt>
                <c:pt idx="66">
                  <c:v>17.377749999999999</c:v>
                </c:pt>
                <c:pt idx="67">
                  <c:v>24.59159</c:v>
                </c:pt>
                <c:pt idx="68">
                  <c:v>38.314749999999997</c:v>
                </c:pt>
                <c:pt idx="69">
                  <c:v>28.809429999999999</c:v>
                </c:pt>
                <c:pt idx="70">
                  <c:v>38.535020000000003</c:v>
                </c:pt>
                <c:pt idx="71">
                  <c:v>42.538719999999998</c:v>
                </c:pt>
                <c:pt idx="72">
                  <c:v>35.010550000000002</c:v>
                </c:pt>
                <c:pt idx="73">
                  <c:v>23.181509999999999</c:v>
                </c:pt>
                <c:pt idx="74">
                  <c:v>27.094899999999999</c:v>
                </c:pt>
                <c:pt idx="75">
                  <c:v>40.185279999999999</c:v>
                </c:pt>
                <c:pt idx="76">
                  <c:v>18.662749999999999</c:v>
                </c:pt>
                <c:pt idx="77">
                  <c:v>19.909970000000001</c:v>
                </c:pt>
                <c:pt idx="78">
                  <c:v>19.869009999999999</c:v>
                </c:pt>
                <c:pt idx="79">
                  <c:v>33.927390000000003</c:v>
                </c:pt>
                <c:pt idx="80">
                  <c:v>34.373860000000001</c:v>
                </c:pt>
                <c:pt idx="81">
                  <c:v>18.526060000000001</c:v>
                </c:pt>
                <c:pt idx="82">
                  <c:v>34.253950000000003</c:v>
                </c:pt>
                <c:pt idx="83">
                  <c:v>41.197020000000002</c:v>
                </c:pt>
                <c:pt idx="84">
                  <c:v>45.730440000000002</c:v>
                </c:pt>
                <c:pt idx="85">
                  <c:v>29.687719999999999</c:v>
                </c:pt>
                <c:pt idx="86">
                  <c:v>54.074750000000002</c:v>
                </c:pt>
                <c:pt idx="87">
                  <c:v>39.901560000000003</c:v>
                </c:pt>
                <c:pt idx="88">
                  <c:v>23.36467</c:v>
                </c:pt>
                <c:pt idx="89">
                  <c:v>36.358789999999999</c:v>
                </c:pt>
                <c:pt idx="90">
                  <c:v>32.549129999999998</c:v>
                </c:pt>
                <c:pt idx="91">
                  <c:v>34.129800000000003</c:v>
                </c:pt>
                <c:pt idx="92">
                  <c:v>37.040689999999998</c:v>
                </c:pt>
                <c:pt idx="93">
                  <c:v>26.808530000000001</c:v>
                </c:pt>
                <c:pt idx="94">
                  <c:v>28.080670000000001</c:v>
                </c:pt>
                <c:pt idx="95">
                  <c:v>40.95861</c:v>
                </c:pt>
                <c:pt idx="96">
                  <c:v>31.579190000000001</c:v>
                </c:pt>
                <c:pt idx="97">
                  <c:v>33.98845</c:v>
                </c:pt>
                <c:pt idx="98">
                  <c:v>14.393050000000001</c:v>
                </c:pt>
                <c:pt idx="99">
                  <c:v>53.36759</c:v>
                </c:pt>
                <c:pt idx="100">
                  <c:v>28.99924</c:v>
                </c:pt>
                <c:pt idx="101">
                  <c:v>36.090470000000003</c:v>
                </c:pt>
                <c:pt idx="102">
                  <c:v>24.006689999999999</c:v>
                </c:pt>
                <c:pt idx="103">
                  <c:v>20.310510000000001</c:v>
                </c:pt>
                <c:pt idx="104">
                  <c:v>69.49006</c:v>
                </c:pt>
                <c:pt idx="105">
                  <c:v>49.036209999999997</c:v>
                </c:pt>
                <c:pt idx="106">
                  <c:v>37.884340000000002</c:v>
                </c:pt>
                <c:pt idx="107">
                  <c:v>51.09684</c:v>
                </c:pt>
              </c:numCache>
            </c:numRef>
          </c:yVal>
          <c:smooth val="0"/>
          <c:extLst>
            <c:ext xmlns:c16="http://schemas.microsoft.com/office/drawing/2014/chart" uri="{C3380CC4-5D6E-409C-BE32-E72D297353CC}">
              <c16:uniqueId val="{00000000-65F1-4DA7-B98B-EEE8879FE478}"/>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Driftsutgifter!$N$253:$N$355</c:f>
              <c:numCache>
                <c:formatCode>0</c:formatCode>
                <c:ptCount val="103"/>
                <c:pt idx="0">
                  <c:v>25.267589999999998</c:v>
                </c:pt>
                <c:pt idx="1">
                  <c:v>26.13391</c:v>
                </c:pt>
                <c:pt idx="2">
                  <c:v>15.155609999999999</c:v>
                </c:pt>
                <c:pt idx="3">
                  <c:v>17.68797</c:v>
                </c:pt>
                <c:pt idx="4">
                  <c:v>22.21237</c:v>
                </c:pt>
                <c:pt idx="5">
                  <c:v>34.511020000000002</c:v>
                </c:pt>
                <c:pt idx="6">
                  <c:v>21.949750000000002</c:v>
                </c:pt>
                <c:pt idx="7">
                  <c:v>20.37201</c:v>
                </c:pt>
                <c:pt idx="8">
                  <c:v>27.378869999999999</c:v>
                </c:pt>
                <c:pt idx="9">
                  <c:v>19.134070000000001</c:v>
                </c:pt>
                <c:pt idx="10">
                  <c:v>19.088999999999999</c:v>
                </c:pt>
                <c:pt idx="11">
                  <c:v>22.914850000000001</c:v>
                </c:pt>
                <c:pt idx="12">
                  <c:v>22.407129999999999</c:v>
                </c:pt>
                <c:pt idx="13">
                  <c:v>18.183620000000001</c:v>
                </c:pt>
                <c:pt idx="14">
                  <c:v>32.253810000000001</c:v>
                </c:pt>
                <c:pt idx="15">
                  <c:v>19.983129999999999</c:v>
                </c:pt>
                <c:pt idx="16">
                  <c:v>30.630929999999999</c:v>
                </c:pt>
                <c:pt idx="17">
                  <c:v>20.603560000000002</c:v>
                </c:pt>
                <c:pt idx="18">
                  <c:v>27.449210000000001</c:v>
                </c:pt>
                <c:pt idx="19">
                  <c:v>21.925360000000001</c:v>
                </c:pt>
                <c:pt idx="20">
                  <c:v>24.058900000000001</c:v>
                </c:pt>
                <c:pt idx="21">
                  <c:v>18.190300000000001</c:v>
                </c:pt>
                <c:pt idx="22">
                  <c:v>26.798469999999998</c:v>
                </c:pt>
                <c:pt idx="23">
                  <c:v>15.446540000000001</c:v>
                </c:pt>
                <c:pt idx="24">
                  <c:v>22.273240000000001</c:v>
                </c:pt>
                <c:pt idx="25">
                  <c:v>21.02497</c:v>
                </c:pt>
                <c:pt idx="26">
                  <c:v>17.79156</c:v>
                </c:pt>
                <c:pt idx="27">
                  <c:v>19.870509999999999</c:v>
                </c:pt>
                <c:pt idx="28">
                  <c:v>23.51389</c:v>
                </c:pt>
                <c:pt idx="29">
                  <c:v>18.090019999999999</c:v>
                </c:pt>
                <c:pt idx="30">
                  <c:v>39.36027</c:v>
                </c:pt>
                <c:pt idx="31">
                  <c:v>16.212569999999999</c:v>
                </c:pt>
                <c:pt idx="32">
                  <c:v>13.453519999999999</c:v>
                </c:pt>
                <c:pt idx="33">
                  <c:v>17.109819999999999</c:v>
                </c:pt>
                <c:pt idx="34">
                  <c:v>17.391919999999999</c:v>
                </c:pt>
                <c:pt idx="35">
                  <c:v>26.816199999999998</c:v>
                </c:pt>
                <c:pt idx="36">
                  <c:v>26.657599999999999</c:v>
                </c:pt>
                <c:pt idx="37">
                  <c:v>29.304790000000001</c:v>
                </c:pt>
                <c:pt idx="38">
                  <c:v>26.94763</c:v>
                </c:pt>
                <c:pt idx="39">
                  <c:v>18.9556</c:v>
                </c:pt>
                <c:pt idx="40">
                  <c:v>22.384840000000001</c:v>
                </c:pt>
                <c:pt idx="41">
                  <c:v>16.830539999999999</c:v>
                </c:pt>
                <c:pt idx="42">
                  <c:v>35.35454</c:v>
                </c:pt>
                <c:pt idx="43">
                  <c:v>19.623460000000001</c:v>
                </c:pt>
                <c:pt idx="44">
                  <c:v>19.812639999999998</c:v>
                </c:pt>
                <c:pt idx="45">
                  <c:v>18.296610000000001</c:v>
                </c:pt>
                <c:pt idx="46">
                  <c:v>24.208449999999999</c:v>
                </c:pt>
                <c:pt idx="47">
                  <c:v>21.751349999999999</c:v>
                </c:pt>
                <c:pt idx="48">
                  <c:v>22.224769999999999</c:v>
                </c:pt>
                <c:pt idx="49">
                  <c:v>21.444690000000001</c:v>
                </c:pt>
                <c:pt idx="50">
                  <c:v>14.73526</c:v>
                </c:pt>
                <c:pt idx="51">
                  <c:v>25.692810000000001</c:v>
                </c:pt>
                <c:pt idx="52">
                  <c:v>19.004740000000002</c:v>
                </c:pt>
                <c:pt idx="53">
                  <c:v>36.518160000000002</c:v>
                </c:pt>
                <c:pt idx="54">
                  <c:v>21.848929999999999</c:v>
                </c:pt>
                <c:pt idx="55">
                  <c:v>20.916239999999998</c:v>
                </c:pt>
                <c:pt idx="56">
                  <c:v>20.278600000000001</c:v>
                </c:pt>
                <c:pt idx="57">
                  <c:v>27.167439999999999</c:v>
                </c:pt>
                <c:pt idx="58">
                  <c:v>24.299430000000001</c:v>
                </c:pt>
                <c:pt idx="59">
                  <c:v>25.707750000000001</c:v>
                </c:pt>
                <c:pt idx="60">
                  <c:v>21.831990000000001</c:v>
                </c:pt>
                <c:pt idx="61">
                  <c:v>43.193069999999999</c:v>
                </c:pt>
                <c:pt idx="62">
                  <c:v>30.283850000000001</c:v>
                </c:pt>
                <c:pt idx="63">
                  <c:v>22.701460000000001</c:v>
                </c:pt>
                <c:pt idx="64">
                  <c:v>20.361789999999999</c:v>
                </c:pt>
                <c:pt idx="65">
                  <c:v>15.20397</c:v>
                </c:pt>
                <c:pt idx="66">
                  <c:v>25.60857</c:v>
                </c:pt>
                <c:pt idx="67">
                  <c:v>23.85746</c:v>
                </c:pt>
                <c:pt idx="68">
                  <c:v>25.38944</c:v>
                </c:pt>
                <c:pt idx="69">
                  <c:v>28.217289999999998</c:v>
                </c:pt>
                <c:pt idx="70">
                  <c:v>32.159179999999999</c:v>
                </c:pt>
                <c:pt idx="71">
                  <c:v>33.279130000000002</c:v>
                </c:pt>
                <c:pt idx="72">
                  <c:v>22.82715</c:v>
                </c:pt>
                <c:pt idx="73">
                  <c:v>25.712720000000001</c:v>
                </c:pt>
                <c:pt idx="74">
                  <c:v>24.990369999999999</c:v>
                </c:pt>
                <c:pt idx="75">
                  <c:v>19.537289999999999</c:v>
                </c:pt>
                <c:pt idx="76">
                  <c:v>24.433309999999999</c:v>
                </c:pt>
                <c:pt idx="77">
                  <c:v>19.183199999999999</c:v>
                </c:pt>
                <c:pt idx="78">
                  <c:v>16.815329999999999</c:v>
                </c:pt>
                <c:pt idx="79">
                  <c:v>26.82826</c:v>
                </c:pt>
                <c:pt idx="80">
                  <c:v>27.121420000000001</c:v>
                </c:pt>
                <c:pt idx="81">
                  <c:v>22.684850000000001</c:v>
                </c:pt>
                <c:pt idx="82">
                  <c:v>20.558620000000001</c:v>
                </c:pt>
                <c:pt idx="83">
                  <c:v>20.724350000000001</c:v>
                </c:pt>
                <c:pt idx="84">
                  <c:v>19.75339</c:v>
                </c:pt>
                <c:pt idx="85">
                  <c:v>24.474440000000001</c:v>
                </c:pt>
                <c:pt idx="86">
                  <c:v>21.213470000000001</c:v>
                </c:pt>
                <c:pt idx="87">
                  <c:v>42.31841</c:v>
                </c:pt>
                <c:pt idx="88">
                  <c:v>22.449839999999998</c:v>
                </c:pt>
                <c:pt idx="89">
                  <c:v>65.090990000000005</c:v>
                </c:pt>
                <c:pt idx="90">
                  <c:v>17.565999999999999</c:v>
                </c:pt>
                <c:pt idx="91">
                  <c:v>15.57207</c:v>
                </c:pt>
                <c:pt idx="92">
                  <c:v>34.092039999999997</c:v>
                </c:pt>
                <c:pt idx="93">
                  <c:v>35.767850000000003</c:v>
                </c:pt>
                <c:pt idx="94">
                  <c:v>26.516069999999999</c:v>
                </c:pt>
                <c:pt idx="95">
                  <c:v>19.964849999999998</c:v>
                </c:pt>
                <c:pt idx="96">
                  <c:v>27.308859999999999</c:v>
                </c:pt>
                <c:pt idx="97">
                  <c:v>24.76164</c:v>
                </c:pt>
                <c:pt idx="98">
                  <c:v>37.038080000000001</c:v>
                </c:pt>
                <c:pt idx="99">
                  <c:v>26.23903</c:v>
                </c:pt>
                <c:pt idx="100">
                  <c:v>25.093319999999999</c:v>
                </c:pt>
                <c:pt idx="101">
                  <c:v>46.460470000000001</c:v>
                </c:pt>
                <c:pt idx="102">
                  <c:v>28.055099999999999</c:v>
                </c:pt>
              </c:numCache>
            </c:numRef>
          </c:yVal>
          <c:smooth val="0"/>
          <c:extLst>
            <c:ext xmlns:c16="http://schemas.microsoft.com/office/drawing/2014/chart" uri="{C3380CC4-5D6E-409C-BE32-E72D297353CC}">
              <c16:uniqueId val="{00000001-65F1-4DA7-B98B-EEE8879FE478}"/>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Driftsutgifter!$N$356:$N$420</c:f>
              <c:numCache>
                <c:formatCode>0</c:formatCode>
                <c:ptCount val="65"/>
                <c:pt idx="0">
                  <c:v>27.12114</c:v>
                </c:pt>
                <c:pt idx="1">
                  <c:v>19.019559999999998</c:v>
                </c:pt>
                <c:pt idx="2">
                  <c:v>11.55841</c:v>
                </c:pt>
                <c:pt idx="3">
                  <c:v>22.246729999999999</c:v>
                </c:pt>
                <c:pt idx="4">
                  <c:v>17.23086</c:v>
                </c:pt>
                <c:pt idx="5">
                  <c:v>27.163540000000001</c:v>
                </c:pt>
                <c:pt idx="6">
                  <c:v>19.459050000000001</c:v>
                </c:pt>
                <c:pt idx="7">
                  <c:v>16.88588</c:v>
                </c:pt>
                <c:pt idx="8">
                  <c:v>26.050999999999998</c:v>
                </c:pt>
                <c:pt idx="9">
                  <c:v>22.156140000000001</c:v>
                </c:pt>
                <c:pt idx="10">
                  <c:v>20.912400000000002</c:v>
                </c:pt>
                <c:pt idx="11">
                  <c:v>22.497800000000002</c:v>
                </c:pt>
                <c:pt idx="12">
                  <c:v>19.285920000000001</c:v>
                </c:pt>
                <c:pt idx="13">
                  <c:v>18.58841</c:v>
                </c:pt>
                <c:pt idx="14">
                  <c:v>22.36016</c:v>
                </c:pt>
                <c:pt idx="15">
                  <c:v>19.598479999999999</c:v>
                </c:pt>
                <c:pt idx="16">
                  <c:v>21.456669999999999</c:v>
                </c:pt>
                <c:pt idx="17">
                  <c:v>21.1738</c:v>
                </c:pt>
                <c:pt idx="18">
                  <c:v>19.11007</c:v>
                </c:pt>
                <c:pt idx="19">
                  <c:v>17.127939999999999</c:v>
                </c:pt>
                <c:pt idx="20">
                  <c:v>19.16602</c:v>
                </c:pt>
                <c:pt idx="21">
                  <c:v>20.752009999999999</c:v>
                </c:pt>
                <c:pt idx="22">
                  <c:v>15.236879999999999</c:v>
                </c:pt>
                <c:pt idx="23">
                  <c:v>27.96228</c:v>
                </c:pt>
                <c:pt idx="24">
                  <c:v>33.777180000000001</c:v>
                </c:pt>
                <c:pt idx="25">
                  <c:v>23.21435</c:v>
                </c:pt>
                <c:pt idx="26">
                  <c:v>15.71092</c:v>
                </c:pt>
                <c:pt idx="27">
                  <c:v>26.044930000000001</c:v>
                </c:pt>
                <c:pt idx="28">
                  <c:v>16.105609999999999</c:v>
                </c:pt>
                <c:pt idx="29">
                  <c:v>25.4817</c:v>
                </c:pt>
                <c:pt idx="30">
                  <c:v>21.287089999999999</c:v>
                </c:pt>
                <c:pt idx="31">
                  <c:v>22.409849999999999</c:v>
                </c:pt>
                <c:pt idx="32">
                  <c:v>15.32635</c:v>
                </c:pt>
                <c:pt idx="33">
                  <c:v>19.606020000000001</c:v>
                </c:pt>
                <c:pt idx="34">
                  <c:v>13.054500000000001</c:v>
                </c:pt>
                <c:pt idx="35">
                  <c:v>17.386240000000001</c:v>
                </c:pt>
                <c:pt idx="36">
                  <c:v>16.17116</c:v>
                </c:pt>
                <c:pt idx="37">
                  <c:v>17.827950000000001</c:v>
                </c:pt>
                <c:pt idx="38">
                  <c:v>21.393429999999999</c:v>
                </c:pt>
                <c:pt idx="39">
                  <c:v>50.1081</c:v>
                </c:pt>
                <c:pt idx="40">
                  <c:v>18.875309999999999</c:v>
                </c:pt>
                <c:pt idx="41">
                  <c:v>23.95927</c:v>
                </c:pt>
                <c:pt idx="42">
                  <c:v>11.626010000000001</c:v>
                </c:pt>
                <c:pt idx="43">
                  <c:v>18.255369999999999</c:v>
                </c:pt>
                <c:pt idx="44">
                  <c:v>22.78049</c:v>
                </c:pt>
                <c:pt idx="45">
                  <c:v>25.538589999999999</c:v>
                </c:pt>
                <c:pt idx="46">
                  <c:v>19.954219999999999</c:v>
                </c:pt>
                <c:pt idx="47">
                  <c:v>18.523689999999998</c:v>
                </c:pt>
                <c:pt idx="48">
                  <c:v>24.33841</c:v>
                </c:pt>
                <c:pt idx="49">
                  <c:v>25.575990000000001</c:v>
                </c:pt>
                <c:pt idx="50">
                  <c:v>15.025919999999999</c:v>
                </c:pt>
                <c:pt idx="51">
                  <c:v>21.234210000000001</c:v>
                </c:pt>
                <c:pt idx="52">
                  <c:v>18.996390000000002</c:v>
                </c:pt>
                <c:pt idx="53">
                  <c:v>16.41516</c:v>
                </c:pt>
                <c:pt idx="54">
                  <c:v>22.51811</c:v>
                </c:pt>
                <c:pt idx="55">
                  <c:v>14.95707</c:v>
                </c:pt>
                <c:pt idx="56">
                  <c:v>18.859590000000001</c:v>
                </c:pt>
                <c:pt idx="57">
                  <c:v>22.552800000000001</c:v>
                </c:pt>
                <c:pt idx="58">
                  <c:v>20.234870000000001</c:v>
                </c:pt>
                <c:pt idx="59">
                  <c:v>20.285350000000001</c:v>
                </c:pt>
                <c:pt idx="60">
                  <c:v>20.28097</c:v>
                </c:pt>
                <c:pt idx="61">
                  <c:v>23.882180000000002</c:v>
                </c:pt>
                <c:pt idx="62">
                  <c:v>14.06555</c:v>
                </c:pt>
                <c:pt idx="63">
                  <c:v>17.085349999999998</c:v>
                </c:pt>
                <c:pt idx="64">
                  <c:v>18.265910000000002</c:v>
                </c:pt>
              </c:numCache>
            </c:numRef>
          </c:yVal>
          <c:smooth val="0"/>
          <c:extLst>
            <c:ext xmlns:c16="http://schemas.microsoft.com/office/drawing/2014/chart" uri="{C3380CC4-5D6E-409C-BE32-E72D297353CC}">
              <c16:uniqueId val="{00000002-65F1-4DA7-B98B-EEE8879FE478}"/>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Driftsutgifter!$N$421:$N$474</c:f>
              <c:numCache>
                <c:formatCode>0</c:formatCode>
                <c:ptCount val="54"/>
                <c:pt idx="0">
                  <c:v>18.769680000000001</c:v>
                </c:pt>
                <c:pt idx="1">
                  <c:v>18.24213</c:v>
                </c:pt>
                <c:pt idx="2">
                  <c:v>17.602609999999999</c:v>
                </c:pt>
                <c:pt idx="3">
                  <c:v>14.40804</c:v>
                </c:pt>
                <c:pt idx="4">
                  <c:v>22.554939999999998</c:v>
                </c:pt>
                <c:pt idx="5">
                  <c:v>20.025880000000001</c:v>
                </c:pt>
                <c:pt idx="6">
                  <c:v>15.99926</c:v>
                </c:pt>
                <c:pt idx="7">
                  <c:v>12.766220000000001</c:v>
                </c:pt>
                <c:pt idx="8">
                  <c:v>14.956849999999999</c:v>
                </c:pt>
                <c:pt idx="9">
                  <c:v>18.126660000000001</c:v>
                </c:pt>
                <c:pt idx="10">
                  <c:v>59.597580000000001</c:v>
                </c:pt>
                <c:pt idx="11">
                  <c:v>18.483529999999998</c:v>
                </c:pt>
                <c:pt idx="12">
                  <c:v>17.769439999999999</c:v>
                </c:pt>
                <c:pt idx="13">
                  <c:v>20.770800000000001</c:v>
                </c:pt>
                <c:pt idx="14">
                  <c:v>15.990790000000001</c:v>
                </c:pt>
                <c:pt idx="15">
                  <c:v>15.29148</c:v>
                </c:pt>
                <c:pt idx="16">
                  <c:v>18.805820000000001</c:v>
                </c:pt>
                <c:pt idx="17">
                  <c:v>15.18308</c:v>
                </c:pt>
                <c:pt idx="18">
                  <c:v>15.081519999999999</c:v>
                </c:pt>
                <c:pt idx="19">
                  <c:v>19.93797</c:v>
                </c:pt>
                <c:pt idx="20">
                  <c:v>23.25112</c:v>
                </c:pt>
                <c:pt idx="21">
                  <c:v>20.607959999999999</c:v>
                </c:pt>
                <c:pt idx="22">
                  <c:v>17.462399999999999</c:v>
                </c:pt>
                <c:pt idx="23">
                  <c:v>19.161180000000002</c:v>
                </c:pt>
                <c:pt idx="24">
                  <c:v>14.372479999999999</c:v>
                </c:pt>
                <c:pt idx="25">
                  <c:v>24.232700000000001</c:v>
                </c:pt>
                <c:pt idx="26">
                  <c:v>16.601310000000002</c:v>
                </c:pt>
                <c:pt idx="27">
                  <c:v>12.012499999999999</c:v>
                </c:pt>
                <c:pt idx="28">
                  <c:v>20.002400000000002</c:v>
                </c:pt>
                <c:pt idx="29">
                  <c:v>14.322150000000001</c:v>
                </c:pt>
                <c:pt idx="30">
                  <c:v>13.906969999999999</c:v>
                </c:pt>
                <c:pt idx="31">
                  <c:v>11.762280000000001</c:v>
                </c:pt>
                <c:pt idx="32">
                  <c:v>17.443290000000001</c:v>
                </c:pt>
                <c:pt idx="33">
                  <c:v>17.710139999999999</c:v>
                </c:pt>
                <c:pt idx="34">
                  <c:v>18.15091</c:v>
                </c:pt>
                <c:pt idx="35">
                  <c:v>16.78678</c:v>
                </c:pt>
                <c:pt idx="36">
                  <c:v>21.21895</c:v>
                </c:pt>
                <c:pt idx="37">
                  <c:v>17.718430000000001</c:v>
                </c:pt>
                <c:pt idx="38">
                  <c:v>21.932130000000001</c:v>
                </c:pt>
                <c:pt idx="39">
                  <c:v>14.94242</c:v>
                </c:pt>
                <c:pt idx="40">
                  <c:v>12.587529999999999</c:v>
                </c:pt>
                <c:pt idx="41">
                  <c:v>20.06606</c:v>
                </c:pt>
                <c:pt idx="42">
                  <c:v>20.685220000000001</c:v>
                </c:pt>
                <c:pt idx="43">
                  <c:v>13.572649999999999</c:v>
                </c:pt>
                <c:pt idx="44">
                  <c:v>17.344889999999999</c:v>
                </c:pt>
                <c:pt idx="45">
                  <c:v>19.829789999999999</c:v>
                </c:pt>
                <c:pt idx="46">
                  <c:v>19.479099999999999</c:v>
                </c:pt>
                <c:pt idx="47">
                  <c:v>20.301200000000001</c:v>
                </c:pt>
                <c:pt idx="48">
                  <c:v>16.78397</c:v>
                </c:pt>
                <c:pt idx="49">
                  <c:v>16.43854</c:v>
                </c:pt>
                <c:pt idx="50">
                  <c:v>14.521839999999999</c:v>
                </c:pt>
                <c:pt idx="51">
                  <c:v>14.001659999999999</c:v>
                </c:pt>
                <c:pt idx="52">
                  <c:v>12.0909</c:v>
                </c:pt>
                <c:pt idx="53">
                  <c:v>11.860139999999999</c:v>
                </c:pt>
              </c:numCache>
            </c:numRef>
          </c:yVal>
          <c:smooth val="0"/>
          <c:extLst>
            <c:ext xmlns:c16="http://schemas.microsoft.com/office/drawing/2014/chart" uri="{C3380CC4-5D6E-409C-BE32-E72D297353CC}">
              <c16:uniqueId val="{00000003-65F1-4DA7-B98B-EEE8879FE478}"/>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Driftsutgifter!$N$475:$N$495</c:f>
              <c:numCache>
                <c:formatCode>0</c:formatCode>
                <c:ptCount val="21"/>
                <c:pt idx="0">
                  <c:v>22.979679999999998</c:v>
                </c:pt>
                <c:pt idx="1">
                  <c:v>30.092659999999999</c:v>
                </c:pt>
                <c:pt idx="2">
                  <c:v>19.236689999999999</c:v>
                </c:pt>
                <c:pt idx="3">
                  <c:v>23.749580000000002</c:v>
                </c:pt>
                <c:pt idx="4">
                  <c:v>17.860720000000001</c:v>
                </c:pt>
                <c:pt idx="5">
                  <c:v>22.101289999999999</c:v>
                </c:pt>
                <c:pt idx="6">
                  <c:v>15.69238</c:v>
                </c:pt>
                <c:pt idx="7">
                  <c:v>16.12434</c:v>
                </c:pt>
                <c:pt idx="8">
                  <c:v>15.92826</c:v>
                </c:pt>
                <c:pt idx="9">
                  <c:v>19.623200000000001</c:v>
                </c:pt>
                <c:pt idx="10">
                  <c:v>14.048629999999999</c:v>
                </c:pt>
                <c:pt idx="11">
                  <c:v>12.07203</c:v>
                </c:pt>
                <c:pt idx="12">
                  <c:v>19.699829999999999</c:v>
                </c:pt>
                <c:pt idx="13">
                  <c:v>20.335229999999999</c:v>
                </c:pt>
                <c:pt idx="14">
                  <c:v>17.091889999999999</c:v>
                </c:pt>
                <c:pt idx="15">
                  <c:v>16.981770000000001</c:v>
                </c:pt>
                <c:pt idx="16">
                  <c:v>33.1524</c:v>
                </c:pt>
                <c:pt idx="17">
                  <c:v>19.668209999999998</c:v>
                </c:pt>
                <c:pt idx="18">
                  <c:v>17.516999999999999</c:v>
                </c:pt>
                <c:pt idx="19">
                  <c:v>21.68938</c:v>
                </c:pt>
                <c:pt idx="20">
                  <c:v>16.785039999999999</c:v>
                </c:pt>
              </c:numCache>
            </c:numRef>
          </c:yVal>
          <c:smooth val="0"/>
          <c:extLst>
            <c:ext xmlns:c16="http://schemas.microsoft.com/office/drawing/2014/chart" uri="{C3380CC4-5D6E-409C-BE32-E72D297353CC}">
              <c16:uniqueId val="{00000004-65F1-4DA7-B98B-EEE8879FE478}"/>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Driftsutgifter!$N$496:$N$500</c:f>
              <c:numCache>
                <c:formatCode>0</c:formatCode>
                <c:ptCount val="5"/>
                <c:pt idx="0">
                  <c:v>26.762</c:v>
                </c:pt>
                <c:pt idx="1">
                  <c:v>21.638030000000001</c:v>
                </c:pt>
                <c:pt idx="2">
                  <c:v>18.507110000000001</c:v>
                </c:pt>
                <c:pt idx="3">
                  <c:v>23.484110000000001</c:v>
                </c:pt>
                <c:pt idx="4">
                  <c:v>18.428249999999998</c:v>
                </c:pt>
              </c:numCache>
            </c:numRef>
          </c:yVal>
          <c:smooth val="0"/>
          <c:extLst>
            <c:ext xmlns:c16="http://schemas.microsoft.com/office/drawing/2014/chart" uri="{C3380CC4-5D6E-409C-BE32-E72D297353CC}">
              <c16:uniqueId val="{00000005-65F1-4DA7-B98B-EEE8879FE47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(9) Kapsl. og rk., PIM-ddl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Driftsutgifter!$O$145:$O$252</c:f>
              <c:numCache>
                <c:formatCode>0</c:formatCode>
                <c:ptCount val="108"/>
                <c:pt idx="0">
                  <c:v>29.828479999999999</c:v>
                </c:pt>
                <c:pt idx="1">
                  <c:v>33.225960000000001</c:v>
                </c:pt>
                <c:pt idx="2">
                  <c:v>25.839030000000001</c:v>
                </c:pt>
                <c:pt idx="3">
                  <c:v>47.711480000000002</c:v>
                </c:pt>
                <c:pt idx="4">
                  <c:v>47.248339999999999</c:v>
                </c:pt>
                <c:pt idx="5">
                  <c:v>41.01999</c:v>
                </c:pt>
                <c:pt idx="6">
                  <c:v>40.18824</c:v>
                </c:pt>
                <c:pt idx="7">
                  <c:v>39.631050000000002</c:v>
                </c:pt>
                <c:pt idx="8">
                  <c:v>25.984729999999999</c:v>
                </c:pt>
                <c:pt idx="9">
                  <c:v>21.959140000000001</c:v>
                </c:pt>
                <c:pt idx="10">
                  <c:v>62.326799999999999</c:v>
                </c:pt>
                <c:pt idx="11">
                  <c:v>30.187809999999999</c:v>
                </c:pt>
                <c:pt idx="12">
                  <c:v>31.28144</c:v>
                </c:pt>
                <c:pt idx="13">
                  <c:v>34.263010000000001</c:v>
                </c:pt>
                <c:pt idx="14">
                  <c:v>44.931489999999997</c:v>
                </c:pt>
                <c:pt idx="15">
                  <c:v>45.983969999999999</c:v>
                </c:pt>
                <c:pt idx="16">
                  <c:v>32.458570000000002</c:v>
                </c:pt>
                <c:pt idx="17">
                  <c:v>24.586069999999999</c:v>
                </c:pt>
                <c:pt idx="18">
                  <c:v>34.992660000000001</c:v>
                </c:pt>
                <c:pt idx="19">
                  <c:v>23.374860000000002</c:v>
                </c:pt>
                <c:pt idx="20">
                  <c:v>58.269959999999998</c:v>
                </c:pt>
                <c:pt idx="21">
                  <c:v>33.588999999999999</c:v>
                </c:pt>
                <c:pt idx="22">
                  <c:v>32.728020000000001</c:v>
                </c:pt>
                <c:pt idx="23">
                  <c:v>34.63438</c:v>
                </c:pt>
                <c:pt idx="24">
                  <c:v>35.937080000000002</c:v>
                </c:pt>
                <c:pt idx="25">
                  <c:v>34.199150000000003</c:v>
                </c:pt>
                <c:pt idx="26">
                  <c:v>16.503399999999999</c:v>
                </c:pt>
                <c:pt idx="27">
                  <c:v>35.010210000000001</c:v>
                </c:pt>
                <c:pt idx="28">
                  <c:v>33.757800000000003</c:v>
                </c:pt>
                <c:pt idx="29">
                  <c:v>29.40476</c:v>
                </c:pt>
                <c:pt idx="30">
                  <c:v>89.436040000000006</c:v>
                </c:pt>
                <c:pt idx="31">
                  <c:v>28.172370000000001</c:v>
                </c:pt>
                <c:pt idx="32">
                  <c:v>26.558479999999999</c:v>
                </c:pt>
                <c:pt idx="33">
                  <c:v>100.6674</c:v>
                </c:pt>
                <c:pt idx="34">
                  <c:v>30.26606</c:v>
                </c:pt>
                <c:pt idx="35">
                  <c:v>40.217089999999999</c:v>
                </c:pt>
                <c:pt idx="36">
                  <c:v>36.921909999999997</c:v>
                </c:pt>
                <c:pt idx="37">
                  <c:v>30.587039999999998</c:v>
                </c:pt>
                <c:pt idx="38">
                  <c:v>26.486129999999999</c:v>
                </c:pt>
                <c:pt idx="39">
                  <c:v>30.485499999999998</c:v>
                </c:pt>
                <c:pt idx="40">
                  <c:v>22.476320000000001</c:v>
                </c:pt>
                <c:pt idx="41">
                  <c:v>33.165750000000003</c:v>
                </c:pt>
                <c:pt idx="42">
                  <c:v>25.293939999999999</c:v>
                </c:pt>
                <c:pt idx="43">
                  <c:v>21.257580000000001</c:v>
                </c:pt>
                <c:pt idx="44">
                  <c:v>34.312480000000001</c:v>
                </c:pt>
                <c:pt idx="45">
                  <c:v>30.909140000000001</c:v>
                </c:pt>
                <c:pt idx="46">
                  <c:v>31.61646</c:v>
                </c:pt>
                <c:pt idx="47">
                  <c:v>26.95824</c:v>
                </c:pt>
                <c:pt idx="48">
                  <c:v>27.036549999999998</c:v>
                </c:pt>
                <c:pt idx="49">
                  <c:v>43.009300000000003</c:v>
                </c:pt>
                <c:pt idx="50">
                  <c:v>55.657060000000001</c:v>
                </c:pt>
                <c:pt idx="51">
                  <c:v>24.393689999999999</c:v>
                </c:pt>
                <c:pt idx="52">
                  <c:v>26.89987</c:v>
                </c:pt>
                <c:pt idx="53">
                  <c:v>51.121029999999998</c:v>
                </c:pt>
                <c:pt idx="54">
                  <c:v>33.657769999999999</c:v>
                </c:pt>
                <c:pt idx="55">
                  <c:v>34.740760000000002</c:v>
                </c:pt>
                <c:pt idx="56">
                  <c:v>33.173839999999998</c:v>
                </c:pt>
                <c:pt idx="57">
                  <c:v>85.742869999999996</c:v>
                </c:pt>
                <c:pt idx="58">
                  <c:v>49.202800000000003</c:v>
                </c:pt>
                <c:pt idx="59">
                  <c:v>37.222880000000004</c:v>
                </c:pt>
                <c:pt idx="60">
                  <c:v>50.304609999999997</c:v>
                </c:pt>
                <c:pt idx="61">
                  <c:v>81.706119999999999</c:v>
                </c:pt>
                <c:pt idx="62">
                  <c:v>28.899090000000001</c:v>
                </c:pt>
                <c:pt idx="63">
                  <c:v>23.03809</c:v>
                </c:pt>
                <c:pt idx="64">
                  <c:v>50.928339999999999</c:v>
                </c:pt>
                <c:pt idx="65">
                  <c:v>42.06006</c:v>
                </c:pt>
                <c:pt idx="66">
                  <c:v>19.50047</c:v>
                </c:pt>
                <c:pt idx="67">
                  <c:v>27.33933</c:v>
                </c:pt>
                <c:pt idx="68">
                  <c:v>47.818579999999997</c:v>
                </c:pt>
                <c:pt idx="69">
                  <c:v>30.012</c:v>
                </c:pt>
                <c:pt idx="70">
                  <c:v>41.40475</c:v>
                </c:pt>
                <c:pt idx="71">
                  <c:v>42.17671</c:v>
                </c:pt>
                <c:pt idx="72">
                  <c:v>42.347439999999999</c:v>
                </c:pt>
                <c:pt idx="73">
                  <c:v>27.205729999999999</c:v>
                </c:pt>
                <c:pt idx="74">
                  <c:v>26.508140000000001</c:v>
                </c:pt>
                <c:pt idx="75">
                  <c:v>45.101970000000001</c:v>
                </c:pt>
                <c:pt idx="76">
                  <c:v>18.264410000000002</c:v>
                </c:pt>
                <c:pt idx="77">
                  <c:v>19.999780000000001</c:v>
                </c:pt>
                <c:pt idx="78">
                  <c:v>20.434799999999999</c:v>
                </c:pt>
                <c:pt idx="79">
                  <c:v>46.275709999999997</c:v>
                </c:pt>
                <c:pt idx="80">
                  <c:v>37.219230000000003</c:v>
                </c:pt>
                <c:pt idx="81">
                  <c:v>20.035550000000001</c:v>
                </c:pt>
                <c:pt idx="82">
                  <c:v>37.994390000000003</c:v>
                </c:pt>
                <c:pt idx="83">
                  <c:v>45.062019999999997</c:v>
                </c:pt>
                <c:pt idx="84">
                  <c:v>45.497990000000001</c:v>
                </c:pt>
                <c:pt idx="85">
                  <c:v>32.89922</c:v>
                </c:pt>
                <c:pt idx="86">
                  <c:v>52.94171</c:v>
                </c:pt>
                <c:pt idx="87">
                  <c:v>47.453400000000002</c:v>
                </c:pt>
                <c:pt idx="88">
                  <c:v>27.934480000000001</c:v>
                </c:pt>
                <c:pt idx="89">
                  <c:v>40.285110000000003</c:v>
                </c:pt>
                <c:pt idx="90">
                  <c:v>34.047669999999997</c:v>
                </c:pt>
                <c:pt idx="91">
                  <c:v>34.869169999999997</c:v>
                </c:pt>
                <c:pt idx="92">
                  <c:v>38.178229999999999</c:v>
                </c:pt>
                <c:pt idx="93">
                  <c:v>27.9053</c:v>
                </c:pt>
                <c:pt idx="94">
                  <c:v>24.713719999999999</c:v>
                </c:pt>
                <c:pt idx="95">
                  <c:v>47.800359999999998</c:v>
                </c:pt>
                <c:pt idx="96">
                  <c:v>36.500489999999999</c:v>
                </c:pt>
                <c:pt idx="97">
                  <c:v>35.304389999999998</c:v>
                </c:pt>
                <c:pt idx="98">
                  <c:v>18.011690000000002</c:v>
                </c:pt>
                <c:pt idx="99">
                  <c:v>61.568100000000001</c:v>
                </c:pt>
                <c:pt idx="100">
                  <c:v>29.78105</c:v>
                </c:pt>
                <c:pt idx="101">
                  <c:v>39.1678</c:v>
                </c:pt>
                <c:pt idx="102">
                  <c:v>24.032409999999999</c:v>
                </c:pt>
                <c:pt idx="103">
                  <c:v>22.88457</c:v>
                </c:pt>
                <c:pt idx="104">
                  <c:v>79.880709999999993</c:v>
                </c:pt>
                <c:pt idx="105">
                  <c:v>53.166849999999997</c:v>
                </c:pt>
                <c:pt idx="106">
                  <c:v>42.485239999999997</c:v>
                </c:pt>
                <c:pt idx="107">
                  <c:v>60.421039999999998</c:v>
                </c:pt>
              </c:numCache>
            </c:numRef>
          </c:yVal>
          <c:smooth val="0"/>
          <c:extLst>
            <c:ext xmlns:c16="http://schemas.microsoft.com/office/drawing/2014/chart" uri="{C3380CC4-5D6E-409C-BE32-E72D297353CC}">
              <c16:uniqueId val="{00000000-DA01-450A-A998-58B1DBDC8EEE}"/>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Driftsutgifter!$O$253:$O$355</c:f>
              <c:numCache>
                <c:formatCode>0</c:formatCode>
                <c:ptCount val="103"/>
                <c:pt idx="0">
                  <c:v>30.4602</c:v>
                </c:pt>
                <c:pt idx="1">
                  <c:v>28.79326</c:v>
                </c:pt>
                <c:pt idx="2">
                  <c:v>16.03558</c:v>
                </c:pt>
                <c:pt idx="3">
                  <c:v>20.395</c:v>
                </c:pt>
                <c:pt idx="4">
                  <c:v>23.885390000000001</c:v>
                </c:pt>
                <c:pt idx="5">
                  <c:v>38.747410000000002</c:v>
                </c:pt>
                <c:pt idx="6">
                  <c:v>22.205179999999999</c:v>
                </c:pt>
                <c:pt idx="7">
                  <c:v>21.0379</c:v>
                </c:pt>
                <c:pt idx="8">
                  <c:v>29.910620000000002</c:v>
                </c:pt>
                <c:pt idx="9">
                  <c:v>23.665839999999999</c:v>
                </c:pt>
                <c:pt idx="10">
                  <c:v>21.67859</c:v>
                </c:pt>
                <c:pt idx="11">
                  <c:v>24.762969999999999</c:v>
                </c:pt>
                <c:pt idx="12">
                  <c:v>23.396270000000001</c:v>
                </c:pt>
                <c:pt idx="13">
                  <c:v>18.241700000000002</c:v>
                </c:pt>
                <c:pt idx="14">
                  <c:v>29.56728</c:v>
                </c:pt>
                <c:pt idx="15">
                  <c:v>24.186959999999999</c:v>
                </c:pt>
                <c:pt idx="16">
                  <c:v>33.852040000000002</c:v>
                </c:pt>
                <c:pt idx="17">
                  <c:v>23.166969999999999</c:v>
                </c:pt>
                <c:pt idx="18">
                  <c:v>29.630220000000001</c:v>
                </c:pt>
                <c:pt idx="19">
                  <c:v>25.16743</c:v>
                </c:pt>
                <c:pt idx="20">
                  <c:v>27.228870000000001</c:v>
                </c:pt>
                <c:pt idx="21">
                  <c:v>20.334109999999999</c:v>
                </c:pt>
                <c:pt idx="22">
                  <c:v>28.520720000000001</c:v>
                </c:pt>
                <c:pt idx="23">
                  <c:v>18.2729</c:v>
                </c:pt>
                <c:pt idx="24">
                  <c:v>22.762619999999998</c:v>
                </c:pt>
                <c:pt idx="25">
                  <c:v>21.191240000000001</c:v>
                </c:pt>
                <c:pt idx="26">
                  <c:v>20.358529999999998</c:v>
                </c:pt>
                <c:pt idx="27">
                  <c:v>20.545580000000001</c:v>
                </c:pt>
                <c:pt idx="28">
                  <c:v>25.967839999999999</c:v>
                </c:pt>
                <c:pt idx="29">
                  <c:v>21.022099999999998</c:v>
                </c:pt>
                <c:pt idx="30">
                  <c:v>38.86347</c:v>
                </c:pt>
                <c:pt idx="31">
                  <c:v>16.933219999999999</c:v>
                </c:pt>
                <c:pt idx="32">
                  <c:v>15.14795</c:v>
                </c:pt>
                <c:pt idx="33">
                  <c:v>18.327629999999999</c:v>
                </c:pt>
                <c:pt idx="34">
                  <c:v>17.85069</c:v>
                </c:pt>
                <c:pt idx="35">
                  <c:v>28.35633</c:v>
                </c:pt>
                <c:pt idx="36">
                  <c:v>28.253779999999999</c:v>
                </c:pt>
                <c:pt idx="37">
                  <c:v>33.488869999999999</c:v>
                </c:pt>
                <c:pt idx="38">
                  <c:v>28.530460000000001</c:v>
                </c:pt>
                <c:pt idx="39">
                  <c:v>21.249649999999999</c:v>
                </c:pt>
                <c:pt idx="40">
                  <c:v>24.312570000000001</c:v>
                </c:pt>
                <c:pt idx="41">
                  <c:v>19.419699999999999</c:v>
                </c:pt>
                <c:pt idx="42">
                  <c:v>37.886670000000002</c:v>
                </c:pt>
                <c:pt idx="43">
                  <c:v>21.622730000000001</c:v>
                </c:pt>
                <c:pt idx="44">
                  <c:v>18.935400000000001</c:v>
                </c:pt>
                <c:pt idx="45">
                  <c:v>19.71716</c:v>
                </c:pt>
                <c:pt idx="46">
                  <c:v>23.544809999999998</c:v>
                </c:pt>
                <c:pt idx="47">
                  <c:v>23.549949999999999</c:v>
                </c:pt>
                <c:pt idx="48">
                  <c:v>23.60744</c:v>
                </c:pt>
                <c:pt idx="49">
                  <c:v>23.673770000000001</c:v>
                </c:pt>
                <c:pt idx="50">
                  <c:v>16.887740000000001</c:v>
                </c:pt>
                <c:pt idx="51">
                  <c:v>25.722760000000001</c:v>
                </c:pt>
                <c:pt idx="52">
                  <c:v>20.555769999999999</c:v>
                </c:pt>
                <c:pt idx="53">
                  <c:v>37.734360000000002</c:v>
                </c:pt>
                <c:pt idx="54">
                  <c:v>22.696480000000001</c:v>
                </c:pt>
                <c:pt idx="55">
                  <c:v>24.34432</c:v>
                </c:pt>
                <c:pt idx="56">
                  <c:v>22.859120000000001</c:v>
                </c:pt>
                <c:pt idx="57">
                  <c:v>29.010680000000001</c:v>
                </c:pt>
                <c:pt idx="58">
                  <c:v>25.979869999999998</c:v>
                </c:pt>
                <c:pt idx="59">
                  <c:v>30.103539999999999</c:v>
                </c:pt>
                <c:pt idx="60">
                  <c:v>24.507760000000001</c:v>
                </c:pt>
                <c:pt idx="61">
                  <c:v>52.761099999999999</c:v>
                </c:pt>
                <c:pt idx="62">
                  <c:v>32.682020000000001</c:v>
                </c:pt>
                <c:pt idx="63">
                  <c:v>23.674669999999999</c:v>
                </c:pt>
                <c:pt idx="64">
                  <c:v>22.207360000000001</c:v>
                </c:pt>
                <c:pt idx="65">
                  <c:v>17.303650000000001</c:v>
                </c:pt>
                <c:pt idx="66">
                  <c:v>26.909749999999999</c:v>
                </c:pt>
                <c:pt idx="67">
                  <c:v>28.206160000000001</c:v>
                </c:pt>
                <c:pt idx="68">
                  <c:v>28.192460000000001</c:v>
                </c:pt>
                <c:pt idx="69">
                  <c:v>29.570329999999998</c:v>
                </c:pt>
                <c:pt idx="70">
                  <c:v>36.4114</c:v>
                </c:pt>
                <c:pt idx="71">
                  <c:v>38.227620000000002</c:v>
                </c:pt>
                <c:pt idx="72">
                  <c:v>28.16311</c:v>
                </c:pt>
                <c:pt idx="73">
                  <c:v>28.067869999999999</c:v>
                </c:pt>
                <c:pt idx="74">
                  <c:v>27.176939999999998</c:v>
                </c:pt>
                <c:pt idx="75">
                  <c:v>25.74399</c:v>
                </c:pt>
                <c:pt idx="76">
                  <c:v>26.55311</c:v>
                </c:pt>
                <c:pt idx="77">
                  <c:v>21.81391</c:v>
                </c:pt>
                <c:pt idx="78">
                  <c:v>18.96546</c:v>
                </c:pt>
                <c:pt idx="79">
                  <c:v>28.885000000000002</c:v>
                </c:pt>
                <c:pt idx="80">
                  <c:v>26.306940000000001</c:v>
                </c:pt>
                <c:pt idx="81">
                  <c:v>25.176369999999999</c:v>
                </c:pt>
                <c:pt idx="82">
                  <c:v>22.419699999999999</c:v>
                </c:pt>
                <c:pt idx="83">
                  <c:v>24.384070000000001</c:v>
                </c:pt>
                <c:pt idx="84">
                  <c:v>22.03321</c:v>
                </c:pt>
                <c:pt idx="85">
                  <c:v>26.70974</c:v>
                </c:pt>
                <c:pt idx="86">
                  <c:v>23.14622</c:v>
                </c:pt>
                <c:pt idx="87">
                  <c:v>36.20684</c:v>
                </c:pt>
                <c:pt idx="88">
                  <c:v>23.92418</c:v>
                </c:pt>
                <c:pt idx="89">
                  <c:v>61.939349999999997</c:v>
                </c:pt>
                <c:pt idx="90">
                  <c:v>18.740670000000001</c:v>
                </c:pt>
                <c:pt idx="91">
                  <c:v>16.9954</c:v>
                </c:pt>
                <c:pt idx="92">
                  <c:v>31.87209</c:v>
                </c:pt>
                <c:pt idx="93">
                  <c:v>41.134099999999997</c:v>
                </c:pt>
                <c:pt idx="94">
                  <c:v>30.26953</c:v>
                </c:pt>
                <c:pt idx="95">
                  <c:v>22.027349999999998</c:v>
                </c:pt>
                <c:pt idx="96">
                  <c:v>31.235489999999999</c:v>
                </c:pt>
                <c:pt idx="97">
                  <c:v>26.245999999999999</c:v>
                </c:pt>
                <c:pt idx="98">
                  <c:v>39.500369999999997</c:v>
                </c:pt>
                <c:pt idx="99">
                  <c:v>27.583069999999999</c:v>
                </c:pt>
                <c:pt idx="100">
                  <c:v>28.420670000000001</c:v>
                </c:pt>
                <c:pt idx="101">
                  <c:v>56.469810000000003</c:v>
                </c:pt>
                <c:pt idx="102">
                  <c:v>29.281469999999999</c:v>
                </c:pt>
              </c:numCache>
            </c:numRef>
          </c:yVal>
          <c:smooth val="0"/>
          <c:extLst>
            <c:ext xmlns:c16="http://schemas.microsoft.com/office/drawing/2014/chart" uri="{C3380CC4-5D6E-409C-BE32-E72D297353CC}">
              <c16:uniqueId val="{00000001-DA01-450A-A998-58B1DBDC8EEE}"/>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Driftsutgifter!$O$356:$O$420</c:f>
              <c:numCache>
                <c:formatCode>0</c:formatCode>
                <c:ptCount val="65"/>
                <c:pt idx="0">
                  <c:v>26.802350000000001</c:v>
                </c:pt>
                <c:pt idx="1">
                  <c:v>18.36665</c:v>
                </c:pt>
                <c:pt idx="2">
                  <c:v>12.723129999999999</c:v>
                </c:pt>
                <c:pt idx="3">
                  <c:v>24.915179999999999</c:v>
                </c:pt>
                <c:pt idx="4">
                  <c:v>19.284199999999998</c:v>
                </c:pt>
                <c:pt idx="5">
                  <c:v>28.854389999999999</c:v>
                </c:pt>
                <c:pt idx="6">
                  <c:v>20.458880000000001</c:v>
                </c:pt>
                <c:pt idx="7">
                  <c:v>18.289619999999999</c:v>
                </c:pt>
                <c:pt idx="8">
                  <c:v>26.64621</c:v>
                </c:pt>
                <c:pt idx="9">
                  <c:v>24.39096</c:v>
                </c:pt>
                <c:pt idx="10">
                  <c:v>21.759689999999999</c:v>
                </c:pt>
                <c:pt idx="11">
                  <c:v>24.00741</c:v>
                </c:pt>
                <c:pt idx="12">
                  <c:v>22.259920000000001</c:v>
                </c:pt>
                <c:pt idx="13">
                  <c:v>18.16536</c:v>
                </c:pt>
                <c:pt idx="14">
                  <c:v>23.74213</c:v>
                </c:pt>
                <c:pt idx="15">
                  <c:v>24.058949999999999</c:v>
                </c:pt>
                <c:pt idx="16">
                  <c:v>22.754270000000002</c:v>
                </c:pt>
                <c:pt idx="17">
                  <c:v>20.42886</c:v>
                </c:pt>
                <c:pt idx="18">
                  <c:v>20.94286</c:v>
                </c:pt>
                <c:pt idx="19">
                  <c:v>18.50901</c:v>
                </c:pt>
                <c:pt idx="20">
                  <c:v>21.716149999999999</c:v>
                </c:pt>
                <c:pt idx="21">
                  <c:v>21.202259999999999</c:v>
                </c:pt>
                <c:pt idx="22">
                  <c:v>16.432009999999998</c:v>
                </c:pt>
                <c:pt idx="23">
                  <c:v>27.885929999999998</c:v>
                </c:pt>
                <c:pt idx="24">
                  <c:v>33.094819999999999</c:v>
                </c:pt>
                <c:pt idx="25">
                  <c:v>25.655069999999998</c:v>
                </c:pt>
                <c:pt idx="26">
                  <c:v>16.07281</c:v>
                </c:pt>
                <c:pt idx="27">
                  <c:v>28.30789</c:v>
                </c:pt>
                <c:pt idx="28">
                  <c:v>18.967210000000001</c:v>
                </c:pt>
                <c:pt idx="29">
                  <c:v>28.450520000000001</c:v>
                </c:pt>
                <c:pt idx="30">
                  <c:v>22.461790000000001</c:v>
                </c:pt>
                <c:pt idx="31">
                  <c:v>23.38514</c:v>
                </c:pt>
                <c:pt idx="32">
                  <c:v>16.678339999999999</c:v>
                </c:pt>
                <c:pt idx="33">
                  <c:v>19.974450000000001</c:v>
                </c:pt>
                <c:pt idx="34">
                  <c:v>13.93277</c:v>
                </c:pt>
                <c:pt idx="35">
                  <c:v>18.253080000000001</c:v>
                </c:pt>
                <c:pt idx="36">
                  <c:v>18.33878</c:v>
                </c:pt>
                <c:pt idx="37">
                  <c:v>18.79973</c:v>
                </c:pt>
                <c:pt idx="38">
                  <c:v>22.157969999999999</c:v>
                </c:pt>
                <c:pt idx="39">
                  <c:v>57.374949999999998</c:v>
                </c:pt>
                <c:pt idx="40">
                  <c:v>21.451630000000002</c:v>
                </c:pt>
                <c:pt idx="41">
                  <c:v>28.232749999999999</c:v>
                </c:pt>
                <c:pt idx="42">
                  <c:v>12.82673</c:v>
                </c:pt>
                <c:pt idx="43">
                  <c:v>20.57771</c:v>
                </c:pt>
                <c:pt idx="44">
                  <c:v>24.09056</c:v>
                </c:pt>
                <c:pt idx="45">
                  <c:v>25.88693</c:v>
                </c:pt>
                <c:pt idx="46">
                  <c:v>20.180420000000002</c:v>
                </c:pt>
                <c:pt idx="47">
                  <c:v>20.280660000000001</c:v>
                </c:pt>
                <c:pt idx="48">
                  <c:v>24.967099999999999</c:v>
                </c:pt>
                <c:pt idx="49">
                  <c:v>27.171199999999999</c:v>
                </c:pt>
                <c:pt idx="50">
                  <c:v>15.48231</c:v>
                </c:pt>
                <c:pt idx="51">
                  <c:v>19.80716</c:v>
                </c:pt>
                <c:pt idx="52">
                  <c:v>20.60258</c:v>
                </c:pt>
                <c:pt idx="53">
                  <c:v>18.029419999999998</c:v>
                </c:pt>
                <c:pt idx="54">
                  <c:v>23.05977</c:v>
                </c:pt>
                <c:pt idx="55">
                  <c:v>16.291229999999999</c:v>
                </c:pt>
                <c:pt idx="56">
                  <c:v>20.993269999999999</c:v>
                </c:pt>
                <c:pt idx="57">
                  <c:v>23.993459999999999</c:v>
                </c:pt>
                <c:pt idx="58">
                  <c:v>21.00055</c:v>
                </c:pt>
                <c:pt idx="59">
                  <c:v>24.017890000000001</c:v>
                </c:pt>
                <c:pt idx="60">
                  <c:v>21.75572</c:v>
                </c:pt>
                <c:pt idx="61">
                  <c:v>24.15202</c:v>
                </c:pt>
                <c:pt idx="62">
                  <c:v>15.2319</c:v>
                </c:pt>
                <c:pt idx="63">
                  <c:v>18.14526</c:v>
                </c:pt>
                <c:pt idx="64">
                  <c:v>19.219349999999999</c:v>
                </c:pt>
              </c:numCache>
            </c:numRef>
          </c:yVal>
          <c:smooth val="0"/>
          <c:extLst>
            <c:ext xmlns:c16="http://schemas.microsoft.com/office/drawing/2014/chart" uri="{C3380CC4-5D6E-409C-BE32-E72D297353CC}">
              <c16:uniqueId val="{00000002-DA01-450A-A998-58B1DBDC8EEE}"/>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Driftsutgifter!$O$421:$O$474</c:f>
              <c:numCache>
                <c:formatCode>0</c:formatCode>
                <c:ptCount val="54"/>
                <c:pt idx="0">
                  <c:v>20.547529999999998</c:v>
                </c:pt>
                <c:pt idx="1">
                  <c:v>20.26295</c:v>
                </c:pt>
                <c:pt idx="2">
                  <c:v>18.188680000000002</c:v>
                </c:pt>
                <c:pt idx="3">
                  <c:v>15.332660000000001</c:v>
                </c:pt>
                <c:pt idx="4">
                  <c:v>24.366420000000002</c:v>
                </c:pt>
                <c:pt idx="5">
                  <c:v>21.84986</c:v>
                </c:pt>
                <c:pt idx="6">
                  <c:v>17.383009999999999</c:v>
                </c:pt>
                <c:pt idx="7">
                  <c:v>13.438700000000001</c:v>
                </c:pt>
                <c:pt idx="8">
                  <c:v>16.380389999999998</c:v>
                </c:pt>
                <c:pt idx="9">
                  <c:v>19.274609999999999</c:v>
                </c:pt>
                <c:pt idx="10">
                  <c:v>74.664209999999997</c:v>
                </c:pt>
                <c:pt idx="11">
                  <c:v>20.045500000000001</c:v>
                </c:pt>
                <c:pt idx="12">
                  <c:v>18.71997</c:v>
                </c:pt>
                <c:pt idx="13">
                  <c:v>22.56982</c:v>
                </c:pt>
                <c:pt idx="14">
                  <c:v>16.72747</c:v>
                </c:pt>
                <c:pt idx="15">
                  <c:v>16.977270000000001</c:v>
                </c:pt>
                <c:pt idx="16">
                  <c:v>20.445810000000002</c:v>
                </c:pt>
                <c:pt idx="17">
                  <c:v>16.453230000000001</c:v>
                </c:pt>
                <c:pt idx="18">
                  <c:v>16.793030000000002</c:v>
                </c:pt>
                <c:pt idx="19">
                  <c:v>21.114070000000002</c:v>
                </c:pt>
                <c:pt idx="20">
                  <c:v>16.40577</c:v>
                </c:pt>
                <c:pt idx="21">
                  <c:v>20.683319999999998</c:v>
                </c:pt>
                <c:pt idx="22">
                  <c:v>18.531269999999999</c:v>
                </c:pt>
                <c:pt idx="23">
                  <c:v>21.161359999999998</c:v>
                </c:pt>
                <c:pt idx="24">
                  <c:v>15.17928</c:v>
                </c:pt>
                <c:pt idx="25">
                  <c:v>26.320139999999999</c:v>
                </c:pt>
                <c:pt idx="26">
                  <c:v>17.712330000000001</c:v>
                </c:pt>
                <c:pt idx="27">
                  <c:v>13.970800000000001</c:v>
                </c:pt>
                <c:pt idx="28">
                  <c:v>21.63456</c:v>
                </c:pt>
                <c:pt idx="29">
                  <c:v>14.49235</c:v>
                </c:pt>
                <c:pt idx="30">
                  <c:v>15.109859999999999</c:v>
                </c:pt>
                <c:pt idx="31">
                  <c:v>12.46791</c:v>
                </c:pt>
                <c:pt idx="32">
                  <c:v>19.05245</c:v>
                </c:pt>
                <c:pt idx="33">
                  <c:v>19.147480000000002</c:v>
                </c:pt>
                <c:pt idx="34">
                  <c:v>19.493179999999999</c:v>
                </c:pt>
                <c:pt idx="35">
                  <c:v>18.40954</c:v>
                </c:pt>
                <c:pt idx="36">
                  <c:v>22.954180000000001</c:v>
                </c:pt>
                <c:pt idx="37">
                  <c:v>19.554169999999999</c:v>
                </c:pt>
                <c:pt idx="38">
                  <c:v>23.426459999999999</c:v>
                </c:pt>
                <c:pt idx="39">
                  <c:v>16.12604</c:v>
                </c:pt>
                <c:pt idx="40">
                  <c:v>12.3094</c:v>
                </c:pt>
                <c:pt idx="41">
                  <c:v>22.804169999999999</c:v>
                </c:pt>
                <c:pt idx="42">
                  <c:v>19.99755</c:v>
                </c:pt>
                <c:pt idx="43">
                  <c:v>14.759370000000001</c:v>
                </c:pt>
                <c:pt idx="44">
                  <c:v>19.03443</c:v>
                </c:pt>
                <c:pt idx="45">
                  <c:v>21.194610000000001</c:v>
                </c:pt>
                <c:pt idx="46">
                  <c:v>19.375810000000001</c:v>
                </c:pt>
                <c:pt idx="47">
                  <c:v>22.004149999999999</c:v>
                </c:pt>
                <c:pt idx="48">
                  <c:v>18.48086</c:v>
                </c:pt>
                <c:pt idx="49">
                  <c:v>18.196470000000001</c:v>
                </c:pt>
                <c:pt idx="50">
                  <c:v>15.87529</c:v>
                </c:pt>
                <c:pt idx="51">
                  <c:v>14.696350000000001</c:v>
                </c:pt>
                <c:pt idx="52">
                  <c:v>13.23512</c:v>
                </c:pt>
                <c:pt idx="53">
                  <c:v>12.46956</c:v>
                </c:pt>
              </c:numCache>
            </c:numRef>
          </c:yVal>
          <c:smooth val="0"/>
          <c:extLst>
            <c:ext xmlns:c16="http://schemas.microsoft.com/office/drawing/2014/chart" uri="{C3380CC4-5D6E-409C-BE32-E72D297353CC}">
              <c16:uniqueId val="{00000003-DA01-450A-A998-58B1DBDC8EEE}"/>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Driftsutgifter!$O$475:$O$495</c:f>
              <c:numCache>
                <c:formatCode>0</c:formatCode>
                <c:ptCount val="21"/>
                <c:pt idx="0">
                  <c:v>24.01041</c:v>
                </c:pt>
                <c:pt idx="1">
                  <c:v>27.769100000000002</c:v>
                </c:pt>
                <c:pt idx="2">
                  <c:v>20.81889</c:v>
                </c:pt>
                <c:pt idx="3">
                  <c:v>25.216360000000002</c:v>
                </c:pt>
                <c:pt idx="4">
                  <c:v>18.918420000000001</c:v>
                </c:pt>
                <c:pt idx="5">
                  <c:v>23.941089999999999</c:v>
                </c:pt>
                <c:pt idx="6">
                  <c:v>17.07685</c:v>
                </c:pt>
                <c:pt idx="7">
                  <c:v>18.636690000000002</c:v>
                </c:pt>
                <c:pt idx="8">
                  <c:v>17.177160000000001</c:v>
                </c:pt>
                <c:pt idx="9">
                  <c:v>21.041460000000001</c:v>
                </c:pt>
                <c:pt idx="10">
                  <c:v>15.693669999999999</c:v>
                </c:pt>
                <c:pt idx="11">
                  <c:v>13.658530000000001</c:v>
                </c:pt>
                <c:pt idx="12">
                  <c:v>21.078109999999999</c:v>
                </c:pt>
                <c:pt idx="13">
                  <c:v>21.106580000000001</c:v>
                </c:pt>
                <c:pt idx="14">
                  <c:v>18.762820000000001</c:v>
                </c:pt>
                <c:pt idx="15">
                  <c:v>17.941549999999999</c:v>
                </c:pt>
                <c:pt idx="16">
                  <c:v>32.8245</c:v>
                </c:pt>
                <c:pt idx="17">
                  <c:v>20.987660000000002</c:v>
                </c:pt>
                <c:pt idx="18">
                  <c:v>19.683140000000002</c:v>
                </c:pt>
                <c:pt idx="19">
                  <c:v>23.843430000000001</c:v>
                </c:pt>
                <c:pt idx="20">
                  <c:v>17.400590000000001</c:v>
                </c:pt>
              </c:numCache>
            </c:numRef>
          </c:yVal>
          <c:smooth val="0"/>
          <c:extLst>
            <c:ext xmlns:c16="http://schemas.microsoft.com/office/drawing/2014/chart" uri="{C3380CC4-5D6E-409C-BE32-E72D297353CC}">
              <c16:uniqueId val="{00000004-DA01-450A-A998-58B1DBDC8EEE}"/>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Driftsutgifter!$O$496:$O$500</c:f>
              <c:numCache>
                <c:formatCode>0</c:formatCode>
                <c:ptCount val="5"/>
                <c:pt idx="0">
                  <c:v>27.86673</c:v>
                </c:pt>
                <c:pt idx="1">
                  <c:v>24.93459</c:v>
                </c:pt>
                <c:pt idx="2">
                  <c:v>21.564409999999999</c:v>
                </c:pt>
                <c:pt idx="3">
                  <c:v>25.086549999999999</c:v>
                </c:pt>
                <c:pt idx="4">
                  <c:v>19.6188</c:v>
                </c:pt>
              </c:numCache>
            </c:numRef>
          </c:yVal>
          <c:smooth val="0"/>
          <c:extLst>
            <c:ext xmlns:c16="http://schemas.microsoft.com/office/drawing/2014/chart" uri="{C3380CC4-5D6E-409C-BE32-E72D297353CC}">
              <c16:uniqueId val="{00000005-DA01-450A-A998-58B1DBDC8EEE}"/>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(10) Kapsl. og rk., PIM-ddf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nb-NO" sz="1200" b="1" i="0" u="none" strike="noStrike" kern="1200" spc="0" baseline="0">
                <a:solidFill>
                  <a:srgbClr val="000000"/>
                </a:solidFill>
              </a:rPr>
              <a:t>a) Depresieringsrater over kapitalarter</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endParaRPr lang="nb-NO"/>
        </a:p>
      </c:txPr>
    </c:title>
    <c:autoTitleDeleted val="0"/>
    <c:plotArea>
      <c:layout/>
      <c:barChart>
        <c:barDir val="bar"/>
        <c:grouping val="clustered"/>
        <c:varyColors val="0"/>
        <c:ser>
          <c:idx val="1"/>
          <c:order val="0"/>
          <c:tx>
            <c:strRef>
              <c:f>[Kapitalanalyse.xlsx]Parametere!$K$32</c:f>
              <c:strCache>
                <c:ptCount val="1"/>
                <c:pt idx="0">
                  <c:v>Nasjonalregnskapet</c:v>
                </c:pt>
              </c:strCache>
            </c:strRef>
          </c:tx>
          <c:spPr>
            <a:solidFill>
              <a:schemeClr val="accent2"/>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[Kapitalanalyse.xlsx]Parametere!$I$33:$I$37</c:f>
              <c:strCache>
                <c:ptCount val="5"/>
                <c:pt idx="0">
                  <c:v>Samlet</c:v>
                </c:pt>
                <c:pt idx="1">
                  <c:v>Fast eiendom og anlegg</c:v>
                </c:pt>
                <c:pt idx="2">
                  <c:v>Bygg og anlegg</c:v>
                </c:pt>
                <c:pt idx="3">
                  <c:v>Maskiner, utstyr og transportmidler</c:v>
                </c:pt>
                <c:pt idx="4">
                  <c:v>Immateriell kapital</c:v>
                </c:pt>
              </c:strCache>
            </c:strRef>
          </c:cat>
          <c:val>
            <c:numRef>
              <c:f>[Kapitalanalyse.xlsx]Parametere!$K$33:$K$37</c:f>
              <c:numCache>
                <c:formatCode>General</c:formatCode>
                <c:ptCount val="5"/>
                <c:pt idx="0">
                  <c:v>2.7911262928820388E-2</c:v>
                </c:pt>
                <c:pt idx="1">
                  <c:v>2.1969539283111673E-2</c:v>
                </c:pt>
                <c:pt idx="2">
                  <c:v>3.3799291204787189E-2</c:v>
                </c:pt>
                <c:pt idx="3">
                  <c:v>0.32449524507458938</c:v>
                </c:pt>
                <c:pt idx="4">
                  <c:v>0.43498718709733464</c:v>
                </c:pt>
              </c:numCache>
            </c:numRef>
          </c:val>
          <c:extLst>
            <c:ext xmlns:c16="http://schemas.microsoft.com/office/drawing/2014/chart" uri="{C3380CC4-5D6E-409C-BE32-E72D297353CC}">
              <c16:uniqueId val="{00000000-01CD-41BD-B90B-FDA065C63962}"/>
            </c:ext>
          </c:extLst>
        </c:ser>
        <c:ser>
          <c:idx val="0"/>
          <c:order val="1"/>
          <c:tx>
            <c:strRef>
              <c:f>[Kapitalanalyse.xlsx]Parametere!$J$32</c:f>
              <c:strCache>
                <c:ptCount val="1"/>
                <c:pt idx="0">
                  <c:v>KOSTRA</c:v>
                </c:pt>
              </c:strCache>
            </c:strRef>
          </c:tx>
          <c:spPr>
            <a:solidFill>
              <a:schemeClr val="accent1"/>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[Kapitalanalyse.xlsx]Parametere!$I$33:$I$37</c:f>
              <c:strCache>
                <c:ptCount val="5"/>
                <c:pt idx="0">
                  <c:v>Samlet</c:v>
                </c:pt>
                <c:pt idx="1">
                  <c:v>Fast eiendom og anlegg</c:v>
                </c:pt>
                <c:pt idx="2">
                  <c:v>Bygg og anlegg</c:v>
                </c:pt>
                <c:pt idx="3">
                  <c:v>Maskiner, utstyr og transportmidler</c:v>
                </c:pt>
                <c:pt idx="4">
                  <c:v>Immateriell kapital</c:v>
                </c:pt>
              </c:strCache>
            </c:strRef>
          </c:cat>
          <c:val>
            <c:numRef>
              <c:f>[Kapitalanalyse.xlsx]Parametere!$J$33:$J$37</c:f>
              <c:numCache>
                <c:formatCode>General</c:formatCode>
                <c:ptCount val="5"/>
                <c:pt idx="0">
                  <c:v>3.2571844576965464E-2</c:v>
                </c:pt>
                <c:pt idx="1">
                  <c:v>1.8539061838148421E-2</c:v>
                </c:pt>
                <c:pt idx="2">
                  <c:v>2.8521633597151416E-2</c:v>
                </c:pt>
                <c:pt idx="3">
                  <c:v>0.32449524507458938</c:v>
                </c:pt>
                <c:pt idx="4">
                  <c:v>0.43498718709733464</c:v>
                </c:pt>
              </c:numCache>
            </c:numRef>
          </c:val>
          <c:extLst>
            <c:ext xmlns:c16="http://schemas.microsoft.com/office/drawing/2014/chart" uri="{C3380CC4-5D6E-409C-BE32-E72D297353CC}">
              <c16:uniqueId val="{00000001-01CD-41BD-B90B-FDA065C63962}"/>
            </c:ext>
          </c:extLst>
        </c:ser>
        <c:dLbls>
          <c:showLegendKey val="0"/>
          <c:showVal val="0"/>
          <c:showCatName val="0"/>
          <c:showSerName val="0"/>
          <c:showPercent val="0"/>
          <c:showBubbleSize val="0"/>
        </c:dLbls>
        <c:gapWidth val="219"/>
        <c:axId val="1703561743"/>
        <c:axId val="1703561263"/>
      </c:barChart>
      <c:catAx>
        <c:axId val="1703561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263"/>
        <c:crosses val="autoZero"/>
        <c:auto val="1"/>
        <c:lblAlgn val="ctr"/>
        <c:lblOffset val="100"/>
        <c:noMultiLvlLbl val="0"/>
      </c:catAx>
      <c:valAx>
        <c:axId val="1703561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Driftsutgifter!$P$145:$P$252</c:f>
              <c:numCache>
                <c:formatCode>0</c:formatCode>
                <c:ptCount val="108"/>
                <c:pt idx="0">
                  <c:v>26.574919999999999</c:v>
                </c:pt>
                <c:pt idx="1">
                  <c:v>29.792449999999999</c:v>
                </c:pt>
                <c:pt idx="2">
                  <c:v>22.83306</c:v>
                </c:pt>
                <c:pt idx="3">
                  <c:v>42.834069999999997</c:v>
                </c:pt>
                <c:pt idx="4">
                  <c:v>41.963900000000002</c:v>
                </c:pt>
                <c:pt idx="5">
                  <c:v>36.481630000000003</c:v>
                </c:pt>
                <c:pt idx="6">
                  <c:v>35.898200000000003</c:v>
                </c:pt>
                <c:pt idx="7">
                  <c:v>35.404640000000001</c:v>
                </c:pt>
                <c:pt idx="8">
                  <c:v>23.12547</c:v>
                </c:pt>
                <c:pt idx="9">
                  <c:v>19.487939999999998</c:v>
                </c:pt>
                <c:pt idx="10">
                  <c:v>55.008459999999999</c:v>
                </c:pt>
                <c:pt idx="11">
                  <c:v>26.755120000000002</c:v>
                </c:pt>
                <c:pt idx="12">
                  <c:v>27.6096</c:v>
                </c:pt>
                <c:pt idx="13">
                  <c:v>30.730609999999999</c:v>
                </c:pt>
                <c:pt idx="14">
                  <c:v>39.928759999999997</c:v>
                </c:pt>
                <c:pt idx="15">
                  <c:v>41.46011</c:v>
                </c:pt>
                <c:pt idx="16">
                  <c:v>28.80172</c:v>
                </c:pt>
                <c:pt idx="17">
                  <c:v>22.055969999999999</c:v>
                </c:pt>
                <c:pt idx="18">
                  <c:v>30.99192</c:v>
                </c:pt>
                <c:pt idx="19">
                  <c:v>20.686640000000001</c:v>
                </c:pt>
                <c:pt idx="20">
                  <c:v>52.184730000000002</c:v>
                </c:pt>
                <c:pt idx="21">
                  <c:v>29.881150000000002</c:v>
                </c:pt>
                <c:pt idx="22">
                  <c:v>28.960450000000002</c:v>
                </c:pt>
                <c:pt idx="23">
                  <c:v>31.006640000000001</c:v>
                </c:pt>
                <c:pt idx="24">
                  <c:v>31.957789999999999</c:v>
                </c:pt>
                <c:pt idx="25">
                  <c:v>30.701519999999999</c:v>
                </c:pt>
                <c:pt idx="26">
                  <c:v>14.6333</c:v>
                </c:pt>
                <c:pt idx="27">
                  <c:v>31.210429999999999</c:v>
                </c:pt>
                <c:pt idx="28">
                  <c:v>29.970330000000001</c:v>
                </c:pt>
                <c:pt idx="29">
                  <c:v>26.216419999999999</c:v>
                </c:pt>
                <c:pt idx="30">
                  <c:v>80.354770000000002</c:v>
                </c:pt>
                <c:pt idx="31">
                  <c:v>25.145820000000001</c:v>
                </c:pt>
                <c:pt idx="32">
                  <c:v>23.51792</c:v>
                </c:pt>
                <c:pt idx="33">
                  <c:v>89.967879999999994</c:v>
                </c:pt>
                <c:pt idx="34">
                  <c:v>26.697880000000001</c:v>
                </c:pt>
                <c:pt idx="35">
                  <c:v>35.513579999999997</c:v>
                </c:pt>
                <c:pt idx="36">
                  <c:v>32.86271</c:v>
                </c:pt>
                <c:pt idx="37">
                  <c:v>27.229340000000001</c:v>
                </c:pt>
                <c:pt idx="38">
                  <c:v>23.529209999999999</c:v>
                </c:pt>
                <c:pt idx="39">
                  <c:v>27.146840000000001</c:v>
                </c:pt>
                <c:pt idx="40">
                  <c:v>19.950230000000001</c:v>
                </c:pt>
                <c:pt idx="41">
                  <c:v>29.531600000000001</c:v>
                </c:pt>
                <c:pt idx="42">
                  <c:v>22.478580000000001</c:v>
                </c:pt>
                <c:pt idx="43">
                  <c:v>18.968920000000001</c:v>
                </c:pt>
                <c:pt idx="44">
                  <c:v>30.624860000000002</c:v>
                </c:pt>
                <c:pt idx="45">
                  <c:v>27.661180000000002</c:v>
                </c:pt>
                <c:pt idx="46">
                  <c:v>28.201450000000001</c:v>
                </c:pt>
                <c:pt idx="47">
                  <c:v>23.971959999999999</c:v>
                </c:pt>
                <c:pt idx="48">
                  <c:v>23.999369999999999</c:v>
                </c:pt>
                <c:pt idx="49">
                  <c:v>38.489800000000002</c:v>
                </c:pt>
                <c:pt idx="50">
                  <c:v>49.844749999999998</c:v>
                </c:pt>
                <c:pt idx="51">
                  <c:v>21.681059999999999</c:v>
                </c:pt>
                <c:pt idx="52">
                  <c:v>23.829440000000002</c:v>
                </c:pt>
                <c:pt idx="53">
                  <c:v>45.831780000000002</c:v>
                </c:pt>
                <c:pt idx="54">
                  <c:v>29.898890000000002</c:v>
                </c:pt>
                <c:pt idx="55">
                  <c:v>30.830909999999999</c:v>
                </c:pt>
                <c:pt idx="56">
                  <c:v>29.769179999999999</c:v>
                </c:pt>
                <c:pt idx="57">
                  <c:v>75.813959999999994</c:v>
                </c:pt>
                <c:pt idx="58">
                  <c:v>43.622720000000001</c:v>
                </c:pt>
                <c:pt idx="59">
                  <c:v>33.273209999999999</c:v>
                </c:pt>
                <c:pt idx="60">
                  <c:v>44.987189999999998</c:v>
                </c:pt>
                <c:pt idx="61">
                  <c:v>72.865679999999998</c:v>
                </c:pt>
                <c:pt idx="62">
                  <c:v>25.64828</c:v>
                </c:pt>
                <c:pt idx="63">
                  <c:v>20.363710000000001</c:v>
                </c:pt>
                <c:pt idx="64">
                  <c:v>45.637050000000002</c:v>
                </c:pt>
                <c:pt idx="65">
                  <c:v>37.689300000000003</c:v>
                </c:pt>
                <c:pt idx="66">
                  <c:v>17.36101</c:v>
                </c:pt>
                <c:pt idx="67">
                  <c:v>24.152450000000002</c:v>
                </c:pt>
                <c:pt idx="68">
                  <c:v>42.602739999999997</c:v>
                </c:pt>
                <c:pt idx="69">
                  <c:v>26.533100000000001</c:v>
                </c:pt>
                <c:pt idx="70">
                  <c:v>36.65549</c:v>
                </c:pt>
                <c:pt idx="71">
                  <c:v>37.551670000000001</c:v>
                </c:pt>
                <c:pt idx="72">
                  <c:v>37.81082</c:v>
                </c:pt>
                <c:pt idx="73">
                  <c:v>24.207979999999999</c:v>
                </c:pt>
                <c:pt idx="74">
                  <c:v>23.640219999999999</c:v>
                </c:pt>
                <c:pt idx="75">
                  <c:v>40.260689999999997</c:v>
                </c:pt>
                <c:pt idx="76">
                  <c:v>16.308479999999999</c:v>
                </c:pt>
                <c:pt idx="77">
                  <c:v>17.90175</c:v>
                </c:pt>
                <c:pt idx="78">
                  <c:v>18.235289999999999</c:v>
                </c:pt>
                <c:pt idx="79">
                  <c:v>41.109929999999999</c:v>
                </c:pt>
                <c:pt idx="80">
                  <c:v>33.186210000000003</c:v>
                </c:pt>
                <c:pt idx="81">
                  <c:v>17.665649999999999</c:v>
                </c:pt>
                <c:pt idx="82">
                  <c:v>33.870399999999997</c:v>
                </c:pt>
                <c:pt idx="83">
                  <c:v>40.109070000000003</c:v>
                </c:pt>
                <c:pt idx="84">
                  <c:v>40.441809999999997</c:v>
                </c:pt>
                <c:pt idx="85">
                  <c:v>29.23255</c:v>
                </c:pt>
                <c:pt idx="86">
                  <c:v>46.802140000000001</c:v>
                </c:pt>
                <c:pt idx="87">
                  <c:v>42.362209999999997</c:v>
                </c:pt>
                <c:pt idx="88">
                  <c:v>25.007349999999999</c:v>
                </c:pt>
                <c:pt idx="89">
                  <c:v>36.00347</c:v>
                </c:pt>
                <c:pt idx="90">
                  <c:v>30.230779999999999</c:v>
                </c:pt>
                <c:pt idx="91">
                  <c:v>31.025230000000001</c:v>
                </c:pt>
                <c:pt idx="92">
                  <c:v>34.015410000000003</c:v>
                </c:pt>
                <c:pt idx="93">
                  <c:v>24.848710000000001</c:v>
                </c:pt>
                <c:pt idx="94">
                  <c:v>21.98077</c:v>
                </c:pt>
                <c:pt idx="95">
                  <c:v>43.002090000000003</c:v>
                </c:pt>
                <c:pt idx="96">
                  <c:v>32.437019999999997</c:v>
                </c:pt>
                <c:pt idx="97">
                  <c:v>31.53464</c:v>
                </c:pt>
                <c:pt idx="98">
                  <c:v>16.085760000000001</c:v>
                </c:pt>
                <c:pt idx="99">
                  <c:v>54.51726</c:v>
                </c:pt>
                <c:pt idx="100">
                  <c:v>26.510649999999998</c:v>
                </c:pt>
                <c:pt idx="101">
                  <c:v>34.783859999999997</c:v>
                </c:pt>
                <c:pt idx="102">
                  <c:v>21.325369999999999</c:v>
                </c:pt>
                <c:pt idx="103">
                  <c:v>20.28698</c:v>
                </c:pt>
                <c:pt idx="104">
                  <c:v>71.454669999999993</c:v>
                </c:pt>
                <c:pt idx="105">
                  <c:v>47.310490000000001</c:v>
                </c:pt>
                <c:pt idx="106">
                  <c:v>37.682319999999997</c:v>
                </c:pt>
                <c:pt idx="107">
                  <c:v>53.590969999999999</c:v>
                </c:pt>
              </c:numCache>
            </c:numRef>
          </c:yVal>
          <c:smooth val="0"/>
          <c:extLst>
            <c:ext xmlns:c16="http://schemas.microsoft.com/office/drawing/2014/chart" uri="{C3380CC4-5D6E-409C-BE32-E72D297353CC}">
              <c16:uniqueId val="{00000000-EDEC-4F59-949A-9BE5866C5BAD}"/>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Driftsutgifter!$P$253:$P$355</c:f>
              <c:numCache>
                <c:formatCode>0</c:formatCode>
                <c:ptCount val="103"/>
                <c:pt idx="0">
                  <c:v>27.19877</c:v>
                </c:pt>
                <c:pt idx="1">
                  <c:v>25.447130000000001</c:v>
                </c:pt>
                <c:pt idx="2">
                  <c:v>14.257339999999999</c:v>
                </c:pt>
                <c:pt idx="3">
                  <c:v>18.2331</c:v>
                </c:pt>
                <c:pt idx="4">
                  <c:v>21.19333</c:v>
                </c:pt>
                <c:pt idx="5">
                  <c:v>34.392589999999998</c:v>
                </c:pt>
                <c:pt idx="6">
                  <c:v>19.77712</c:v>
                </c:pt>
                <c:pt idx="7">
                  <c:v>18.74898</c:v>
                </c:pt>
                <c:pt idx="8">
                  <c:v>26.558859999999999</c:v>
                </c:pt>
                <c:pt idx="9">
                  <c:v>21.149139999999999</c:v>
                </c:pt>
                <c:pt idx="10">
                  <c:v>19.301939999999998</c:v>
                </c:pt>
                <c:pt idx="11">
                  <c:v>21.923670000000001</c:v>
                </c:pt>
                <c:pt idx="12">
                  <c:v>20.798950000000001</c:v>
                </c:pt>
                <c:pt idx="13">
                  <c:v>16.306750000000001</c:v>
                </c:pt>
                <c:pt idx="14">
                  <c:v>26.41817</c:v>
                </c:pt>
                <c:pt idx="15">
                  <c:v>21.501359999999998</c:v>
                </c:pt>
                <c:pt idx="16">
                  <c:v>30.046759999999999</c:v>
                </c:pt>
                <c:pt idx="17">
                  <c:v>20.651869999999999</c:v>
                </c:pt>
                <c:pt idx="18">
                  <c:v>26.352720000000001</c:v>
                </c:pt>
                <c:pt idx="19">
                  <c:v>22.503440000000001</c:v>
                </c:pt>
                <c:pt idx="20">
                  <c:v>24.270800000000001</c:v>
                </c:pt>
                <c:pt idx="21">
                  <c:v>18.050850000000001</c:v>
                </c:pt>
                <c:pt idx="22">
                  <c:v>25.37304</c:v>
                </c:pt>
                <c:pt idx="23">
                  <c:v>16.273219999999998</c:v>
                </c:pt>
                <c:pt idx="24">
                  <c:v>20.1739</c:v>
                </c:pt>
                <c:pt idx="25">
                  <c:v>18.816780000000001</c:v>
                </c:pt>
                <c:pt idx="26">
                  <c:v>18.13205</c:v>
                </c:pt>
                <c:pt idx="27">
                  <c:v>18.291340000000002</c:v>
                </c:pt>
                <c:pt idx="28">
                  <c:v>23.1004</c:v>
                </c:pt>
                <c:pt idx="29">
                  <c:v>18.59891</c:v>
                </c:pt>
                <c:pt idx="30">
                  <c:v>34.589759999999998</c:v>
                </c:pt>
                <c:pt idx="31">
                  <c:v>15.068949999999999</c:v>
                </c:pt>
                <c:pt idx="32">
                  <c:v>13.501519999999999</c:v>
                </c:pt>
                <c:pt idx="33">
                  <c:v>16.343229999999998</c:v>
                </c:pt>
                <c:pt idx="34">
                  <c:v>15.99784</c:v>
                </c:pt>
                <c:pt idx="35">
                  <c:v>25.233720000000002</c:v>
                </c:pt>
                <c:pt idx="36">
                  <c:v>25.02467</c:v>
                </c:pt>
                <c:pt idx="37">
                  <c:v>30.03436</c:v>
                </c:pt>
                <c:pt idx="38">
                  <c:v>25.342199999999998</c:v>
                </c:pt>
                <c:pt idx="39">
                  <c:v>18.903880000000001</c:v>
                </c:pt>
                <c:pt idx="40">
                  <c:v>21.703939999999999</c:v>
                </c:pt>
                <c:pt idx="41">
                  <c:v>17.326589999999999</c:v>
                </c:pt>
                <c:pt idx="42">
                  <c:v>33.695839999999997</c:v>
                </c:pt>
                <c:pt idx="43">
                  <c:v>19.284310000000001</c:v>
                </c:pt>
                <c:pt idx="44">
                  <c:v>16.88655</c:v>
                </c:pt>
                <c:pt idx="45">
                  <c:v>17.495629999999998</c:v>
                </c:pt>
                <c:pt idx="46">
                  <c:v>20.973009999999999</c:v>
                </c:pt>
                <c:pt idx="47">
                  <c:v>20.848140000000001</c:v>
                </c:pt>
                <c:pt idx="48">
                  <c:v>20.846769999999999</c:v>
                </c:pt>
                <c:pt idx="49">
                  <c:v>20.986039999999999</c:v>
                </c:pt>
                <c:pt idx="50">
                  <c:v>15.03866</c:v>
                </c:pt>
                <c:pt idx="51">
                  <c:v>22.954260000000001</c:v>
                </c:pt>
                <c:pt idx="52">
                  <c:v>18.331689999999998</c:v>
                </c:pt>
                <c:pt idx="53">
                  <c:v>33.424930000000003</c:v>
                </c:pt>
                <c:pt idx="54">
                  <c:v>20.177379999999999</c:v>
                </c:pt>
                <c:pt idx="55">
                  <c:v>21.563490000000002</c:v>
                </c:pt>
                <c:pt idx="56">
                  <c:v>20.410820000000001</c:v>
                </c:pt>
                <c:pt idx="57">
                  <c:v>25.825209999999998</c:v>
                </c:pt>
                <c:pt idx="58">
                  <c:v>23.224969999999999</c:v>
                </c:pt>
                <c:pt idx="59">
                  <c:v>26.765419999999999</c:v>
                </c:pt>
                <c:pt idx="60">
                  <c:v>21.857959999999999</c:v>
                </c:pt>
                <c:pt idx="61">
                  <c:v>46.918599999999998</c:v>
                </c:pt>
                <c:pt idx="62">
                  <c:v>29.22288</c:v>
                </c:pt>
                <c:pt idx="63">
                  <c:v>21.211770000000001</c:v>
                </c:pt>
                <c:pt idx="64">
                  <c:v>19.843599999999999</c:v>
                </c:pt>
                <c:pt idx="65">
                  <c:v>15.538489999999999</c:v>
                </c:pt>
                <c:pt idx="66">
                  <c:v>24.042269999999998</c:v>
                </c:pt>
                <c:pt idx="67">
                  <c:v>25.06549</c:v>
                </c:pt>
                <c:pt idx="68">
                  <c:v>24.922820000000002</c:v>
                </c:pt>
                <c:pt idx="69">
                  <c:v>26.28876</c:v>
                </c:pt>
                <c:pt idx="70">
                  <c:v>32.552689999999998</c:v>
                </c:pt>
                <c:pt idx="71">
                  <c:v>34.244219999999999</c:v>
                </c:pt>
                <c:pt idx="72">
                  <c:v>25.053719999999998</c:v>
                </c:pt>
                <c:pt idx="73">
                  <c:v>24.840669999999999</c:v>
                </c:pt>
                <c:pt idx="74">
                  <c:v>24.18665</c:v>
                </c:pt>
                <c:pt idx="75">
                  <c:v>22.988409999999998</c:v>
                </c:pt>
                <c:pt idx="76">
                  <c:v>23.718620000000001</c:v>
                </c:pt>
                <c:pt idx="77">
                  <c:v>19.492159999999998</c:v>
                </c:pt>
                <c:pt idx="78">
                  <c:v>16.857700000000001</c:v>
                </c:pt>
                <c:pt idx="79">
                  <c:v>25.589130000000001</c:v>
                </c:pt>
                <c:pt idx="80">
                  <c:v>23.371259999999999</c:v>
                </c:pt>
                <c:pt idx="81">
                  <c:v>22.43084</c:v>
                </c:pt>
                <c:pt idx="82">
                  <c:v>19.938929999999999</c:v>
                </c:pt>
                <c:pt idx="83">
                  <c:v>21.639720000000001</c:v>
                </c:pt>
                <c:pt idx="84">
                  <c:v>19.627300000000002</c:v>
                </c:pt>
                <c:pt idx="85">
                  <c:v>23.755579999999998</c:v>
                </c:pt>
                <c:pt idx="86">
                  <c:v>20.793130000000001</c:v>
                </c:pt>
                <c:pt idx="87">
                  <c:v>32.25047</c:v>
                </c:pt>
                <c:pt idx="88">
                  <c:v>21.402609999999999</c:v>
                </c:pt>
                <c:pt idx="89">
                  <c:v>54.799599999999998</c:v>
                </c:pt>
                <c:pt idx="90">
                  <c:v>16.65671</c:v>
                </c:pt>
                <c:pt idx="91">
                  <c:v>15.01666</c:v>
                </c:pt>
                <c:pt idx="92">
                  <c:v>28.207429999999999</c:v>
                </c:pt>
                <c:pt idx="93">
                  <c:v>36.270359999999997</c:v>
                </c:pt>
                <c:pt idx="94">
                  <c:v>26.89012</c:v>
                </c:pt>
                <c:pt idx="95">
                  <c:v>19.487349999999999</c:v>
                </c:pt>
                <c:pt idx="96">
                  <c:v>27.962309999999999</c:v>
                </c:pt>
                <c:pt idx="97">
                  <c:v>23.3599</c:v>
                </c:pt>
                <c:pt idx="98">
                  <c:v>35.109020000000001</c:v>
                </c:pt>
                <c:pt idx="99">
                  <c:v>24.645659999999999</c:v>
                </c:pt>
                <c:pt idx="100">
                  <c:v>25.302140000000001</c:v>
                </c:pt>
                <c:pt idx="101">
                  <c:v>50.153599999999997</c:v>
                </c:pt>
                <c:pt idx="102">
                  <c:v>25.960840000000001</c:v>
                </c:pt>
              </c:numCache>
            </c:numRef>
          </c:yVal>
          <c:smooth val="0"/>
          <c:extLst>
            <c:ext xmlns:c16="http://schemas.microsoft.com/office/drawing/2014/chart" uri="{C3380CC4-5D6E-409C-BE32-E72D297353CC}">
              <c16:uniqueId val="{00000001-EDEC-4F59-949A-9BE5866C5BAD}"/>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Driftsutgifter!$P$356:$P$420</c:f>
              <c:numCache>
                <c:formatCode>0</c:formatCode>
                <c:ptCount val="65"/>
                <c:pt idx="0">
                  <c:v>23.786180000000002</c:v>
                </c:pt>
                <c:pt idx="1">
                  <c:v>16.344380000000001</c:v>
                </c:pt>
                <c:pt idx="2">
                  <c:v>11.30879</c:v>
                </c:pt>
                <c:pt idx="3">
                  <c:v>22.148520000000001</c:v>
                </c:pt>
                <c:pt idx="4">
                  <c:v>17.094619999999999</c:v>
                </c:pt>
                <c:pt idx="5">
                  <c:v>25.69258</c:v>
                </c:pt>
                <c:pt idx="6">
                  <c:v>18.277850000000001</c:v>
                </c:pt>
                <c:pt idx="7">
                  <c:v>16.196770000000001</c:v>
                </c:pt>
                <c:pt idx="8">
                  <c:v>23.625889999999998</c:v>
                </c:pt>
                <c:pt idx="9">
                  <c:v>21.718579999999999</c:v>
                </c:pt>
                <c:pt idx="10">
                  <c:v>19.20729</c:v>
                </c:pt>
                <c:pt idx="11">
                  <c:v>21.434280000000001</c:v>
                </c:pt>
                <c:pt idx="12">
                  <c:v>19.816510000000001</c:v>
                </c:pt>
                <c:pt idx="13">
                  <c:v>16.24335</c:v>
                </c:pt>
                <c:pt idx="14">
                  <c:v>21.048110000000001</c:v>
                </c:pt>
                <c:pt idx="15">
                  <c:v>21.34366</c:v>
                </c:pt>
                <c:pt idx="16">
                  <c:v>20.254860000000001</c:v>
                </c:pt>
                <c:pt idx="17">
                  <c:v>18.128520000000002</c:v>
                </c:pt>
                <c:pt idx="18">
                  <c:v>18.637360000000001</c:v>
                </c:pt>
                <c:pt idx="19">
                  <c:v>16.453469999999999</c:v>
                </c:pt>
                <c:pt idx="20">
                  <c:v>19.292149999999999</c:v>
                </c:pt>
                <c:pt idx="21">
                  <c:v>18.857019999999999</c:v>
                </c:pt>
                <c:pt idx="22">
                  <c:v>14.610569999999999</c:v>
                </c:pt>
                <c:pt idx="23">
                  <c:v>24.796320000000001</c:v>
                </c:pt>
                <c:pt idx="24">
                  <c:v>29.44068</c:v>
                </c:pt>
                <c:pt idx="25">
                  <c:v>22.83943</c:v>
                </c:pt>
                <c:pt idx="26">
                  <c:v>14.335570000000001</c:v>
                </c:pt>
                <c:pt idx="27">
                  <c:v>25.168379999999999</c:v>
                </c:pt>
                <c:pt idx="28">
                  <c:v>16.943670000000001</c:v>
                </c:pt>
                <c:pt idx="29">
                  <c:v>25.343990000000002</c:v>
                </c:pt>
                <c:pt idx="30">
                  <c:v>20.051480000000002</c:v>
                </c:pt>
                <c:pt idx="31">
                  <c:v>20.879190000000001</c:v>
                </c:pt>
                <c:pt idx="32">
                  <c:v>14.792870000000001</c:v>
                </c:pt>
                <c:pt idx="33">
                  <c:v>17.864920000000001</c:v>
                </c:pt>
                <c:pt idx="34">
                  <c:v>12.42478</c:v>
                </c:pt>
                <c:pt idx="35">
                  <c:v>16.252500000000001</c:v>
                </c:pt>
                <c:pt idx="36">
                  <c:v>16.256730000000001</c:v>
                </c:pt>
                <c:pt idx="37">
                  <c:v>16.692740000000001</c:v>
                </c:pt>
                <c:pt idx="38">
                  <c:v>19.70823</c:v>
                </c:pt>
                <c:pt idx="39">
                  <c:v>51.353580000000001</c:v>
                </c:pt>
                <c:pt idx="40">
                  <c:v>19.057559999999999</c:v>
                </c:pt>
                <c:pt idx="41">
                  <c:v>24.948879999999999</c:v>
                </c:pt>
                <c:pt idx="42">
                  <c:v>11.413</c:v>
                </c:pt>
                <c:pt idx="43">
                  <c:v>18.285019999999999</c:v>
                </c:pt>
                <c:pt idx="44">
                  <c:v>21.432790000000001</c:v>
                </c:pt>
                <c:pt idx="45">
                  <c:v>23.18168</c:v>
                </c:pt>
                <c:pt idx="46">
                  <c:v>17.927140000000001</c:v>
                </c:pt>
                <c:pt idx="47">
                  <c:v>17.969830000000002</c:v>
                </c:pt>
                <c:pt idx="48">
                  <c:v>22.260100000000001</c:v>
                </c:pt>
                <c:pt idx="49">
                  <c:v>24.133649999999999</c:v>
                </c:pt>
                <c:pt idx="50">
                  <c:v>13.78641</c:v>
                </c:pt>
                <c:pt idx="51">
                  <c:v>17.708839999999999</c:v>
                </c:pt>
                <c:pt idx="52">
                  <c:v>18.343959999999999</c:v>
                </c:pt>
                <c:pt idx="53">
                  <c:v>16.005279999999999</c:v>
                </c:pt>
                <c:pt idx="54">
                  <c:v>20.45309</c:v>
                </c:pt>
                <c:pt idx="55">
                  <c:v>14.521610000000001</c:v>
                </c:pt>
                <c:pt idx="56">
                  <c:v>18.617039999999999</c:v>
                </c:pt>
                <c:pt idx="57">
                  <c:v>21.3673</c:v>
                </c:pt>
                <c:pt idx="58">
                  <c:v>18.73113</c:v>
                </c:pt>
                <c:pt idx="59">
                  <c:v>21.291740000000001</c:v>
                </c:pt>
                <c:pt idx="60">
                  <c:v>19.223240000000001</c:v>
                </c:pt>
                <c:pt idx="61">
                  <c:v>21.521830000000001</c:v>
                </c:pt>
                <c:pt idx="62">
                  <c:v>13.57147</c:v>
                </c:pt>
                <c:pt idx="63">
                  <c:v>16.16461</c:v>
                </c:pt>
                <c:pt idx="64">
                  <c:v>17.15089</c:v>
                </c:pt>
              </c:numCache>
            </c:numRef>
          </c:yVal>
          <c:smooth val="0"/>
          <c:extLst>
            <c:ext xmlns:c16="http://schemas.microsoft.com/office/drawing/2014/chart" uri="{C3380CC4-5D6E-409C-BE32-E72D297353CC}">
              <c16:uniqueId val="{00000002-EDEC-4F59-949A-9BE5866C5BAD}"/>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Driftsutgifter!$P$421:$P$474</c:f>
              <c:numCache>
                <c:formatCode>0</c:formatCode>
                <c:ptCount val="54"/>
                <c:pt idx="0">
                  <c:v>18.149750000000001</c:v>
                </c:pt>
                <c:pt idx="1">
                  <c:v>17.999870000000001</c:v>
                </c:pt>
                <c:pt idx="2">
                  <c:v>16.129770000000001</c:v>
                </c:pt>
                <c:pt idx="3">
                  <c:v>13.585369999999999</c:v>
                </c:pt>
                <c:pt idx="4">
                  <c:v>21.643470000000001</c:v>
                </c:pt>
                <c:pt idx="5">
                  <c:v>19.442039999999999</c:v>
                </c:pt>
                <c:pt idx="6">
                  <c:v>15.46008</c:v>
                </c:pt>
                <c:pt idx="7">
                  <c:v>11.98643</c:v>
                </c:pt>
                <c:pt idx="8">
                  <c:v>14.59136</c:v>
                </c:pt>
                <c:pt idx="9">
                  <c:v>17.094339999999999</c:v>
                </c:pt>
                <c:pt idx="10">
                  <c:v>66.412030000000001</c:v>
                </c:pt>
                <c:pt idx="11">
                  <c:v>17.90523</c:v>
                </c:pt>
                <c:pt idx="12">
                  <c:v>16.634039999999999</c:v>
                </c:pt>
                <c:pt idx="13">
                  <c:v>20.10153</c:v>
                </c:pt>
                <c:pt idx="14">
                  <c:v>14.861409999999999</c:v>
                </c:pt>
                <c:pt idx="15">
                  <c:v>15.090909999999999</c:v>
                </c:pt>
                <c:pt idx="16">
                  <c:v>18.165479999999999</c:v>
                </c:pt>
                <c:pt idx="17">
                  <c:v>14.629860000000001</c:v>
                </c:pt>
                <c:pt idx="18">
                  <c:v>14.94436</c:v>
                </c:pt>
                <c:pt idx="19">
                  <c:v>18.766559999999998</c:v>
                </c:pt>
                <c:pt idx="20">
                  <c:v>14.493180000000001</c:v>
                </c:pt>
                <c:pt idx="21">
                  <c:v>18.396380000000001</c:v>
                </c:pt>
                <c:pt idx="22">
                  <c:v>16.464279999999999</c:v>
                </c:pt>
                <c:pt idx="23">
                  <c:v>18.866440000000001</c:v>
                </c:pt>
                <c:pt idx="24">
                  <c:v>13.57452</c:v>
                </c:pt>
                <c:pt idx="25">
                  <c:v>23.458829999999999</c:v>
                </c:pt>
                <c:pt idx="26">
                  <c:v>15.760199999999999</c:v>
                </c:pt>
                <c:pt idx="27">
                  <c:v>12.427899999999999</c:v>
                </c:pt>
                <c:pt idx="28">
                  <c:v>19.200279999999999</c:v>
                </c:pt>
                <c:pt idx="29">
                  <c:v>12.89899</c:v>
                </c:pt>
                <c:pt idx="30">
                  <c:v>13.44082</c:v>
                </c:pt>
                <c:pt idx="31">
                  <c:v>11.03759</c:v>
                </c:pt>
                <c:pt idx="32">
                  <c:v>16.900759999999998</c:v>
                </c:pt>
                <c:pt idx="33">
                  <c:v>17.077179999999998</c:v>
                </c:pt>
                <c:pt idx="34">
                  <c:v>17.381550000000001</c:v>
                </c:pt>
                <c:pt idx="35">
                  <c:v>16.315159999999999</c:v>
                </c:pt>
                <c:pt idx="36">
                  <c:v>20.4313</c:v>
                </c:pt>
                <c:pt idx="37">
                  <c:v>17.382580000000001</c:v>
                </c:pt>
                <c:pt idx="38">
                  <c:v>20.9026</c:v>
                </c:pt>
                <c:pt idx="39">
                  <c:v>14.290570000000001</c:v>
                </c:pt>
                <c:pt idx="40">
                  <c:v>10.92658</c:v>
                </c:pt>
                <c:pt idx="41">
                  <c:v>20.284990000000001</c:v>
                </c:pt>
                <c:pt idx="42">
                  <c:v>17.780249999999999</c:v>
                </c:pt>
                <c:pt idx="43">
                  <c:v>13.089259999999999</c:v>
                </c:pt>
                <c:pt idx="44">
                  <c:v>16.882580000000001</c:v>
                </c:pt>
                <c:pt idx="45">
                  <c:v>18.839089999999999</c:v>
                </c:pt>
                <c:pt idx="46">
                  <c:v>17.173269999999999</c:v>
                </c:pt>
                <c:pt idx="47">
                  <c:v>19.498449999999998</c:v>
                </c:pt>
                <c:pt idx="48">
                  <c:v>16.422499999999999</c:v>
                </c:pt>
                <c:pt idx="49">
                  <c:v>16.136340000000001</c:v>
                </c:pt>
                <c:pt idx="50">
                  <c:v>14.07006</c:v>
                </c:pt>
                <c:pt idx="51">
                  <c:v>13.086320000000001</c:v>
                </c:pt>
                <c:pt idx="52">
                  <c:v>11.7705</c:v>
                </c:pt>
                <c:pt idx="53">
                  <c:v>11.086309999999999</c:v>
                </c:pt>
              </c:numCache>
            </c:numRef>
          </c:yVal>
          <c:smooth val="0"/>
          <c:extLst>
            <c:ext xmlns:c16="http://schemas.microsoft.com/office/drawing/2014/chart" uri="{C3380CC4-5D6E-409C-BE32-E72D297353CC}">
              <c16:uniqueId val="{00000003-EDEC-4F59-949A-9BE5866C5BAD}"/>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Driftsutgifter!$P$475:$P$495</c:f>
              <c:numCache>
                <c:formatCode>0</c:formatCode>
                <c:ptCount val="21"/>
                <c:pt idx="0">
                  <c:v>21.347200000000001</c:v>
                </c:pt>
                <c:pt idx="1">
                  <c:v>24.709440000000001</c:v>
                </c:pt>
                <c:pt idx="2">
                  <c:v>18.524989999999999</c:v>
                </c:pt>
                <c:pt idx="3">
                  <c:v>22.427209999999999</c:v>
                </c:pt>
                <c:pt idx="4">
                  <c:v>16.810880000000001</c:v>
                </c:pt>
                <c:pt idx="5">
                  <c:v>21.34892</c:v>
                </c:pt>
                <c:pt idx="6">
                  <c:v>15.22533</c:v>
                </c:pt>
                <c:pt idx="7">
                  <c:v>16.514410000000002</c:v>
                </c:pt>
                <c:pt idx="8">
                  <c:v>15.25896</c:v>
                </c:pt>
                <c:pt idx="9">
                  <c:v>18.684999999999999</c:v>
                </c:pt>
                <c:pt idx="10">
                  <c:v>13.95072</c:v>
                </c:pt>
                <c:pt idx="11">
                  <c:v>12.138909999999999</c:v>
                </c:pt>
                <c:pt idx="12">
                  <c:v>18.721119999999999</c:v>
                </c:pt>
                <c:pt idx="13">
                  <c:v>18.755220000000001</c:v>
                </c:pt>
                <c:pt idx="14">
                  <c:v>16.655080000000002</c:v>
                </c:pt>
                <c:pt idx="15">
                  <c:v>15.982329999999999</c:v>
                </c:pt>
                <c:pt idx="16">
                  <c:v>29.150980000000001</c:v>
                </c:pt>
                <c:pt idx="17">
                  <c:v>18.682780000000001</c:v>
                </c:pt>
                <c:pt idx="18">
                  <c:v>17.528500000000001</c:v>
                </c:pt>
                <c:pt idx="19">
                  <c:v>21.114850000000001</c:v>
                </c:pt>
                <c:pt idx="20">
                  <c:v>15.44664</c:v>
                </c:pt>
              </c:numCache>
            </c:numRef>
          </c:yVal>
          <c:smooth val="0"/>
          <c:extLst>
            <c:ext xmlns:c16="http://schemas.microsoft.com/office/drawing/2014/chart" uri="{C3380CC4-5D6E-409C-BE32-E72D297353CC}">
              <c16:uniqueId val="{00000004-EDEC-4F59-949A-9BE5866C5BAD}"/>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Driftsutgifter!$P$496:$P$500</c:f>
              <c:numCache>
                <c:formatCode>0</c:formatCode>
                <c:ptCount val="5"/>
                <c:pt idx="0">
                  <c:v>24.69717</c:v>
                </c:pt>
                <c:pt idx="1">
                  <c:v>22.15964</c:v>
                </c:pt>
                <c:pt idx="2">
                  <c:v>19.077120000000001</c:v>
                </c:pt>
                <c:pt idx="3">
                  <c:v>22.22167</c:v>
                </c:pt>
                <c:pt idx="4">
                  <c:v>17.416930000000001</c:v>
                </c:pt>
              </c:numCache>
            </c:numRef>
          </c:yVal>
          <c:smooth val="0"/>
          <c:extLst>
            <c:ext xmlns:c16="http://schemas.microsoft.com/office/drawing/2014/chart" uri="{C3380CC4-5D6E-409C-BE32-E72D297353CC}">
              <c16:uniqueId val="{00000005-EDEC-4F59-949A-9BE5866C5BAD}"/>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(11) Kapsl. og rk.,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Driftsutgifter!$Q$145:$Q$252</c:f>
              <c:numCache>
                <c:formatCode>0</c:formatCode>
                <c:ptCount val="108"/>
                <c:pt idx="0">
                  <c:v>19.058779999999999</c:v>
                </c:pt>
                <c:pt idx="1">
                  <c:v>22.36016</c:v>
                </c:pt>
                <c:pt idx="2">
                  <c:v>14.79781</c:v>
                </c:pt>
                <c:pt idx="3">
                  <c:v>30.93702</c:v>
                </c:pt>
                <c:pt idx="4">
                  <c:v>29.137160000000002</c:v>
                </c:pt>
                <c:pt idx="5">
                  <c:v>25.775649999999999</c:v>
                </c:pt>
                <c:pt idx="6">
                  <c:v>25.13832</c:v>
                </c:pt>
                <c:pt idx="7">
                  <c:v>25.297689999999999</c:v>
                </c:pt>
                <c:pt idx="8">
                  <c:v>16.223510000000001</c:v>
                </c:pt>
                <c:pt idx="9">
                  <c:v>14.268000000000001</c:v>
                </c:pt>
                <c:pt idx="10">
                  <c:v>38.020609999999998</c:v>
                </c:pt>
                <c:pt idx="11">
                  <c:v>19.077970000000001</c:v>
                </c:pt>
                <c:pt idx="12">
                  <c:v>21.068529999999999</c:v>
                </c:pt>
                <c:pt idx="13">
                  <c:v>23.441749999999999</c:v>
                </c:pt>
                <c:pt idx="14">
                  <c:v>26.445930000000001</c:v>
                </c:pt>
                <c:pt idx="15">
                  <c:v>31.44903</c:v>
                </c:pt>
                <c:pt idx="16">
                  <c:v>19.49288</c:v>
                </c:pt>
                <c:pt idx="17">
                  <c:v>17.466170000000002</c:v>
                </c:pt>
                <c:pt idx="18">
                  <c:v>19.8871</c:v>
                </c:pt>
                <c:pt idx="19">
                  <c:v>13.86533</c:v>
                </c:pt>
                <c:pt idx="20">
                  <c:v>36.696539999999999</c:v>
                </c:pt>
                <c:pt idx="21">
                  <c:v>21.163129999999999</c:v>
                </c:pt>
                <c:pt idx="22">
                  <c:v>18.95439</c:v>
                </c:pt>
                <c:pt idx="23">
                  <c:v>22.094650000000001</c:v>
                </c:pt>
                <c:pt idx="24">
                  <c:v>21.887560000000001</c:v>
                </c:pt>
                <c:pt idx="25">
                  <c:v>22.08841</c:v>
                </c:pt>
                <c:pt idx="26">
                  <c:v>9.972512</c:v>
                </c:pt>
                <c:pt idx="27">
                  <c:v>21.798459999999999</c:v>
                </c:pt>
                <c:pt idx="28">
                  <c:v>20.89321</c:v>
                </c:pt>
                <c:pt idx="29">
                  <c:v>18.82131</c:v>
                </c:pt>
                <c:pt idx="30">
                  <c:v>63.665680000000002</c:v>
                </c:pt>
                <c:pt idx="31">
                  <c:v>17.69679</c:v>
                </c:pt>
                <c:pt idx="32">
                  <c:v>15.50184</c:v>
                </c:pt>
                <c:pt idx="33">
                  <c:v>68.081180000000003</c:v>
                </c:pt>
                <c:pt idx="34">
                  <c:v>17.476179999999999</c:v>
                </c:pt>
                <c:pt idx="35">
                  <c:v>23.140540000000001</c:v>
                </c:pt>
                <c:pt idx="36">
                  <c:v>25.439039999999999</c:v>
                </c:pt>
                <c:pt idx="37">
                  <c:v>19.69464</c:v>
                </c:pt>
                <c:pt idx="38">
                  <c:v>18.143180000000001</c:v>
                </c:pt>
                <c:pt idx="39">
                  <c:v>20.277170000000002</c:v>
                </c:pt>
                <c:pt idx="40">
                  <c:v>14.449949999999999</c:v>
                </c:pt>
                <c:pt idx="41">
                  <c:v>20.30574</c:v>
                </c:pt>
                <c:pt idx="42">
                  <c:v>16.277719999999999</c:v>
                </c:pt>
                <c:pt idx="43">
                  <c:v>13.37696</c:v>
                </c:pt>
                <c:pt idx="44">
                  <c:v>20.786580000000001</c:v>
                </c:pt>
                <c:pt idx="45">
                  <c:v>21.749739999999999</c:v>
                </c:pt>
                <c:pt idx="46">
                  <c:v>21.876110000000001</c:v>
                </c:pt>
                <c:pt idx="47">
                  <c:v>18.128509999999999</c:v>
                </c:pt>
                <c:pt idx="48">
                  <c:v>16.75142</c:v>
                </c:pt>
                <c:pt idx="49">
                  <c:v>27.31992</c:v>
                </c:pt>
                <c:pt idx="50">
                  <c:v>39.600409999999997</c:v>
                </c:pt>
                <c:pt idx="51">
                  <c:v>15.987080000000001</c:v>
                </c:pt>
                <c:pt idx="52">
                  <c:v>15.07621</c:v>
                </c:pt>
                <c:pt idx="53">
                  <c:v>33.16619</c:v>
                </c:pt>
                <c:pt idx="54">
                  <c:v>20.250109999999999</c:v>
                </c:pt>
                <c:pt idx="55">
                  <c:v>19.77993</c:v>
                </c:pt>
                <c:pt idx="56">
                  <c:v>21.713809999999999</c:v>
                </c:pt>
                <c:pt idx="57">
                  <c:v>56.347850000000001</c:v>
                </c:pt>
                <c:pt idx="58">
                  <c:v>31.644300000000001</c:v>
                </c:pt>
                <c:pt idx="59">
                  <c:v>23.618960000000001</c:v>
                </c:pt>
                <c:pt idx="60">
                  <c:v>32.310920000000003</c:v>
                </c:pt>
                <c:pt idx="61">
                  <c:v>54.814749999999997</c:v>
                </c:pt>
                <c:pt idx="62">
                  <c:v>19.0108</c:v>
                </c:pt>
                <c:pt idx="63">
                  <c:v>13.93206</c:v>
                </c:pt>
                <c:pt idx="64">
                  <c:v>32.245719999999999</c:v>
                </c:pt>
                <c:pt idx="65">
                  <c:v>29.81287</c:v>
                </c:pt>
                <c:pt idx="66">
                  <c:v>13.22719</c:v>
                </c:pt>
                <c:pt idx="67">
                  <c:v>17.70607</c:v>
                </c:pt>
                <c:pt idx="68">
                  <c:v>28.580880000000001</c:v>
                </c:pt>
                <c:pt idx="69">
                  <c:v>18.052320000000002</c:v>
                </c:pt>
                <c:pt idx="70">
                  <c:v>24.147929999999999</c:v>
                </c:pt>
                <c:pt idx="71">
                  <c:v>26.584350000000001</c:v>
                </c:pt>
                <c:pt idx="72">
                  <c:v>26.79382</c:v>
                </c:pt>
                <c:pt idx="73">
                  <c:v>18.52656</c:v>
                </c:pt>
                <c:pt idx="74">
                  <c:v>16.34543</c:v>
                </c:pt>
                <c:pt idx="75">
                  <c:v>28.380659999999999</c:v>
                </c:pt>
                <c:pt idx="76">
                  <c:v>11.511839999999999</c:v>
                </c:pt>
                <c:pt idx="77">
                  <c:v>14.026350000000001</c:v>
                </c:pt>
                <c:pt idx="78">
                  <c:v>14.170439999999999</c:v>
                </c:pt>
                <c:pt idx="79">
                  <c:v>27.92417</c:v>
                </c:pt>
                <c:pt idx="80">
                  <c:v>22.951219999999999</c:v>
                </c:pt>
                <c:pt idx="81">
                  <c:v>11.54148</c:v>
                </c:pt>
                <c:pt idx="82">
                  <c:v>24.358630000000002</c:v>
                </c:pt>
                <c:pt idx="83">
                  <c:v>27.88984</c:v>
                </c:pt>
                <c:pt idx="84">
                  <c:v>30.395569999999999</c:v>
                </c:pt>
                <c:pt idx="85">
                  <c:v>20.073519999999998</c:v>
                </c:pt>
                <c:pt idx="86">
                  <c:v>31.604810000000001</c:v>
                </c:pt>
                <c:pt idx="87">
                  <c:v>29.26549</c:v>
                </c:pt>
                <c:pt idx="88">
                  <c:v>19.39303</c:v>
                </c:pt>
                <c:pt idx="89">
                  <c:v>25.380669999999999</c:v>
                </c:pt>
                <c:pt idx="90">
                  <c:v>20.505199999999999</c:v>
                </c:pt>
                <c:pt idx="91">
                  <c:v>21.626609999999999</c:v>
                </c:pt>
                <c:pt idx="92">
                  <c:v>23.76539</c:v>
                </c:pt>
                <c:pt idx="93">
                  <c:v>17.427910000000001</c:v>
                </c:pt>
                <c:pt idx="94">
                  <c:v>15.23019</c:v>
                </c:pt>
                <c:pt idx="95">
                  <c:v>34.658799999999999</c:v>
                </c:pt>
                <c:pt idx="96">
                  <c:v>22.1495</c:v>
                </c:pt>
                <c:pt idx="97">
                  <c:v>24.626519999999999</c:v>
                </c:pt>
                <c:pt idx="98">
                  <c:v>11.58154</c:v>
                </c:pt>
                <c:pt idx="99">
                  <c:v>40.253790000000002</c:v>
                </c:pt>
                <c:pt idx="100">
                  <c:v>20.729150000000001</c:v>
                </c:pt>
                <c:pt idx="101">
                  <c:v>23.66292</c:v>
                </c:pt>
                <c:pt idx="102">
                  <c:v>14.69786</c:v>
                </c:pt>
                <c:pt idx="103">
                  <c:v>14.35553</c:v>
                </c:pt>
                <c:pt idx="104">
                  <c:v>52.978900000000003</c:v>
                </c:pt>
                <c:pt idx="105">
                  <c:v>31.94942</c:v>
                </c:pt>
                <c:pt idx="106">
                  <c:v>27.760590000000001</c:v>
                </c:pt>
                <c:pt idx="107">
                  <c:v>35.528739999999999</c:v>
                </c:pt>
              </c:numCache>
            </c:numRef>
          </c:yVal>
          <c:smooth val="0"/>
          <c:extLst>
            <c:ext xmlns:c16="http://schemas.microsoft.com/office/drawing/2014/chart" uri="{C3380CC4-5D6E-409C-BE32-E72D297353CC}">
              <c16:uniqueId val="{00000000-2B95-4180-8624-90DEB5B8DFFB}"/>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Driftsutgifter!$Q$253:$Q$355</c:f>
              <c:numCache>
                <c:formatCode>0</c:formatCode>
                <c:ptCount val="103"/>
                <c:pt idx="0">
                  <c:v>20.070810000000002</c:v>
                </c:pt>
                <c:pt idx="1">
                  <c:v>16.68703</c:v>
                </c:pt>
                <c:pt idx="2">
                  <c:v>11.167450000000001</c:v>
                </c:pt>
                <c:pt idx="3">
                  <c:v>14.3263</c:v>
                </c:pt>
                <c:pt idx="4">
                  <c:v>14.762869999999999</c:v>
                </c:pt>
                <c:pt idx="5">
                  <c:v>23.5715</c:v>
                </c:pt>
                <c:pt idx="6">
                  <c:v>13.796749999999999</c:v>
                </c:pt>
                <c:pt idx="7">
                  <c:v>13.86694</c:v>
                </c:pt>
                <c:pt idx="8">
                  <c:v>18.61608</c:v>
                </c:pt>
                <c:pt idx="9">
                  <c:v>14.894349999999999</c:v>
                </c:pt>
                <c:pt idx="10">
                  <c:v>14.787879999999999</c:v>
                </c:pt>
                <c:pt idx="11">
                  <c:v>14.725540000000001</c:v>
                </c:pt>
                <c:pt idx="12">
                  <c:v>16.04466</c:v>
                </c:pt>
                <c:pt idx="13">
                  <c:v>11.34834</c:v>
                </c:pt>
                <c:pt idx="14">
                  <c:v>20.105630000000001</c:v>
                </c:pt>
                <c:pt idx="15">
                  <c:v>14.59216</c:v>
                </c:pt>
                <c:pt idx="16">
                  <c:v>22.728729999999999</c:v>
                </c:pt>
                <c:pt idx="17">
                  <c:v>16.21311</c:v>
                </c:pt>
                <c:pt idx="18">
                  <c:v>18.358450000000001</c:v>
                </c:pt>
                <c:pt idx="19">
                  <c:v>16.289899999999999</c:v>
                </c:pt>
                <c:pt idx="20">
                  <c:v>17.822939999999999</c:v>
                </c:pt>
                <c:pt idx="21">
                  <c:v>12.21641</c:v>
                </c:pt>
                <c:pt idx="22">
                  <c:v>19.535270000000001</c:v>
                </c:pt>
                <c:pt idx="23">
                  <c:v>12.663119999999999</c:v>
                </c:pt>
                <c:pt idx="24">
                  <c:v>13.59304</c:v>
                </c:pt>
                <c:pt idx="25">
                  <c:v>12.97345</c:v>
                </c:pt>
                <c:pt idx="26">
                  <c:v>13.668670000000001</c:v>
                </c:pt>
                <c:pt idx="27">
                  <c:v>14.14809</c:v>
                </c:pt>
                <c:pt idx="28">
                  <c:v>17.028559999999999</c:v>
                </c:pt>
                <c:pt idx="29">
                  <c:v>12.48602</c:v>
                </c:pt>
                <c:pt idx="30">
                  <c:v>23.016590000000001</c:v>
                </c:pt>
                <c:pt idx="31">
                  <c:v>11.211869999999999</c:v>
                </c:pt>
                <c:pt idx="32">
                  <c:v>10.442130000000001</c:v>
                </c:pt>
                <c:pt idx="33">
                  <c:v>12.71564</c:v>
                </c:pt>
                <c:pt idx="34">
                  <c:v>11.642950000000001</c:v>
                </c:pt>
                <c:pt idx="35">
                  <c:v>18.929130000000001</c:v>
                </c:pt>
                <c:pt idx="36">
                  <c:v>17.036799999999999</c:v>
                </c:pt>
                <c:pt idx="37">
                  <c:v>23.063780000000001</c:v>
                </c:pt>
                <c:pt idx="38">
                  <c:v>17.087060000000001</c:v>
                </c:pt>
                <c:pt idx="39">
                  <c:v>14.53645</c:v>
                </c:pt>
                <c:pt idx="40">
                  <c:v>15.48157</c:v>
                </c:pt>
                <c:pt idx="41">
                  <c:v>12.784050000000001</c:v>
                </c:pt>
                <c:pt idx="42">
                  <c:v>24.173269999999999</c:v>
                </c:pt>
                <c:pt idx="43">
                  <c:v>15.010999999999999</c:v>
                </c:pt>
                <c:pt idx="44">
                  <c:v>12.93244</c:v>
                </c:pt>
                <c:pt idx="45">
                  <c:v>13.13566</c:v>
                </c:pt>
                <c:pt idx="46">
                  <c:v>14.757580000000001</c:v>
                </c:pt>
                <c:pt idx="47">
                  <c:v>15.438510000000001</c:v>
                </c:pt>
                <c:pt idx="48">
                  <c:v>13.252280000000001</c:v>
                </c:pt>
                <c:pt idx="49">
                  <c:v>16.092449999999999</c:v>
                </c:pt>
                <c:pt idx="50">
                  <c:v>11.613530000000001</c:v>
                </c:pt>
                <c:pt idx="51">
                  <c:v>17.64274</c:v>
                </c:pt>
                <c:pt idx="52">
                  <c:v>13.59615</c:v>
                </c:pt>
                <c:pt idx="53">
                  <c:v>22.601590000000002</c:v>
                </c:pt>
                <c:pt idx="54">
                  <c:v>14.70984</c:v>
                </c:pt>
                <c:pt idx="55">
                  <c:v>15.387840000000001</c:v>
                </c:pt>
                <c:pt idx="56">
                  <c:v>16.06485</c:v>
                </c:pt>
                <c:pt idx="57">
                  <c:v>19.282820000000001</c:v>
                </c:pt>
                <c:pt idx="58">
                  <c:v>18.156459999999999</c:v>
                </c:pt>
                <c:pt idx="59">
                  <c:v>18.581050000000001</c:v>
                </c:pt>
                <c:pt idx="60">
                  <c:v>15.523910000000001</c:v>
                </c:pt>
                <c:pt idx="61">
                  <c:v>31.43608</c:v>
                </c:pt>
                <c:pt idx="62">
                  <c:v>23.10388</c:v>
                </c:pt>
                <c:pt idx="63">
                  <c:v>16.848030000000001</c:v>
                </c:pt>
                <c:pt idx="64">
                  <c:v>15.405530000000001</c:v>
                </c:pt>
                <c:pt idx="65">
                  <c:v>12.506119999999999</c:v>
                </c:pt>
                <c:pt idx="66">
                  <c:v>16.963450000000002</c:v>
                </c:pt>
                <c:pt idx="67">
                  <c:v>16.451170000000001</c:v>
                </c:pt>
                <c:pt idx="68">
                  <c:v>17.9741</c:v>
                </c:pt>
                <c:pt idx="69">
                  <c:v>17.937139999999999</c:v>
                </c:pt>
                <c:pt idx="70">
                  <c:v>23.003270000000001</c:v>
                </c:pt>
                <c:pt idx="71">
                  <c:v>24.375889999999998</c:v>
                </c:pt>
                <c:pt idx="72">
                  <c:v>16.65578</c:v>
                </c:pt>
                <c:pt idx="73">
                  <c:v>17.943439999999999</c:v>
                </c:pt>
                <c:pt idx="74">
                  <c:v>16.471820000000001</c:v>
                </c:pt>
                <c:pt idx="75">
                  <c:v>16.028500000000001</c:v>
                </c:pt>
                <c:pt idx="76">
                  <c:v>17.111540000000002</c:v>
                </c:pt>
                <c:pt idx="77">
                  <c:v>13.35012</c:v>
                </c:pt>
                <c:pt idx="78">
                  <c:v>12.93355</c:v>
                </c:pt>
                <c:pt idx="79">
                  <c:v>17.30829</c:v>
                </c:pt>
                <c:pt idx="80">
                  <c:v>16.048380000000002</c:v>
                </c:pt>
                <c:pt idx="81">
                  <c:v>16.44511</c:v>
                </c:pt>
                <c:pt idx="82">
                  <c:v>15.065099999999999</c:v>
                </c:pt>
                <c:pt idx="83">
                  <c:v>15.881209999999999</c:v>
                </c:pt>
                <c:pt idx="84">
                  <c:v>14.21754</c:v>
                </c:pt>
                <c:pt idx="85">
                  <c:v>17.478850000000001</c:v>
                </c:pt>
                <c:pt idx="86">
                  <c:v>16.804819999999999</c:v>
                </c:pt>
                <c:pt idx="87">
                  <c:v>22.805340000000001</c:v>
                </c:pt>
                <c:pt idx="88">
                  <c:v>16.080860000000001</c:v>
                </c:pt>
                <c:pt idx="89">
                  <c:v>39.717289999999998</c:v>
                </c:pt>
                <c:pt idx="90">
                  <c:v>12.601789999999999</c:v>
                </c:pt>
                <c:pt idx="91">
                  <c:v>10.054919999999999</c:v>
                </c:pt>
                <c:pt idx="92">
                  <c:v>21.30303</c:v>
                </c:pt>
                <c:pt idx="93">
                  <c:v>25.61871</c:v>
                </c:pt>
                <c:pt idx="94">
                  <c:v>18.028379999999999</c:v>
                </c:pt>
                <c:pt idx="95">
                  <c:v>14.16625</c:v>
                </c:pt>
                <c:pt idx="96">
                  <c:v>20.091259999999998</c:v>
                </c:pt>
                <c:pt idx="97">
                  <c:v>17.72561</c:v>
                </c:pt>
                <c:pt idx="98">
                  <c:v>24.435870000000001</c:v>
                </c:pt>
                <c:pt idx="99">
                  <c:v>19.224689999999999</c:v>
                </c:pt>
                <c:pt idx="100">
                  <c:v>18.558219999999999</c:v>
                </c:pt>
                <c:pt idx="101">
                  <c:v>38.7331</c:v>
                </c:pt>
                <c:pt idx="102">
                  <c:v>18.774550000000001</c:v>
                </c:pt>
              </c:numCache>
            </c:numRef>
          </c:yVal>
          <c:smooth val="0"/>
          <c:extLst>
            <c:ext xmlns:c16="http://schemas.microsoft.com/office/drawing/2014/chart" uri="{C3380CC4-5D6E-409C-BE32-E72D297353CC}">
              <c16:uniqueId val="{00000001-2B95-4180-8624-90DEB5B8DFFB}"/>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Driftsutgifter!$Q$356:$Q$420</c:f>
              <c:numCache>
                <c:formatCode>0</c:formatCode>
                <c:ptCount val="65"/>
                <c:pt idx="0">
                  <c:v>18.213539999999998</c:v>
                </c:pt>
                <c:pt idx="1">
                  <c:v>11.03697</c:v>
                </c:pt>
                <c:pt idx="2">
                  <c:v>8.5148960000000002</c:v>
                </c:pt>
                <c:pt idx="3">
                  <c:v>16.935179999999999</c:v>
                </c:pt>
                <c:pt idx="4">
                  <c:v>12.94872</c:v>
                </c:pt>
                <c:pt idx="5">
                  <c:v>18.027940000000001</c:v>
                </c:pt>
                <c:pt idx="6">
                  <c:v>14.04002</c:v>
                </c:pt>
                <c:pt idx="7">
                  <c:v>10.53482</c:v>
                </c:pt>
                <c:pt idx="8">
                  <c:v>16.080390000000001</c:v>
                </c:pt>
                <c:pt idx="9">
                  <c:v>16.757629999999999</c:v>
                </c:pt>
                <c:pt idx="10">
                  <c:v>12.83009</c:v>
                </c:pt>
                <c:pt idx="11">
                  <c:v>15.10346</c:v>
                </c:pt>
                <c:pt idx="12">
                  <c:v>13.98301</c:v>
                </c:pt>
                <c:pt idx="13">
                  <c:v>11.687620000000001</c:v>
                </c:pt>
                <c:pt idx="14">
                  <c:v>13.95659</c:v>
                </c:pt>
                <c:pt idx="15">
                  <c:v>14.70349</c:v>
                </c:pt>
                <c:pt idx="16">
                  <c:v>14.23902</c:v>
                </c:pt>
                <c:pt idx="17">
                  <c:v>12.44544</c:v>
                </c:pt>
                <c:pt idx="18">
                  <c:v>14.204789999999999</c:v>
                </c:pt>
                <c:pt idx="19">
                  <c:v>11.348459999999999</c:v>
                </c:pt>
                <c:pt idx="20">
                  <c:v>13.09186</c:v>
                </c:pt>
                <c:pt idx="21">
                  <c:v>14.36495</c:v>
                </c:pt>
                <c:pt idx="22">
                  <c:v>10.838710000000001</c:v>
                </c:pt>
                <c:pt idx="23">
                  <c:v>18.916160000000001</c:v>
                </c:pt>
                <c:pt idx="24">
                  <c:v>19.856079999999999</c:v>
                </c:pt>
                <c:pt idx="25">
                  <c:v>17.11347</c:v>
                </c:pt>
                <c:pt idx="26">
                  <c:v>11.356030000000001</c:v>
                </c:pt>
                <c:pt idx="27">
                  <c:v>18.278420000000001</c:v>
                </c:pt>
                <c:pt idx="28">
                  <c:v>12.71222</c:v>
                </c:pt>
                <c:pt idx="29">
                  <c:v>18.559370000000001</c:v>
                </c:pt>
                <c:pt idx="30">
                  <c:v>15.425800000000001</c:v>
                </c:pt>
                <c:pt idx="31">
                  <c:v>16.206630000000001</c:v>
                </c:pt>
                <c:pt idx="32">
                  <c:v>11.040789999999999</c:v>
                </c:pt>
                <c:pt idx="33">
                  <c:v>13.83882</c:v>
                </c:pt>
                <c:pt idx="34">
                  <c:v>9.60121</c:v>
                </c:pt>
                <c:pt idx="35">
                  <c:v>12.42037</c:v>
                </c:pt>
                <c:pt idx="36">
                  <c:v>12.112819999999999</c:v>
                </c:pt>
                <c:pt idx="37">
                  <c:v>12.497870000000001</c:v>
                </c:pt>
                <c:pt idx="38">
                  <c:v>14.6584</c:v>
                </c:pt>
                <c:pt idx="39">
                  <c:v>37.103259999999999</c:v>
                </c:pt>
                <c:pt idx="40">
                  <c:v>14.615869999999999</c:v>
                </c:pt>
                <c:pt idx="41">
                  <c:v>16.744219999999999</c:v>
                </c:pt>
                <c:pt idx="42">
                  <c:v>7.7819289999999999</c:v>
                </c:pt>
                <c:pt idx="43">
                  <c:v>13.959070000000001</c:v>
                </c:pt>
                <c:pt idx="44">
                  <c:v>15.64813</c:v>
                </c:pt>
                <c:pt idx="45">
                  <c:v>16.717700000000001</c:v>
                </c:pt>
                <c:pt idx="46">
                  <c:v>12.95609</c:v>
                </c:pt>
                <c:pt idx="47">
                  <c:v>12.99846</c:v>
                </c:pt>
                <c:pt idx="48">
                  <c:v>17.146930000000001</c:v>
                </c:pt>
                <c:pt idx="49">
                  <c:v>17.47598</c:v>
                </c:pt>
                <c:pt idx="50">
                  <c:v>10.32699</c:v>
                </c:pt>
                <c:pt idx="51">
                  <c:v>13.338789999999999</c:v>
                </c:pt>
                <c:pt idx="52">
                  <c:v>13.685779999999999</c:v>
                </c:pt>
                <c:pt idx="53">
                  <c:v>12.23568</c:v>
                </c:pt>
                <c:pt idx="54">
                  <c:v>13.48122</c:v>
                </c:pt>
                <c:pt idx="55">
                  <c:v>11.327500000000001</c:v>
                </c:pt>
                <c:pt idx="56">
                  <c:v>13.984450000000001</c:v>
                </c:pt>
                <c:pt idx="57">
                  <c:v>14.831200000000001</c:v>
                </c:pt>
                <c:pt idx="58">
                  <c:v>13.109579999999999</c:v>
                </c:pt>
                <c:pt idx="59">
                  <c:v>14.69121</c:v>
                </c:pt>
                <c:pt idx="60">
                  <c:v>11.929550000000001</c:v>
                </c:pt>
                <c:pt idx="61">
                  <c:v>16.421690000000002</c:v>
                </c:pt>
                <c:pt idx="62">
                  <c:v>10.62148</c:v>
                </c:pt>
                <c:pt idx="63">
                  <c:v>12.63608</c:v>
                </c:pt>
                <c:pt idx="64">
                  <c:v>11.928240000000001</c:v>
                </c:pt>
              </c:numCache>
            </c:numRef>
          </c:yVal>
          <c:smooth val="0"/>
          <c:extLst>
            <c:ext xmlns:c16="http://schemas.microsoft.com/office/drawing/2014/chart" uri="{C3380CC4-5D6E-409C-BE32-E72D297353CC}">
              <c16:uniqueId val="{00000002-2B95-4180-8624-90DEB5B8DFFB}"/>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Driftsutgifter!$Q$421:$Q$474</c:f>
              <c:numCache>
                <c:formatCode>0</c:formatCode>
                <c:ptCount val="54"/>
                <c:pt idx="0">
                  <c:v>11.87871</c:v>
                </c:pt>
                <c:pt idx="1">
                  <c:v>12.25052</c:v>
                </c:pt>
                <c:pt idx="2">
                  <c:v>12.31387</c:v>
                </c:pt>
                <c:pt idx="3">
                  <c:v>8.5439550000000004</c:v>
                </c:pt>
                <c:pt idx="4">
                  <c:v>14.58018</c:v>
                </c:pt>
                <c:pt idx="5">
                  <c:v>14.164529999999999</c:v>
                </c:pt>
                <c:pt idx="6">
                  <c:v>11.406140000000001</c:v>
                </c:pt>
                <c:pt idx="7">
                  <c:v>7.9345299999999996</c:v>
                </c:pt>
                <c:pt idx="8">
                  <c:v>10.71766</c:v>
                </c:pt>
                <c:pt idx="9">
                  <c:v>12.47916</c:v>
                </c:pt>
                <c:pt idx="10">
                  <c:v>45.580179999999999</c:v>
                </c:pt>
                <c:pt idx="11">
                  <c:v>12.51506</c:v>
                </c:pt>
                <c:pt idx="12">
                  <c:v>12.24804</c:v>
                </c:pt>
                <c:pt idx="13">
                  <c:v>14.238099999999999</c:v>
                </c:pt>
                <c:pt idx="14">
                  <c:v>10.10233</c:v>
                </c:pt>
                <c:pt idx="15">
                  <c:v>11.050840000000001</c:v>
                </c:pt>
                <c:pt idx="16">
                  <c:v>13.395300000000001</c:v>
                </c:pt>
                <c:pt idx="17">
                  <c:v>10.73535</c:v>
                </c:pt>
                <c:pt idx="18">
                  <c:v>11.132529999999999</c:v>
                </c:pt>
                <c:pt idx="19">
                  <c:v>12.993460000000001</c:v>
                </c:pt>
                <c:pt idx="20">
                  <c:v>9.5461939999999998</c:v>
                </c:pt>
                <c:pt idx="21">
                  <c:v>12.505240000000001</c:v>
                </c:pt>
                <c:pt idx="22">
                  <c:v>12.30335</c:v>
                </c:pt>
                <c:pt idx="23">
                  <c:v>13.908160000000001</c:v>
                </c:pt>
                <c:pt idx="24">
                  <c:v>9.6892790000000009</c:v>
                </c:pt>
                <c:pt idx="25">
                  <c:v>16.47992</c:v>
                </c:pt>
                <c:pt idx="26">
                  <c:v>11.947430000000001</c:v>
                </c:pt>
                <c:pt idx="27">
                  <c:v>8.4184190000000001</c:v>
                </c:pt>
                <c:pt idx="28">
                  <c:v>14.498060000000001</c:v>
                </c:pt>
                <c:pt idx="29">
                  <c:v>9.0700140000000005</c:v>
                </c:pt>
                <c:pt idx="30">
                  <c:v>9.2939419999999995</c:v>
                </c:pt>
                <c:pt idx="31">
                  <c:v>7.3826080000000003</c:v>
                </c:pt>
                <c:pt idx="32">
                  <c:v>11.357760000000001</c:v>
                </c:pt>
                <c:pt idx="33">
                  <c:v>13.280290000000001</c:v>
                </c:pt>
                <c:pt idx="34">
                  <c:v>11.980219999999999</c:v>
                </c:pt>
                <c:pt idx="35">
                  <c:v>9.7745569999999997</c:v>
                </c:pt>
                <c:pt idx="36">
                  <c:v>13.95683</c:v>
                </c:pt>
                <c:pt idx="37">
                  <c:v>12.73171</c:v>
                </c:pt>
                <c:pt idx="38">
                  <c:v>14.712009999999999</c:v>
                </c:pt>
                <c:pt idx="39">
                  <c:v>10.29415</c:v>
                </c:pt>
                <c:pt idx="40">
                  <c:v>8.1765360000000005</c:v>
                </c:pt>
                <c:pt idx="41">
                  <c:v>13.115550000000001</c:v>
                </c:pt>
                <c:pt idx="42">
                  <c:v>11.55151</c:v>
                </c:pt>
                <c:pt idx="43">
                  <c:v>8.7670700000000004</c:v>
                </c:pt>
                <c:pt idx="44">
                  <c:v>11.267530000000001</c:v>
                </c:pt>
                <c:pt idx="45">
                  <c:v>13.995839999999999</c:v>
                </c:pt>
                <c:pt idx="46">
                  <c:v>12.682359999999999</c:v>
                </c:pt>
                <c:pt idx="47">
                  <c:v>14.34169</c:v>
                </c:pt>
                <c:pt idx="48">
                  <c:v>10.519590000000001</c:v>
                </c:pt>
                <c:pt idx="49">
                  <c:v>9.9251629999999995</c:v>
                </c:pt>
                <c:pt idx="50">
                  <c:v>8.8766459999999991</c:v>
                </c:pt>
                <c:pt idx="51">
                  <c:v>10.11182</c:v>
                </c:pt>
                <c:pt idx="52">
                  <c:v>8.1331889999999998</c:v>
                </c:pt>
                <c:pt idx="53">
                  <c:v>8.2600460000000009</c:v>
                </c:pt>
              </c:numCache>
            </c:numRef>
          </c:yVal>
          <c:smooth val="0"/>
          <c:extLst>
            <c:ext xmlns:c16="http://schemas.microsoft.com/office/drawing/2014/chart" uri="{C3380CC4-5D6E-409C-BE32-E72D297353CC}">
              <c16:uniqueId val="{00000003-2B95-4180-8624-90DEB5B8DFFB}"/>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Driftsutgifter!$Q$475:$Q$495</c:f>
              <c:numCache>
                <c:formatCode>0</c:formatCode>
                <c:ptCount val="21"/>
                <c:pt idx="0">
                  <c:v>15.920640000000001</c:v>
                </c:pt>
                <c:pt idx="1">
                  <c:v>16.43</c:v>
                </c:pt>
                <c:pt idx="2">
                  <c:v>12.722300000000001</c:v>
                </c:pt>
                <c:pt idx="3">
                  <c:v>14.649089999999999</c:v>
                </c:pt>
                <c:pt idx="4">
                  <c:v>11.33311</c:v>
                </c:pt>
                <c:pt idx="5">
                  <c:v>14.991989999999999</c:v>
                </c:pt>
                <c:pt idx="6">
                  <c:v>10.55654</c:v>
                </c:pt>
                <c:pt idx="7">
                  <c:v>10.6027</c:v>
                </c:pt>
                <c:pt idx="8">
                  <c:v>9.6754060000000006</c:v>
                </c:pt>
                <c:pt idx="9">
                  <c:v>11.95059</c:v>
                </c:pt>
                <c:pt idx="10">
                  <c:v>9.5059629999999995</c:v>
                </c:pt>
                <c:pt idx="11">
                  <c:v>8.6931989999999999</c:v>
                </c:pt>
                <c:pt idx="12">
                  <c:v>13.87439</c:v>
                </c:pt>
                <c:pt idx="13">
                  <c:v>13.865159999999999</c:v>
                </c:pt>
                <c:pt idx="14">
                  <c:v>10.548920000000001</c:v>
                </c:pt>
                <c:pt idx="15">
                  <c:v>11.046290000000001</c:v>
                </c:pt>
                <c:pt idx="16">
                  <c:v>18.418430000000001</c:v>
                </c:pt>
                <c:pt idx="17">
                  <c:v>12.74803</c:v>
                </c:pt>
                <c:pt idx="18">
                  <c:v>12.10688</c:v>
                </c:pt>
                <c:pt idx="19">
                  <c:v>13.312580000000001</c:v>
                </c:pt>
                <c:pt idx="20">
                  <c:v>10.56955</c:v>
                </c:pt>
              </c:numCache>
            </c:numRef>
          </c:yVal>
          <c:smooth val="0"/>
          <c:extLst>
            <c:ext xmlns:c16="http://schemas.microsoft.com/office/drawing/2014/chart" uri="{C3380CC4-5D6E-409C-BE32-E72D297353CC}">
              <c16:uniqueId val="{00000004-2B95-4180-8624-90DEB5B8DFFB}"/>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Driftsutgifter!$Q$496:$Q$500</c:f>
              <c:numCache>
                <c:formatCode>0</c:formatCode>
                <c:ptCount val="5"/>
                <c:pt idx="0">
                  <c:v>14.0747</c:v>
                </c:pt>
                <c:pt idx="1">
                  <c:v>14.19525</c:v>
                </c:pt>
                <c:pt idx="2">
                  <c:v>11.840669999999999</c:v>
                </c:pt>
                <c:pt idx="3">
                  <c:v>12.590260000000001</c:v>
                </c:pt>
                <c:pt idx="4">
                  <c:v>11.06907</c:v>
                </c:pt>
              </c:numCache>
            </c:numRef>
          </c:yVal>
          <c:smooth val="0"/>
          <c:extLst>
            <c:ext xmlns:c16="http://schemas.microsoft.com/office/drawing/2014/chart" uri="{C3380CC4-5D6E-409C-BE32-E72D297353CC}">
              <c16:uniqueId val="{00000005-2B95-4180-8624-90DEB5B8DFFB}"/>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(12) Kapitaltjen.,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Driftsutgifter!$G$587:$G$666</c:f>
              <c:numCache>
                <c:formatCode>General</c:formatCode>
                <c:ptCount val="80"/>
                <c:pt idx="0">
                  <c:v>26.118790000000001</c:v>
                </c:pt>
                <c:pt idx="1">
                  <c:v>60.205150000000003</c:v>
                </c:pt>
                <c:pt idx="2">
                  <c:v>20.19135</c:v>
                </c:pt>
                <c:pt idx="3">
                  <c:v>32.43665</c:v>
                </c:pt>
                <c:pt idx="4">
                  <c:v>16.505870000000002</c:v>
                </c:pt>
                <c:pt idx="5">
                  <c:v>19.990079999999999</c:v>
                </c:pt>
                <c:pt idx="6">
                  <c:v>23.265840000000001</c:v>
                </c:pt>
                <c:pt idx="7">
                  <c:v>13.45119</c:v>
                </c:pt>
                <c:pt idx="8">
                  <c:v>4.5730880000000003</c:v>
                </c:pt>
                <c:pt idx="9">
                  <c:v>11.6274</c:v>
                </c:pt>
                <c:pt idx="10">
                  <c:v>15.0223</c:v>
                </c:pt>
                <c:pt idx="11">
                  <c:v>36.108049999999999</c:v>
                </c:pt>
                <c:pt idx="12">
                  <c:v>5.4754209999999999</c:v>
                </c:pt>
                <c:pt idx="13">
                  <c:v>98.006069999999994</c:v>
                </c:pt>
                <c:pt idx="14">
                  <c:v>19.11307</c:v>
                </c:pt>
                <c:pt idx="15">
                  <c:v>42.06776</c:v>
                </c:pt>
                <c:pt idx="16">
                  <c:v>9.9968400000000006</c:v>
                </c:pt>
                <c:pt idx="17">
                  <c:v>11.08653</c:v>
                </c:pt>
                <c:pt idx="18">
                  <c:v>38.289679999999997</c:v>
                </c:pt>
                <c:pt idx="19">
                  <c:v>20.688389999999998</c:v>
                </c:pt>
                <c:pt idx="20">
                  <c:v>5.822425</c:v>
                </c:pt>
                <c:pt idx="21">
                  <c:v>20.278230000000001</c:v>
                </c:pt>
                <c:pt idx="22">
                  <c:v>19.365749999999998</c:v>
                </c:pt>
                <c:pt idx="23">
                  <c:v>14.570270000000001</c:v>
                </c:pt>
                <c:pt idx="24">
                  <c:v>9.1138180000000002</c:v>
                </c:pt>
                <c:pt idx="25">
                  <c:v>18.99821</c:v>
                </c:pt>
                <c:pt idx="26">
                  <c:v>21.733879999999999</c:v>
                </c:pt>
                <c:pt idx="27">
                  <c:v>30.593769999999999</c:v>
                </c:pt>
                <c:pt idx="28">
                  <c:v>20.5059</c:v>
                </c:pt>
                <c:pt idx="29">
                  <c:v>12.620760000000001</c:v>
                </c:pt>
                <c:pt idx="30">
                  <c:v>12.11853</c:v>
                </c:pt>
                <c:pt idx="31">
                  <c:v>23.56973</c:v>
                </c:pt>
                <c:pt idx="32">
                  <c:v>60.200569999999999</c:v>
                </c:pt>
                <c:pt idx="33">
                  <c:v>4.5750830000000002</c:v>
                </c:pt>
                <c:pt idx="34">
                  <c:v>18.325330000000001</c:v>
                </c:pt>
                <c:pt idx="35">
                  <c:v>14.46269</c:v>
                </c:pt>
                <c:pt idx="36">
                  <c:v>9.0089009999999998</c:v>
                </c:pt>
                <c:pt idx="37">
                  <c:v>44.155200000000001</c:v>
                </c:pt>
                <c:pt idx="38">
                  <c:v>6.050109</c:v>
                </c:pt>
                <c:pt idx="39">
                  <c:v>3.4236710000000001</c:v>
                </c:pt>
                <c:pt idx="40">
                  <c:v>7.9436780000000002</c:v>
                </c:pt>
                <c:pt idx="41">
                  <c:v>26.147379999999998</c:v>
                </c:pt>
                <c:pt idx="42">
                  <c:v>20.882100000000001</c:v>
                </c:pt>
                <c:pt idx="43">
                  <c:v>10.84009</c:v>
                </c:pt>
                <c:pt idx="44">
                  <c:v>41.978659999999998</c:v>
                </c:pt>
                <c:pt idx="45">
                  <c:v>7.9165570000000001</c:v>
                </c:pt>
                <c:pt idx="46">
                  <c:v>11.0664</c:v>
                </c:pt>
                <c:pt idx="47">
                  <c:v>4.2786210000000002</c:v>
                </c:pt>
                <c:pt idx="48">
                  <c:v>27.401240000000001</c:v>
                </c:pt>
                <c:pt idx="49">
                  <c:v>4.2900299999999998</c:v>
                </c:pt>
                <c:pt idx="50">
                  <c:v>14.649050000000001</c:v>
                </c:pt>
                <c:pt idx="51">
                  <c:v>9.0259640000000001</c:v>
                </c:pt>
                <c:pt idx="52">
                  <c:v>9.4720750000000002</c:v>
                </c:pt>
                <c:pt idx="53">
                  <c:v>112.791</c:v>
                </c:pt>
                <c:pt idx="54">
                  <c:v>52.702660000000002</c:v>
                </c:pt>
                <c:pt idx="55">
                  <c:v>6.5923629999999998</c:v>
                </c:pt>
                <c:pt idx="56">
                  <c:v>22.768889999999999</c:v>
                </c:pt>
                <c:pt idx="57">
                  <c:v>15.236969999999999</c:v>
                </c:pt>
                <c:pt idx="58">
                  <c:v>1.3799079999999999</c:v>
                </c:pt>
                <c:pt idx="59">
                  <c:v>1.0497840000000001</c:v>
                </c:pt>
                <c:pt idx="60">
                  <c:v>2.9985840000000001</c:v>
                </c:pt>
                <c:pt idx="61">
                  <c:v>28.829000000000001</c:v>
                </c:pt>
                <c:pt idx="62">
                  <c:v>35.867629999999998</c:v>
                </c:pt>
                <c:pt idx="63">
                  <c:v>34.632129999999997</c:v>
                </c:pt>
                <c:pt idx="64">
                  <c:v>4.3325719999999999</c:v>
                </c:pt>
                <c:pt idx="65">
                  <c:v>15.81597</c:v>
                </c:pt>
                <c:pt idx="66">
                  <c:v>7.1501809999999999</c:v>
                </c:pt>
                <c:pt idx="67">
                  <c:v>15.012790000000001</c:v>
                </c:pt>
                <c:pt idx="68">
                  <c:v>26.417940000000002</c:v>
                </c:pt>
                <c:pt idx="69">
                  <c:v>3.1990810000000001</c:v>
                </c:pt>
                <c:pt idx="70">
                  <c:v>3.8708719999999999</c:v>
                </c:pt>
                <c:pt idx="71">
                  <c:v>117.24160000000001</c:v>
                </c:pt>
                <c:pt idx="72">
                  <c:v>10.23631</c:v>
                </c:pt>
                <c:pt idx="73">
                  <c:v>9.4779319999999991</c:v>
                </c:pt>
                <c:pt idx="74">
                  <c:v>15.083780000000001</c:v>
                </c:pt>
                <c:pt idx="75">
                  <c:v>7.0405800000000003</c:v>
                </c:pt>
                <c:pt idx="76">
                  <c:v>119.688</c:v>
                </c:pt>
                <c:pt idx="77">
                  <c:v>24.471229999999998</c:v>
                </c:pt>
                <c:pt idx="78">
                  <c:v>48.056890000000003</c:v>
                </c:pt>
                <c:pt idx="79">
                  <c:v>12.42062</c:v>
                </c:pt>
              </c:numCache>
            </c:numRef>
          </c:yVal>
          <c:smooth val="0"/>
          <c:extLst>
            <c:ext xmlns:c16="http://schemas.microsoft.com/office/drawing/2014/chart" uri="{C3380CC4-5D6E-409C-BE32-E72D297353CC}">
              <c16:uniqueId val="{00000000-0F06-4C2D-B19D-235FEB850628}"/>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Driftsutgifter!$G$667:$G$704</c:f>
              <c:numCache>
                <c:formatCode>General</c:formatCode>
                <c:ptCount val="38"/>
                <c:pt idx="0">
                  <c:v>19.741060000000001</c:v>
                </c:pt>
                <c:pt idx="1">
                  <c:v>14.29856</c:v>
                </c:pt>
                <c:pt idx="2">
                  <c:v>6.4723889999999997</c:v>
                </c:pt>
                <c:pt idx="3">
                  <c:v>15.9682</c:v>
                </c:pt>
                <c:pt idx="4">
                  <c:v>12.32494</c:v>
                </c:pt>
                <c:pt idx="5">
                  <c:v>21.091139999999999</c:v>
                </c:pt>
                <c:pt idx="6">
                  <c:v>27.23958</c:v>
                </c:pt>
                <c:pt idx="7">
                  <c:v>9.0590720000000005</c:v>
                </c:pt>
                <c:pt idx="8">
                  <c:v>4.7015419999999999</c:v>
                </c:pt>
                <c:pt idx="9">
                  <c:v>16.037739999999999</c:v>
                </c:pt>
                <c:pt idx="10">
                  <c:v>21.467279999999999</c:v>
                </c:pt>
                <c:pt idx="11">
                  <c:v>21.362760000000002</c:v>
                </c:pt>
                <c:pt idx="12">
                  <c:v>1.7787930000000001</c:v>
                </c:pt>
                <c:pt idx="13">
                  <c:v>35.822189999999999</c:v>
                </c:pt>
                <c:pt idx="14">
                  <c:v>2.3169930000000001</c:v>
                </c:pt>
                <c:pt idx="15">
                  <c:v>8.5155390000000004</c:v>
                </c:pt>
                <c:pt idx="16">
                  <c:v>10.914680000000001</c:v>
                </c:pt>
                <c:pt idx="17">
                  <c:v>6.9115820000000001</c:v>
                </c:pt>
                <c:pt idx="18">
                  <c:v>11.168139999999999</c:v>
                </c:pt>
                <c:pt idx="19">
                  <c:v>14.84479</c:v>
                </c:pt>
                <c:pt idx="20">
                  <c:v>39.80715</c:v>
                </c:pt>
                <c:pt idx="21">
                  <c:v>19.79618</c:v>
                </c:pt>
                <c:pt idx="22">
                  <c:v>30.613420000000001</c:v>
                </c:pt>
                <c:pt idx="23">
                  <c:v>29.07733</c:v>
                </c:pt>
                <c:pt idx="24">
                  <c:v>23.96285</c:v>
                </c:pt>
                <c:pt idx="25">
                  <c:v>11.823</c:v>
                </c:pt>
                <c:pt idx="26">
                  <c:v>12.15049</c:v>
                </c:pt>
                <c:pt idx="27">
                  <c:v>9.7089090000000002</c:v>
                </c:pt>
                <c:pt idx="28">
                  <c:v>14.996880000000001</c:v>
                </c:pt>
                <c:pt idx="29">
                  <c:v>5.6896890000000004</c:v>
                </c:pt>
                <c:pt idx="30">
                  <c:v>9.5567519999999995</c:v>
                </c:pt>
                <c:pt idx="31">
                  <c:v>11.44317</c:v>
                </c:pt>
                <c:pt idx="32">
                  <c:v>21.181609999999999</c:v>
                </c:pt>
                <c:pt idx="33">
                  <c:v>16.10539</c:v>
                </c:pt>
                <c:pt idx="34">
                  <c:v>23.554829999999999</c:v>
                </c:pt>
                <c:pt idx="35">
                  <c:v>10.77495</c:v>
                </c:pt>
                <c:pt idx="36">
                  <c:v>11.81259</c:v>
                </c:pt>
                <c:pt idx="37">
                  <c:v>28.667960000000001</c:v>
                </c:pt>
              </c:numCache>
            </c:numRef>
          </c:yVal>
          <c:smooth val="0"/>
          <c:extLst>
            <c:ext xmlns:c16="http://schemas.microsoft.com/office/drawing/2014/chart" uri="{C3380CC4-5D6E-409C-BE32-E72D297353CC}">
              <c16:uniqueId val="{00000001-0F06-4C2D-B19D-235FEB850628}"/>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Driftsutgifter!$G$705:$G$796</c:f>
              <c:numCache>
                <c:formatCode>General</c:formatCode>
                <c:ptCount val="92"/>
                <c:pt idx="0">
                  <c:v>15.569710000000001</c:v>
                </c:pt>
                <c:pt idx="1">
                  <c:v>3.5338530000000001</c:v>
                </c:pt>
                <c:pt idx="2">
                  <c:v>19.20326</c:v>
                </c:pt>
                <c:pt idx="3">
                  <c:v>66.783519999999996</c:v>
                </c:pt>
                <c:pt idx="4">
                  <c:v>14.386279999999999</c:v>
                </c:pt>
                <c:pt idx="5">
                  <c:v>12.826040000000001</c:v>
                </c:pt>
                <c:pt idx="6">
                  <c:v>10.37355</c:v>
                </c:pt>
                <c:pt idx="7">
                  <c:v>19.932960000000001</c:v>
                </c:pt>
                <c:pt idx="8">
                  <c:v>7.2223860000000002</c:v>
                </c:pt>
                <c:pt idx="9">
                  <c:v>9.7576730000000005</c:v>
                </c:pt>
                <c:pt idx="10">
                  <c:v>16.994949999999999</c:v>
                </c:pt>
                <c:pt idx="11">
                  <c:v>8.4405020000000004</c:v>
                </c:pt>
                <c:pt idx="12">
                  <c:v>10.928750000000001</c:v>
                </c:pt>
                <c:pt idx="13">
                  <c:v>9.6729679999999991</c:v>
                </c:pt>
                <c:pt idx="14">
                  <c:v>31.023440000000001</c:v>
                </c:pt>
                <c:pt idx="15">
                  <c:v>8.1929119999999998</c:v>
                </c:pt>
                <c:pt idx="16">
                  <c:v>18.839580000000002</c:v>
                </c:pt>
                <c:pt idx="17">
                  <c:v>10.030620000000001</c:v>
                </c:pt>
                <c:pt idx="18">
                  <c:v>39.585120000000003</c:v>
                </c:pt>
                <c:pt idx="19">
                  <c:v>10.88658</c:v>
                </c:pt>
                <c:pt idx="20">
                  <c:v>5.3483720000000003</c:v>
                </c:pt>
                <c:pt idx="21">
                  <c:v>23.397770000000001</c:v>
                </c:pt>
                <c:pt idx="22">
                  <c:v>14.452870000000001</c:v>
                </c:pt>
                <c:pt idx="23">
                  <c:v>16.927530000000001</c:v>
                </c:pt>
                <c:pt idx="24">
                  <c:v>5.1666840000000001</c:v>
                </c:pt>
                <c:pt idx="25">
                  <c:v>26.14451</c:v>
                </c:pt>
                <c:pt idx="26">
                  <c:v>7.0149410000000003</c:v>
                </c:pt>
                <c:pt idx="27">
                  <c:v>12.824870000000001</c:v>
                </c:pt>
                <c:pt idx="28">
                  <c:v>24.758120000000002</c:v>
                </c:pt>
                <c:pt idx="29">
                  <c:v>14.42426</c:v>
                </c:pt>
                <c:pt idx="30">
                  <c:v>7.0108329999999999</c:v>
                </c:pt>
                <c:pt idx="31">
                  <c:v>37.044849999999997</c:v>
                </c:pt>
                <c:pt idx="32">
                  <c:v>9.5522379999999991</c:v>
                </c:pt>
                <c:pt idx="33">
                  <c:v>7.5429380000000004</c:v>
                </c:pt>
                <c:pt idx="34">
                  <c:v>8.8089080000000006</c:v>
                </c:pt>
                <c:pt idx="35">
                  <c:v>17.477499999999999</c:v>
                </c:pt>
                <c:pt idx="36">
                  <c:v>4.2543819999999997</c:v>
                </c:pt>
                <c:pt idx="37">
                  <c:v>28.35605</c:v>
                </c:pt>
                <c:pt idx="38">
                  <c:v>8.8541659999999993</c:v>
                </c:pt>
                <c:pt idx="39">
                  <c:v>22.536809999999999</c:v>
                </c:pt>
                <c:pt idx="40">
                  <c:v>28.732009999999999</c:v>
                </c:pt>
                <c:pt idx="41">
                  <c:v>17.834350000000001</c:v>
                </c:pt>
                <c:pt idx="42">
                  <c:v>39.438319999999997</c:v>
                </c:pt>
                <c:pt idx="43">
                  <c:v>11.41245</c:v>
                </c:pt>
                <c:pt idx="44">
                  <c:v>13.91127</c:v>
                </c:pt>
                <c:pt idx="45">
                  <c:v>16.5032</c:v>
                </c:pt>
                <c:pt idx="46">
                  <c:v>7.5737370000000004</c:v>
                </c:pt>
                <c:pt idx="47">
                  <c:v>16.372689999999999</c:v>
                </c:pt>
                <c:pt idx="48">
                  <c:v>30.991050000000001</c:v>
                </c:pt>
                <c:pt idx="49">
                  <c:v>26.603829999999999</c:v>
                </c:pt>
                <c:pt idx="50">
                  <c:v>10.548299999999999</c:v>
                </c:pt>
                <c:pt idx="51">
                  <c:v>13.82324</c:v>
                </c:pt>
                <c:pt idx="52">
                  <c:v>22.09563</c:v>
                </c:pt>
                <c:pt idx="53">
                  <c:v>12.08982</c:v>
                </c:pt>
                <c:pt idx="54">
                  <c:v>10.726039999999999</c:v>
                </c:pt>
                <c:pt idx="55">
                  <c:v>21.8626</c:v>
                </c:pt>
                <c:pt idx="56">
                  <c:v>7.7294729999999996</c:v>
                </c:pt>
                <c:pt idx="57">
                  <c:v>14.29452</c:v>
                </c:pt>
                <c:pt idx="58">
                  <c:v>48.388590000000001</c:v>
                </c:pt>
                <c:pt idx="59">
                  <c:v>9.4210619999999992</c:v>
                </c:pt>
                <c:pt idx="60">
                  <c:v>7.8912930000000001</c:v>
                </c:pt>
                <c:pt idx="61">
                  <c:v>19.326779999999999</c:v>
                </c:pt>
                <c:pt idx="62">
                  <c:v>10.57366</c:v>
                </c:pt>
                <c:pt idx="63">
                  <c:v>13.51731</c:v>
                </c:pt>
                <c:pt idx="64">
                  <c:v>28.69932</c:v>
                </c:pt>
                <c:pt idx="65">
                  <c:v>19.32321</c:v>
                </c:pt>
                <c:pt idx="66">
                  <c:v>10.48625</c:v>
                </c:pt>
                <c:pt idx="67">
                  <c:v>21.805900000000001</c:v>
                </c:pt>
                <c:pt idx="68">
                  <c:v>11.17394</c:v>
                </c:pt>
                <c:pt idx="69">
                  <c:v>8.8305140000000009</c:v>
                </c:pt>
                <c:pt idx="70">
                  <c:v>19.818190000000001</c:v>
                </c:pt>
                <c:pt idx="71">
                  <c:v>14.407069999999999</c:v>
                </c:pt>
                <c:pt idx="72">
                  <c:v>4.9248269999999996</c:v>
                </c:pt>
                <c:pt idx="73">
                  <c:v>17.505140000000001</c:v>
                </c:pt>
                <c:pt idx="74">
                  <c:v>21.22439</c:v>
                </c:pt>
                <c:pt idx="75">
                  <c:v>4.510345</c:v>
                </c:pt>
                <c:pt idx="76">
                  <c:v>10.569190000000001</c:v>
                </c:pt>
                <c:pt idx="77">
                  <c:v>6.5966699999999996</c:v>
                </c:pt>
                <c:pt idx="78">
                  <c:v>12.213939999999999</c:v>
                </c:pt>
                <c:pt idx="79">
                  <c:v>10.831</c:v>
                </c:pt>
                <c:pt idx="80">
                  <c:v>13.998250000000001</c:v>
                </c:pt>
                <c:pt idx="81">
                  <c:v>14.001099999999999</c:v>
                </c:pt>
                <c:pt idx="82">
                  <c:v>19.50348</c:v>
                </c:pt>
                <c:pt idx="83">
                  <c:v>6.0554509999999997</c:v>
                </c:pt>
                <c:pt idx="84">
                  <c:v>20.27563</c:v>
                </c:pt>
                <c:pt idx="85">
                  <c:v>10.730980000000001</c:v>
                </c:pt>
                <c:pt idx="86">
                  <c:v>11.33347</c:v>
                </c:pt>
                <c:pt idx="87">
                  <c:v>22.078959999999999</c:v>
                </c:pt>
                <c:pt idx="88">
                  <c:v>21.694569999999999</c:v>
                </c:pt>
                <c:pt idx="89">
                  <c:v>42.847880000000004</c:v>
                </c:pt>
                <c:pt idx="90">
                  <c:v>20.6739</c:v>
                </c:pt>
                <c:pt idx="91">
                  <c:v>9.4212369999999996</c:v>
                </c:pt>
              </c:numCache>
            </c:numRef>
          </c:yVal>
          <c:smooth val="0"/>
          <c:extLst>
            <c:ext xmlns:c16="http://schemas.microsoft.com/office/drawing/2014/chart" uri="{C3380CC4-5D6E-409C-BE32-E72D297353CC}">
              <c16:uniqueId val="{00000002-0F06-4C2D-B19D-235FEB850628}"/>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Driftsutgifter!$G$797:$G$844</c:f>
              <c:numCache>
                <c:formatCode>General</c:formatCode>
                <c:ptCount val="48"/>
                <c:pt idx="0">
                  <c:v>13.167439999999999</c:v>
                </c:pt>
                <c:pt idx="1">
                  <c:v>5.129537</c:v>
                </c:pt>
                <c:pt idx="2">
                  <c:v>15.23574</c:v>
                </c:pt>
                <c:pt idx="3">
                  <c:v>14.682689999999999</c:v>
                </c:pt>
                <c:pt idx="4">
                  <c:v>4.6355560000000002</c:v>
                </c:pt>
                <c:pt idx="5">
                  <c:v>10.52721</c:v>
                </c:pt>
                <c:pt idx="6">
                  <c:v>31.65222</c:v>
                </c:pt>
                <c:pt idx="7">
                  <c:v>34.7986</c:v>
                </c:pt>
                <c:pt idx="8">
                  <c:v>11.86098</c:v>
                </c:pt>
                <c:pt idx="9">
                  <c:v>13.487030000000001</c:v>
                </c:pt>
                <c:pt idx="10">
                  <c:v>14.90049</c:v>
                </c:pt>
                <c:pt idx="11">
                  <c:v>5.9744489999999999</c:v>
                </c:pt>
                <c:pt idx="12">
                  <c:v>15.062110000000001</c:v>
                </c:pt>
                <c:pt idx="13">
                  <c:v>65.464770000000001</c:v>
                </c:pt>
                <c:pt idx="14">
                  <c:v>45.522410000000001</c:v>
                </c:pt>
                <c:pt idx="15">
                  <c:v>14.50141</c:v>
                </c:pt>
                <c:pt idx="16">
                  <c:v>9.2703410000000002</c:v>
                </c:pt>
                <c:pt idx="17">
                  <c:v>8.1906130000000008</c:v>
                </c:pt>
                <c:pt idx="18">
                  <c:v>4.757708</c:v>
                </c:pt>
                <c:pt idx="19">
                  <c:v>2.6047910000000001</c:v>
                </c:pt>
                <c:pt idx="20">
                  <c:v>11.909190000000001</c:v>
                </c:pt>
                <c:pt idx="21">
                  <c:v>6.3236780000000001</c:v>
                </c:pt>
                <c:pt idx="22">
                  <c:v>23.01014</c:v>
                </c:pt>
                <c:pt idx="23">
                  <c:v>8.8452140000000004</c:v>
                </c:pt>
                <c:pt idx="24">
                  <c:v>30.22383</c:v>
                </c:pt>
                <c:pt idx="25">
                  <c:v>10.168810000000001</c:v>
                </c:pt>
                <c:pt idx="26">
                  <c:v>18.5977</c:v>
                </c:pt>
                <c:pt idx="27">
                  <c:v>15.356009999999999</c:v>
                </c:pt>
                <c:pt idx="28">
                  <c:v>5.5193240000000001</c:v>
                </c:pt>
                <c:pt idx="29">
                  <c:v>2.5541040000000002</c:v>
                </c:pt>
                <c:pt idx="30">
                  <c:v>23.37903</c:v>
                </c:pt>
                <c:pt idx="31">
                  <c:v>5.4108559999999999</c:v>
                </c:pt>
                <c:pt idx="32">
                  <c:v>20.954499999999999</c:v>
                </c:pt>
                <c:pt idx="33">
                  <c:v>7.7139730000000002</c:v>
                </c:pt>
                <c:pt idx="34">
                  <c:v>12.94537</c:v>
                </c:pt>
                <c:pt idx="35">
                  <c:v>23.67154</c:v>
                </c:pt>
                <c:pt idx="36">
                  <c:v>7.3217930000000004</c:v>
                </c:pt>
                <c:pt idx="37">
                  <c:v>19.11046</c:v>
                </c:pt>
                <c:pt idx="38">
                  <c:v>12.800420000000001</c:v>
                </c:pt>
                <c:pt idx="39">
                  <c:v>13.776820000000001</c:v>
                </c:pt>
                <c:pt idx="40">
                  <c:v>12.91033</c:v>
                </c:pt>
                <c:pt idx="41">
                  <c:v>6.2244700000000002</c:v>
                </c:pt>
                <c:pt idx="42">
                  <c:v>18.080490000000001</c:v>
                </c:pt>
                <c:pt idx="43">
                  <c:v>10.29494</c:v>
                </c:pt>
                <c:pt idx="44">
                  <c:v>13.405799999999999</c:v>
                </c:pt>
                <c:pt idx="45">
                  <c:v>4.3357320000000001</c:v>
                </c:pt>
                <c:pt idx="46">
                  <c:v>27.77374</c:v>
                </c:pt>
                <c:pt idx="47">
                  <c:v>10.50079</c:v>
                </c:pt>
              </c:numCache>
            </c:numRef>
          </c:yVal>
          <c:smooth val="0"/>
          <c:extLst>
            <c:ext xmlns:c16="http://schemas.microsoft.com/office/drawing/2014/chart" uri="{C3380CC4-5D6E-409C-BE32-E72D297353CC}">
              <c16:uniqueId val="{00000003-0F06-4C2D-B19D-235FEB850628}"/>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Driftsutgifter!$G$845:$G$890</c:f>
              <c:numCache>
                <c:formatCode>General</c:formatCode>
                <c:ptCount val="46"/>
                <c:pt idx="0">
                  <c:v>6.0463839999999998</c:v>
                </c:pt>
                <c:pt idx="1">
                  <c:v>8.2444070000000007</c:v>
                </c:pt>
                <c:pt idx="2">
                  <c:v>16.760159999999999</c:v>
                </c:pt>
                <c:pt idx="3">
                  <c:v>75.747259999999997</c:v>
                </c:pt>
                <c:pt idx="4">
                  <c:v>7.6165260000000004</c:v>
                </c:pt>
                <c:pt idx="5">
                  <c:v>9.2810849999999991</c:v>
                </c:pt>
                <c:pt idx="6">
                  <c:v>24.144290000000002</c:v>
                </c:pt>
                <c:pt idx="7">
                  <c:v>11.589259999999999</c:v>
                </c:pt>
                <c:pt idx="8">
                  <c:v>19.705950000000001</c:v>
                </c:pt>
                <c:pt idx="9">
                  <c:v>6.7153510000000001</c:v>
                </c:pt>
                <c:pt idx="10">
                  <c:v>23.2437</c:v>
                </c:pt>
                <c:pt idx="11">
                  <c:v>11.5814</c:v>
                </c:pt>
                <c:pt idx="12">
                  <c:v>9.2067969999999999</c:v>
                </c:pt>
                <c:pt idx="13">
                  <c:v>17.727329999999998</c:v>
                </c:pt>
                <c:pt idx="14">
                  <c:v>4.9391619999999996</c:v>
                </c:pt>
                <c:pt idx="15">
                  <c:v>12.43525</c:v>
                </c:pt>
                <c:pt idx="16">
                  <c:v>9.6436759999999992</c:v>
                </c:pt>
                <c:pt idx="17">
                  <c:v>19.554659999999998</c:v>
                </c:pt>
                <c:pt idx="18">
                  <c:v>48.630020000000002</c:v>
                </c:pt>
                <c:pt idx="19">
                  <c:v>8.6261659999999996</c:v>
                </c:pt>
                <c:pt idx="20">
                  <c:v>37.824860000000001</c:v>
                </c:pt>
                <c:pt idx="21">
                  <c:v>17.193650000000002</c:v>
                </c:pt>
                <c:pt idx="22">
                  <c:v>11.96271</c:v>
                </c:pt>
                <c:pt idx="23">
                  <c:v>4.12148</c:v>
                </c:pt>
                <c:pt idx="24">
                  <c:v>6.9459109999999997</c:v>
                </c:pt>
                <c:pt idx="25">
                  <c:v>15.7913</c:v>
                </c:pt>
                <c:pt idx="26">
                  <c:v>9.9803259999999998</c:v>
                </c:pt>
                <c:pt idx="27">
                  <c:v>13.8371</c:v>
                </c:pt>
                <c:pt idx="28">
                  <c:v>14.657030000000001</c:v>
                </c:pt>
                <c:pt idx="29">
                  <c:v>2.430075</c:v>
                </c:pt>
                <c:pt idx="30">
                  <c:v>8.7896699999999992</c:v>
                </c:pt>
                <c:pt idx="31">
                  <c:v>14.321070000000001</c:v>
                </c:pt>
                <c:pt idx="32">
                  <c:v>19.347349999999999</c:v>
                </c:pt>
                <c:pt idx="33">
                  <c:v>17.588090000000001</c:v>
                </c:pt>
                <c:pt idx="34">
                  <c:v>7.2172729999999996</c:v>
                </c:pt>
                <c:pt idx="35">
                  <c:v>17.29983</c:v>
                </c:pt>
                <c:pt idx="36">
                  <c:v>9.9591279999999998</c:v>
                </c:pt>
                <c:pt idx="37">
                  <c:v>8.414396</c:v>
                </c:pt>
                <c:pt idx="38">
                  <c:v>8.3931629999999995</c:v>
                </c:pt>
                <c:pt idx="39">
                  <c:v>4.5423900000000001</c:v>
                </c:pt>
                <c:pt idx="40">
                  <c:v>6.2568200000000003</c:v>
                </c:pt>
                <c:pt idx="41">
                  <c:v>11.27299</c:v>
                </c:pt>
                <c:pt idx="42">
                  <c:v>8.6791499999999999</c:v>
                </c:pt>
                <c:pt idx="43">
                  <c:v>11.83628</c:v>
                </c:pt>
                <c:pt idx="44">
                  <c:v>13.1816</c:v>
                </c:pt>
                <c:pt idx="45">
                  <c:v>15.90817</c:v>
                </c:pt>
              </c:numCache>
            </c:numRef>
          </c:yVal>
          <c:smooth val="0"/>
          <c:extLst>
            <c:ext xmlns:c16="http://schemas.microsoft.com/office/drawing/2014/chart" uri="{C3380CC4-5D6E-409C-BE32-E72D297353CC}">
              <c16:uniqueId val="{00000004-0F06-4C2D-B19D-235FEB850628}"/>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Driftsutgifter!$G$891:$G$942</c:f>
              <c:numCache>
                <c:formatCode>General</c:formatCode>
                <c:ptCount val="52"/>
                <c:pt idx="0">
                  <c:v>25.473859999999998</c:v>
                </c:pt>
                <c:pt idx="1">
                  <c:v>9.0616599999999998</c:v>
                </c:pt>
                <c:pt idx="2">
                  <c:v>14.96542</c:v>
                </c:pt>
                <c:pt idx="3">
                  <c:v>13.53154</c:v>
                </c:pt>
                <c:pt idx="4">
                  <c:v>13.42591</c:v>
                </c:pt>
                <c:pt idx="5">
                  <c:v>11.210190000000001</c:v>
                </c:pt>
                <c:pt idx="6">
                  <c:v>8.3027949999999997</c:v>
                </c:pt>
                <c:pt idx="7">
                  <c:v>11.05899</c:v>
                </c:pt>
                <c:pt idx="8">
                  <c:v>7.9950159999999997</c:v>
                </c:pt>
                <c:pt idx="9">
                  <c:v>11.37716</c:v>
                </c:pt>
                <c:pt idx="10">
                  <c:v>10.842790000000001</c:v>
                </c:pt>
                <c:pt idx="11">
                  <c:v>15.847149999999999</c:v>
                </c:pt>
                <c:pt idx="12">
                  <c:v>6.6148239999999996</c:v>
                </c:pt>
                <c:pt idx="13">
                  <c:v>35.388019999999997</c:v>
                </c:pt>
                <c:pt idx="14">
                  <c:v>8.7691669999999995</c:v>
                </c:pt>
                <c:pt idx="15">
                  <c:v>10.994590000000001</c:v>
                </c:pt>
                <c:pt idx="16">
                  <c:v>14.55904</c:v>
                </c:pt>
                <c:pt idx="17">
                  <c:v>18.52684</c:v>
                </c:pt>
                <c:pt idx="18">
                  <c:v>41.025120000000001</c:v>
                </c:pt>
                <c:pt idx="19">
                  <c:v>21.597380000000001</c:v>
                </c:pt>
                <c:pt idx="20">
                  <c:v>19.035499999999999</c:v>
                </c:pt>
                <c:pt idx="21">
                  <c:v>16.346450000000001</c:v>
                </c:pt>
                <c:pt idx="22">
                  <c:v>6.818365</c:v>
                </c:pt>
                <c:pt idx="23">
                  <c:v>12.59113</c:v>
                </c:pt>
                <c:pt idx="24">
                  <c:v>18.50309</c:v>
                </c:pt>
                <c:pt idx="25">
                  <c:v>6.4272609999999997</c:v>
                </c:pt>
                <c:pt idx="26">
                  <c:v>7.7914139999999996</c:v>
                </c:pt>
                <c:pt idx="27">
                  <c:v>35.38308</c:v>
                </c:pt>
                <c:pt idx="28">
                  <c:v>11.754810000000001</c:v>
                </c:pt>
                <c:pt idx="29">
                  <c:v>29.534389999999998</c:v>
                </c:pt>
                <c:pt idx="30">
                  <c:v>3.9886520000000001</c:v>
                </c:pt>
                <c:pt idx="31">
                  <c:v>6.2185670000000002</c:v>
                </c:pt>
                <c:pt idx="32">
                  <c:v>22.123049999999999</c:v>
                </c:pt>
                <c:pt idx="33">
                  <c:v>11.47156</c:v>
                </c:pt>
                <c:pt idx="34">
                  <c:v>14.98423</c:v>
                </c:pt>
                <c:pt idx="35">
                  <c:v>11.913639999999999</c:v>
                </c:pt>
                <c:pt idx="36">
                  <c:v>45.800370000000001</c:v>
                </c:pt>
                <c:pt idx="37">
                  <c:v>3.3384640000000001</c:v>
                </c:pt>
                <c:pt idx="38">
                  <c:v>7.0657649999999999</c:v>
                </c:pt>
                <c:pt idx="39">
                  <c:v>23.365349999999999</c:v>
                </c:pt>
                <c:pt idx="40">
                  <c:v>31.14199</c:v>
                </c:pt>
                <c:pt idx="41">
                  <c:v>34.647559999999999</c:v>
                </c:pt>
                <c:pt idx="42">
                  <c:v>8.9621720000000007</c:v>
                </c:pt>
                <c:pt idx="43">
                  <c:v>11.68835</c:v>
                </c:pt>
                <c:pt idx="44">
                  <c:v>5.5631469999999998</c:v>
                </c:pt>
                <c:pt idx="45">
                  <c:v>9.6812480000000001</c:v>
                </c:pt>
                <c:pt idx="46">
                  <c:v>10.138489999999999</c:v>
                </c:pt>
                <c:pt idx="47">
                  <c:v>20.741700000000002</c:v>
                </c:pt>
                <c:pt idx="48">
                  <c:v>22.64188</c:v>
                </c:pt>
                <c:pt idx="49">
                  <c:v>18.316009999999999</c:v>
                </c:pt>
                <c:pt idx="50">
                  <c:v>7.8238019999999997</c:v>
                </c:pt>
                <c:pt idx="51">
                  <c:v>10.80297</c:v>
                </c:pt>
              </c:numCache>
            </c:numRef>
          </c:yVal>
          <c:smooth val="0"/>
          <c:extLst>
            <c:ext xmlns:c16="http://schemas.microsoft.com/office/drawing/2014/chart" uri="{C3380CC4-5D6E-409C-BE32-E72D297353CC}">
              <c16:uniqueId val="{00000005-0F06-4C2D-B19D-235FEB85062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(1) Bruttoinvesteringsutgifter</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Driftsutgifter!$H$587:$H$666</c:f>
              <c:numCache>
                <c:formatCode>General</c:formatCode>
                <c:ptCount val="80"/>
                <c:pt idx="0">
                  <c:v>25.310310000000001</c:v>
                </c:pt>
                <c:pt idx="1">
                  <c:v>60.183900000000001</c:v>
                </c:pt>
                <c:pt idx="2">
                  <c:v>18.793330000000001</c:v>
                </c:pt>
                <c:pt idx="3">
                  <c:v>24.8996</c:v>
                </c:pt>
                <c:pt idx="4">
                  <c:v>14.588369999999999</c:v>
                </c:pt>
                <c:pt idx="5">
                  <c:v>19.854859999999999</c:v>
                </c:pt>
                <c:pt idx="6">
                  <c:v>23.004570000000001</c:v>
                </c:pt>
                <c:pt idx="7">
                  <c:v>13.373659999999999</c:v>
                </c:pt>
                <c:pt idx="8">
                  <c:v>3.992426</c:v>
                </c:pt>
                <c:pt idx="9">
                  <c:v>11.6274</c:v>
                </c:pt>
                <c:pt idx="10">
                  <c:v>14.75211</c:v>
                </c:pt>
                <c:pt idx="11">
                  <c:v>36.108049999999999</c:v>
                </c:pt>
                <c:pt idx="12">
                  <c:v>5.4754209999999999</c:v>
                </c:pt>
                <c:pt idx="13">
                  <c:v>97.954700000000003</c:v>
                </c:pt>
                <c:pt idx="14">
                  <c:v>11.60252</c:v>
                </c:pt>
                <c:pt idx="15">
                  <c:v>34.201709999999999</c:v>
                </c:pt>
                <c:pt idx="16">
                  <c:v>8.7153340000000004</c:v>
                </c:pt>
                <c:pt idx="17">
                  <c:v>11.08653</c:v>
                </c:pt>
                <c:pt idx="18">
                  <c:v>37.781939999999999</c:v>
                </c:pt>
                <c:pt idx="19">
                  <c:v>20.194649999999999</c:v>
                </c:pt>
                <c:pt idx="20">
                  <c:v>4.1357480000000004</c:v>
                </c:pt>
                <c:pt idx="21">
                  <c:v>20.03444</c:v>
                </c:pt>
                <c:pt idx="22">
                  <c:v>14.030749999999999</c:v>
                </c:pt>
                <c:pt idx="23">
                  <c:v>14.496499999999999</c:v>
                </c:pt>
                <c:pt idx="24">
                  <c:v>8.8896200000000007</c:v>
                </c:pt>
                <c:pt idx="25">
                  <c:v>18.486129999999999</c:v>
                </c:pt>
                <c:pt idx="26">
                  <c:v>21.70598</c:v>
                </c:pt>
                <c:pt idx="27">
                  <c:v>30.593769999999999</c:v>
                </c:pt>
                <c:pt idx="28">
                  <c:v>20.336790000000001</c:v>
                </c:pt>
                <c:pt idx="29">
                  <c:v>12.36702</c:v>
                </c:pt>
                <c:pt idx="30">
                  <c:v>12.102349999999999</c:v>
                </c:pt>
                <c:pt idx="31">
                  <c:v>23.448799999999999</c:v>
                </c:pt>
                <c:pt idx="32">
                  <c:v>60.06026</c:v>
                </c:pt>
                <c:pt idx="33">
                  <c:v>4.5750830000000002</c:v>
                </c:pt>
                <c:pt idx="34">
                  <c:v>17.702870000000001</c:v>
                </c:pt>
                <c:pt idx="35">
                  <c:v>14.27979</c:v>
                </c:pt>
                <c:pt idx="36">
                  <c:v>8.1329220000000007</c:v>
                </c:pt>
                <c:pt idx="37">
                  <c:v>41.64714</c:v>
                </c:pt>
                <c:pt idx="38">
                  <c:v>5.6165580000000004</c:v>
                </c:pt>
                <c:pt idx="39">
                  <c:v>3.4236710000000001</c:v>
                </c:pt>
                <c:pt idx="40">
                  <c:v>7.7696639999999997</c:v>
                </c:pt>
                <c:pt idx="41">
                  <c:v>26.067689999999999</c:v>
                </c:pt>
                <c:pt idx="42">
                  <c:v>20.882100000000001</c:v>
                </c:pt>
                <c:pt idx="43">
                  <c:v>10.34998</c:v>
                </c:pt>
                <c:pt idx="44">
                  <c:v>39.53463</c:v>
                </c:pt>
                <c:pt idx="45">
                  <c:v>7.4211679999999998</c:v>
                </c:pt>
                <c:pt idx="46">
                  <c:v>10.63354</c:v>
                </c:pt>
                <c:pt idx="47">
                  <c:v>4.2754019999999997</c:v>
                </c:pt>
                <c:pt idx="48">
                  <c:v>27.398140000000001</c:v>
                </c:pt>
                <c:pt idx="49">
                  <c:v>4.0624609999999999</c:v>
                </c:pt>
                <c:pt idx="50">
                  <c:v>14.55035</c:v>
                </c:pt>
                <c:pt idx="51">
                  <c:v>8.2133199999999995</c:v>
                </c:pt>
                <c:pt idx="52">
                  <c:v>9.301304</c:v>
                </c:pt>
                <c:pt idx="53">
                  <c:v>112.26009999999999</c:v>
                </c:pt>
                <c:pt idx="54">
                  <c:v>52.50629</c:v>
                </c:pt>
                <c:pt idx="55">
                  <c:v>5.1538000000000004</c:v>
                </c:pt>
                <c:pt idx="56">
                  <c:v>21.94586</c:v>
                </c:pt>
                <c:pt idx="57">
                  <c:v>14.969530000000001</c:v>
                </c:pt>
                <c:pt idx="58">
                  <c:v>1.27078</c:v>
                </c:pt>
                <c:pt idx="59">
                  <c:v>0.24696199999999999</c:v>
                </c:pt>
                <c:pt idx="60">
                  <c:v>2.9877690000000001</c:v>
                </c:pt>
                <c:pt idx="61">
                  <c:v>28.829000000000001</c:v>
                </c:pt>
                <c:pt idx="62">
                  <c:v>35.298029999999997</c:v>
                </c:pt>
                <c:pt idx="63">
                  <c:v>34.469149999999999</c:v>
                </c:pt>
                <c:pt idx="64">
                  <c:v>4.1955859999999996</c:v>
                </c:pt>
                <c:pt idx="65">
                  <c:v>15.047409999999999</c:v>
                </c:pt>
                <c:pt idx="66">
                  <c:v>7.1482469999999996</c:v>
                </c:pt>
                <c:pt idx="67">
                  <c:v>14.93538</c:v>
                </c:pt>
                <c:pt idx="68">
                  <c:v>26.148</c:v>
                </c:pt>
                <c:pt idx="69">
                  <c:v>3.0726800000000001</c:v>
                </c:pt>
                <c:pt idx="70">
                  <c:v>3.8348789999999999</c:v>
                </c:pt>
                <c:pt idx="71">
                  <c:v>116.4183</c:v>
                </c:pt>
                <c:pt idx="72">
                  <c:v>9.55654</c:v>
                </c:pt>
                <c:pt idx="73">
                  <c:v>9.3180099999999992</c:v>
                </c:pt>
                <c:pt idx="74">
                  <c:v>13.9671</c:v>
                </c:pt>
                <c:pt idx="75">
                  <c:v>7.0405800000000003</c:v>
                </c:pt>
                <c:pt idx="76">
                  <c:v>117.9688</c:v>
                </c:pt>
                <c:pt idx="77">
                  <c:v>22.747820000000001</c:v>
                </c:pt>
                <c:pt idx="78">
                  <c:v>48.056890000000003</c:v>
                </c:pt>
                <c:pt idx="79">
                  <c:v>11.132440000000001</c:v>
                </c:pt>
              </c:numCache>
            </c:numRef>
          </c:yVal>
          <c:smooth val="0"/>
          <c:extLst>
            <c:ext xmlns:c16="http://schemas.microsoft.com/office/drawing/2014/chart" uri="{C3380CC4-5D6E-409C-BE32-E72D297353CC}">
              <c16:uniqueId val="{00000000-8EAC-4CB8-A564-16F0575150C6}"/>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Driftsutgifter!$H$667:$H$704</c:f>
              <c:numCache>
                <c:formatCode>General</c:formatCode>
                <c:ptCount val="38"/>
                <c:pt idx="0">
                  <c:v>19.284739999999999</c:v>
                </c:pt>
                <c:pt idx="1">
                  <c:v>14.101150000000001</c:v>
                </c:pt>
                <c:pt idx="2">
                  <c:v>2.5216229999999999</c:v>
                </c:pt>
                <c:pt idx="3">
                  <c:v>15.850160000000001</c:v>
                </c:pt>
                <c:pt idx="4">
                  <c:v>10.82489</c:v>
                </c:pt>
                <c:pt idx="5">
                  <c:v>16.32658</c:v>
                </c:pt>
                <c:pt idx="6">
                  <c:v>27.23958</c:v>
                </c:pt>
                <c:pt idx="7">
                  <c:v>8.6859190000000002</c:v>
                </c:pt>
                <c:pt idx="8">
                  <c:v>4.0535379999999996</c:v>
                </c:pt>
                <c:pt idx="9">
                  <c:v>15.763859999999999</c:v>
                </c:pt>
                <c:pt idx="10">
                  <c:v>20.637350000000001</c:v>
                </c:pt>
                <c:pt idx="11">
                  <c:v>21.361149999999999</c:v>
                </c:pt>
                <c:pt idx="12">
                  <c:v>1.7787930000000001</c:v>
                </c:pt>
                <c:pt idx="13">
                  <c:v>35.145249999999997</c:v>
                </c:pt>
                <c:pt idx="14">
                  <c:v>1.7002790000000001</c:v>
                </c:pt>
                <c:pt idx="15">
                  <c:v>8.2529620000000001</c:v>
                </c:pt>
                <c:pt idx="16">
                  <c:v>10.100809999999999</c:v>
                </c:pt>
                <c:pt idx="17">
                  <c:v>6.7023659999999996</c:v>
                </c:pt>
                <c:pt idx="18">
                  <c:v>11.14823</c:v>
                </c:pt>
                <c:pt idx="19">
                  <c:v>13.02087</c:v>
                </c:pt>
                <c:pt idx="20">
                  <c:v>38.586550000000003</c:v>
                </c:pt>
                <c:pt idx="21">
                  <c:v>18.75047</c:v>
                </c:pt>
                <c:pt idx="22">
                  <c:v>29.815180000000002</c:v>
                </c:pt>
                <c:pt idx="23">
                  <c:v>27.16404</c:v>
                </c:pt>
                <c:pt idx="24">
                  <c:v>23.297029999999999</c:v>
                </c:pt>
                <c:pt idx="25">
                  <c:v>11.679589999999999</c:v>
                </c:pt>
                <c:pt idx="26">
                  <c:v>11.22015</c:v>
                </c:pt>
                <c:pt idx="27">
                  <c:v>9.3586790000000004</c:v>
                </c:pt>
                <c:pt idx="28">
                  <c:v>14.88114</c:v>
                </c:pt>
                <c:pt idx="29">
                  <c:v>5.680809</c:v>
                </c:pt>
                <c:pt idx="30">
                  <c:v>9.2729920000000003</c:v>
                </c:pt>
                <c:pt idx="31">
                  <c:v>10.855779999999999</c:v>
                </c:pt>
                <c:pt idx="32">
                  <c:v>20.335629999999998</c:v>
                </c:pt>
                <c:pt idx="33">
                  <c:v>15.49142</c:v>
                </c:pt>
                <c:pt idx="34">
                  <c:v>23.078800000000001</c:v>
                </c:pt>
                <c:pt idx="35">
                  <c:v>10.408899999999999</c:v>
                </c:pt>
                <c:pt idx="36">
                  <c:v>11.28359</c:v>
                </c:pt>
                <c:pt idx="37">
                  <c:v>28.426770000000001</c:v>
                </c:pt>
              </c:numCache>
            </c:numRef>
          </c:yVal>
          <c:smooth val="0"/>
          <c:extLst>
            <c:ext xmlns:c16="http://schemas.microsoft.com/office/drawing/2014/chart" uri="{C3380CC4-5D6E-409C-BE32-E72D297353CC}">
              <c16:uniqueId val="{00000001-8EAC-4CB8-A564-16F0575150C6}"/>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Driftsutgifter!$H$705:$H$796</c:f>
              <c:numCache>
                <c:formatCode>General</c:formatCode>
                <c:ptCount val="92"/>
                <c:pt idx="0">
                  <c:v>14.794370000000001</c:v>
                </c:pt>
                <c:pt idx="1">
                  <c:v>3.1339100000000002</c:v>
                </c:pt>
                <c:pt idx="2">
                  <c:v>17.95279</c:v>
                </c:pt>
                <c:pt idx="3">
                  <c:v>66.782359999999997</c:v>
                </c:pt>
                <c:pt idx="4">
                  <c:v>13.560840000000001</c:v>
                </c:pt>
                <c:pt idx="5">
                  <c:v>10.616149999999999</c:v>
                </c:pt>
                <c:pt idx="6">
                  <c:v>10.28125</c:v>
                </c:pt>
                <c:pt idx="7">
                  <c:v>19.929829999999999</c:v>
                </c:pt>
                <c:pt idx="8">
                  <c:v>5.3390110000000002</c:v>
                </c:pt>
                <c:pt idx="9">
                  <c:v>9.4653519999999993</c:v>
                </c:pt>
                <c:pt idx="10">
                  <c:v>16.994949999999999</c:v>
                </c:pt>
                <c:pt idx="11">
                  <c:v>8.4384329999999999</c:v>
                </c:pt>
                <c:pt idx="12">
                  <c:v>9.7655150000000006</c:v>
                </c:pt>
                <c:pt idx="13">
                  <c:v>9.6200379999999992</c:v>
                </c:pt>
                <c:pt idx="14">
                  <c:v>30.69858</c:v>
                </c:pt>
                <c:pt idx="15">
                  <c:v>7.5546870000000004</c:v>
                </c:pt>
                <c:pt idx="16">
                  <c:v>18.605650000000001</c:v>
                </c:pt>
                <c:pt idx="17">
                  <c:v>9.2709019999999995</c:v>
                </c:pt>
                <c:pt idx="18">
                  <c:v>39.381549999999997</c:v>
                </c:pt>
                <c:pt idx="19">
                  <c:v>10.722379999999999</c:v>
                </c:pt>
                <c:pt idx="20">
                  <c:v>4.9180919999999997</c:v>
                </c:pt>
                <c:pt idx="21">
                  <c:v>22.874089999999999</c:v>
                </c:pt>
                <c:pt idx="22">
                  <c:v>14.11928</c:v>
                </c:pt>
                <c:pt idx="23">
                  <c:v>16.60397</c:v>
                </c:pt>
                <c:pt idx="24">
                  <c:v>5.1398979999999996</c:v>
                </c:pt>
                <c:pt idx="25">
                  <c:v>25.730399999999999</c:v>
                </c:pt>
                <c:pt idx="26">
                  <c:v>6.973204</c:v>
                </c:pt>
                <c:pt idx="27">
                  <c:v>7.8209799999999996</c:v>
                </c:pt>
                <c:pt idx="28">
                  <c:v>24.483419999999999</c:v>
                </c:pt>
                <c:pt idx="29">
                  <c:v>14.348050000000001</c:v>
                </c:pt>
                <c:pt idx="30">
                  <c:v>3.167224</c:v>
                </c:pt>
                <c:pt idx="31">
                  <c:v>37.044849999999997</c:v>
                </c:pt>
                <c:pt idx="32">
                  <c:v>9.5522379999999991</c:v>
                </c:pt>
                <c:pt idx="33">
                  <c:v>5.1044859999999996</c:v>
                </c:pt>
                <c:pt idx="34">
                  <c:v>8.1484550000000002</c:v>
                </c:pt>
                <c:pt idx="35">
                  <c:v>16.891310000000001</c:v>
                </c:pt>
                <c:pt idx="36">
                  <c:v>4.2023029999999997</c:v>
                </c:pt>
                <c:pt idx="37">
                  <c:v>27.551390000000001</c:v>
                </c:pt>
                <c:pt idx="38">
                  <c:v>8.0314549999999993</c:v>
                </c:pt>
                <c:pt idx="39">
                  <c:v>22.3369</c:v>
                </c:pt>
                <c:pt idx="40">
                  <c:v>27.91132</c:v>
                </c:pt>
                <c:pt idx="41">
                  <c:v>16.411709999999999</c:v>
                </c:pt>
                <c:pt idx="42">
                  <c:v>37.40157</c:v>
                </c:pt>
                <c:pt idx="43">
                  <c:v>9.7186450000000004</c:v>
                </c:pt>
                <c:pt idx="44">
                  <c:v>12.122920000000001</c:v>
                </c:pt>
                <c:pt idx="45">
                  <c:v>15.521430000000001</c:v>
                </c:pt>
                <c:pt idx="46">
                  <c:v>6.0953369999999998</c:v>
                </c:pt>
                <c:pt idx="47">
                  <c:v>15.927070000000001</c:v>
                </c:pt>
                <c:pt idx="48">
                  <c:v>21.2666</c:v>
                </c:pt>
                <c:pt idx="49">
                  <c:v>25.206600000000002</c:v>
                </c:pt>
                <c:pt idx="50">
                  <c:v>9.8920650000000006</c:v>
                </c:pt>
                <c:pt idx="51">
                  <c:v>12.38334</c:v>
                </c:pt>
                <c:pt idx="52">
                  <c:v>21.715859999999999</c:v>
                </c:pt>
                <c:pt idx="53">
                  <c:v>11.757389999999999</c:v>
                </c:pt>
                <c:pt idx="54">
                  <c:v>9.7779340000000001</c:v>
                </c:pt>
                <c:pt idx="55">
                  <c:v>21.03603</c:v>
                </c:pt>
                <c:pt idx="56">
                  <c:v>4.1850969999999998</c:v>
                </c:pt>
                <c:pt idx="57">
                  <c:v>9.4497529999999994</c:v>
                </c:pt>
                <c:pt idx="58">
                  <c:v>40.594180000000001</c:v>
                </c:pt>
                <c:pt idx="59">
                  <c:v>-8.6454310000000003</c:v>
                </c:pt>
                <c:pt idx="60">
                  <c:v>6.7014259999999997</c:v>
                </c:pt>
                <c:pt idx="61">
                  <c:v>19.323049999999999</c:v>
                </c:pt>
                <c:pt idx="62">
                  <c:v>10.523619999999999</c:v>
                </c:pt>
                <c:pt idx="63">
                  <c:v>12.5077</c:v>
                </c:pt>
                <c:pt idx="64">
                  <c:v>24.815169999999998</c:v>
                </c:pt>
                <c:pt idx="65">
                  <c:v>19.188179999999999</c:v>
                </c:pt>
                <c:pt idx="66">
                  <c:v>10.03251</c:v>
                </c:pt>
                <c:pt idx="67">
                  <c:v>20.801850000000002</c:v>
                </c:pt>
                <c:pt idx="68">
                  <c:v>10.021839999999999</c:v>
                </c:pt>
                <c:pt idx="69">
                  <c:v>8.6381580000000007</c:v>
                </c:pt>
                <c:pt idx="70">
                  <c:v>17.960100000000001</c:v>
                </c:pt>
                <c:pt idx="71">
                  <c:v>14.33183</c:v>
                </c:pt>
                <c:pt idx="72">
                  <c:v>4.9157669999999998</c:v>
                </c:pt>
                <c:pt idx="73">
                  <c:v>16.293030000000002</c:v>
                </c:pt>
                <c:pt idx="74">
                  <c:v>20.9847</c:v>
                </c:pt>
                <c:pt idx="75">
                  <c:v>0.8334975</c:v>
                </c:pt>
                <c:pt idx="76">
                  <c:v>10.430809999999999</c:v>
                </c:pt>
                <c:pt idx="77">
                  <c:v>6.5964109999999998</c:v>
                </c:pt>
                <c:pt idx="78">
                  <c:v>12.09482</c:v>
                </c:pt>
                <c:pt idx="79">
                  <c:v>10.831</c:v>
                </c:pt>
                <c:pt idx="80">
                  <c:v>13.884320000000001</c:v>
                </c:pt>
                <c:pt idx="81">
                  <c:v>13.82841</c:v>
                </c:pt>
                <c:pt idx="82">
                  <c:v>18.854009999999999</c:v>
                </c:pt>
                <c:pt idx="83">
                  <c:v>5.7969270000000002</c:v>
                </c:pt>
                <c:pt idx="84">
                  <c:v>20.170909999999999</c:v>
                </c:pt>
                <c:pt idx="85">
                  <c:v>10.04439</c:v>
                </c:pt>
                <c:pt idx="86">
                  <c:v>10.7134</c:v>
                </c:pt>
                <c:pt idx="87">
                  <c:v>22.078959999999999</c:v>
                </c:pt>
                <c:pt idx="88">
                  <c:v>21.114709999999999</c:v>
                </c:pt>
                <c:pt idx="89">
                  <c:v>42.043349999999997</c:v>
                </c:pt>
                <c:pt idx="90">
                  <c:v>16.983229999999999</c:v>
                </c:pt>
                <c:pt idx="91">
                  <c:v>9.4138669999999998</c:v>
                </c:pt>
              </c:numCache>
            </c:numRef>
          </c:yVal>
          <c:smooth val="0"/>
          <c:extLst>
            <c:ext xmlns:c16="http://schemas.microsoft.com/office/drawing/2014/chart" uri="{C3380CC4-5D6E-409C-BE32-E72D297353CC}">
              <c16:uniqueId val="{00000002-8EAC-4CB8-A564-16F0575150C6}"/>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Driftsutgifter!$H$797:$H$844</c:f>
              <c:numCache>
                <c:formatCode>General</c:formatCode>
                <c:ptCount val="48"/>
                <c:pt idx="0">
                  <c:v>13.114509999999999</c:v>
                </c:pt>
                <c:pt idx="1">
                  <c:v>4.8626040000000001</c:v>
                </c:pt>
                <c:pt idx="2">
                  <c:v>15.21072</c:v>
                </c:pt>
                <c:pt idx="3">
                  <c:v>13.821440000000001</c:v>
                </c:pt>
                <c:pt idx="4">
                  <c:v>4.5593649999999997</c:v>
                </c:pt>
                <c:pt idx="5">
                  <c:v>8.9049569999999996</c:v>
                </c:pt>
                <c:pt idx="6">
                  <c:v>31.008230000000001</c:v>
                </c:pt>
                <c:pt idx="7">
                  <c:v>32.529640000000001</c:v>
                </c:pt>
                <c:pt idx="8">
                  <c:v>9.8396059999999999</c:v>
                </c:pt>
                <c:pt idx="9">
                  <c:v>12.818530000000001</c:v>
                </c:pt>
                <c:pt idx="10">
                  <c:v>14.61026</c:v>
                </c:pt>
                <c:pt idx="11">
                  <c:v>4.7365640000000004</c:v>
                </c:pt>
                <c:pt idx="12">
                  <c:v>15.026770000000001</c:v>
                </c:pt>
                <c:pt idx="13">
                  <c:v>65.139020000000002</c:v>
                </c:pt>
                <c:pt idx="14">
                  <c:v>37.09104</c:v>
                </c:pt>
                <c:pt idx="15">
                  <c:v>14.25123</c:v>
                </c:pt>
                <c:pt idx="16">
                  <c:v>7.3273339999999996</c:v>
                </c:pt>
                <c:pt idx="17">
                  <c:v>8.1315840000000001</c:v>
                </c:pt>
                <c:pt idx="18">
                  <c:v>4.6439060000000003</c:v>
                </c:pt>
                <c:pt idx="19">
                  <c:v>1.749674</c:v>
                </c:pt>
                <c:pt idx="20">
                  <c:v>11.20922</c:v>
                </c:pt>
                <c:pt idx="21">
                  <c:v>5.5489620000000004</c:v>
                </c:pt>
                <c:pt idx="22">
                  <c:v>22.717379999999999</c:v>
                </c:pt>
                <c:pt idx="23">
                  <c:v>6.8070979999999999</c:v>
                </c:pt>
                <c:pt idx="24">
                  <c:v>25.892230000000001</c:v>
                </c:pt>
                <c:pt idx="25">
                  <c:v>9.3270470000000003</c:v>
                </c:pt>
                <c:pt idx="26">
                  <c:v>18.55002</c:v>
                </c:pt>
                <c:pt idx="27">
                  <c:v>14.751049999999999</c:v>
                </c:pt>
                <c:pt idx="28">
                  <c:v>5.1642000000000001</c:v>
                </c:pt>
                <c:pt idx="29">
                  <c:v>2.5422579999999999</c:v>
                </c:pt>
                <c:pt idx="30">
                  <c:v>23.305530000000001</c:v>
                </c:pt>
                <c:pt idx="31">
                  <c:v>4.9892370000000001</c:v>
                </c:pt>
                <c:pt idx="32">
                  <c:v>20.076589999999999</c:v>
                </c:pt>
                <c:pt idx="33">
                  <c:v>6.2963199999999997</c:v>
                </c:pt>
                <c:pt idx="34">
                  <c:v>12.49943</c:v>
                </c:pt>
                <c:pt idx="35">
                  <c:v>23.018319999999999</c:v>
                </c:pt>
                <c:pt idx="36">
                  <c:v>7.1352580000000003</c:v>
                </c:pt>
                <c:pt idx="37">
                  <c:v>18.175219999999999</c:v>
                </c:pt>
                <c:pt idx="38">
                  <c:v>11.567539999999999</c:v>
                </c:pt>
                <c:pt idx="39">
                  <c:v>13.146039999999999</c:v>
                </c:pt>
                <c:pt idx="40">
                  <c:v>12.17473</c:v>
                </c:pt>
                <c:pt idx="41">
                  <c:v>6.1558260000000002</c:v>
                </c:pt>
                <c:pt idx="42">
                  <c:v>18.031269999999999</c:v>
                </c:pt>
                <c:pt idx="43">
                  <c:v>9.1564519999999998</c:v>
                </c:pt>
                <c:pt idx="44">
                  <c:v>12.621079999999999</c:v>
                </c:pt>
                <c:pt idx="45">
                  <c:v>2.671888</c:v>
                </c:pt>
                <c:pt idx="46">
                  <c:v>27.506239999999998</c:v>
                </c:pt>
                <c:pt idx="47">
                  <c:v>10.382199999999999</c:v>
                </c:pt>
              </c:numCache>
            </c:numRef>
          </c:yVal>
          <c:smooth val="0"/>
          <c:extLst>
            <c:ext xmlns:c16="http://schemas.microsoft.com/office/drawing/2014/chart" uri="{C3380CC4-5D6E-409C-BE32-E72D297353CC}">
              <c16:uniqueId val="{00000003-8EAC-4CB8-A564-16F0575150C6}"/>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Driftsutgifter!$H$845:$H$890</c:f>
              <c:numCache>
                <c:formatCode>General</c:formatCode>
                <c:ptCount val="46"/>
                <c:pt idx="0">
                  <c:v>5.939343</c:v>
                </c:pt>
                <c:pt idx="1">
                  <c:v>7.8584160000000001</c:v>
                </c:pt>
                <c:pt idx="2">
                  <c:v>16.608129999999999</c:v>
                </c:pt>
                <c:pt idx="3">
                  <c:v>75.747259999999997</c:v>
                </c:pt>
                <c:pt idx="4">
                  <c:v>7.5406250000000004</c:v>
                </c:pt>
                <c:pt idx="5">
                  <c:v>8.8246249999999993</c:v>
                </c:pt>
                <c:pt idx="6">
                  <c:v>22.428059999999999</c:v>
                </c:pt>
                <c:pt idx="7">
                  <c:v>11.04609</c:v>
                </c:pt>
                <c:pt idx="8">
                  <c:v>17.634720000000002</c:v>
                </c:pt>
                <c:pt idx="9">
                  <c:v>5.9320170000000001</c:v>
                </c:pt>
                <c:pt idx="10">
                  <c:v>22.571100000000001</c:v>
                </c:pt>
                <c:pt idx="11">
                  <c:v>10.220230000000001</c:v>
                </c:pt>
                <c:pt idx="12">
                  <c:v>8.7657139999999991</c:v>
                </c:pt>
                <c:pt idx="13">
                  <c:v>17.161560000000001</c:v>
                </c:pt>
                <c:pt idx="14">
                  <c:v>4.9391619999999996</c:v>
                </c:pt>
                <c:pt idx="15">
                  <c:v>11.41119</c:v>
                </c:pt>
                <c:pt idx="16">
                  <c:v>9.2026540000000008</c:v>
                </c:pt>
                <c:pt idx="17">
                  <c:v>19.300280000000001</c:v>
                </c:pt>
                <c:pt idx="18">
                  <c:v>47.892769999999999</c:v>
                </c:pt>
                <c:pt idx="19">
                  <c:v>8.2003789999999999</c:v>
                </c:pt>
                <c:pt idx="20">
                  <c:v>37.574289999999998</c:v>
                </c:pt>
                <c:pt idx="21">
                  <c:v>16.77683</c:v>
                </c:pt>
                <c:pt idx="22">
                  <c:v>11.932729999999999</c:v>
                </c:pt>
                <c:pt idx="23">
                  <c:v>3.85615</c:v>
                </c:pt>
                <c:pt idx="24">
                  <c:v>6.8956860000000004</c:v>
                </c:pt>
                <c:pt idx="25">
                  <c:v>15.203290000000001</c:v>
                </c:pt>
                <c:pt idx="26">
                  <c:v>9.0036850000000008</c:v>
                </c:pt>
                <c:pt idx="27">
                  <c:v>13.69204</c:v>
                </c:pt>
                <c:pt idx="28">
                  <c:v>14.657030000000001</c:v>
                </c:pt>
                <c:pt idx="29">
                  <c:v>0.2251454</c:v>
                </c:pt>
                <c:pt idx="30">
                  <c:v>8.4332250000000002</c:v>
                </c:pt>
                <c:pt idx="31">
                  <c:v>14.21256</c:v>
                </c:pt>
                <c:pt idx="32">
                  <c:v>19.24418</c:v>
                </c:pt>
                <c:pt idx="33">
                  <c:v>17.535869999999999</c:v>
                </c:pt>
                <c:pt idx="34">
                  <c:v>7.2000900000000003</c:v>
                </c:pt>
                <c:pt idx="35">
                  <c:v>17.01559</c:v>
                </c:pt>
                <c:pt idx="36">
                  <c:v>9.8007869999999997</c:v>
                </c:pt>
                <c:pt idx="37">
                  <c:v>8.1723470000000002</c:v>
                </c:pt>
                <c:pt idx="38">
                  <c:v>7.9862640000000003</c:v>
                </c:pt>
                <c:pt idx="39">
                  <c:v>3.0578500000000002</c:v>
                </c:pt>
                <c:pt idx="40">
                  <c:v>6.2151170000000002</c:v>
                </c:pt>
                <c:pt idx="41">
                  <c:v>11.148669999999999</c:v>
                </c:pt>
                <c:pt idx="42">
                  <c:v>7.77834</c:v>
                </c:pt>
                <c:pt idx="43">
                  <c:v>8.8094649999999994</c:v>
                </c:pt>
                <c:pt idx="44">
                  <c:v>12.43684</c:v>
                </c:pt>
                <c:pt idx="45">
                  <c:v>14.62947</c:v>
                </c:pt>
              </c:numCache>
            </c:numRef>
          </c:yVal>
          <c:smooth val="0"/>
          <c:extLst>
            <c:ext xmlns:c16="http://schemas.microsoft.com/office/drawing/2014/chart" uri="{C3380CC4-5D6E-409C-BE32-E72D297353CC}">
              <c16:uniqueId val="{00000004-8EAC-4CB8-A564-16F0575150C6}"/>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Driftsutgifter!$H$891:$H$942</c:f>
              <c:numCache>
                <c:formatCode>General</c:formatCode>
                <c:ptCount val="52"/>
                <c:pt idx="0">
                  <c:v>25.43458</c:v>
                </c:pt>
                <c:pt idx="1">
                  <c:v>7.1497849999999996</c:v>
                </c:pt>
                <c:pt idx="2">
                  <c:v>14.390840000000001</c:v>
                </c:pt>
                <c:pt idx="3">
                  <c:v>13.53018</c:v>
                </c:pt>
                <c:pt idx="4">
                  <c:v>13.14847</c:v>
                </c:pt>
                <c:pt idx="5">
                  <c:v>11.00286</c:v>
                </c:pt>
                <c:pt idx="6">
                  <c:v>7.7166499999999996</c:v>
                </c:pt>
                <c:pt idx="7">
                  <c:v>6.8109580000000003</c:v>
                </c:pt>
                <c:pt idx="8">
                  <c:v>7.9565640000000002</c:v>
                </c:pt>
                <c:pt idx="9">
                  <c:v>11.36556</c:v>
                </c:pt>
                <c:pt idx="10">
                  <c:v>10.458080000000001</c:v>
                </c:pt>
                <c:pt idx="11">
                  <c:v>15.84665</c:v>
                </c:pt>
                <c:pt idx="12">
                  <c:v>6.6135630000000001</c:v>
                </c:pt>
                <c:pt idx="13">
                  <c:v>34.551229999999997</c:v>
                </c:pt>
                <c:pt idx="14">
                  <c:v>8.6023610000000001</c:v>
                </c:pt>
                <c:pt idx="15">
                  <c:v>9.6829079999999994</c:v>
                </c:pt>
                <c:pt idx="16">
                  <c:v>13.650840000000001</c:v>
                </c:pt>
                <c:pt idx="17">
                  <c:v>18.268429999999999</c:v>
                </c:pt>
                <c:pt idx="18">
                  <c:v>40.115299999999998</c:v>
                </c:pt>
                <c:pt idx="19">
                  <c:v>21.22824</c:v>
                </c:pt>
                <c:pt idx="20">
                  <c:v>17.828659999999999</c:v>
                </c:pt>
                <c:pt idx="21">
                  <c:v>13.31467</c:v>
                </c:pt>
                <c:pt idx="22">
                  <c:v>6.818365</c:v>
                </c:pt>
                <c:pt idx="23">
                  <c:v>12.419790000000001</c:v>
                </c:pt>
                <c:pt idx="24">
                  <c:v>18.503080000000001</c:v>
                </c:pt>
                <c:pt idx="25">
                  <c:v>3.4596900000000002</c:v>
                </c:pt>
                <c:pt idx="26">
                  <c:v>7.7797450000000001</c:v>
                </c:pt>
                <c:pt idx="27">
                  <c:v>2.8378169999999998</c:v>
                </c:pt>
                <c:pt idx="28">
                  <c:v>10.57056</c:v>
                </c:pt>
                <c:pt idx="29">
                  <c:v>29.282730000000001</c:v>
                </c:pt>
                <c:pt idx="30">
                  <c:v>3.988216</c:v>
                </c:pt>
                <c:pt idx="31">
                  <c:v>5.284357</c:v>
                </c:pt>
                <c:pt idx="32">
                  <c:v>20.799029999999998</c:v>
                </c:pt>
                <c:pt idx="33">
                  <c:v>11.129110000000001</c:v>
                </c:pt>
                <c:pt idx="34">
                  <c:v>14.453799999999999</c:v>
                </c:pt>
                <c:pt idx="35">
                  <c:v>11.77591</c:v>
                </c:pt>
                <c:pt idx="36">
                  <c:v>45.447539999999996</c:v>
                </c:pt>
                <c:pt idx="37">
                  <c:v>0.68755730000000004</c:v>
                </c:pt>
                <c:pt idx="38">
                  <c:v>6.0969920000000002</c:v>
                </c:pt>
                <c:pt idx="39">
                  <c:v>21.795919999999999</c:v>
                </c:pt>
                <c:pt idx="40">
                  <c:v>29.986930000000001</c:v>
                </c:pt>
                <c:pt idx="41">
                  <c:v>33.319099999999999</c:v>
                </c:pt>
                <c:pt idx="42">
                  <c:v>8.9382429999999999</c:v>
                </c:pt>
                <c:pt idx="43">
                  <c:v>10.59445</c:v>
                </c:pt>
                <c:pt idx="44">
                  <c:v>4.246238</c:v>
                </c:pt>
                <c:pt idx="45">
                  <c:v>9.1124910000000003</c:v>
                </c:pt>
                <c:pt idx="46">
                  <c:v>9.6440239999999999</c:v>
                </c:pt>
                <c:pt idx="47">
                  <c:v>19.904150000000001</c:v>
                </c:pt>
                <c:pt idx="48">
                  <c:v>21.37875</c:v>
                </c:pt>
                <c:pt idx="49">
                  <c:v>17.354019999999998</c:v>
                </c:pt>
                <c:pt idx="50">
                  <c:v>7.6215310000000001</c:v>
                </c:pt>
                <c:pt idx="51">
                  <c:v>10.483370000000001</c:v>
                </c:pt>
              </c:numCache>
            </c:numRef>
          </c:yVal>
          <c:smooth val="0"/>
          <c:extLst>
            <c:ext xmlns:c16="http://schemas.microsoft.com/office/drawing/2014/chart" uri="{C3380CC4-5D6E-409C-BE32-E72D297353CC}">
              <c16:uniqueId val="{00000005-8EAC-4CB8-A564-16F0575150C6}"/>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(2) Bruttoinvesteringerstrøm</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Driftsutgifter!$I$587:$I$666</c:f>
              <c:numCache>
                <c:formatCode>General</c:formatCode>
                <c:ptCount val="80"/>
                <c:pt idx="0">
                  <c:v>10.678179999999999</c:v>
                </c:pt>
                <c:pt idx="1">
                  <c:v>12.63425</c:v>
                </c:pt>
                <c:pt idx="2">
                  <c:v>7.8376780000000004</c:v>
                </c:pt>
                <c:pt idx="3">
                  <c:v>12.317399999999999</c:v>
                </c:pt>
                <c:pt idx="4">
                  <c:v>7.8548109999999998</c:v>
                </c:pt>
                <c:pt idx="5">
                  <c:v>10.298730000000001</c:v>
                </c:pt>
                <c:pt idx="6">
                  <c:v>8.8518950000000007</c:v>
                </c:pt>
                <c:pt idx="7">
                  <c:v>5.900658</c:v>
                </c:pt>
                <c:pt idx="8">
                  <c:v>7.0047969999999999</c:v>
                </c:pt>
                <c:pt idx="9">
                  <c:v>9.8551479999999998</c:v>
                </c:pt>
                <c:pt idx="10">
                  <c:v>7.6794450000000003</c:v>
                </c:pt>
                <c:pt idx="11">
                  <c:v>19.96913</c:v>
                </c:pt>
                <c:pt idx="12">
                  <c:v>7.6101380000000001</c:v>
                </c:pt>
                <c:pt idx="13">
                  <c:v>12.18403</c:v>
                </c:pt>
                <c:pt idx="14">
                  <c:v>6.293552</c:v>
                </c:pt>
                <c:pt idx="15">
                  <c:v>10.78505</c:v>
                </c:pt>
                <c:pt idx="16">
                  <c:v>6.3749390000000004</c:v>
                </c:pt>
                <c:pt idx="17">
                  <c:v>9.5412189999999999</c:v>
                </c:pt>
                <c:pt idx="18">
                  <c:v>5.1628179999999997</c:v>
                </c:pt>
                <c:pt idx="19">
                  <c:v>8.4243950000000005</c:v>
                </c:pt>
                <c:pt idx="20">
                  <c:v>6.2144560000000002</c:v>
                </c:pt>
                <c:pt idx="21">
                  <c:v>6.1551489999999998</c:v>
                </c:pt>
                <c:pt idx="22">
                  <c:v>10.23311</c:v>
                </c:pt>
                <c:pt idx="23">
                  <c:v>7.8228330000000001</c:v>
                </c:pt>
                <c:pt idx="24">
                  <c:v>6.1026829999999999</c:v>
                </c:pt>
                <c:pt idx="25">
                  <c:v>6.5279660000000002</c:v>
                </c:pt>
                <c:pt idx="26">
                  <c:v>8.993608</c:v>
                </c:pt>
                <c:pt idx="27">
                  <c:v>7.1847370000000002</c:v>
                </c:pt>
                <c:pt idx="28">
                  <c:v>6.5112620000000003</c:v>
                </c:pt>
                <c:pt idx="29">
                  <c:v>4.4064870000000003</c:v>
                </c:pt>
                <c:pt idx="30">
                  <c:v>6.6015680000000003</c:v>
                </c:pt>
                <c:pt idx="31">
                  <c:v>5.2354200000000004</c:v>
                </c:pt>
                <c:pt idx="32">
                  <c:v>8.8418080000000003</c:v>
                </c:pt>
                <c:pt idx="33">
                  <c:v>8.4263379999999994</c:v>
                </c:pt>
                <c:pt idx="34">
                  <c:v>10.770239999999999</c:v>
                </c:pt>
                <c:pt idx="35">
                  <c:v>5.794956</c:v>
                </c:pt>
                <c:pt idx="36">
                  <c:v>6.591145</c:v>
                </c:pt>
                <c:pt idx="37">
                  <c:v>7.828697</c:v>
                </c:pt>
                <c:pt idx="38">
                  <c:v>13.12527</c:v>
                </c:pt>
                <c:pt idx="39">
                  <c:v>10.43019</c:v>
                </c:pt>
                <c:pt idx="40">
                  <c:v>7.6939209999999996</c:v>
                </c:pt>
                <c:pt idx="41">
                  <c:v>8.2472709999999996</c:v>
                </c:pt>
                <c:pt idx="42">
                  <c:v>5.9192140000000002</c:v>
                </c:pt>
                <c:pt idx="43">
                  <c:v>5.9016279999999997</c:v>
                </c:pt>
                <c:pt idx="44">
                  <c:v>14.11849</c:v>
                </c:pt>
                <c:pt idx="45">
                  <c:v>12.624510000000001</c:v>
                </c:pt>
                <c:pt idx="46">
                  <c:v>5.5068289999999998</c:v>
                </c:pt>
                <c:pt idx="47">
                  <c:v>7.4629880000000002</c:v>
                </c:pt>
                <c:pt idx="48">
                  <c:v>6.4756980000000004</c:v>
                </c:pt>
                <c:pt idx="49">
                  <c:v>7.3218069999999997</c:v>
                </c:pt>
                <c:pt idx="50">
                  <c:v>9.9740780000000004</c:v>
                </c:pt>
                <c:pt idx="51">
                  <c:v>4.4609389999999998</c:v>
                </c:pt>
                <c:pt idx="52">
                  <c:v>6.5044259999999996</c:v>
                </c:pt>
                <c:pt idx="53">
                  <c:v>12.38593</c:v>
                </c:pt>
                <c:pt idx="54">
                  <c:v>4.648498</c:v>
                </c:pt>
                <c:pt idx="55">
                  <c:v>6.7213029999999998</c:v>
                </c:pt>
                <c:pt idx="56">
                  <c:v>6.4209690000000004</c:v>
                </c:pt>
                <c:pt idx="57">
                  <c:v>6.0193909999999997</c:v>
                </c:pt>
                <c:pt idx="58">
                  <c:v>8.2621110000000009</c:v>
                </c:pt>
                <c:pt idx="59">
                  <c:v>7.3814190000000002</c:v>
                </c:pt>
                <c:pt idx="60">
                  <c:v>5.108536</c:v>
                </c:pt>
                <c:pt idx="61">
                  <c:v>4.494783</c:v>
                </c:pt>
                <c:pt idx="62">
                  <c:v>9.6732230000000001</c:v>
                </c:pt>
                <c:pt idx="63">
                  <c:v>12.068680000000001</c:v>
                </c:pt>
                <c:pt idx="64">
                  <c:v>5.6366059999999996</c:v>
                </c:pt>
                <c:pt idx="65">
                  <c:v>7.3111839999999999</c:v>
                </c:pt>
                <c:pt idx="66">
                  <c:v>7.1163239999999996</c:v>
                </c:pt>
                <c:pt idx="67">
                  <c:v>5.7123790000000003</c:v>
                </c:pt>
                <c:pt idx="68">
                  <c:v>5.4199250000000001</c:v>
                </c:pt>
                <c:pt idx="69">
                  <c:v>7.4030449999999997</c:v>
                </c:pt>
                <c:pt idx="70">
                  <c:v>3.6560299999999999</c:v>
                </c:pt>
                <c:pt idx="71">
                  <c:v>13.11633</c:v>
                </c:pt>
                <c:pt idx="72">
                  <c:v>6.1184789999999998</c:v>
                </c:pt>
                <c:pt idx="73">
                  <c:v>4.8132080000000004</c:v>
                </c:pt>
                <c:pt idx="74">
                  <c:v>6.5542899999999999</c:v>
                </c:pt>
                <c:pt idx="75">
                  <c:v>8.7326090000000001</c:v>
                </c:pt>
                <c:pt idx="76">
                  <c:v>4.7857139999999996</c:v>
                </c:pt>
                <c:pt idx="77">
                  <c:v>6.3451740000000001</c:v>
                </c:pt>
                <c:pt idx="78">
                  <c:v>11.02796</c:v>
                </c:pt>
                <c:pt idx="79">
                  <c:v>8.3712</c:v>
                </c:pt>
              </c:numCache>
            </c:numRef>
          </c:yVal>
          <c:smooth val="0"/>
          <c:extLst>
            <c:ext xmlns:c16="http://schemas.microsoft.com/office/drawing/2014/chart" uri="{C3380CC4-5D6E-409C-BE32-E72D297353CC}">
              <c16:uniqueId val="{00000000-9D3C-4454-A637-FDC8BA5489B7}"/>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Driftsutgifter!$I$667:$I$704</c:f>
              <c:numCache>
                <c:formatCode>General</c:formatCode>
                <c:ptCount val="38"/>
                <c:pt idx="0">
                  <c:v>7.6803980000000003</c:v>
                </c:pt>
                <c:pt idx="1">
                  <c:v>9.4474619999999998</c:v>
                </c:pt>
                <c:pt idx="2">
                  <c:v>12.31138</c:v>
                </c:pt>
                <c:pt idx="3">
                  <c:v>5.9124280000000002</c:v>
                </c:pt>
                <c:pt idx="4">
                  <c:v>7.3391089999999997</c:v>
                </c:pt>
                <c:pt idx="5">
                  <c:v>6.9610130000000003</c:v>
                </c:pt>
                <c:pt idx="6">
                  <c:v>7.3454860000000002</c:v>
                </c:pt>
                <c:pt idx="7">
                  <c:v>5.3142060000000004</c:v>
                </c:pt>
                <c:pt idx="8">
                  <c:v>5.5858970000000001</c:v>
                </c:pt>
                <c:pt idx="9">
                  <c:v>5.9243449999999998</c:v>
                </c:pt>
                <c:pt idx="10">
                  <c:v>8.2678930000000008</c:v>
                </c:pt>
                <c:pt idx="11">
                  <c:v>6.8612359999999999</c:v>
                </c:pt>
                <c:pt idx="12">
                  <c:v>4.5714829999999997</c:v>
                </c:pt>
                <c:pt idx="13">
                  <c:v>5.3196269999999997</c:v>
                </c:pt>
                <c:pt idx="14">
                  <c:v>6.404369</c:v>
                </c:pt>
                <c:pt idx="15">
                  <c:v>6.2765969999999998</c:v>
                </c:pt>
                <c:pt idx="16">
                  <c:v>10.473929999999999</c:v>
                </c:pt>
                <c:pt idx="17">
                  <c:v>7.7600670000000003</c:v>
                </c:pt>
                <c:pt idx="18">
                  <c:v>9.2665930000000003</c:v>
                </c:pt>
                <c:pt idx="19">
                  <c:v>7.6081180000000002</c:v>
                </c:pt>
                <c:pt idx="20">
                  <c:v>9.4687199999999994</c:v>
                </c:pt>
                <c:pt idx="21">
                  <c:v>5.8248540000000002</c:v>
                </c:pt>
                <c:pt idx="22">
                  <c:v>6.821415</c:v>
                </c:pt>
                <c:pt idx="23">
                  <c:v>7.4198579999999996</c:v>
                </c:pt>
                <c:pt idx="24">
                  <c:v>4.7997480000000001</c:v>
                </c:pt>
                <c:pt idx="25">
                  <c:v>5.9763729999999997</c:v>
                </c:pt>
                <c:pt idx="26">
                  <c:v>4.6310630000000002</c:v>
                </c:pt>
                <c:pt idx="27">
                  <c:v>9.1797240000000002</c:v>
                </c:pt>
                <c:pt idx="28">
                  <c:v>5.9841350000000002</c:v>
                </c:pt>
                <c:pt idx="29">
                  <c:v>6.4188460000000003</c:v>
                </c:pt>
                <c:pt idx="30">
                  <c:v>6.9525059999999996</c:v>
                </c:pt>
                <c:pt idx="31">
                  <c:v>6.0853020000000004</c:v>
                </c:pt>
                <c:pt idx="32">
                  <c:v>15.149430000000001</c:v>
                </c:pt>
                <c:pt idx="33">
                  <c:v>9.3247549999999997</c:v>
                </c:pt>
                <c:pt idx="34">
                  <c:v>5.0129979999999996</c:v>
                </c:pt>
                <c:pt idx="35">
                  <c:v>5.6607349999999999</c:v>
                </c:pt>
                <c:pt idx="36">
                  <c:v>5.4330970000000001</c:v>
                </c:pt>
                <c:pt idx="37">
                  <c:v>6.7743500000000001</c:v>
                </c:pt>
              </c:numCache>
            </c:numRef>
          </c:yVal>
          <c:smooth val="0"/>
          <c:extLst>
            <c:ext xmlns:c16="http://schemas.microsoft.com/office/drawing/2014/chart" uri="{C3380CC4-5D6E-409C-BE32-E72D297353CC}">
              <c16:uniqueId val="{00000001-9D3C-4454-A637-FDC8BA5489B7}"/>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Driftsutgifter!$I$705:$I$796</c:f>
              <c:numCache>
                <c:formatCode>General</c:formatCode>
                <c:ptCount val="92"/>
                <c:pt idx="0">
                  <c:v>3.3646829999999999</c:v>
                </c:pt>
                <c:pt idx="1">
                  <c:v>6.1328379999999996</c:v>
                </c:pt>
                <c:pt idx="2">
                  <c:v>6.9931739999999998</c:v>
                </c:pt>
                <c:pt idx="3">
                  <c:v>12.25305</c:v>
                </c:pt>
                <c:pt idx="4">
                  <c:v>4.9647069999999998</c:v>
                </c:pt>
                <c:pt idx="5">
                  <c:v>3.8056640000000002</c:v>
                </c:pt>
                <c:pt idx="6">
                  <c:v>4.0385660000000003</c:v>
                </c:pt>
                <c:pt idx="7">
                  <c:v>5.0117289999999999</c:v>
                </c:pt>
                <c:pt idx="8">
                  <c:v>5.0944640000000003</c:v>
                </c:pt>
                <c:pt idx="9">
                  <c:v>5.4847380000000001</c:v>
                </c:pt>
                <c:pt idx="10">
                  <c:v>10.454549999999999</c:v>
                </c:pt>
                <c:pt idx="11">
                  <c:v>7.8388770000000001</c:v>
                </c:pt>
                <c:pt idx="12">
                  <c:v>5.9274360000000001</c:v>
                </c:pt>
                <c:pt idx="13">
                  <c:v>6.7315690000000004</c:v>
                </c:pt>
                <c:pt idx="14">
                  <c:v>3.1478799999999998</c:v>
                </c:pt>
                <c:pt idx="15">
                  <c:v>5.6039770000000004</c:v>
                </c:pt>
                <c:pt idx="16">
                  <c:v>7.8357910000000004</c:v>
                </c:pt>
                <c:pt idx="17">
                  <c:v>5.8111379999999997</c:v>
                </c:pt>
                <c:pt idx="18">
                  <c:v>9.0250579999999996</c:v>
                </c:pt>
                <c:pt idx="19">
                  <c:v>3.7466940000000002</c:v>
                </c:pt>
                <c:pt idx="20">
                  <c:v>5.0476910000000004</c:v>
                </c:pt>
                <c:pt idx="21">
                  <c:v>6.5856950000000003</c:v>
                </c:pt>
                <c:pt idx="22">
                  <c:v>8.6995199999999997</c:v>
                </c:pt>
                <c:pt idx="23">
                  <c:v>4.703106</c:v>
                </c:pt>
                <c:pt idx="24">
                  <c:v>3.9985460000000002</c:v>
                </c:pt>
                <c:pt idx="25">
                  <c:v>7.7164070000000002</c:v>
                </c:pt>
                <c:pt idx="26">
                  <c:v>6.2358510000000003</c:v>
                </c:pt>
                <c:pt idx="27">
                  <c:v>5.3347519999999999</c:v>
                </c:pt>
                <c:pt idx="28">
                  <c:v>4.531282</c:v>
                </c:pt>
                <c:pt idx="29">
                  <c:v>4.7602419999999999</c:v>
                </c:pt>
                <c:pt idx="30">
                  <c:v>7.348738</c:v>
                </c:pt>
                <c:pt idx="31">
                  <c:v>21.992080000000001</c:v>
                </c:pt>
                <c:pt idx="32">
                  <c:v>6.668291</c:v>
                </c:pt>
                <c:pt idx="33">
                  <c:v>5.2534049999999999</c:v>
                </c:pt>
                <c:pt idx="34">
                  <c:v>5.4410499999999997</c:v>
                </c:pt>
                <c:pt idx="35">
                  <c:v>6.953195</c:v>
                </c:pt>
                <c:pt idx="36">
                  <c:v>6.0477379999999998</c:v>
                </c:pt>
                <c:pt idx="37">
                  <c:v>4.6555179999999998</c:v>
                </c:pt>
                <c:pt idx="38">
                  <c:v>4.1263920000000001</c:v>
                </c:pt>
                <c:pt idx="39">
                  <c:v>5.87432</c:v>
                </c:pt>
                <c:pt idx="40">
                  <c:v>12.629670000000001</c:v>
                </c:pt>
                <c:pt idx="41">
                  <c:v>6.7083849999999998</c:v>
                </c:pt>
                <c:pt idx="42">
                  <c:v>8.2270350000000008</c:v>
                </c:pt>
                <c:pt idx="43">
                  <c:v>4.4190170000000002</c:v>
                </c:pt>
                <c:pt idx="44">
                  <c:v>6.2440480000000003</c:v>
                </c:pt>
                <c:pt idx="45">
                  <c:v>3.9522179999999998</c:v>
                </c:pt>
                <c:pt idx="46">
                  <c:v>5.7043039999999996</c:v>
                </c:pt>
                <c:pt idx="47">
                  <c:v>5.0487460000000004</c:v>
                </c:pt>
                <c:pt idx="48">
                  <c:v>8.4507770000000004</c:v>
                </c:pt>
                <c:pt idx="49">
                  <c:v>6.1055910000000004</c:v>
                </c:pt>
                <c:pt idx="50">
                  <c:v>3.947511</c:v>
                </c:pt>
                <c:pt idx="51">
                  <c:v>6.335521</c:v>
                </c:pt>
                <c:pt idx="52">
                  <c:v>6.753698</c:v>
                </c:pt>
                <c:pt idx="53">
                  <c:v>4.823334</c:v>
                </c:pt>
                <c:pt idx="54">
                  <c:v>8.8863950000000003</c:v>
                </c:pt>
                <c:pt idx="55">
                  <c:v>4.7095859999999998</c:v>
                </c:pt>
                <c:pt idx="56">
                  <c:v>9.8224959999999992</c:v>
                </c:pt>
                <c:pt idx="57">
                  <c:v>7.2492070000000002</c:v>
                </c:pt>
                <c:pt idx="58">
                  <c:v>15.326739999999999</c:v>
                </c:pt>
                <c:pt idx="59">
                  <c:v>6.0932979999999999</c:v>
                </c:pt>
                <c:pt idx="60">
                  <c:v>4.7959329999999998</c:v>
                </c:pt>
                <c:pt idx="61">
                  <c:v>5.4183050000000001</c:v>
                </c:pt>
                <c:pt idx="62">
                  <c:v>6.2477980000000004</c:v>
                </c:pt>
                <c:pt idx="63">
                  <c:v>11.738910000000001</c:v>
                </c:pt>
                <c:pt idx="64">
                  <c:v>20.180099999999999</c:v>
                </c:pt>
                <c:pt idx="65">
                  <c:v>5.3694290000000002</c:v>
                </c:pt>
                <c:pt idx="66">
                  <c:v>4.4481900000000003</c:v>
                </c:pt>
                <c:pt idx="67">
                  <c:v>6.1601140000000001</c:v>
                </c:pt>
                <c:pt idx="68">
                  <c:v>5.609076</c:v>
                </c:pt>
                <c:pt idx="69">
                  <c:v>5.2515660000000004</c:v>
                </c:pt>
                <c:pt idx="70">
                  <c:v>7.3144559999999998</c:v>
                </c:pt>
                <c:pt idx="71">
                  <c:v>6.8836349999999999</c:v>
                </c:pt>
                <c:pt idx="72">
                  <c:v>6.3872400000000003</c:v>
                </c:pt>
                <c:pt idx="73">
                  <c:v>8.6466139999999996</c:v>
                </c:pt>
                <c:pt idx="74">
                  <c:v>9.3454080000000008</c:v>
                </c:pt>
                <c:pt idx="75">
                  <c:v>9.2630540000000003</c:v>
                </c:pt>
                <c:pt idx="76">
                  <c:v>10.326040000000001</c:v>
                </c:pt>
                <c:pt idx="77">
                  <c:v>6.7052110000000003</c:v>
                </c:pt>
                <c:pt idx="78">
                  <c:v>4.4518180000000003</c:v>
                </c:pt>
                <c:pt idx="79">
                  <c:v>4.7911149999999996</c:v>
                </c:pt>
                <c:pt idx="80">
                  <c:v>4.2071269999999998</c:v>
                </c:pt>
                <c:pt idx="81">
                  <c:v>9.1398320000000002</c:v>
                </c:pt>
                <c:pt idx="82">
                  <c:v>4.9368030000000003</c:v>
                </c:pt>
                <c:pt idx="83">
                  <c:v>4.9831399999999997</c:v>
                </c:pt>
                <c:pt idx="84">
                  <c:v>9.7929790000000008</c:v>
                </c:pt>
                <c:pt idx="85">
                  <c:v>4.8499189999999999</c:v>
                </c:pt>
                <c:pt idx="86">
                  <c:v>5.3849340000000003</c:v>
                </c:pt>
                <c:pt idx="87">
                  <c:v>5.6765369999999997</c:v>
                </c:pt>
                <c:pt idx="88">
                  <c:v>6.6751290000000001</c:v>
                </c:pt>
                <c:pt idx="89">
                  <c:v>8.1448940000000007</c:v>
                </c:pt>
                <c:pt idx="90">
                  <c:v>5.5448430000000002</c:v>
                </c:pt>
                <c:pt idx="91">
                  <c:v>4.1464100000000004</c:v>
                </c:pt>
              </c:numCache>
            </c:numRef>
          </c:yVal>
          <c:smooth val="0"/>
          <c:extLst>
            <c:ext xmlns:c16="http://schemas.microsoft.com/office/drawing/2014/chart" uri="{C3380CC4-5D6E-409C-BE32-E72D297353CC}">
              <c16:uniqueId val="{00000002-9D3C-4454-A637-FDC8BA5489B7}"/>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Driftsutgifter!$I$797:$I$844</c:f>
              <c:numCache>
                <c:formatCode>General</c:formatCode>
                <c:ptCount val="48"/>
                <c:pt idx="0">
                  <c:v>4.0340600000000002</c:v>
                </c:pt>
                <c:pt idx="1">
                  <c:v>3.975228</c:v>
                </c:pt>
                <c:pt idx="2">
                  <c:v>5.8710000000000004</c:v>
                </c:pt>
                <c:pt idx="3">
                  <c:v>4.2130890000000001</c:v>
                </c:pt>
                <c:pt idx="4">
                  <c:v>5.6958729999999997</c:v>
                </c:pt>
                <c:pt idx="5">
                  <c:v>5.5218040000000004</c:v>
                </c:pt>
                <c:pt idx="6">
                  <c:v>24.235869999999998</c:v>
                </c:pt>
                <c:pt idx="7">
                  <c:v>5.7957559999999999</c:v>
                </c:pt>
                <c:pt idx="8">
                  <c:v>4.8778990000000002</c:v>
                </c:pt>
                <c:pt idx="9">
                  <c:v>5.7309510000000001</c:v>
                </c:pt>
                <c:pt idx="10">
                  <c:v>5.0991039999999996</c:v>
                </c:pt>
                <c:pt idx="11">
                  <c:v>9.069604</c:v>
                </c:pt>
                <c:pt idx="12">
                  <c:v>5.7278659999999997</c:v>
                </c:pt>
                <c:pt idx="13">
                  <c:v>15.642989999999999</c:v>
                </c:pt>
                <c:pt idx="14">
                  <c:v>10.375349999999999</c:v>
                </c:pt>
                <c:pt idx="15">
                  <c:v>6.1652290000000001</c:v>
                </c:pt>
                <c:pt idx="16">
                  <c:v>9.4360700000000008</c:v>
                </c:pt>
                <c:pt idx="17">
                  <c:v>6.1528999999999998</c:v>
                </c:pt>
                <c:pt idx="18">
                  <c:v>5.1779809999999999</c:v>
                </c:pt>
                <c:pt idx="19">
                  <c:v>5.1665580000000002</c:v>
                </c:pt>
                <c:pt idx="20">
                  <c:v>4.4609240000000003</c:v>
                </c:pt>
                <c:pt idx="21">
                  <c:v>5.8797980000000001</c:v>
                </c:pt>
                <c:pt idx="22">
                  <c:v>8.5140619999999991</c:v>
                </c:pt>
                <c:pt idx="23">
                  <c:v>4.6791919999999996</c:v>
                </c:pt>
                <c:pt idx="24">
                  <c:v>28.02073</c:v>
                </c:pt>
                <c:pt idx="25">
                  <c:v>5.7926089999999997</c:v>
                </c:pt>
                <c:pt idx="26">
                  <c:v>11.13325</c:v>
                </c:pt>
                <c:pt idx="27">
                  <c:v>3.2322280000000001</c:v>
                </c:pt>
                <c:pt idx="28">
                  <c:v>5.3929999999999998</c:v>
                </c:pt>
                <c:pt idx="29">
                  <c:v>4.8502400000000003</c:v>
                </c:pt>
                <c:pt idx="30">
                  <c:v>7.7068539999999999</c:v>
                </c:pt>
                <c:pt idx="31">
                  <c:v>5.9452509999999998</c:v>
                </c:pt>
                <c:pt idx="32">
                  <c:v>4.7159019999999998</c:v>
                </c:pt>
                <c:pt idx="33">
                  <c:v>4.8106660000000003</c:v>
                </c:pt>
                <c:pt idx="34">
                  <c:v>6.3673659999999996</c:v>
                </c:pt>
                <c:pt idx="35">
                  <c:v>12.833</c:v>
                </c:pt>
                <c:pt idx="36">
                  <c:v>5.6034389999999998</c:v>
                </c:pt>
                <c:pt idx="37">
                  <c:v>7.740958</c:v>
                </c:pt>
                <c:pt idx="38">
                  <c:v>6.2793200000000002</c:v>
                </c:pt>
                <c:pt idx="39">
                  <c:v>6.7916670000000003</c:v>
                </c:pt>
                <c:pt idx="40">
                  <c:v>6.0486420000000001</c:v>
                </c:pt>
                <c:pt idx="41">
                  <c:v>4.0686429999999998</c:v>
                </c:pt>
                <c:pt idx="42">
                  <c:v>7.8419220000000003</c:v>
                </c:pt>
                <c:pt idx="43">
                  <c:v>5.5869010000000001</c:v>
                </c:pt>
                <c:pt idx="44">
                  <c:v>5.0644710000000002</c:v>
                </c:pt>
                <c:pt idx="45">
                  <c:v>4.5842499999999999</c:v>
                </c:pt>
                <c:pt idx="46">
                  <c:v>6.6143970000000003</c:v>
                </c:pt>
                <c:pt idx="47">
                  <c:v>3.3580299999999998</c:v>
                </c:pt>
              </c:numCache>
            </c:numRef>
          </c:yVal>
          <c:smooth val="0"/>
          <c:extLst>
            <c:ext xmlns:c16="http://schemas.microsoft.com/office/drawing/2014/chart" uri="{C3380CC4-5D6E-409C-BE32-E72D297353CC}">
              <c16:uniqueId val="{00000003-9D3C-4454-A637-FDC8BA5489B7}"/>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Driftsutgifter!$I$845:$I$890</c:f>
              <c:numCache>
                <c:formatCode>General</c:formatCode>
                <c:ptCount val="46"/>
                <c:pt idx="0">
                  <c:v>6.3408660000000001</c:v>
                </c:pt>
                <c:pt idx="1">
                  <c:v>4.6710289999999999</c:v>
                </c:pt>
                <c:pt idx="2">
                  <c:v>12.478440000000001</c:v>
                </c:pt>
                <c:pt idx="3">
                  <c:v>6.4007620000000003</c:v>
                </c:pt>
                <c:pt idx="4">
                  <c:v>4.3390639999999996</c:v>
                </c:pt>
                <c:pt idx="5">
                  <c:v>5.5099229999999997</c:v>
                </c:pt>
                <c:pt idx="6">
                  <c:v>9.6577160000000006</c:v>
                </c:pt>
                <c:pt idx="7">
                  <c:v>7.1545639999999997</c:v>
                </c:pt>
                <c:pt idx="8">
                  <c:v>9.509093</c:v>
                </c:pt>
                <c:pt idx="9">
                  <c:v>5.0771930000000003</c:v>
                </c:pt>
                <c:pt idx="10">
                  <c:v>8.7074780000000001</c:v>
                </c:pt>
                <c:pt idx="11">
                  <c:v>6.062087</c:v>
                </c:pt>
                <c:pt idx="12">
                  <c:v>4.3689739999999997</c:v>
                </c:pt>
                <c:pt idx="13">
                  <c:v>5.9943470000000003</c:v>
                </c:pt>
                <c:pt idx="14">
                  <c:v>6.1937949999999997</c:v>
                </c:pt>
                <c:pt idx="15">
                  <c:v>5.7815630000000002</c:v>
                </c:pt>
                <c:pt idx="16">
                  <c:v>9.9844360000000005</c:v>
                </c:pt>
                <c:pt idx="17">
                  <c:v>4.5928979999999999</c:v>
                </c:pt>
                <c:pt idx="18">
                  <c:v>6.0508199999999999</c:v>
                </c:pt>
                <c:pt idx="19">
                  <c:v>6.1325750000000001</c:v>
                </c:pt>
                <c:pt idx="20">
                  <c:v>5.8143649999999996</c:v>
                </c:pt>
                <c:pt idx="21">
                  <c:v>4.5563140000000004</c:v>
                </c:pt>
                <c:pt idx="22">
                  <c:v>4.6633950000000004</c:v>
                </c:pt>
                <c:pt idx="23">
                  <c:v>5.8534519999999999</c:v>
                </c:pt>
                <c:pt idx="24">
                  <c:v>7.94076</c:v>
                </c:pt>
                <c:pt idx="25">
                  <c:v>6.6093299999999999</c:v>
                </c:pt>
                <c:pt idx="26">
                  <c:v>4.8502580000000002</c:v>
                </c:pt>
                <c:pt idx="27">
                  <c:v>6.8580949999999996</c:v>
                </c:pt>
                <c:pt idx="28">
                  <c:v>7.2972760000000001</c:v>
                </c:pt>
                <c:pt idx="29">
                  <c:v>5.7180840000000002</c:v>
                </c:pt>
                <c:pt idx="30">
                  <c:v>7.278734</c:v>
                </c:pt>
                <c:pt idx="31">
                  <c:v>6.7376269999999998</c:v>
                </c:pt>
                <c:pt idx="32">
                  <c:v>9.9284169999999996</c:v>
                </c:pt>
                <c:pt idx="33">
                  <c:v>6.370349</c:v>
                </c:pt>
                <c:pt idx="34">
                  <c:v>7.3031879999999996</c:v>
                </c:pt>
                <c:pt idx="35">
                  <c:v>4.7524050000000004</c:v>
                </c:pt>
                <c:pt idx="36">
                  <c:v>4.9907009999999996</c:v>
                </c:pt>
                <c:pt idx="37">
                  <c:v>3.822727</c:v>
                </c:pt>
                <c:pt idx="38">
                  <c:v>4.9149880000000001</c:v>
                </c:pt>
                <c:pt idx="39">
                  <c:v>5.3195690000000004</c:v>
                </c:pt>
                <c:pt idx="40">
                  <c:v>6.2759340000000003</c:v>
                </c:pt>
                <c:pt idx="41">
                  <c:v>5.6814669999999996</c:v>
                </c:pt>
                <c:pt idx="42">
                  <c:v>9.20749</c:v>
                </c:pt>
                <c:pt idx="43">
                  <c:v>4.3022309999999999</c:v>
                </c:pt>
                <c:pt idx="44">
                  <c:v>6.3812069999999999</c:v>
                </c:pt>
                <c:pt idx="45">
                  <c:v>4.7160799999999998</c:v>
                </c:pt>
              </c:numCache>
            </c:numRef>
          </c:yVal>
          <c:smooth val="0"/>
          <c:extLst>
            <c:ext xmlns:c16="http://schemas.microsoft.com/office/drawing/2014/chart" uri="{C3380CC4-5D6E-409C-BE32-E72D297353CC}">
              <c16:uniqueId val="{00000004-9D3C-4454-A637-FDC8BA5489B7}"/>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Driftsutgifter!$I$891:$I$942</c:f>
              <c:numCache>
                <c:formatCode>General</c:formatCode>
                <c:ptCount val="52"/>
                <c:pt idx="0">
                  <c:v>3.7647370000000002</c:v>
                </c:pt>
                <c:pt idx="1">
                  <c:v>3.5981709999999998</c:v>
                </c:pt>
                <c:pt idx="2">
                  <c:v>5.3153569999999997</c:v>
                </c:pt>
                <c:pt idx="3">
                  <c:v>4.9475129999999998</c:v>
                </c:pt>
                <c:pt idx="4">
                  <c:v>4.7820970000000003</c:v>
                </c:pt>
                <c:pt idx="5">
                  <c:v>6.4417039999999997</c:v>
                </c:pt>
                <c:pt idx="6">
                  <c:v>5.6037549999999996</c:v>
                </c:pt>
                <c:pt idx="7">
                  <c:v>4.4042120000000002</c:v>
                </c:pt>
                <c:pt idx="8">
                  <c:v>4.2998519999999996</c:v>
                </c:pt>
                <c:pt idx="9">
                  <c:v>5.0667169999999997</c:v>
                </c:pt>
                <c:pt idx="10">
                  <c:v>5.3653880000000003</c:v>
                </c:pt>
                <c:pt idx="11">
                  <c:v>3.8573040000000001</c:v>
                </c:pt>
                <c:pt idx="12">
                  <c:v>4.425389</c:v>
                </c:pt>
                <c:pt idx="13">
                  <c:v>5.210515</c:v>
                </c:pt>
                <c:pt idx="14">
                  <c:v>4.6311109999999998</c:v>
                </c:pt>
                <c:pt idx="15">
                  <c:v>5.0253920000000001</c:v>
                </c:pt>
                <c:pt idx="16">
                  <c:v>4.9412760000000002</c:v>
                </c:pt>
                <c:pt idx="17">
                  <c:v>4.4519549999999999</c:v>
                </c:pt>
                <c:pt idx="18">
                  <c:v>6.5437589999999997</c:v>
                </c:pt>
                <c:pt idx="19">
                  <c:v>5.8645769999999997</c:v>
                </c:pt>
                <c:pt idx="20">
                  <c:v>6.0464520000000004</c:v>
                </c:pt>
                <c:pt idx="21">
                  <c:v>7.4909230000000004</c:v>
                </c:pt>
                <c:pt idx="22">
                  <c:v>3.4229219999999998</c:v>
                </c:pt>
                <c:pt idx="23">
                  <c:v>4.4520090000000003</c:v>
                </c:pt>
                <c:pt idx="24">
                  <c:v>5.5083580000000003</c:v>
                </c:pt>
                <c:pt idx="25">
                  <c:v>4.4923570000000002</c:v>
                </c:pt>
                <c:pt idx="26">
                  <c:v>4.1196339999999996</c:v>
                </c:pt>
                <c:pt idx="27">
                  <c:v>4.8292809999999999</c:v>
                </c:pt>
                <c:pt idx="28">
                  <c:v>11.374930000000001</c:v>
                </c:pt>
                <c:pt idx="29">
                  <c:v>6.0760810000000003</c:v>
                </c:pt>
                <c:pt idx="30">
                  <c:v>3.4230010000000002</c:v>
                </c:pt>
                <c:pt idx="31">
                  <c:v>7.4788009999999998</c:v>
                </c:pt>
                <c:pt idx="32">
                  <c:v>8.6751670000000001</c:v>
                </c:pt>
                <c:pt idx="33">
                  <c:v>4.5499229999999997</c:v>
                </c:pt>
                <c:pt idx="34">
                  <c:v>5.028645</c:v>
                </c:pt>
                <c:pt idx="35">
                  <c:v>7.9413640000000001</c:v>
                </c:pt>
                <c:pt idx="36">
                  <c:v>9.7353760000000005</c:v>
                </c:pt>
                <c:pt idx="37">
                  <c:v>7.3857429999999997</c:v>
                </c:pt>
                <c:pt idx="38">
                  <c:v>4.985322</c:v>
                </c:pt>
                <c:pt idx="39">
                  <c:v>5.1824960000000004</c:v>
                </c:pt>
                <c:pt idx="40">
                  <c:v>5.2014440000000004</c:v>
                </c:pt>
                <c:pt idx="41">
                  <c:v>5.9112419999999997</c:v>
                </c:pt>
                <c:pt idx="42">
                  <c:v>4.553318</c:v>
                </c:pt>
                <c:pt idx="43">
                  <c:v>8.2852379999999997</c:v>
                </c:pt>
                <c:pt idx="44">
                  <c:v>3.422428</c:v>
                </c:pt>
                <c:pt idx="45">
                  <c:v>4.0021089999999999</c:v>
                </c:pt>
                <c:pt idx="46">
                  <c:v>5.1478190000000001</c:v>
                </c:pt>
                <c:pt idx="47">
                  <c:v>5.4517449999999998</c:v>
                </c:pt>
                <c:pt idx="48">
                  <c:v>7.07667</c:v>
                </c:pt>
                <c:pt idx="49">
                  <c:v>5.8287769999999997</c:v>
                </c:pt>
                <c:pt idx="50">
                  <c:v>6.9871740000000004</c:v>
                </c:pt>
                <c:pt idx="51">
                  <c:v>4.5192350000000001</c:v>
                </c:pt>
              </c:numCache>
            </c:numRef>
          </c:yVal>
          <c:smooth val="0"/>
          <c:extLst>
            <c:ext xmlns:c16="http://schemas.microsoft.com/office/drawing/2014/chart" uri="{C3380CC4-5D6E-409C-BE32-E72D297353CC}">
              <c16:uniqueId val="{00000005-9D3C-4454-A637-FDC8BA5489B7}"/>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(3) Kapitalslit, DM</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Driftsutgifter!$J$587:$J$666</c:f>
              <c:numCache>
                <c:formatCode>General</c:formatCode>
                <c:ptCount val="80"/>
                <c:pt idx="0">
                  <c:v>20.477709999999998</c:v>
                </c:pt>
                <c:pt idx="1">
                  <c:v>17.890720000000002</c:v>
                </c:pt>
                <c:pt idx="2">
                  <c:v>9.8985640000000004</c:v>
                </c:pt>
                <c:pt idx="3">
                  <c:v>17.022369999999999</c:v>
                </c:pt>
                <c:pt idx="4">
                  <c:v>6.6425400000000003</c:v>
                </c:pt>
                <c:pt idx="5">
                  <c:v>16.22467</c:v>
                </c:pt>
                <c:pt idx="6">
                  <c:v>11.62473</c:v>
                </c:pt>
                <c:pt idx="7">
                  <c:v>7.5668449999999998</c:v>
                </c:pt>
                <c:pt idx="8">
                  <c:v>11.0634</c:v>
                </c:pt>
                <c:pt idx="9">
                  <c:v>12.823650000000001</c:v>
                </c:pt>
                <c:pt idx="10">
                  <c:v>24.587900000000001</c:v>
                </c:pt>
                <c:pt idx="11">
                  <c:v>22.817499999999999</c:v>
                </c:pt>
                <c:pt idx="12">
                  <c:v>15.6427</c:v>
                </c:pt>
                <c:pt idx="13">
                  <c:v>13.983219999999999</c:v>
                </c:pt>
                <c:pt idx="14">
                  <c:v>7.5910919999999997</c:v>
                </c:pt>
                <c:pt idx="15">
                  <c:v>16.53471</c:v>
                </c:pt>
                <c:pt idx="16">
                  <c:v>8.1859300000000008</c:v>
                </c:pt>
                <c:pt idx="17">
                  <c:v>14.52633</c:v>
                </c:pt>
                <c:pt idx="18">
                  <c:v>6.2164080000000004</c:v>
                </c:pt>
                <c:pt idx="19">
                  <c:v>12.62599</c:v>
                </c:pt>
                <c:pt idx="20">
                  <c:v>8.6656250000000004</c:v>
                </c:pt>
                <c:pt idx="21">
                  <c:v>7.9728880000000002</c:v>
                </c:pt>
                <c:pt idx="22">
                  <c:v>12.90977</c:v>
                </c:pt>
                <c:pt idx="23">
                  <c:v>10.84482</c:v>
                </c:pt>
                <c:pt idx="24">
                  <c:v>7.5695540000000001</c:v>
                </c:pt>
                <c:pt idx="25">
                  <c:v>6.7030279999999998</c:v>
                </c:pt>
                <c:pt idx="26">
                  <c:v>17.23049</c:v>
                </c:pt>
                <c:pt idx="27">
                  <c:v>12.345689999999999</c:v>
                </c:pt>
                <c:pt idx="28">
                  <c:v>10.818630000000001</c:v>
                </c:pt>
                <c:pt idx="29">
                  <c:v>6.916944</c:v>
                </c:pt>
                <c:pt idx="30">
                  <c:v>9.3952279999999995</c:v>
                </c:pt>
                <c:pt idx="31">
                  <c:v>11.242470000000001</c:v>
                </c:pt>
                <c:pt idx="32">
                  <c:v>12.70191</c:v>
                </c:pt>
                <c:pt idx="33">
                  <c:v>13.076790000000001</c:v>
                </c:pt>
                <c:pt idx="34">
                  <c:v>13.63402</c:v>
                </c:pt>
                <c:pt idx="35">
                  <c:v>7.232329</c:v>
                </c:pt>
                <c:pt idx="36">
                  <c:v>8.5185519999999997</c:v>
                </c:pt>
                <c:pt idx="37">
                  <c:v>9.8416759999999996</c:v>
                </c:pt>
                <c:pt idx="38">
                  <c:v>22.67456</c:v>
                </c:pt>
                <c:pt idx="39">
                  <c:v>13.2934</c:v>
                </c:pt>
                <c:pt idx="40">
                  <c:v>11.164440000000001</c:v>
                </c:pt>
                <c:pt idx="41">
                  <c:v>9.3361689999999999</c:v>
                </c:pt>
                <c:pt idx="42">
                  <c:v>12.40094</c:v>
                </c:pt>
                <c:pt idx="43">
                  <c:v>6.4481739999999999</c:v>
                </c:pt>
                <c:pt idx="44">
                  <c:v>16.044560000000001</c:v>
                </c:pt>
                <c:pt idx="45">
                  <c:v>19.9499</c:v>
                </c:pt>
                <c:pt idx="46">
                  <c:v>10.162409999999999</c:v>
                </c:pt>
                <c:pt idx="47">
                  <c:v>14.965339999999999</c:v>
                </c:pt>
                <c:pt idx="48">
                  <c:v>8.8442699999999999</c:v>
                </c:pt>
                <c:pt idx="49">
                  <c:v>8.0282020000000003</c:v>
                </c:pt>
                <c:pt idx="50">
                  <c:v>14.01492</c:v>
                </c:pt>
                <c:pt idx="51">
                  <c:v>6.4539710000000001</c:v>
                </c:pt>
                <c:pt idx="52">
                  <c:v>7.674582</c:v>
                </c:pt>
                <c:pt idx="53">
                  <c:v>18.49015</c:v>
                </c:pt>
                <c:pt idx="54">
                  <c:v>9.0081129999999998</c:v>
                </c:pt>
                <c:pt idx="55">
                  <c:v>9.4916820000000008</c:v>
                </c:pt>
                <c:pt idx="56">
                  <c:v>10.81231</c:v>
                </c:pt>
                <c:pt idx="57">
                  <c:v>11.175090000000001</c:v>
                </c:pt>
                <c:pt idx="58">
                  <c:v>7.0476260000000002</c:v>
                </c:pt>
                <c:pt idx="59">
                  <c:v>11.61295</c:v>
                </c:pt>
                <c:pt idx="60">
                  <c:v>6.6621160000000001</c:v>
                </c:pt>
                <c:pt idx="61">
                  <c:v>7.1719039999999996</c:v>
                </c:pt>
                <c:pt idx="62">
                  <c:v>13.09625</c:v>
                </c:pt>
                <c:pt idx="63">
                  <c:v>17.45027</c:v>
                </c:pt>
                <c:pt idx="64">
                  <c:v>8.1797269999999997</c:v>
                </c:pt>
                <c:pt idx="65">
                  <c:v>9.1436329999999995</c:v>
                </c:pt>
                <c:pt idx="66">
                  <c:v>12.35524</c:v>
                </c:pt>
                <c:pt idx="67">
                  <c:v>9.1339400000000008</c:v>
                </c:pt>
                <c:pt idx="68">
                  <c:v>7.208323</c:v>
                </c:pt>
                <c:pt idx="69">
                  <c:v>11.26553</c:v>
                </c:pt>
                <c:pt idx="70">
                  <c:v>4.7696990000000001</c:v>
                </c:pt>
                <c:pt idx="71">
                  <c:v>11.79745</c:v>
                </c:pt>
                <c:pt idx="72">
                  <c:v>9.9660799999999998</c:v>
                </c:pt>
                <c:pt idx="73">
                  <c:v>6.8247010000000001</c:v>
                </c:pt>
                <c:pt idx="74">
                  <c:v>8.7879900000000006</c:v>
                </c:pt>
                <c:pt idx="75">
                  <c:v>11.163019999999999</c:v>
                </c:pt>
                <c:pt idx="76">
                  <c:v>10.37472</c:v>
                </c:pt>
                <c:pt idx="77">
                  <c:v>9.6944579999999991</c:v>
                </c:pt>
                <c:pt idx="78">
                  <c:v>14.776999999999999</c:v>
                </c:pt>
                <c:pt idx="79">
                  <c:v>15.501300000000001</c:v>
                </c:pt>
              </c:numCache>
            </c:numRef>
          </c:yVal>
          <c:smooth val="0"/>
          <c:extLst>
            <c:ext xmlns:c16="http://schemas.microsoft.com/office/drawing/2014/chart" uri="{C3380CC4-5D6E-409C-BE32-E72D297353CC}">
              <c16:uniqueId val="{00000000-C6C6-4899-B526-28E533C5459E}"/>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Driftsutgifter!$J$667:$J$704</c:f>
              <c:numCache>
                <c:formatCode>General</c:formatCode>
                <c:ptCount val="38"/>
                <c:pt idx="0">
                  <c:v>10.24845</c:v>
                </c:pt>
                <c:pt idx="1">
                  <c:v>10.80579</c:v>
                </c:pt>
                <c:pt idx="2">
                  <c:v>16.70476</c:v>
                </c:pt>
                <c:pt idx="3">
                  <c:v>6.8311789999999997</c:v>
                </c:pt>
                <c:pt idx="4">
                  <c:v>9.4576039999999999</c:v>
                </c:pt>
                <c:pt idx="5">
                  <c:v>10.21857</c:v>
                </c:pt>
                <c:pt idx="6">
                  <c:v>12.73663</c:v>
                </c:pt>
                <c:pt idx="7">
                  <c:v>9.5478009999999998</c:v>
                </c:pt>
                <c:pt idx="8">
                  <c:v>5.8297420000000004</c:v>
                </c:pt>
                <c:pt idx="9">
                  <c:v>8.2441110000000002</c:v>
                </c:pt>
                <c:pt idx="10">
                  <c:v>10.981870000000001</c:v>
                </c:pt>
                <c:pt idx="11">
                  <c:v>8.7494340000000008</c:v>
                </c:pt>
                <c:pt idx="12">
                  <c:v>5.4372239999999996</c:v>
                </c:pt>
                <c:pt idx="13">
                  <c:v>6.818816</c:v>
                </c:pt>
                <c:pt idx="14">
                  <c:v>7.8254650000000003</c:v>
                </c:pt>
                <c:pt idx="15">
                  <c:v>6.5518200000000002</c:v>
                </c:pt>
                <c:pt idx="16">
                  <c:v>13.00046</c:v>
                </c:pt>
                <c:pt idx="17">
                  <c:v>10.399620000000001</c:v>
                </c:pt>
                <c:pt idx="18">
                  <c:v>13.005610000000001</c:v>
                </c:pt>
                <c:pt idx="19">
                  <c:v>9.2256970000000003</c:v>
                </c:pt>
                <c:pt idx="20">
                  <c:v>11.15404</c:v>
                </c:pt>
                <c:pt idx="21">
                  <c:v>7.5148820000000001</c:v>
                </c:pt>
                <c:pt idx="22">
                  <c:v>9.7267299999999999</c:v>
                </c:pt>
                <c:pt idx="23">
                  <c:v>11.16244</c:v>
                </c:pt>
                <c:pt idx="24">
                  <c:v>7.5697530000000004</c:v>
                </c:pt>
                <c:pt idx="25">
                  <c:v>6.6935079999999996</c:v>
                </c:pt>
                <c:pt idx="26">
                  <c:v>7.7094490000000002</c:v>
                </c:pt>
                <c:pt idx="27">
                  <c:v>11.13452</c:v>
                </c:pt>
                <c:pt idx="28">
                  <c:v>7.7338659999999999</c:v>
                </c:pt>
                <c:pt idx="29">
                  <c:v>9.2854670000000006</c:v>
                </c:pt>
                <c:pt idx="30">
                  <c:v>9.0063200000000005</c:v>
                </c:pt>
                <c:pt idx="31">
                  <c:v>7.7970860000000002</c:v>
                </c:pt>
                <c:pt idx="32">
                  <c:v>29.266870000000001</c:v>
                </c:pt>
                <c:pt idx="33">
                  <c:v>15.15936</c:v>
                </c:pt>
                <c:pt idx="34">
                  <c:v>12.03645</c:v>
                </c:pt>
                <c:pt idx="35">
                  <c:v>7.5983270000000003</c:v>
                </c:pt>
                <c:pt idx="36">
                  <c:v>8.6003799999999995</c:v>
                </c:pt>
                <c:pt idx="37">
                  <c:v>9.5562290000000001</c:v>
                </c:pt>
              </c:numCache>
            </c:numRef>
          </c:yVal>
          <c:smooth val="0"/>
          <c:extLst>
            <c:ext xmlns:c16="http://schemas.microsoft.com/office/drawing/2014/chart" uri="{C3380CC4-5D6E-409C-BE32-E72D297353CC}">
              <c16:uniqueId val="{00000001-C6C6-4899-B526-28E533C5459E}"/>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Driftsutgifter!$J$705:$J$796</c:f>
              <c:numCache>
                <c:formatCode>General</c:formatCode>
                <c:ptCount val="92"/>
                <c:pt idx="0">
                  <c:v>4.1584500000000002</c:v>
                </c:pt>
                <c:pt idx="1">
                  <c:v>8.091075</c:v>
                </c:pt>
                <c:pt idx="2">
                  <c:v>9.1314250000000001</c:v>
                </c:pt>
                <c:pt idx="3">
                  <c:v>10.933920000000001</c:v>
                </c:pt>
                <c:pt idx="4">
                  <c:v>7.4994180000000004</c:v>
                </c:pt>
                <c:pt idx="5">
                  <c:v>5.4034079999999998</c:v>
                </c:pt>
                <c:pt idx="6">
                  <c:v>4.8191470000000001</c:v>
                </c:pt>
                <c:pt idx="7">
                  <c:v>6.0893059999999997</c:v>
                </c:pt>
                <c:pt idx="8">
                  <c:v>6.6885089999999998</c:v>
                </c:pt>
                <c:pt idx="9">
                  <c:v>7.3678819999999998</c:v>
                </c:pt>
                <c:pt idx="10">
                  <c:v>15.97939</c:v>
                </c:pt>
                <c:pt idx="11">
                  <c:v>7.8104940000000003</c:v>
                </c:pt>
                <c:pt idx="12">
                  <c:v>8.6814169999999997</c:v>
                </c:pt>
                <c:pt idx="13">
                  <c:v>8.9323230000000002</c:v>
                </c:pt>
                <c:pt idx="14">
                  <c:v>4.6419889999999997</c:v>
                </c:pt>
                <c:pt idx="15">
                  <c:v>7.430612</c:v>
                </c:pt>
                <c:pt idx="16">
                  <c:v>10.26304</c:v>
                </c:pt>
                <c:pt idx="17">
                  <c:v>5.8210559999999996</c:v>
                </c:pt>
                <c:pt idx="18">
                  <c:v>16.411449999999999</c:v>
                </c:pt>
                <c:pt idx="19">
                  <c:v>4.5073350000000003</c:v>
                </c:pt>
                <c:pt idx="20">
                  <c:v>7.9498199999999999</c:v>
                </c:pt>
                <c:pt idx="21">
                  <c:v>10.453849999999999</c:v>
                </c:pt>
                <c:pt idx="22">
                  <c:v>10.537330000000001</c:v>
                </c:pt>
                <c:pt idx="23">
                  <c:v>6.5396650000000003</c:v>
                </c:pt>
                <c:pt idx="24">
                  <c:v>5.9917030000000002</c:v>
                </c:pt>
                <c:pt idx="25">
                  <c:v>10.9808</c:v>
                </c:pt>
                <c:pt idx="26">
                  <c:v>7.6932340000000003</c:v>
                </c:pt>
                <c:pt idx="27">
                  <c:v>7.4569979999999996</c:v>
                </c:pt>
                <c:pt idx="28">
                  <c:v>5.885065</c:v>
                </c:pt>
                <c:pt idx="29">
                  <c:v>7.424836</c:v>
                </c:pt>
                <c:pt idx="30">
                  <c:v>10.96888</c:v>
                </c:pt>
                <c:pt idx="31">
                  <c:v>23.2088</c:v>
                </c:pt>
                <c:pt idx="32">
                  <c:v>7.4686269999999997</c:v>
                </c:pt>
                <c:pt idx="33">
                  <c:v>7.7335830000000003</c:v>
                </c:pt>
                <c:pt idx="34">
                  <c:v>7.664981</c:v>
                </c:pt>
                <c:pt idx="35">
                  <c:v>10.109170000000001</c:v>
                </c:pt>
                <c:pt idx="36">
                  <c:v>8.2119710000000001</c:v>
                </c:pt>
                <c:pt idx="37">
                  <c:v>10.180759999999999</c:v>
                </c:pt>
                <c:pt idx="38">
                  <c:v>5.7153330000000002</c:v>
                </c:pt>
                <c:pt idx="39">
                  <c:v>9.5281830000000003</c:v>
                </c:pt>
                <c:pt idx="40">
                  <c:v>15.360670000000001</c:v>
                </c:pt>
                <c:pt idx="41">
                  <c:v>8.2109760000000005</c:v>
                </c:pt>
                <c:pt idx="42">
                  <c:v>15.11356</c:v>
                </c:pt>
                <c:pt idx="43">
                  <c:v>5.2588939999999997</c:v>
                </c:pt>
                <c:pt idx="44">
                  <c:v>7.3285260000000001</c:v>
                </c:pt>
                <c:pt idx="45">
                  <c:v>6.0211680000000003</c:v>
                </c:pt>
                <c:pt idx="46">
                  <c:v>6.1315869999999997</c:v>
                </c:pt>
                <c:pt idx="47">
                  <c:v>6.4989610000000004</c:v>
                </c:pt>
                <c:pt idx="48">
                  <c:v>10.744300000000001</c:v>
                </c:pt>
                <c:pt idx="49">
                  <c:v>12.86889</c:v>
                </c:pt>
                <c:pt idx="50">
                  <c:v>5.8507740000000004</c:v>
                </c:pt>
                <c:pt idx="51">
                  <c:v>6.8621169999999996</c:v>
                </c:pt>
                <c:pt idx="52">
                  <c:v>8.8168939999999996</c:v>
                </c:pt>
                <c:pt idx="53">
                  <c:v>6.324363</c:v>
                </c:pt>
                <c:pt idx="54">
                  <c:v>15.060370000000001</c:v>
                </c:pt>
                <c:pt idx="55">
                  <c:v>7.6525210000000001</c:v>
                </c:pt>
                <c:pt idx="56">
                  <c:v>14.68951</c:v>
                </c:pt>
                <c:pt idx="57">
                  <c:v>8.7378850000000003</c:v>
                </c:pt>
                <c:pt idx="58">
                  <c:v>20.006049999999998</c:v>
                </c:pt>
                <c:pt idx="59">
                  <c:v>6.6255819999999996</c:v>
                </c:pt>
                <c:pt idx="60">
                  <c:v>6.3927949999999996</c:v>
                </c:pt>
                <c:pt idx="61">
                  <c:v>7.714499</c:v>
                </c:pt>
                <c:pt idx="62">
                  <c:v>8.1770029999999991</c:v>
                </c:pt>
                <c:pt idx="63">
                  <c:v>12.69964</c:v>
                </c:pt>
                <c:pt idx="64">
                  <c:v>29.048100000000002</c:v>
                </c:pt>
                <c:pt idx="65">
                  <c:v>8.0116549999999993</c:v>
                </c:pt>
                <c:pt idx="66">
                  <c:v>6.6663699999999997</c:v>
                </c:pt>
                <c:pt idx="67">
                  <c:v>10.27641</c:v>
                </c:pt>
                <c:pt idx="68">
                  <c:v>7.9035289999999998</c:v>
                </c:pt>
                <c:pt idx="69">
                  <c:v>6.4433769999999999</c:v>
                </c:pt>
                <c:pt idx="70">
                  <c:v>8.6331570000000006</c:v>
                </c:pt>
                <c:pt idx="71">
                  <c:v>8.1784300000000005</c:v>
                </c:pt>
                <c:pt idx="72">
                  <c:v>8.7163780000000006</c:v>
                </c:pt>
                <c:pt idx="73">
                  <c:v>15.31348</c:v>
                </c:pt>
                <c:pt idx="74">
                  <c:v>13.31639</c:v>
                </c:pt>
                <c:pt idx="75">
                  <c:v>8.8776609999999998</c:v>
                </c:pt>
                <c:pt idx="76">
                  <c:v>11.613440000000001</c:v>
                </c:pt>
                <c:pt idx="77">
                  <c:v>7.8724930000000004</c:v>
                </c:pt>
                <c:pt idx="78">
                  <c:v>6.6380410000000003</c:v>
                </c:pt>
                <c:pt idx="79">
                  <c:v>7.0903960000000001</c:v>
                </c:pt>
                <c:pt idx="80">
                  <c:v>5.8072980000000003</c:v>
                </c:pt>
                <c:pt idx="81">
                  <c:v>9.9067760000000007</c:v>
                </c:pt>
                <c:pt idx="82">
                  <c:v>7.7128540000000001</c:v>
                </c:pt>
                <c:pt idx="83">
                  <c:v>6.086239</c:v>
                </c:pt>
                <c:pt idx="84">
                  <c:v>12.67051</c:v>
                </c:pt>
                <c:pt idx="85">
                  <c:v>6.614852</c:v>
                </c:pt>
                <c:pt idx="86">
                  <c:v>9.8177649999999996</c:v>
                </c:pt>
                <c:pt idx="87">
                  <c:v>5.9426930000000002</c:v>
                </c:pt>
                <c:pt idx="88">
                  <c:v>8.8959109999999999</c:v>
                </c:pt>
                <c:pt idx="89">
                  <c:v>8.0596019999999999</c:v>
                </c:pt>
                <c:pt idx="90">
                  <c:v>6.9100450000000002</c:v>
                </c:pt>
                <c:pt idx="91">
                  <c:v>4.8869020000000001</c:v>
                </c:pt>
              </c:numCache>
            </c:numRef>
          </c:yVal>
          <c:smooth val="0"/>
          <c:extLst>
            <c:ext xmlns:c16="http://schemas.microsoft.com/office/drawing/2014/chart" uri="{C3380CC4-5D6E-409C-BE32-E72D297353CC}">
              <c16:uniqueId val="{00000002-C6C6-4899-B526-28E533C5459E}"/>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Driftsutgifter!$J$797:$J$844</c:f>
              <c:numCache>
                <c:formatCode>General</c:formatCode>
                <c:ptCount val="48"/>
                <c:pt idx="0">
                  <c:v>5.2948440000000003</c:v>
                </c:pt>
                <c:pt idx="1">
                  <c:v>5.446097</c:v>
                </c:pt>
                <c:pt idx="2">
                  <c:v>8.8267070000000007</c:v>
                </c:pt>
                <c:pt idx="3">
                  <c:v>6.4790840000000003</c:v>
                </c:pt>
                <c:pt idx="4">
                  <c:v>8.2272700000000007</c:v>
                </c:pt>
                <c:pt idx="5">
                  <c:v>6.6589159999999996</c:v>
                </c:pt>
                <c:pt idx="6">
                  <c:v>25.97166</c:v>
                </c:pt>
                <c:pt idx="7">
                  <c:v>6.7606450000000002</c:v>
                </c:pt>
                <c:pt idx="8">
                  <c:v>5.6158859999999997</c:v>
                </c:pt>
                <c:pt idx="9">
                  <c:v>4.0075269999999996</c:v>
                </c:pt>
                <c:pt idx="10">
                  <c:v>7.2000529999999996</c:v>
                </c:pt>
                <c:pt idx="11">
                  <c:v>11.4392</c:v>
                </c:pt>
                <c:pt idx="12">
                  <c:v>7.0404280000000004</c:v>
                </c:pt>
                <c:pt idx="13">
                  <c:v>30.683140000000002</c:v>
                </c:pt>
                <c:pt idx="14">
                  <c:v>14.1995</c:v>
                </c:pt>
                <c:pt idx="15">
                  <c:v>8.1681629999999998</c:v>
                </c:pt>
                <c:pt idx="16">
                  <c:v>10.6449</c:v>
                </c:pt>
                <c:pt idx="17">
                  <c:v>7.7962619999999996</c:v>
                </c:pt>
                <c:pt idx="18">
                  <c:v>5.8938800000000002</c:v>
                </c:pt>
                <c:pt idx="19">
                  <c:v>5.2750459999999997</c:v>
                </c:pt>
                <c:pt idx="20">
                  <c:v>4.9558239999999998</c:v>
                </c:pt>
                <c:pt idx="21">
                  <c:v>8.7423730000000006</c:v>
                </c:pt>
                <c:pt idx="22">
                  <c:v>12.81554</c:v>
                </c:pt>
                <c:pt idx="23">
                  <c:v>8.9897320000000001</c:v>
                </c:pt>
                <c:pt idx="24">
                  <c:v>31.345970000000001</c:v>
                </c:pt>
                <c:pt idx="25">
                  <c:v>6.6838319999999998</c:v>
                </c:pt>
                <c:pt idx="26">
                  <c:v>17.393999999999998</c:v>
                </c:pt>
                <c:pt idx="27">
                  <c:v>7.87073</c:v>
                </c:pt>
                <c:pt idx="28">
                  <c:v>7.7027299999999999</c:v>
                </c:pt>
                <c:pt idx="29">
                  <c:v>6.4524900000000001</c:v>
                </c:pt>
                <c:pt idx="30">
                  <c:v>10.135160000000001</c:v>
                </c:pt>
                <c:pt idx="31">
                  <c:v>7.4777040000000001</c:v>
                </c:pt>
                <c:pt idx="32">
                  <c:v>4.1630549999999999</c:v>
                </c:pt>
                <c:pt idx="33">
                  <c:v>7.2822649999999998</c:v>
                </c:pt>
                <c:pt idx="34">
                  <c:v>9.000966</c:v>
                </c:pt>
                <c:pt idx="35">
                  <c:v>18.739039999999999</c:v>
                </c:pt>
                <c:pt idx="36">
                  <c:v>19.328510000000001</c:v>
                </c:pt>
                <c:pt idx="37">
                  <c:v>10.30635</c:v>
                </c:pt>
                <c:pt idx="38">
                  <c:v>8.3619330000000005</c:v>
                </c:pt>
                <c:pt idx="39">
                  <c:v>9.0448760000000004</c:v>
                </c:pt>
                <c:pt idx="40">
                  <c:v>7.9984859999999998</c:v>
                </c:pt>
                <c:pt idx="41">
                  <c:v>7.0305790000000004</c:v>
                </c:pt>
                <c:pt idx="42">
                  <c:v>10.637040000000001</c:v>
                </c:pt>
                <c:pt idx="43">
                  <c:v>7.5704289999999999</c:v>
                </c:pt>
                <c:pt idx="44">
                  <c:v>6.5243690000000001</c:v>
                </c:pt>
                <c:pt idx="45">
                  <c:v>6.2932519999999998</c:v>
                </c:pt>
                <c:pt idx="46">
                  <c:v>8.9923490000000008</c:v>
                </c:pt>
                <c:pt idx="47">
                  <c:v>4.3989310000000001</c:v>
                </c:pt>
              </c:numCache>
            </c:numRef>
          </c:yVal>
          <c:smooth val="0"/>
          <c:extLst>
            <c:ext xmlns:c16="http://schemas.microsoft.com/office/drawing/2014/chart" uri="{C3380CC4-5D6E-409C-BE32-E72D297353CC}">
              <c16:uniqueId val="{00000003-C6C6-4899-B526-28E533C5459E}"/>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Driftsutgifter!$J$845:$J$890</c:f>
              <c:numCache>
                <c:formatCode>General</c:formatCode>
                <c:ptCount val="46"/>
                <c:pt idx="0">
                  <c:v>7.9417840000000002</c:v>
                </c:pt>
                <c:pt idx="1">
                  <c:v>6.7945330000000004</c:v>
                </c:pt>
                <c:pt idx="2">
                  <c:v>16.798079999999999</c:v>
                </c:pt>
                <c:pt idx="3">
                  <c:v>9.6860990000000005</c:v>
                </c:pt>
                <c:pt idx="4">
                  <c:v>6.185346</c:v>
                </c:pt>
                <c:pt idx="5">
                  <c:v>7.7690250000000001</c:v>
                </c:pt>
                <c:pt idx="6">
                  <c:v>10.872249999999999</c:v>
                </c:pt>
                <c:pt idx="7">
                  <c:v>9.4367900000000002</c:v>
                </c:pt>
                <c:pt idx="8">
                  <c:v>13.2355</c:v>
                </c:pt>
                <c:pt idx="9">
                  <c:v>7.3328369999999996</c:v>
                </c:pt>
                <c:pt idx="10">
                  <c:v>11.07949</c:v>
                </c:pt>
                <c:pt idx="11">
                  <c:v>7.4625440000000003</c:v>
                </c:pt>
                <c:pt idx="12">
                  <c:v>5.9872880000000004</c:v>
                </c:pt>
                <c:pt idx="13">
                  <c:v>8.5225860000000004</c:v>
                </c:pt>
                <c:pt idx="14">
                  <c:v>6.917872</c:v>
                </c:pt>
                <c:pt idx="15">
                  <c:v>8.8441449999999993</c:v>
                </c:pt>
                <c:pt idx="16">
                  <c:v>8.9632319999999996</c:v>
                </c:pt>
                <c:pt idx="17">
                  <c:v>5.7451999999999996</c:v>
                </c:pt>
                <c:pt idx="18">
                  <c:v>8.9616790000000002</c:v>
                </c:pt>
                <c:pt idx="19">
                  <c:v>7.8048289999999998</c:v>
                </c:pt>
                <c:pt idx="20">
                  <c:v>9.7148629999999994</c:v>
                </c:pt>
                <c:pt idx="21">
                  <c:v>5.6130779999999998</c:v>
                </c:pt>
                <c:pt idx="22">
                  <c:v>6.0367509999999998</c:v>
                </c:pt>
                <c:pt idx="23">
                  <c:v>7.2094399999999998</c:v>
                </c:pt>
                <c:pt idx="24">
                  <c:v>8.6159459999999992</c:v>
                </c:pt>
                <c:pt idx="25">
                  <c:v>9.5021070000000005</c:v>
                </c:pt>
                <c:pt idx="26">
                  <c:v>6.4023079999999997</c:v>
                </c:pt>
                <c:pt idx="27">
                  <c:v>10.06851</c:v>
                </c:pt>
                <c:pt idx="28">
                  <c:v>8.786448</c:v>
                </c:pt>
                <c:pt idx="29">
                  <c:v>7.2150999999999996</c:v>
                </c:pt>
                <c:pt idx="30">
                  <c:v>9.5005869999999994</c:v>
                </c:pt>
                <c:pt idx="31">
                  <c:v>7.9681949999999997</c:v>
                </c:pt>
                <c:pt idx="32">
                  <c:v>9.9401410000000006</c:v>
                </c:pt>
                <c:pt idx="33">
                  <c:v>8.121442</c:v>
                </c:pt>
                <c:pt idx="34">
                  <c:v>10.076449999999999</c:v>
                </c:pt>
                <c:pt idx="35">
                  <c:v>7.3736610000000002</c:v>
                </c:pt>
                <c:pt idx="36">
                  <c:v>7.8452520000000003</c:v>
                </c:pt>
                <c:pt idx="37">
                  <c:v>5.1418999999999997</c:v>
                </c:pt>
                <c:pt idx="38">
                  <c:v>6.5951339999999998</c:v>
                </c:pt>
                <c:pt idx="39">
                  <c:v>7.7928420000000003</c:v>
                </c:pt>
                <c:pt idx="40">
                  <c:v>9.8304650000000002</c:v>
                </c:pt>
                <c:pt idx="41">
                  <c:v>9.9631509999999999</c:v>
                </c:pt>
                <c:pt idx="42">
                  <c:v>9.2222790000000003</c:v>
                </c:pt>
                <c:pt idx="43">
                  <c:v>5.8374810000000004</c:v>
                </c:pt>
                <c:pt idx="44">
                  <c:v>7.231738</c:v>
                </c:pt>
                <c:pt idx="45">
                  <c:v>5.7452750000000004</c:v>
                </c:pt>
              </c:numCache>
            </c:numRef>
          </c:yVal>
          <c:smooth val="0"/>
          <c:extLst>
            <c:ext xmlns:c16="http://schemas.microsoft.com/office/drawing/2014/chart" uri="{C3380CC4-5D6E-409C-BE32-E72D297353CC}">
              <c16:uniqueId val="{00000004-C6C6-4899-B526-28E533C5459E}"/>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Driftsutgifter!$J$891:$J$942</c:f>
              <c:numCache>
                <c:formatCode>General</c:formatCode>
                <c:ptCount val="52"/>
                <c:pt idx="0">
                  <c:v>5.0612760000000003</c:v>
                </c:pt>
                <c:pt idx="1">
                  <c:v>7.5123069999999998</c:v>
                </c:pt>
                <c:pt idx="2">
                  <c:v>6.800662</c:v>
                </c:pt>
                <c:pt idx="3">
                  <c:v>6.8463320000000003</c:v>
                </c:pt>
                <c:pt idx="4">
                  <c:v>5.8686400000000001</c:v>
                </c:pt>
                <c:pt idx="5">
                  <c:v>6.0791050000000002</c:v>
                </c:pt>
                <c:pt idx="6">
                  <c:v>6.6433749999999998</c:v>
                </c:pt>
                <c:pt idx="7">
                  <c:v>6.0738659999999998</c:v>
                </c:pt>
                <c:pt idx="8">
                  <c:v>5.4343440000000003</c:v>
                </c:pt>
                <c:pt idx="9">
                  <c:v>6.7887940000000002</c:v>
                </c:pt>
                <c:pt idx="10">
                  <c:v>6.7952329999999996</c:v>
                </c:pt>
                <c:pt idx="11">
                  <c:v>5.2485889999999999</c:v>
                </c:pt>
                <c:pt idx="12">
                  <c:v>5.7417509999999998</c:v>
                </c:pt>
                <c:pt idx="13">
                  <c:v>7.2684230000000003</c:v>
                </c:pt>
                <c:pt idx="14">
                  <c:v>6.4982800000000003</c:v>
                </c:pt>
                <c:pt idx="15">
                  <c:v>6.4702029999999997</c:v>
                </c:pt>
                <c:pt idx="16">
                  <c:v>6.7763710000000001</c:v>
                </c:pt>
                <c:pt idx="17">
                  <c:v>5.5635219999999999</c:v>
                </c:pt>
                <c:pt idx="18">
                  <c:v>9.6605790000000002</c:v>
                </c:pt>
                <c:pt idx="19">
                  <c:v>8.0332150000000002</c:v>
                </c:pt>
                <c:pt idx="20">
                  <c:v>7.1149740000000001</c:v>
                </c:pt>
                <c:pt idx="21">
                  <c:v>7.5734729999999999</c:v>
                </c:pt>
                <c:pt idx="22">
                  <c:v>4.1925939999999997</c:v>
                </c:pt>
                <c:pt idx="23">
                  <c:v>5.9118740000000001</c:v>
                </c:pt>
                <c:pt idx="24">
                  <c:v>8.8053849999999994</c:v>
                </c:pt>
                <c:pt idx="25">
                  <c:v>6.3260110000000003</c:v>
                </c:pt>
                <c:pt idx="26">
                  <c:v>5.8620910000000004</c:v>
                </c:pt>
                <c:pt idx="27">
                  <c:v>14.09755</c:v>
                </c:pt>
                <c:pt idx="28">
                  <c:v>16.075320000000001</c:v>
                </c:pt>
                <c:pt idx="29">
                  <c:v>7.7491890000000003</c:v>
                </c:pt>
                <c:pt idx="30">
                  <c:v>5.2366229999999998</c:v>
                </c:pt>
                <c:pt idx="31">
                  <c:v>8.7370090000000005</c:v>
                </c:pt>
                <c:pt idx="32">
                  <c:v>11.118830000000001</c:v>
                </c:pt>
                <c:pt idx="33">
                  <c:v>6.161759</c:v>
                </c:pt>
                <c:pt idx="34">
                  <c:v>6.9630859999999997</c:v>
                </c:pt>
                <c:pt idx="35">
                  <c:v>17.114450000000001</c:v>
                </c:pt>
                <c:pt idx="36">
                  <c:v>13.948499999999999</c:v>
                </c:pt>
                <c:pt idx="37">
                  <c:v>7.905958</c:v>
                </c:pt>
                <c:pt idx="38">
                  <c:v>7.0030520000000003</c:v>
                </c:pt>
                <c:pt idx="39">
                  <c:v>6.5398230000000002</c:v>
                </c:pt>
                <c:pt idx="40">
                  <c:v>7.2958850000000002</c:v>
                </c:pt>
                <c:pt idx="41">
                  <c:v>7.9799499999999997</c:v>
                </c:pt>
                <c:pt idx="42">
                  <c:v>6.8312369999999998</c:v>
                </c:pt>
                <c:pt idx="43">
                  <c:v>10.983000000000001</c:v>
                </c:pt>
                <c:pt idx="44">
                  <c:v>4.8898060000000001</c:v>
                </c:pt>
                <c:pt idx="45">
                  <c:v>5.8290379999999997</c:v>
                </c:pt>
                <c:pt idx="46">
                  <c:v>6.303248</c:v>
                </c:pt>
                <c:pt idx="47">
                  <c:v>12.86032</c:v>
                </c:pt>
                <c:pt idx="48">
                  <c:v>13.64865</c:v>
                </c:pt>
                <c:pt idx="49">
                  <c:v>8.3804079999999992</c:v>
                </c:pt>
                <c:pt idx="50">
                  <c:v>11.22322</c:v>
                </c:pt>
                <c:pt idx="51">
                  <c:v>5.5302579999999999</c:v>
                </c:pt>
              </c:numCache>
            </c:numRef>
          </c:yVal>
          <c:smooth val="0"/>
          <c:extLst>
            <c:ext xmlns:c16="http://schemas.microsoft.com/office/drawing/2014/chart" uri="{C3380CC4-5D6E-409C-BE32-E72D297353CC}">
              <c16:uniqueId val="{00000005-C6C6-4899-B526-28E533C5459E}"/>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(4) Kapitalslit, PIM-dd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Driftsutgifter!$L$587:$L$666</c:f>
              <c:numCache>
                <c:formatCode>General</c:formatCode>
                <c:ptCount val="80"/>
                <c:pt idx="0">
                  <c:v>14.97852</c:v>
                </c:pt>
                <c:pt idx="1">
                  <c:v>24.12745</c:v>
                </c:pt>
                <c:pt idx="2">
                  <c:v>11.135149999999999</c:v>
                </c:pt>
                <c:pt idx="3">
                  <c:v>20.937429999999999</c:v>
                </c:pt>
                <c:pt idx="4">
                  <c:v>8.3463250000000002</c:v>
                </c:pt>
                <c:pt idx="5">
                  <c:v>16.733599999999999</c:v>
                </c:pt>
                <c:pt idx="6">
                  <c:v>14.50764</c:v>
                </c:pt>
                <c:pt idx="7">
                  <c:v>8.3639530000000004</c:v>
                </c:pt>
                <c:pt idx="8">
                  <c:v>9.90259</c:v>
                </c:pt>
                <c:pt idx="9">
                  <c:v>13.27605</c:v>
                </c:pt>
                <c:pt idx="10">
                  <c:v>14.00944</c:v>
                </c:pt>
                <c:pt idx="11">
                  <c:v>31.43497</c:v>
                </c:pt>
                <c:pt idx="12">
                  <c:v>13.98343</c:v>
                </c:pt>
                <c:pt idx="13">
                  <c:v>20.30247</c:v>
                </c:pt>
                <c:pt idx="14">
                  <c:v>9.0403140000000004</c:v>
                </c:pt>
                <c:pt idx="15">
                  <c:v>19.852620000000002</c:v>
                </c:pt>
                <c:pt idx="16">
                  <c:v>9.0088010000000001</c:v>
                </c:pt>
                <c:pt idx="17">
                  <c:v>14.00928</c:v>
                </c:pt>
                <c:pt idx="18">
                  <c:v>8.9681789999999992</c:v>
                </c:pt>
                <c:pt idx="19">
                  <c:v>14.76047</c:v>
                </c:pt>
                <c:pt idx="20">
                  <c:v>8.1562710000000003</c:v>
                </c:pt>
                <c:pt idx="21">
                  <c:v>9.3768440000000002</c:v>
                </c:pt>
                <c:pt idx="22">
                  <c:v>17.575869999999998</c:v>
                </c:pt>
                <c:pt idx="23">
                  <c:v>12.04556</c:v>
                </c:pt>
                <c:pt idx="24">
                  <c:v>10.05383</c:v>
                </c:pt>
                <c:pt idx="25">
                  <c:v>9.2350189999999994</c:v>
                </c:pt>
                <c:pt idx="26">
                  <c:v>20.688040000000001</c:v>
                </c:pt>
                <c:pt idx="27">
                  <c:v>12.25794</c:v>
                </c:pt>
                <c:pt idx="28">
                  <c:v>10.34872</c:v>
                </c:pt>
                <c:pt idx="29">
                  <c:v>7.3807099999999997</c:v>
                </c:pt>
                <c:pt idx="30">
                  <c:v>9.9094920000000002</c:v>
                </c:pt>
                <c:pt idx="31">
                  <c:v>8.0192580000000007</c:v>
                </c:pt>
                <c:pt idx="32">
                  <c:v>17.673690000000001</c:v>
                </c:pt>
                <c:pt idx="33">
                  <c:v>14.449870000000001</c:v>
                </c:pt>
                <c:pt idx="34">
                  <c:v>15.04391</c:v>
                </c:pt>
                <c:pt idx="35">
                  <c:v>7.3763569999999996</c:v>
                </c:pt>
                <c:pt idx="36">
                  <c:v>9.925376</c:v>
                </c:pt>
                <c:pt idx="37">
                  <c:v>11.62856</c:v>
                </c:pt>
                <c:pt idx="38">
                  <c:v>15.44422</c:v>
                </c:pt>
                <c:pt idx="39">
                  <c:v>15.757400000000001</c:v>
                </c:pt>
                <c:pt idx="40">
                  <c:v>14.658189999999999</c:v>
                </c:pt>
                <c:pt idx="41">
                  <c:v>11.969060000000001</c:v>
                </c:pt>
                <c:pt idx="42">
                  <c:v>14.253640000000001</c:v>
                </c:pt>
                <c:pt idx="43">
                  <c:v>6.8994049999999998</c:v>
                </c:pt>
                <c:pt idx="44">
                  <c:v>22.755199999999999</c:v>
                </c:pt>
                <c:pt idx="45">
                  <c:v>17.346029999999999</c:v>
                </c:pt>
                <c:pt idx="46">
                  <c:v>8.9683899999999994</c:v>
                </c:pt>
                <c:pt idx="47">
                  <c:v>13.151009999999999</c:v>
                </c:pt>
                <c:pt idx="48">
                  <c:v>9.2200220000000002</c:v>
                </c:pt>
                <c:pt idx="49">
                  <c:v>10.471550000000001</c:v>
                </c:pt>
                <c:pt idx="50">
                  <c:v>17.213159999999998</c:v>
                </c:pt>
                <c:pt idx="51">
                  <c:v>6.7975630000000002</c:v>
                </c:pt>
                <c:pt idx="52">
                  <c:v>10.94516</c:v>
                </c:pt>
                <c:pt idx="53">
                  <c:v>18.074909999999999</c:v>
                </c:pt>
                <c:pt idx="54">
                  <c:v>8.7117389999999997</c:v>
                </c:pt>
                <c:pt idx="55">
                  <c:v>10.63719</c:v>
                </c:pt>
                <c:pt idx="56">
                  <c:v>10.751910000000001</c:v>
                </c:pt>
                <c:pt idx="57">
                  <c:v>13.867900000000001</c:v>
                </c:pt>
                <c:pt idx="58">
                  <c:v>6.2141120000000001</c:v>
                </c:pt>
                <c:pt idx="59">
                  <c:v>14.57621</c:v>
                </c:pt>
                <c:pt idx="60">
                  <c:v>7.277692</c:v>
                </c:pt>
                <c:pt idx="61">
                  <c:v>9.4550879999999999</c:v>
                </c:pt>
                <c:pt idx="62">
                  <c:v>13.19055</c:v>
                </c:pt>
                <c:pt idx="63">
                  <c:v>21.17033</c:v>
                </c:pt>
                <c:pt idx="64">
                  <c:v>8.5871089999999999</c:v>
                </c:pt>
                <c:pt idx="65">
                  <c:v>12.91464</c:v>
                </c:pt>
                <c:pt idx="66">
                  <c:v>12.77403</c:v>
                </c:pt>
                <c:pt idx="67">
                  <c:v>8.3757660000000005</c:v>
                </c:pt>
                <c:pt idx="68">
                  <c:v>7.9199970000000004</c:v>
                </c:pt>
                <c:pt idx="69">
                  <c:v>12.32696</c:v>
                </c:pt>
                <c:pt idx="70">
                  <c:v>5.7397790000000004</c:v>
                </c:pt>
                <c:pt idx="71">
                  <c:v>16.597079999999998</c:v>
                </c:pt>
                <c:pt idx="72">
                  <c:v>10.714650000000001</c:v>
                </c:pt>
                <c:pt idx="73">
                  <c:v>7.3775589999999998</c:v>
                </c:pt>
                <c:pt idx="74">
                  <c:v>9.1695910000000005</c:v>
                </c:pt>
                <c:pt idx="75">
                  <c:v>13.446569999999999</c:v>
                </c:pt>
                <c:pt idx="76">
                  <c:v>9.8669340000000005</c:v>
                </c:pt>
                <c:pt idx="77">
                  <c:v>10.58798</c:v>
                </c:pt>
                <c:pt idx="78">
                  <c:v>18.63618</c:v>
                </c:pt>
                <c:pt idx="79">
                  <c:v>13.9536</c:v>
                </c:pt>
              </c:numCache>
            </c:numRef>
          </c:yVal>
          <c:smooth val="0"/>
          <c:extLst>
            <c:ext xmlns:c16="http://schemas.microsoft.com/office/drawing/2014/chart" uri="{C3380CC4-5D6E-409C-BE32-E72D297353CC}">
              <c16:uniqueId val="{00000000-7995-4849-A7A7-A42F766D70FC}"/>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Driftsutgifter!$L$667:$L$704</c:f>
              <c:numCache>
                <c:formatCode>General</c:formatCode>
                <c:ptCount val="38"/>
                <c:pt idx="0">
                  <c:v>15.73226</c:v>
                </c:pt>
                <c:pt idx="1">
                  <c:v>9.5087220000000006</c:v>
                </c:pt>
                <c:pt idx="2">
                  <c:v>16.74736</c:v>
                </c:pt>
                <c:pt idx="3">
                  <c:v>8.7565729999999995</c:v>
                </c:pt>
                <c:pt idx="4">
                  <c:v>11.051069999999999</c:v>
                </c:pt>
                <c:pt idx="5">
                  <c:v>10.104839999999999</c:v>
                </c:pt>
                <c:pt idx="6">
                  <c:v>9.7056179999999994</c:v>
                </c:pt>
                <c:pt idx="7">
                  <c:v>8.3799919999999997</c:v>
                </c:pt>
                <c:pt idx="8">
                  <c:v>7.4194190000000004</c:v>
                </c:pt>
                <c:pt idx="9">
                  <c:v>8.7905599999999993</c:v>
                </c:pt>
                <c:pt idx="10">
                  <c:v>12.798</c:v>
                </c:pt>
                <c:pt idx="11">
                  <c:v>10.18529</c:v>
                </c:pt>
                <c:pt idx="12">
                  <c:v>5.8704489999999998</c:v>
                </c:pt>
                <c:pt idx="13">
                  <c:v>6.9181999999999997</c:v>
                </c:pt>
                <c:pt idx="14">
                  <c:v>8.2743490000000008</c:v>
                </c:pt>
                <c:pt idx="15">
                  <c:v>8.3806670000000008</c:v>
                </c:pt>
                <c:pt idx="16">
                  <c:v>13.450699999999999</c:v>
                </c:pt>
                <c:pt idx="17">
                  <c:v>10.342079999999999</c:v>
                </c:pt>
                <c:pt idx="18">
                  <c:v>13.778130000000001</c:v>
                </c:pt>
                <c:pt idx="19">
                  <c:v>10.20919</c:v>
                </c:pt>
                <c:pt idx="20">
                  <c:v>14.828340000000001</c:v>
                </c:pt>
                <c:pt idx="21">
                  <c:v>7.8611399999999998</c:v>
                </c:pt>
                <c:pt idx="22">
                  <c:v>10.982760000000001</c:v>
                </c:pt>
                <c:pt idx="23">
                  <c:v>16.484940000000002</c:v>
                </c:pt>
                <c:pt idx="24">
                  <c:v>7.9535980000000004</c:v>
                </c:pt>
                <c:pt idx="25">
                  <c:v>10.072279999999999</c:v>
                </c:pt>
                <c:pt idx="26">
                  <c:v>7.7715319999999997</c:v>
                </c:pt>
                <c:pt idx="27">
                  <c:v>12.49156</c:v>
                </c:pt>
                <c:pt idx="28">
                  <c:v>8.6372999999999998</c:v>
                </c:pt>
                <c:pt idx="29">
                  <c:v>11.6128</c:v>
                </c:pt>
                <c:pt idx="30">
                  <c:v>11.31212</c:v>
                </c:pt>
                <c:pt idx="31">
                  <c:v>8.7062030000000004</c:v>
                </c:pt>
                <c:pt idx="32">
                  <c:v>21.39808</c:v>
                </c:pt>
                <c:pt idx="33">
                  <c:v>21.821840000000002</c:v>
                </c:pt>
                <c:pt idx="34">
                  <c:v>9.775048</c:v>
                </c:pt>
                <c:pt idx="35">
                  <c:v>7.3290959999999998</c:v>
                </c:pt>
                <c:pt idx="36">
                  <c:v>7.5289419999999998</c:v>
                </c:pt>
                <c:pt idx="37">
                  <c:v>11.08797</c:v>
                </c:pt>
              </c:numCache>
            </c:numRef>
          </c:yVal>
          <c:smooth val="0"/>
          <c:extLst>
            <c:ext xmlns:c16="http://schemas.microsoft.com/office/drawing/2014/chart" uri="{C3380CC4-5D6E-409C-BE32-E72D297353CC}">
              <c16:uniqueId val="{00000001-7995-4849-A7A7-A42F766D70FC}"/>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Driftsutgifter!$L$705:$L$796</c:f>
              <c:numCache>
                <c:formatCode>General</c:formatCode>
                <c:ptCount val="92"/>
                <c:pt idx="0">
                  <c:v>5.0927949999999997</c:v>
                </c:pt>
                <c:pt idx="1">
                  <c:v>10.44936</c:v>
                </c:pt>
                <c:pt idx="2">
                  <c:v>11.6508</c:v>
                </c:pt>
                <c:pt idx="3">
                  <c:v>13.78758</c:v>
                </c:pt>
                <c:pt idx="4">
                  <c:v>6.9571670000000001</c:v>
                </c:pt>
                <c:pt idx="5">
                  <c:v>6.9700980000000001</c:v>
                </c:pt>
                <c:pt idx="6">
                  <c:v>5.1037439999999998</c:v>
                </c:pt>
                <c:pt idx="7">
                  <c:v>7.2385279999999996</c:v>
                </c:pt>
                <c:pt idx="8">
                  <c:v>7.5248549999999996</c:v>
                </c:pt>
                <c:pt idx="9">
                  <c:v>8.3976640000000007</c:v>
                </c:pt>
                <c:pt idx="10">
                  <c:v>23.842120000000001</c:v>
                </c:pt>
                <c:pt idx="11">
                  <c:v>10.955780000000001</c:v>
                </c:pt>
                <c:pt idx="12">
                  <c:v>8.8347789999999993</c:v>
                </c:pt>
                <c:pt idx="13">
                  <c:v>10.37725</c:v>
                </c:pt>
                <c:pt idx="14">
                  <c:v>6.2833969999999999</c:v>
                </c:pt>
                <c:pt idx="15">
                  <c:v>8.7151429999999994</c:v>
                </c:pt>
                <c:pt idx="16">
                  <c:v>11.60196</c:v>
                </c:pt>
                <c:pt idx="17">
                  <c:v>7.7951829999999998</c:v>
                </c:pt>
                <c:pt idx="18">
                  <c:v>11.73179</c:v>
                </c:pt>
                <c:pt idx="19">
                  <c:v>5.2053010000000004</c:v>
                </c:pt>
                <c:pt idx="20">
                  <c:v>8.299417</c:v>
                </c:pt>
                <c:pt idx="21">
                  <c:v>10.274520000000001</c:v>
                </c:pt>
                <c:pt idx="22">
                  <c:v>12.310090000000001</c:v>
                </c:pt>
                <c:pt idx="23">
                  <c:v>8.1424240000000001</c:v>
                </c:pt>
                <c:pt idx="24">
                  <c:v>6.7373799999999999</c:v>
                </c:pt>
                <c:pt idx="25">
                  <c:v>13.617599999999999</c:v>
                </c:pt>
                <c:pt idx="26">
                  <c:v>9.4195180000000001</c:v>
                </c:pt>
                <c:pt idx="27">
                  <c:v>7.3672279999999999</c:v>
                </c:pt>
                <c:pt idx="28">
                  <c:v>7.6344519999999996</c:v>
                </c:pt>
                <c:pt idx="29">
                  <c:v>6.0410870000000001</c:v>
                </c:pt>
                <c:pt idx="30">
                  <c:v>10.3903</c:v>
                </c:pt>
                <c:pt idx="31">
                  <c:v>31.408439999999999</c:v>
                </c:pt>
                <c:pt idx="32">
                  <c:v>10.755599999999999</c:v>
                </c:pt>
                <c:pt idx="33">
                  <c:v>8.3701600000000003</c:v>
                </c:pt>
                <c:pt idx="34">
                  <c:v>9.3491199999999992</c:v>
                </c:pt>
                <c:pt idx="35">
                  <c:v>14.383430000000001</c:v>
                </c:pt>
                <c:pt idx="36">
                  <c:v>9.8964940000000006</c:v>
                </c:pt>
                <c:pt idx="37">
                  <c:v>9.5886709999999997</c:v>
                </c:pt>
                <c:pt idx="38">
                  <c:v>6.9064059999999996</c:v>
                </c:pt>
                <c:pt idx="39">
                  <c:v>9.6791669999999996</c:v>
                </c:pt>
                <c:pt idx="40">
                  <c:v>21.44342</c:v>
                </c:pt>
                <c:pt idx="41">
                  <c:v>9.9259500000000003</c:v>
                </c:pt>
                <c:pt idx="42">
                  <c:v>21.872050000000002</c:v>
                </c:pt>
                <c:pt idx="43">
                  <c:v>6.7423089999999997</c:v>
                </c:pt>
                <c:pt idx="44">
                  <c:v>8.8544809999999998</c:v>
                </c:pt>
                <c:pt idx="45">
                  <c:v>6.3889199999999997</c:v>
                </c:pt>
                <c:pt idx="46">
                  <c:v>8.2736820000000009</c:v>
                </c:pt>
                <c:pt idx="47">
                  <c:v>7.5974069999999996</c:v>
                </c:pt>
                <c:pt idx="48">
                  <c:v>13.235709999999999</c:v>
                </c:pt>
                <c:pt idx="49">
                  <c:v>11.04007</c:v>
                </c:pt>
                <c:pt idx="50">
                  <c:v>7.752815</c:v>
                </c:pt>
                <c:pt idx="51">
                  <c:v>8.3596280000000007</c:v>
                </c:pt>
                <c:pt idx="52">
                  <c:v>10.131169999999999</c:v>
                </c:pt>
                <c:pt idx="53">
                  <c:v>8.3170169999999999</c:v>
                </c:pt>
                <c:pt idx="54">
                  <c:v>14.796720000000001</c:v>
                </c:pt>
                <c:pt idx="55">
                  <c:v>8.3035599999999992</c:v>
                </c:pt>
                <c:pt idx="56">
                  <c:v>18.030190000000001</c:v>
                </c:pt>
                <c:pt idx="57">
                  <c:v>10.42174</c:v>
                </c:pt>
                <c:pt idx="58">
                  <c:v>24.392669999999999</c:v>
                </c:pt>
                <c:pt idx="59">
                  <c:v>9.2979479999999999</c:v>
                </c:pt>
                <c:pt idx="60">
                  <c:v>8.786994</c:v>
                </c:pt>
                <c:pt idx="61">
                  <c:v>8.594868</c:v>
                </c:pt>
                <c:pt idx="62">
                  <c:v>9.8636079999999993</c:v>
                </c:pt>
                <c:pt idx="63">
                  <c:v>16.643329999999999</c:v>
                </c:pt>
                <c:pt idx="64">
                  <c:v>41.637149999999998</c:v>
                </c:pt>
                <c:pt idx="65">
                  <c:v>8.9630969999999994</c:v>
                </c:pt>
                <c:pt idx="66">
                  <c:v>6.9853949999999996</c:v>
                </c:pt>
                <c:pt idx="67">
                  <c:v>10.891629999999999</c:v>
                </c:pt>
                <c:pt idx="68">
                  <c:v>8.3235860000000006</c:v>
                </c:pt>
                <c:pt idx="69">
                  <c:v>7.6252259999999996</c:v>
                </c:pt>
                <c:pt idx="70">
                  <c:v>8.3569999999999993</c:v>
                </c:pt>
                <c:pt idx="71">
                  <c:v>11.39855</c:v>
                </c:pt>
                <c:pt idx="72">
                  <c:v>9.6298049999999993</c:v>
                </c:pt>
                <c:pt idx="73">
                  <c:v>13.19543</c:v>
                </c:pt>
                <c:pt idx="74">
                  <c:v>10.573169999999999</c:v>
                </c:pt>
                <c:pt idx="75">
                  <c:v>11.591530000000001</c:v>
                </c:pt>
                <c:pt idx="76">
                  <c:v>13.11004</c:v>
                </c:pt>
                <c:pt idx="77">
                  <c:v>8.2566939999999995</c:v>
                </c:pt>
                <c:pt idx="78">
                  <c:v>7.9831159999999999</c:v>
                </c:pt>
                <c:pt idx="79">
                  <c:v>8.9778179999999992</c:v>
                </c:pt>
                <c:pt idx="80">
                  <c:v>6.8080670000000003</c:v>
                </c:pt>
                <c:pt idx="81">
                  <c:v>10.93417</c:v>
                </c:pt>
                <c:pt idx="82">
                  <c:v>8.1588259999999995</c:v>
                </c:pt>
                <c:pt idx="83">
                  <c:v>6.9693059999999996</c:v>
                </c:pt>
                <c:pt idx="84">
                  <c:v>15.496650000000001</c:v>
                </c:pt>
                <c:pt idx="85">
                  <c:v>7.2681329999999997</c:v>
                </c:pt>
                <c:pt idx="86">
                  <c:v>7.4314660000000003</c:v>
                </c:pt>
                <c:pt idx="87">
                  <c:v>7.7714449999999999</c:v>
                </c:pt>
                <c:pt idx="88">
                  <c:v>10.39922</c:v>
                </c:pt>
                <c:pt idx="89">
                  <c:v>11.66891</c:v>
                </c:pt>
                <c:pt idx="90">
                  <c:v>8.7035129999999992</c:v>
                </c:pt>
                <c:pt idx="91">
                  <c:v>5.8874709999999997</c:v>
                </c:pt>
              </c:numCache>
            </c:numRef>
          </c:yVal>
          <c:smooth val="0"/>
          <c:extLst>
            <c:ext xmlns:c16="http://schemas.microsoft.com/office/drawing/2014/chart" uri="{C3380CC4-5D6E-409C-BE32-E72D297353CC}">
              <c16:uniqueId val="{00000002-7995-4849-A7A7-A42F766D70FC}"/>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Driftsutgifter!$L$797:$L$844</c:f>
              <c:numCache>
                <c:formatCode>General</c:formatCode>
                <c:ptCount val="48"/>
                <c:pt idx="0">
                  <c:v>6.0959349999999999</c:v>
                </c:pt>
                <c:pt idx="1">
                  <c:v>4.9417900000000001</c:v>
                </c:pt>
                <c:pt idx="2">
                  <c:v>7.841577</c:v>
                </c:pt>
                <c:pt idx="3">
                  <c:v>6.6693680000000004</c:v>
                </c:pt>
                <c:pt idx="4">
                  <c:v>7.5218210000000001</c:v>
                </c:pt>
                <c:pt idx="5">
                  <c:v>6.4130209999999996</c:v>
                </c:pt>
                <c:pt idx="6">
                  <c:v>33.935870000000001</c:v>
                </c:pt>
                <c:pt idx="7">
                  <c:v>7.9136980000000001</c:v>
                </c:pt>
                <c:pt idx="8">
                  <c:v>6.7490449999999997</c:v>
                </c:pt>
                <c:pt idx="9">
                  <c:v>4.578945</c:v>
                </c:pt>
                <c:pt idx="10">
                  <c:v>8.2967230000000001</c:v>
                </c:pt>
                <c:pt idx="11">
                  <c:v>11.55064</c:v>
                </c:pt>
                <c:pt idx="12">
                  <c:v>8.4385499999999993</c:v>
                </c:pt>
                <c:pt idx="13">
                  <c:v>23.154949999999999</c:v>
                </c:pt>
                <c:pt idx="14">
                  <c:v>15.666589999999999</c:v>
                </c:pt>
                <c:pt idx="15">
                  <c:v>8.9878230000000006</c:v>
                </c:pt>
                <c:pt idx="16">
                  <c:v>11.404540000000001</c:v>
                </c:pt>
                <c:pt idx="17">
                  <c:v>7.8161329999999998</c:v>
                </c:pt>
                <c:pt idx="18">
                  <c:v>6.4128040000000004</c:v>
                </c:pt>
                <c:pt idx="19">
                  <c:v>7.1676489999999999</c:v>
                </c:pt>
                <c:pt idx="20">
                  <c:v>5.4302760000000001</c:v>
                </c:pt>
                <c:pt idx="21">
                  <c:v>9.2390509999999999</c:v>
                </c:pt>
                <c:pt idx="22">
                  <c:v>12.99076</c:v>
                </c:pt>
                <c:pt idx="23">
                  <c:v>7.4594769999999997</c:v>
                </c:pt>
                <c:pt idx="24">
                  <c:v>43.570639999999997</c:v>
                </c:pt>
                <c:pt idx="25">
                  <c:v>7.5262359999999999</c:v>
                </c:pt>
                <c:pt idx="26">
                  <c:v>18.90551</c:v>
                </c:pt>
                <c:pt idx="27">
                  <c:v>9.3353280000000005</c:v>
                </c:pt>
                <c:pt idx="28">
                  <c:v>7.5264119999999997</c:v>
                </c:pt>
                <c:pt idx="29">
                  <c:v>7.2446679999999999</c:v>
                </c:pt>
                <c:pt idx="30">
                  <c:v>11.25525</c:v>
                </c:pt>
                <c:pt idx="31">
                  <c:v>9.4257729999999995</c:v>
                </c:pt>
                <c:pt idx="32">
                  <c:v>4.7446400000000004</c:v>
                </c:pt>
                <c:pt idx="33">
                  <c:v>7.5575210000000004</c:v>
                </c:pt>
                <c:pt idx="34">
                  <c:v>8.5294179999999997</c:v>
                </c:pt>
                <c:pt idx="35">
                  <c:v>19.022629999999999</c:v>
                </c:pt>
                <c:pt idx="36">
                  <c:v>26.99784</c:v>
                </c:pt>
                <c:pt idx="37">
                  <c:v>9.9740369999999992</c:v>
                </c:pt>
                <c:pt idx="38">
                  <c:v>8.6028599999999997</c:v>
                </c:pt>
                <c:pt idx="39">
                  <c:v>10.42558</c:v>
                </c:pt>
                <c:pt idx="40">
                  <c:v>7.5864929999999999</c:v>
                </c:pt>
                <c:pt idx="41">
                  <c:v>8.0517730000000007</c:v>
                </c:pt>
                <c:pt idx="42">
                  <c:v>12.137359999999999</c:v>
                </c:pt>
                <c:pt idx="43">
                  <c:v>8.9401399999999995</c:v>
                </c:pt>
                <c:pt idx="44">
                  <c:v>8.5182549999999999</c:v>
                </c:pt>
                <c:pt idx="45">
                  <c:v>6.0423879999999999</c:v>
                </c:pt>
                <c:pt idx="46">
                  <c:v>10.67596</c:v>
                </c:pt>
                <c:pt idx="47">
                  <c:v>4.9913869999999996</c:v>
                </c:pt>
              </c:numCache>
            </c:numRef>
          </c:yVal>
          <c:smooth val="0"/>
          <c:extLst>
            <c:ext xmlns:c16="http://schemas.microsoft.com/office/drawing/2014/chart" uri="{C3380CC4-5D6E-409C-BE32-E72D297353CC}">
              <c16:uniqueId val="{00000003-7995-4849-A7A7-A42F766D70FC}"/>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Driftsutgifter!$L$845:$L$890</c:f>
              <c:numCache>
                <c:formatCode>General</c:formatCode>
                <c:ptCount val="46"/>
                <c:pt idx="0">
                  <c:v>10.19107</c:v>
                </c:pt>
                <c:pt idx="1">
                  <c:v>7.1172440000000003</c:v>
                </c:pt>
                <c:pt idx="2">
                  <c:v>18.109670000000001</c:v>
                </c:pt>
                <c:pt idx="3">
                  <c:v>12.03955</c:v>
                </c:pt>
                <c:pt idx="4">
                  <c:v>7.6321000000000003</c:v>
                </c:pt>
                <c:pt idx="5">
                  <c:v>10.21805</c:v>
                </c:pt>
                <c:pt idx="6">
                  <c:v>10.53298</c:v>
                </c:pt>
                <c:pt idx="7">
                  <c:v>9.06142</c:v>
                </c:pt>
                <c:pt idx="8">
                  <c:v>14.04585</c:v>
                </c:pt>
                <c:pt idx="9">
                  <c:v>8.7219890000000007</c:v>
                </c:pt>
                <c:pt idx="10">
                  <c:v>11.8969</c:v>
                </c:pt>
                <c:pt idx="11">
                  <c:v>8.3019739999999995</c:v>
                </c:pt>
                <c:pt idx="12">
                  <c:v>7.8512219999999999</c:v>
                </c:pt>
                <c:pt idx="13">
                  <c:v>8.6235800000000005</c:v>
                </c:pt>
                <c:pt idx="14">
                  <c:v>8.2670250000000003</c:v>
                </c:pt>
                <c:pt idx="15">
                  <c:v>9.2504430000000006</c:v>
                </c:pt>
                <c:pt idx="16">
                  <c:v>10.1273</c:v>
                </c:pt>
                <c:pt idx="17">
                  <c:v>6.2141799999999998</c:v>
                </c:pt>
                <c:pt idx="18">
                  <c:v>11.052429999999999</c:v>
                </c:pt>
                <c:pt idx="19">
                  <c:v>8.4885169999999999</c:v>
                </c:pt>
                <c:pt idx="20">
                  <c:v>8.0799249999999994</c:v>
                </c:pt>
                <c:pt idx="21">
                  <c:v>6.615685</c:v>
                </c:pt>
                <c:pt idx="22">
                  <c:v>8.2071400000000008</c:v>
                </c:pt>
                <c:pt idx="23">
                  <c:v>8.2314450000000008</c:v>
                </c:pt>
                <c:pt idx="24">
                  <c:v>9.9388489999999994</c:v>
                </c:pt>
                <c:pt idx="25">
                  <c:v>9.0890149999999998</c:v>
                </c:pt>
                <c:pt idx="26">
                  <c:v>7.3128719999999996</c:v>
                </c:pt>
                <c:pt idx="27">
                  <c:v>11.003080000000001</c:v>
                </c:pt>
                <c:pt idx="28">
                  <c:v>10.53528</c:v>
                </c:pt>
                <c:pt idx="29">
                  <c:v>8.5418719999999997</c:v>
                </c:pt>
                <c:pt idx="30">
                  <c:v>10.81274</c:v>
                </c:pt>
                <c:pt idx="31">
                  <c:v>9.9585880000000007</c:v>
                </c:pt>
                <c:pt idx="32">
                  <c:v>14.26648</c:v>
                </c:pt>
                <c:pt idx="33">
                  <c:v>9.9253889999999991</c:v>
                </c:pt>
                <c:pt idx="34">
                  <c:v>12.20407</c:v>
                </c:pt>
                <c:pt idx="35">
                  <c:v>8.4217150000000007</c:v>
                </c:pt>
                <c:pt idx="36">
                  <c:v>7.5985959999999997</c:v>
                </c:pt>
                <c:pt idx="37">
                  <c:v>6.4257280000000003</c:v>
                </c:pt>
                <c:pt idx="38">
                  <c:v>7.3234450000000004</c:v>
                </c:pt>
                <c:pt idx="39">
                  <c:v>7.7566620000000004</c:v>
                </c:pt>
                <c:pt idx="40">
                  <c:v>8.7430810000000001</c:v>
                </c:pt>
                <c:pt idx="41">
                  <c:v>9.5799409999999998</c:v>
                </c:pt>
                <c:pt idx="42">
                  <c:v>14.80011</c:v>
                </c:pt>
                <c:pt idx="43">
                  <c:v>6.3465160000000003</c:v>
                </c:pt>
                <c:pt idx="44">
                  <c:v>10.58751</c:v>
                </c:pt>
                <c:pt idx="45">
                  <c:v>5.7912160000000004</c:v>
                </c:pt>
              </c:numCache>
            </c:numRef>
          </c:yVal>
          <c:smooth val="0"/>
          <c:extLst>
            <c:ext xmlns:c16="http://schemas.microsoft.com/office/drawing/2014/chart" uri="{C3380CC4-5D6E-409C-BE32-E72D297353CC}">
              <c16:uniqueId val="{00000004-7995-4849-A7A7-A42F766D70FC}"/>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Driftsutgifter!$L$891:$L$942</c:f>
              <c:numCache>
                <c:formatCode>General</c:formatCode>
                <c:ptCount val="52"/>
                <c:pt idx="0">
                  <c:v>5.4304899999999998</c:v>
                </c:pt>
                <c:pt idx="1">
                  <c:v>6.767779</c:v>
                </c:pt>
                <c:pt idx="2">
                  <c:v>7.2391220000000001</c:v>
                </c:pt>
                <c:pt idx="3">
                  <c:v>6.9683789999999997</c:v>
                </c:pt>
                <c:pt idx="4">
                  <c:v>7.1080860000000001</c:v>
                </c:pt>
                <c:pt idx="5">
                  <c:v>6.5045630000000001</c:v>
                </c:pt>
                <c:pt idx="6">
                  <c:v>6.5743220000000004</c:v>
                </c:pt>
                <c:pt idx="7">
                  <c:v>6.1502350000000003</c:v>
                </c:pt>
                <c:pt idx="8">
                  <c:v>5.5677950000000003</c:v>
                </c:pt>
                <c:pt idx="9">
                  <c:v>8.1563289999999995</c:v>
                </c:pt>
                <c:pt idx="10">
                  <c:v>6.6124559999999999</c:v>
                </c:pt>
                <c:pt idx="11">
                  <c:v>5.059361</c:v>
                </c:pt>
                <c:pt idx="12">
                  <c:v>5.97499</c:v>
                </c:pt>
                <c:pt idx="13">
                  <c:v>8.7392690000000002</c:v>
                </c:pt>
                <c:pt idx="14">
                  <c:v>7.6309209999999998</c:v>
                </c:pt>
                <c:pt idx="15">
                  <c:v>6.8342530000000004</c:v>
                </c:pt>
                <c:pt idx="16">
                  <c:v>8.1066579999999995</c:v>
                </c:pt>
                <c:pt idx="17">
                  <c:v>5.1623530000000004</c:v>
                </c:pt>
                <c:pt idx="18">
                  <c:v>9.9128980000000002</c:v>
                </c:pt>
                <c:pt idx="19">
                  <c:v>10.029299999999999</c:v>
                </c:pt>
                <c:pt idx="20">
                  <c:v>7.3576420000000002</c:v>
                </c:pt>
                <c:pt idx="21">
                  <c:v>9.2754989999999999</c:v>
                </c:pt>
                <c:pt idx="22">
                  <c:v>4.1463169999999998</c:v>
                </c:pt>
                <c:pt idx="23">
                  <c:v>5.8305210000000001</c:v>
                </c:pt>
                <c:pt idx="24">
                  <c:v>8.9918580000000006</c:v>
                </c:pt>
                <c:pt idx="25">
                  <c:v>6.5253899999999998</c:v>
                </c:pt>
                <c:pt idx="26">
                  <c:v>6.3597460000000003</c:v>
                </c:pt>
                <c:pt idx="27">
                  <c:v>5.3406310000000001</c:v>
                </c:pt>
                <c:pt idx="28">
                  <c:v>11.790900000000001</c:v>
                </c:pt>
                <c:pt idx="29">
                  <c:v>9.1564119999999996</c:v>
                </c:pt>
                <c:pt idx="30">
                  <c:v>5.4509299999999996</c:v>
                </c:pt>
                <c:pt idx="31">
                  <c:v>9.9078970000000002</c:v>
                </c:pt>
                <c:pt idx="32">
                  <c:v>11.58212</c:v>
                </c:pt>
                <c:pt idx="33">
                  <c:v>6.3268110000000002</c:v>
                </c:pt>
                <c:pt idx="34">
                  <c:v>7.1730039999999997</c:v>
                </c:pt>
                <c:pt idx="35">
                  <c:v>13.87242</c:v>
                </c:pt>
                <c:pt idx="36">
                  <c:v>18.43788</c:v>
                </c:pt>
                <c:pt idx="37">
                  <c:v>9.0560890000000001</c:v>
                </c:pt>
                <c:pt idx="38">
                  <c:v>7.2461010000000003</c:v>
                </c:pt>
                <c:pt idx="39">
                  <c:v>7.0684990000000001</c:v>
                </c:pt>
                <c:pt idx="40">
                  <c:v>7.2222429999999997</c:v>
                </c:pt>
                <c:pt idx="41">
                  <c:v>7.9399129999999998</c:v>
                </c:pt>
                <c:pt idx="42">
                  <c:v>7.4524660000000003</c:v>
                </c:pt>
                <c:pt idx="43">
                  <c:v>15.03703</c:v>
                </c:pt>
                <c:pt idx="44">
                  <c:v>5.0661800000000001</c:v>
                </c:pt>
                <c:pt idx="45">
                  <c:v>5.9208179999999997</c:v>
                </c:pt>
                <c:pt idx="46">
                  <c:v>6.166385</c:v>
                </c:pt>
                <c:pt idx="47">
                  <c:v>11.5686</c:v>
                </c:pt>
                <c:pt idx="48">
                  <c:v>10.10595</c:v>
                </c:pt>
                <c:pt idx="49">
                  <c:v>8.0009300000000003</c:v>
                </c:pt>
                <c:pt idx="50">
                  <c:v>14.09525</c:v>
                </c:pt>
                <c:pt idx="51">
                  <c:v>6.4945130000000004</c:v>
                </c:pt>
              </c:numCache>
            </c:numRef>
          </c:yVal>
          <c:smooth val="0"/>
          <c:extLst>
            <c:ext xmlns:c16="http://schemas.microsoft.com/office/drawing/2014/chart" uri="{C3380CC4-5D6E-409C-BE32-E72D297353CC}">
              <c16:uniqueId val="{00000005-7995-4849-A7A7-A42F766D70FC}"/>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(5) Kapitalslit, PIM-dd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Driftsutgifter!$L$587:$L$666</c:f>
              <c:numCache>
                <c:formatCode>General</c:formatCode>
                <c:ptCount val="80"/>
                <c:pt idx="0">
                  <c:v>14.97852</c:v>
                </c:pt>
                <c:pt idx="1">
                  <c:v>24.12745</c:v>
                </c:pt>
                <c:pt idx="2">
                  <c:v>11.135149999999999</c:v>
                </c:pt>
                <c:pt idx="3">
                  <c:v>20.937429999999999</c:v>
                </c:pt>
                <c:pt idx="4">
                  <c:v>8.3463250000000002</c:v>
                </c:pt>
                <c:pt idx="5">
                  <c:v>16.733599999999999</c:v>
                </c:pt>
                <c:pt idx="6">
                  <c:v>14.50764</c:v>
                </c:pt>
                <c:pt idx="7">
                  <c:v>8.3639530000000004</c:v>
                </c:pt>
                <c:pt idx="8">
                  <c:v>9.90259</c:v>
                </c:pt>
                <c:pt idx="9">
                  <c:v>13.27605</c:v>
                </c:pt>
                <c:pt idx="10">
                  <c:v>14.00944</c:v>
                </c:pt>
                <c:pt idx="11">
                  <c:v>31.43497</c:v>
                </c:pt>
                <c:pt idx="12">
                  <c:v>13.98343</c:v>
                </c:pt>
                <c:pt idx="13">
                  <c:v>20.30247</c:v>
                </c:pt>
                <c:pt idx="14">
                  <c:v>9.0403140000000004</c:v>
                </c:pt>
                <c:pt idx="15">
                  <c:v>19.852620000000002</c:v>
                </c:pt>
                <c:pt idx="16">
                  <c:v>9.0088010000000001</c:v>
                </c:pt>
                <c:pt idx="17">
                  <c:v>14.00928</c:v>
                </c:pt>
                <c:pt idx="18">
                  <c:v>8.9681789999999992</c:v>
                </c:pt>
                <c:pt idx="19">
                  <c:v>14.76047</c:v>
                </c:pt>
                <c:pt idx="20">
                  <c:v>8.1562710000000003</c:v>
                </c:pt>
                <c:pt idx="21">
                  <c:v>9.3768440000000002</c:v>
                </c:pt>
                <c:pt idx="22">
                  <c:v>17.575869999999998</c:v>
                </c:pt>
                <c:pt idx="23">
                  <c:v>12.04556</c:v>
                </c:pt>
                <c:pt idx="24">
                  <c:v>10.05383</c:v>
                </c:pt>
                <c:pt idx="25">
                  <c:v>9.2350189999999994</c:v>
                </c:pt>
                <c:pt idx="26">
                  <c:v>20.688040000000001</c:v>
                </c:pt>
                <c:pt idx="27">
                  <c:v>12.25794</c:v>
                </c:pt>
                <c:pt idx="28">
                  <c:v>10.34872</c:v>
                </c:pt>
                <c:pt idx="29">
                  <c:v>7.3807099999999997</c:v>
                </c:pt>
                <c:pt idx="30">
                  <c:v>9.9094920000000002</c:v>
                </c:pt>
                <c:pt idx="31">
                  <c:v>8.0192580000000007</c:v>
                </c:pt>
                <c:pt idx="32">
                  <c:v>17.673690000000001</c:v>
                </c:pt>
                <c:pt idx="33">
                  <c:v>14.449870000000001</c:v>
                </c:pt>
                <c:pt idx="34">
                  <c:v>15.04391</c:v>
                </c:pt>
                <c:pt idx="35">
                  <c:v>7.3763569999999996</c:v>
                </c:pt>
                <c:pt idx="36">
                  <c:v>9.925376</c:v>
                </c:pt>
                <c:pt idx="37">
                  <c:v>11.62856</c:v>
                </c:pt>
                <c:pt idx="38">
                  <c:v>15.44422</c:v>
                </c:pt>
                <c:pt idx="39">
                  <c:v>15.757400000000001</c:v>
                </c:pt>
                <c:pt idx="40">
                  <c:v>14.658189999999999</c:v>
                </c:pt>
                <c:pt idx="41">
                  <c:v>11.969060000000001</c:v>
                </c:pt>
                <c:pt idx="42">
                  <c:v>14.253640000000001</c:v>
                </c:pt>
                <c:pt idx="43">
                  <c:v>6.8994049999999998</c:v>
                </c:pt>
                <c:pt idx="44">
                  <c:v>22.755199999999999</c:v>
                </c:pt>
                <c:pt idx="45">
                  <c:v>17.346029999999999</c:v>
                </c:pt>
                <c:pt idx="46">
                  <c:v>8.9683899999999994</c:v>
                </c:pt>
                <c:pt idx="47">
                  <c:v>13.151009999999999</c:v>
                </c:pt>
                <c:pt idx="48">
                  <c:v>9.2200220000000002</c:v>
                </c:pt>
                <c:pt idx="49">
                  <c:v>10.471550000000001</c:v>
                </c:pt>
                <c:pt idx="50">
                  <c:v>17.213159999999998</c:v>
                </c:pt>
                <c:pt idx="51">
                  <c:v>6.7975630000000002</c:v>
                </c:pt>
                <c:pt idx="52">
                  <c:v>10.94516</c:v>
                </c:pt>
                <c:pt idx="53">
                  <c:v>18.074909999999999</c:v>
                </c:pt>
                <c:pt idx="54">
                  <c:v>8.7117389999999997</c:v>
                </c:pt>
                <c:pt idx="55">
                  <c:v>10.63719</c:v>
                </c:pt>
                <c:pt idx="56">
                  <c:v>10.751910000000001</c:v>
                </c:pt>
                <c:pt idx="57">
                  <c:v>13.867900000000001</c:v>
                </c:pt>
                <c:pt idx="58">
                  <c:v>6.2141120000000001</c:v>
                </c:pt>
                <c:pt idx="59">
                  <c:v>14.57621</c:v>
                </c:pt>
                <c:pt idx="60">
                  <c:v>7.277692</c:v>
                </c:pt>
                <c:pt idx="61">
                  <c:v>9.4550879999999999</c:v>
                </c:pt>
                <c:pt idx="62">
                  <c:v>13.19055</c:v>
                </c:pt>
                <c:pt idx="63">
                  <c:v>21.17033</c:v>
                </c:pt>
                <c:pt idx="64">
                  <c:v>8.5871089999999999</c:v>
                </c:pt>
                <c:pt idx="65">
                  <c:v>12.91464</c:v>
                </c:pt>
                <c:pt idx="66">
                  <c:v>12.77403</c:v>
                </c:pt>
                <c:pt idx="67">
                  <c:v>8.3757660000000005</c:v>
                </c:pt>
                <c:pt idx="68">
                  <c:v>7.9199970000000004</c:v>
                </c:pt>
                <c:pt idx="69">
                  <c:v>12.32696</c:v>
                </c:pt>
                <c:pt idx="70">
                  <c:v>5.7397790000000004</c:v>
                </c:pt>
                <c:pt idx="71">
                  <c:v>16.597079999999998</c:v>
                </c:pt>
                <c:pt idx="72">
                  <c:v>10.714650000000001</c:v>
                </c:pt>
                <c:pt idx="73">
                  <c:v>7.3775589999999998</c:v>
                </c:pt>
                <c:pt idx="74">
                  <c:v>9.1695910000000005</c:v>
                </c:pt>
                <c:pt idx="75">
                  <c:v>13.446569999999999</c:v>
                </c:pt>
                <c:pt idx="76">
                  <c:v>9.8669340000000005</c:v>
                </c:pt>
                <c:pt idx="77">
                  <c:v>10.58798</c:v>
                </c:pt>
                <c:pt idx="78">
                  <c:v>18.63618</c:v>
                </c:pt>
                <c:pt idx="79">
                  <c:v>13.9536</c:v>
                </c:pt>
              </c:numCache>
            </c:numRef>
          </c:yVal>
          <c:smooth val="0"/>
          <c:extLst>
            <c:ext xmlns:c16="http://schemas.microsoft.com/office/drawing/2014/chart" uri="{C3380CC4-5D6E-409C-BE32-E72D297353CC}">
              <c16:uniqueId val="{00000000-21C9-4EEC-8A91-80C762178BE3}"/>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Driftsutgifter!$L$667:$L$704</c:f>
              <c:numCache>
                <c:formatCode>General</c:formatCode>
                <c:ptCount val="38"/>
                <c:pt idx="0">
                  <c:v>15.73226</c:v>
                </c:pt>
                <c:pt idx="1">
                  <c:v>9.5087220000000006</c:v>
                </c:pt>
                <c:pt idx="2">
                  <c:v>16.74736</c:v>
                </c:pt>
                <c:pt idx="3">
                  <c:v>8.7565729999999995</c:v>
                </c:pt>
                <c:pt idx="4">
                  <c:v>11.051069999999999</c:v>
                </c:pt>
                <c:pt idx="5">
                  <c:v>10.104839999999999</c:v>
                </c:pt>
                <c:pt idx="6">
                  <c:v>9.7056179999999994</c:v>
                </c:pt>
                <c:pt idx="7">
                  <c:v>8.3799919999999997</c:v>
                </c:pt>
                <c:pt idx="8">
                  <c:v>7.4194190000000004</c:v>
                </c:pt>
                <c:pt idx="9">
                  <c:v>8.7905599999999993</c:v>
                </c:pt>
                <c:pt idx="10">
                  <c:v>12.798</c:v>
                </c:pt>
                <c:pt idx="11">
                  <c:v>10.18529</c:v>
                </c:pt>
                <c:pt idx="12">
                  <c:v>5.8704489999999998</c:v>
                </c:pt>
                <c:pt idx="13">
                  <c:v>6.9181999999999997</c:v>
                </c:pt>
                <c:pt idx="14">
                  <c:v>8.2743490000000008</c:v>
                </c:pt>
                <c:pt idx="15">
                  <c:v>8.3806670000000008</c:v>
                </c:pt>
                <c:pt idx="16">
                  <c:v>13.450699999999999</c:v>
                </c:pt>
                <c:pt idx="17">
                  <c:v>10.342079999999999</c:v>
                </c:pt>
                <c:pt idx="18">
                  <c:v>13.778130000000001</c:v>
                </c:pt>
                <c:pt idx="19">
                  <c:v>10.20919</c:v>
                </c:pt>
                <c:pt idx="20">
                  <c:v>14.828340000000001</c:v>
                </c:pt>
                <c:pt idx="21">
                  <c:v>7.8611399999999998</c:v>
                </c:pt>
                <c:pt idx="22">
                  <c:v>10.982760000000001</c:v>
                </c:pt>
                <c:pt idx="23">
                  <c:v>16.484940000000002</c:v>
                </c:pt>
                <c:pt idx="24">
                  <c:v>7.9535980000000004</c:v>
                </c:pt>
                <c:pt idx="25">
                  <c:v>10.072279999999999</c:v>
                </c:pt>
                <c:pt idx="26">
                  <c:v>7.7715319999999997</c:v>
                </c:pt>
                <c:pt idx="27">
                  <c:v>12.49156</c:v>
                </c:pt>
                <c:pt idx="28">
                  <c:v>8.6372999999999998</c:v>
                </c:pt>
                <c:pt idx="29">
                  <c:v>11.6128</c:v>
                </c:pt>
                <c:pt idx="30">
                  <c:v>11.31212</c:v>
                </c:pt>
                <c:pt idx="31">
                  <c:v>8.7062030000000004</c:v>
                </c:pt>
                <c:pt idx="32">
                  <c:v>21.39808</c:v>
                </c:pt>
                <c:pt idx="33">
                  <c:v>21.821840000000002</c:v>
                </c:pt>
                <c:pt idx="34">
                  <c:v>9.775048</c:v>
                </c:pt>
                <c:pt idx="35">
                  <c:v>7.3290959999999998</c:v>
                </c:pt>
                <c:pt idx="36">
                  <c:v>7.5289419999999998</c:v>
                </c:pt>
                <c:pt idx="37">
                  <c:v>11.08797</c:v>
                </c:pt>
              </c:numCache>
            </c:numRef>
          </c:yVal>
          <c:smooth val="0"/>
          <c:extLst>
            <c:ext xmlns:c16="http://schemas.microsoft.com/office/drawing/2014/chart" uri="{C3380CC4-5D6E-409C-BE32-E72D297353CC}">
              <c16:uniqueId val="{00000001-21C9-4EEC-8A91-80C762178BE3}"/>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Driftsutgifter!$L$705:$L$796</c:f>
              <c:numCache>
                <c:formatCode>General</c:formatCode>
                <c:ptCount val="92"/>
                <c:pt idx="0">
                  <c:v>5.0927949999999997</c:v>
                </c:pt>
                <c:pt idx="1">
                  <c:v>10.44936</c:v>
                </c:pt>
                <c:pt idx="2">
                  <c:v>11.6508</c:v>
                </c:pt>
                <c:pt idx="3">
                  <c:v>13.78758</c:v>
                </c:pt>
                <c:pt idx="4">
                  <c:v>6.9571670000000001</c:v>
                </c:pt>
                <c:pt idx="5">
                  <c:v>6.9700980000000001</c:v>
                </c:pt>
                <c:pt idx="6">
                  <c:v>5.1037439999999998</c:v>
                </c:pt>
                <c:pt idx="7">
                  <c:v>7.2385279999999996</c:v>
                </c:pt>
                <c:pt idx="8">
                  <c:v>7.5248549999999996</c:v>
                </c:pt>
                <c:pt idx="9">
                  <c:v>8.3976640000000007</c:v>
                </c:pt>
                <c:pt idx="10">
                  <c:v>23.842120000000001</c:v>
                </c:pt>
                <c:pt idx="11">
                  <c:v>10.955780000000001</c:v>
                </c:pt>
                <c:pt idx="12">
                  <c:v>8.8347789999999993</c:v>
                </c:pt>
                <c:pt idx="13">
                  <c:v>10.37725</c:v>
                </c:pt>
                <c:pt idx="14">
                  <c:v>6.2833969999999999</c:v>
                </c:pt>
                <c:pt idx="15">
                  <c:v>8.7151429999999994</c:v>
                </c:pt>
                <c:pt idx="16">
                  <c:v>11.60196</c:v>
                </c:pt>
                <c:pt idx="17">
                  <c:v>7.7951829999999998</c:v>
                </c:pt>
                <c:pt idx="18">
                  <c:v>11.73179</c:v>
                </c:pt>
                <c:pt idx="19">
                  <c:v>5.2053010000000004</c:v>
                </c:pt>
                <c:pt idx="20">
                  <c:v>8.299417</c:v>
                </c:pt>
                <c:pt idx="21">
                  <c:v>10.274520000000001</c:v>
                </c:pt>
                <c:pt idx="22">
                  <c:v>12.310090000000001</c:v>
                </c:pt>
                <c:pt idx="23">
                  <c:v>8.1424240000000001</c:v>
                </c:pt>
                <c:pt idx="24">
                  <c:v>6.7373799999999999</c:v>
                </c:pt>
                <c:pt idx="25">
                  <c:v>13.617599999999999</c:v>
                </c:pt>
                <c:pt idx="26">
                  <c:v>9.4195180000000001</c:v>
                </c:pt>
                <c:pt idx="27">
                  <c:v>7.3672279999999999</c:v>
                </c:pt>
                <c:pt idx="28">
                  <c:v>7.6344519999999996</c:v>
                </c:pt>
                <c:pt idx="29">
                  <c:v>6.0410870000000001</c:v>
                </c:pt>
                <c:pt idx="30">
                  <c:v>10.3903</c:v>
                </c:pt>
                <c:pt idx="31">
                  <c:v>31.408439999999999</c:v>
                </c:pt>
                <c:pt idx="32">
                  <c:v>10.755599999999999</c:v>
                </c:pt>
                <c:pt idx="33">
                  <c:v>8.3701600000000003</c:v>
                </c:pt>
                <c:pt idx="34">
                  <c:v>9.3491199999999992</c:v>
                </c:pt>
                <c:pt idx="35">
                  <c:v>14.383430000000001</c:v>
                </c:pt>
                <c:pt idx="36">
                  <c:v>9.8964940000000006</c:v>
                </c:pt>
                <c:pt idx="37">
                  <c:v>9.5886709999999997</c:v>
                </c:pt>
                <c:pt idx="38">
                  <c:v>6.9064059999999996</c:v>
                </c:pt>
                <c:pt idx="39">
                  <c:v>9.6791669999999996</c:v>
                </c:pt>
                <c:pt idx="40">
                  <c:v>21.44342</c:v>
                </c:pt>
                <c:pt idx="41">
                  <c:v>9.9259500000000003</c:v>
                </c:pt>
                <c:pt idx="42">
                  <c:v>21.872050000000002</c:v>
                </c:pt>
                <c:pt idx="43">
                  <c:v>6.7423089999999997</c:v>
                </c:pt>
                <c:pt idx="44">
                  <c:v>8.8544809999999998</c:v>
                </c:pt>
                <c:pt idx="45">
                  <c:v>6.3889199999999997</c:v>
                </c:pt>
                <c:pt idx="46">
                  <c:v>8.2736820000000009</c:v>
                </c:pt>
                <c:pt idx="47">
                  <c:v>7.5974069999999996</c:v>
                </c:pt>
                <c:pt idx="48">
                  <c:v>13.235709999999999</c:v>
                </c:pt>
                <c:pt idx="49">
                  <c:v>11.04007</c:v>
                </c:pt>
                <c:pt idx="50">
                  <c:v>7.752815</c:v>
                </c:pt>
                <c:pt idx="51">
                  <c:v>8.3596280000000007</c:v>
                </c:pt>
                <c:pt idx="52">
                  <c:v>10.131169999999999</c:v>
                </c:pt>
                <c:pt idx="53">
                  <c:v>8.3170169999999999</c:v>
                </c:pt>
                <c:pt idx="54">
                  <c:v>14.796720000000001</c:v>
                </c:pt>
                <c:pt idx="55">
                  <c:v>8.3035599999999992</c:v>
                </c:pt>
                <c:pt idx="56">
                  <c:v>18.030190000000001</c:v>
                </c:pt>
                <c:pt idx="57">
                  <c:v>10.42174</c:v>
                </c:pt>
                <c:pt idx="58">
                  <c:v>24.392669999999999</c:v>
                </c:pt>
                <c:pt idx="59">
                  <c:v>9.2979479999999999</c:v>
                </c:pt>
                <c:pt idx="60">
                  <c:v>8.786994</c:v>
                </c:pt>
                <c:pt idx="61">
                  <c:v>8.594868</c:v>
                </c:pt>
                <c:pt idx="62">
                  <c:v>9.8636079999999993</c:v>
                </c:pt>
                <c:pt idx="63">
                  <c:v>16.643329999999999</c:v>
                </c:pt>
                <c:pt idx="64">
                  <c:v>41.637149999999998</c:v>
                </c:pt>
                <c:pt idx="65">
                  <c:v>8.9630969999999994</c:v>
                </c:pt>
                <c:pt idx="66">
                  <c:v>6.9853949999999996</c:v>
                </c:pt>
                <c:pt idx="67">
                  <c:v>10.891629999999999</c:v>
                </c:pt>
                <c:pt idx="68">
                  <c:v>8.3235860000000006</c:v>
                </c:pt>
                <c:pt idx="69">
                  <c:v>7.6252259999999996</c:v>
                </c:pt>
                <c:pt idx="70">
                  <c:v>8.3569999999999993</c:v>
                </c:pt>
                <c:pt idx="71">
                  <c:v>11.39855</c:v>
                </c:pt>
                <c:pt idx="72">
                  <c:v>9.6298049999999993</c:v>
                </c:pt>
                <c:pt idx="73">
                  <c:v>13.19543</c:v>
                </c:pt>
                <c:pt idx="74">
                  <c:v>10.573169999999999</c:v>
                </c:pt>
                <c:pt idx="75">
                  <c:v>11.591530000000001</c:v>
                </c:pt>
                <c:pt idx="76">
                  <c:v>13.11004</c:v>
                </c:pt>
                <c:pt idx="77">
                  <c:v>8.2566939999999995</c:v>
                </c:pt>
                <c:pt idx="78">
                  <c:v>7.9831159999999999</c:v>
                </c:pt>
                <c:pt idx="79">
                  <c:v>8.9778179999999992</c:v>
                </c:pt>
                <c:pt idx="80">
                  <c:v>6.8080670000000003</c:v>
                </c:pt>
                <c:pt idx="81">
                  <c:v>10.93417</c:v>
                </c:pt>
                <c:pt idx="82">
                  <c:v>8.1588259999999995</c:v>
                </c:pt>
                <c:pt idx="83">
                  <c:v>6.9693059999999996</c:v>
                </c:pt>
                <c:pt idx="84">
                  <c:v>15.496650000000001</c:v>
                </c:pt>
                <c:pt idx="85">
                  <c:v>7.2681329999999997</c:v>
                </c:pt>
                <c:pt idx="86">
                  <c:v>7.4314660000000003</c:v>
                </c:pt>
                <c:pt idx="87">
                  <c:v>7.7714449999999999</c:v>
                </c:pt>
                <c:pt idx="88">
                  <c:v>10.39922</c:v>
                </c:pt>
                <c:pt idx="89">
                  <c:v>11.66891</c:v>
                </c:pt>
                <c:pt idx="90">
                  <c:v>8.7035129999999992</c:v>
                </c:pt>
                <c:pt idx="91">
                  <c:v>5.8874709999999997</c:v>
                </c:pt>
              </c:numCache>
            </c:numRef>
          </c:yVal>
          <c:smooth val="0"/>
          <c:extLst>
            <c:ext xmlns:c16="http://schemas.microsoft.com/office/drawing/2014/chart" uri="{C3380CC4-5D6E-409C-BE32-E72D297353CC}">
              <c16:uniqueId val="{00000002-21C9-4EEC-8A91-80C762178BE3}"/>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Driftsutgifter!$L$797:$L$844</c:f>
              <c:numCache>
                <c:formatCode>General</c:formatCode>
                <c:ptCount val="48"/>
                <c:pt idx="0">
                  <c:v>6.0959349999999999</c:v>
                </c:pt>
                <c:pt idx="1">
                  <c:v>4.9417900000000001</c:v>
                </c:pt>
                <c:pt idx="2">
                  <c:v>7.841577</c:v>
                </c:pt>
                <c:pt idx="3">
                  <c:v>6.6693680000000004</c:v>
                </c:pt>
                <c:pt idx="4">
                  <c:v>7.5218210000000001</c:v>
                </c:pt>
                <c:pt idx="5">
                  <c:v>6.4130209999999996</c:v>
                </c:pt>
                <c:pt idx="6">
                  <c:v>33.935870000000001</c:v>
                </c:pt>
                <c:pt idx="7">
                  <c:v>7.9136980000000001</c:v>
                </c:pt>
                <c:pt idx="8">
                  <c:v>6.7490449999999997</c:v>
                </c:pt>
                <c:pt idx="9">
                  <c:v>4.578945</c:v>
                </c:pt>
                <c:pt idx="10">
                  <c:v>8.2967230000000001</c:v>
                </c:pt>
                <c:pt idx="11">
                  <c:v>11.55064</c:v>
                </c:pt>
                <c:pt idx="12">
                  <c:v>8.4385499999999993</c:v>
                </c:pt>
                <c:pt idx="13">
                  <c:v>23.154949999999999</c:v>
                </c:pt>
                <c:pt idx="14">
                  <c:v>15.666589999999999</c:v>
                </c:pt>
                <c:pt idx="15">
                  <c:v>8.9878230000000006</c:v>
                </c:pt>
                <c:pt idx="16">
                  <c:v>11.404540000000001</c:v>
                </c:pt>
                <c:pt idx="17">
                  <c:v>7.8161329999999998</c:v>
                </c:pt>
                <c:pt idx="18">
                  <c:v>6.4128040000000004</c:v>
                </c:pt>
                <c:pt idx="19">
                  <c:v>7.1676489999999999</c:v>
                </c:pt>
                <c:pt idx="20">
                  <c:v>5.4302760000000001</c:v>
                </c:pt>
                <c:pt idx="21">
                  <c:v>9.2390509999999999</c:v>
                </c:pt>
                <c:pt idx="22">
                  <c:v>12.99076</c:v>
                </c:pt>
                <c:pt idx="23">
                  <c:v>7.4594769999999997</c:v>
                </c:pt>
                <c:pt idx="24">
                  <c:v>43.570639999999997</c:v>
                </c:pt>
                <c:pt idx="25">
                  <c:v>7.5262359999999999</c:v>
                </c:pt>
                <c:pt idx="26">
                  <c:v>18.90551</c:v>
                </c:pt>
                <c:pt idx="27">
                  <c:v>9.3353280000000005</c:v>
                </c:pt>
                <c:pt idx="28">
                  <c:v>7.5264119999999997</c:v>
                </c:pt>
                <c:pt idx="29">
                  <c:v>7.2446679999999999</c:v>
                </c:pt>
                <c:pt idx="30">
                  <c:v>11.25525</c:v>
                </c:pt>
                <c:pt idx="31">
                  <c:v>9.4257729999999995</c:v>
                </c:pt>
                <c:pt idx="32">
                  <c:v>4.7446400000000004</c:v>
                </c:pt>
                <c:pt idx="33">
                  <c:v>7.5575210000000004</c:v>
                </c:pt>
                <c:pt idx="34">
                  <c:v>8.5294179999999997</c:v>
                </c:pt>
                <c:pt idx="35">
                  <c:v>19.022629999999999</c:v>
                </c:pt>
                <c:pt idx="36">
                  <c:v>26.99784</c:v>
                </c:pt>
                <c:pt idx="37">
                  <c:v>9.9740369999999992</c:v>
                </c:pt>
                <c:pt idx="38">
                  <c:v>8.6028599999999997</c:v>
                </c:pt>
                <c:pt idx="39">
                  <c:v>10.42558</c:v>
                </c:pt>
                <c:pt idx="40">
                  <c:v>7.5864929999999999</c:v>
                </c:pt>
                <c:pt idx="41">
                  <c:v>8.0517730000000007</c:v>
                </c:pt>
                <c:pt idx="42">
                  <c:v>12.137359999999999</c:v>
                </c:pt>
                <c:pt idx="43">
                  <c:v>8.9401399999999995</c:v>
                </c:pt>
                <c:pt idx="44">
                  <c:v>8.5182549999999999</c:v>
                </c:pt>
                <c:pt idx="45">
                  <c:v>6.0423879999999999</c:v>
                </c:pt>
                <c:pt idx="46">
                  <c:v>10.67596</c:v>
                </c:pt>
                <c:pt idx="47">
                  <c:v>4.9913869999999996</c:v>
                </c:pt>
              </c:numCache>
            </c:numRef>
          </c:yVal>
          <c:smooth val="0"/>
          <c:extLst>
            <c:ext xmlns:c16="http://schemas.microsoft.com/office/drawing/2014/chart" uri="{C3380CC4-5D6E-409C-BE32-E72D297353CC}">
              <c16:uniqueId val="{00000003-21C9-4EEC-8A91-80C762178BE3}"/>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Driftsutgifter!$L$845:$L$890</c:f>
              <c:numCache>
                <c:formatCode>General</c:formatCode>
                <c:ptCount val="46"/>
                <c:pt idx="0">
                  <c:v>10.19107</c:v>
                </c:pt>
                <c:pt idx="1">
                  <c:v>7.1172440000000003</c:v>
                </c:pt>
                <c:pt idx="2">
                  <c:v>18.109670000000001</c:v>
                </c:pt>
                <c:pt idx="3">
                  <c:v>12.03955</c:v>
                </c:pt>
                <c:pt idx="4">
                  <c:v>7.6321000000000003</c:v>
                </c:pt>
                <c:pt idx="5">
                  <c:v>10.21805</c:v>
                </c:pt>
                <c:pt idx="6">
                  <c:v>10.53298</c:v>
                </c:pt>
                <c:pt idx="7">
                  <c:v>9.06142</c:v>
                </c:pt>
                <c:pt idx="8">
                  <c:v>14.04585</c:v>
                </c:pt>
                <c:pt idx="9">
                  <c:v>8.7219890000000007</c:v>
                </c:pt>
                <c:pt idx="10">
                  <c:v>11.8969</c:v>
                </c:pt>
                <c:pt idx="11">
                  <c:v>8.3019739999999995</c:v>
                </c:pt>
                <c:pt idx="12">
                  <c:v>7.8512219999999999</c:v>
                </c:pt>
                <c:pt idx="13">
                  <c:v>8.6235800000000005</c:v>
                </c:pt>
                <c:pt idx="14">
                  <c:v>8.2670250000000003</c:v>
                </c:pt>
                <c:pt idx="15">
                  <c:v>9.2504430000000006</c:v>
                </c:pt>
                <c:pt idx="16">
                  <c:v>10.1273</c:v>
                </c:pt>
                <c:pt idx="17">
                  <c:v>6.2141799999999998</c:v>
                </c:pt>
                <c:pt idx="18">
                  <c:v>11.052429999999999</c:v>
                </c:pt>
                <c:pt idx="19">
                  <c:v>8.4885169999999999</c:v>
                </c:pt>
                <c:pt idx="20">
                  <c:v>8.0799249999999994</c:v>
                </c:pt>
                <c:pt idx="21">
                  <c:v>6.615685</c:v>
                </c:pt>
                <c:pt idx="22">
                  <c:v>8.2071400000000008</c:v>
                </c:pt>
                <c:pt idx="23">
                  <c:v>8.2314450000000008</c:v>
                </c:pt>
                <c:pt idx="24">
                  <c:v>9.9388489999999994</c:v>
                </c:pt>
                <c:pt idx="25">
                  <c:v>9.0890149999999998</c:v>
                </c:pt>
                <c:pt idx="26">
                  <c:v>7.3128719999999996</c:v>
                </c:pt>
                <c:pt idx="27">
                  <c:v>11.003080000000001</c:v>
                </c:pt>
                <c:pt idx="28">
                  <c:v>10.53528</c:v>
                </c:pt>
                <c:pt idx="29">
                  <c:v>8.5418719999999997</c:v>
                </c:pt>
                <c:pt idx="30">
                  <c:v>10.81274</c:v>
                </c:pt>
                <c:pt idx="31">
                  <c:v>9.9585880000000007</c:v>
                </c:pt>
                <c:pt idx="32">
                  <c:v>14.26648</c:v>
                </c:pt>
                <c:pt idx="33">
                  <c:v>9.9253889999999991</c:v>
                </c:pt>
                <c:pt idx="34">
                  <c:v>12.20407</c:v>
                </c:pt>
                <c:pt idx="35">
                  <c:v>8.4217150000000007</c:v>
                </c:pt>
                <c:pt idx="36">
                  <c:v>7.5985959999999997</c:v>
                </c:pt>
                <c:pt idx="37">
                  <c:v>6.4257280000000003</c:v>
                </c:pt>
                <c:pt idx="38">
                  <c:v>7.3234450000000004</c:v>
                </c:pt>
                <c:pt idx="39">
                  <c:v>7.7566620000000004</c:v>
                </c:pt>
                <c:pt idx="40">
                  <c:v>8.7430810000000001</c:v>
                </c:pt>
                <c:pt idx="41">
                  <c:v>9.5799409999999998</c:v>
                </c:pt>
                <c:pt idx="42">
                  <c:v>14.80011</c:v>
                </c:pt>
                <c:pt idx="43">
                  <c:v>6.3465160000000003</c:v>
                </c:pt>
                <c:pt idx="44">
                  <c:v>10.58751</c:v>
                </c:pt>
                <c:pt idx="45">
                  <c:v>5.7912160000000004</c:v>
                </c:pt>
              </c:numCache>
            </c:numRef>
          </c:yVal>
          <c:smooth val="0"/>
          <c:extLst>
            <c:ext xmlns:c16="http://schemas.microsoft.com/office/drawing/2014/chart" uri="{C3380CC4-5D6E-409C-BE32-E72D297353CC}">
              <c16:uniqueId val="{00000004-21C9-4EEC-8A91-80C762178BE3}"/>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Driftsutgifter!$L$891:$L$942</c:f>
              <c:numCache>
                <c:formatCode>General</c:formatCode>
                <c:ptCount val="52"/>
                <c:pt idx="0">
                  <c:v>5.4304899999999998</c:v>
                </c:pt>
                <c:pt idx="1">
                  <c:v>6.767779</c:v>
                </c:pt>
                <c:pt idx="2">
                  <c:v>7.2391220000000001</c:v>
                </c:pt>
                <c:pt idx="3">
                  <c:v>6.9683789999999997</c:v>
                </c:pt>
                <c:pt idx="4">
                  <c:v>7.1080860000000001</c:v>
                </c:pt>
                <c:pt idx="5">
                  <c:v>6.5045630000000001</c:v>
                </c:pt>
                <c:pt idx="6">
                  <c:v>6.5743220000000004</c:v>
                </c:pt>
                <c:pt idx="7">
                  <c:v>6.1502350000000003</c:v>
                </c:pt>
                <c:pt idx="8">
                  <c:v>5.5677950000000003</c:v>
                </c:pt>
                <c:pt idx="9">
                  <c:v>8.1563289999999995</c:v>
                </c:pt>
                <c:pt idx="10">
                  <c:v>6.6124559999999999</c:v>
                </c:pt>
                <c:pt idx="11">
                  <c:v>5.059361</c:v>
                </c:pt>
                <c:pt idx="12">
                  <c:v>5.97499</c:v>
                </c:pt>
                <c:pt idx="13">
                  <c:v>8.7392690000000002</c:v>
                </c:pt>
                <c:pt idx="14">
                  <c:v>7.6309209999999998</c:v>
                </c:pt>
                <c:pt idx="15">
                  <c:v>6.8342530000000004</c:v>
                </c:pt>
                <c:pt idx="16">
                  <c:v>8.1066579999999995</c:v>
                </c:pt>
                <c:pt idx="17">
                  <c:v>5.1623530000000004</c:v>
                </c:pt>
                <c:pt idx="18">
                  <c:v>9.9128980000000002</c:v>
                </c:pt>
                <c:pt idx="19">
                  <c:v>10.029299999999999</c:v>
                </c:pt>
                <c:pt idx="20">
                  <c:v>7.3576420000000002</c:v>
                </c:pt>
                <c:pt idx="21">
                  <c:v>9.2754989999999999</c:v>
                </c:pt>
                <c:pt idx="22">
                  <c:v>4.1463169999999998</c:v>
                </c:pt>
                <c:pt idx="23">
                  <c:v>5.8305210000000001</c:v>
                </c:pt>
                <c:pt idx="24">
                  <c:v>8.9918580000000006</c:v>
                </c:pt>
                <c:pt idx="25">
                  <c:v>6.5253899999999998</c:v>
                </c:pt>
                <c:pt idx="26">
                  <c:v>6.3597460000000003</c:v>
                </c:pt>
                <c:pt idx="27">
                  <c:v>5.3406310000000001</c:v>
                </c:pt>
                <c:pt idx="28">
                  <c:v>11.790900000000001</c:v>
                </c:pt>
                <c:pt idx="29">
                  <c:v>9.1564119999999996</c:v>
                </c:pt>
                <c:pt idx="30">
                  <c:v>5.4509299999999996</c:v>
                </c:pt>
                <c:pt idx="31">
                  <c:v>9.9078970000000002</c:v>
                </c:pt>
                <c:pt idx="32">
                  <c:v>11.58212</c:v>
                </c:pt>
                <c:pt idx="33">
                  <c:v>6.3268110000000002</c:v>
                </c:pt>
                <c:pt idx="34">
                  <c:v>7.1730039999999997</c:v>
                </c:pt>
                <c:pt idx="35">
                  <c:v>13.87242</c:v>
                </c:pt>
                <c:pt idx="36">
                  <c:v>18.43788</c:v>
                </c:pt>
                <c:pt idx="37">
                  <c:v>9.0560890000000001</c:v>
                </c:pt>
                <c:pt idx="38">
                  <c:v>7.2461010000000003</c:v>
                </c:pt>
                <c:pt idx="39">
                  <c:v>7.0684990000000001</c:v>
                </c:pt>
                <c:pt idx="40">
                  <c:v>7.2222429999999997</c:v>
                </c:pt>
                <c:pt idx="41">
                  <c:v>7.9399129999999998</c:v>
                </c:pt>
                <c:pt idx="42">
                  <c:v>7.4524660000000003</c:v>
                </c:pt>
                <c:pt idx="43">
                  <c:v>15.03703</c:v>
                </c:pt>
                <c:pt idx="44">
                  <c:v>5.0661800000000001</c:v>
                </c:pt>
                <c:pt idx="45">
                  <c:v>5.9208179999999997</c:v>
                </c:pt>
                <c:pt idx="46">
                  <c:v>6.166385</c:v>
                </c:pt>
                <c:pt idx="47">
                  <c:v>11.5686</c:v>
                </c:pt>
                <c:pt idx="48">
                  <c:v>10.10595</c:v>
                </c:pt>
                <c:pt idx="49">
                  <c:v>8.0009300000000003</c:v>
                </c:pt>
                <c:pt idx="50">
                  <c:v>14.09525</c:v>
                </c:pt>
                <c:pt idx="51">
                  <c:v>6.4945130000000004</c:v>
                </c:pt>
              </c:numCache>
            </c:numRef>
          </c:yVal>
          <c:smooth val="0"/>
          <c:extLst>
            <c:ext xmlns:c16="http://schemas.microsoft.com/office/drawing/2014/chart" uri="{C3380CC4-5D6E-409C-BE32-E72D297353CC}">
              <c16:uniqueId val="{00000005-21C9-4EEC-8A91-80C762178BE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(6) Kapitalslit, PIM-ad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Driftsutgifter!$M$587:$M$666</c:f>
              <c:numCache>
                <c:formatCode>General</c:formatCode>
                <c:ptCount val="80"/>
                <c:pt idx="0">
                  <c:v>13.66076</c:v>
                </c:pt>
                <c:pt idx="1">
                  <c:v>22.270479999999999</c:v>
                </c:pt>
                <c:pt idx="2">
                  <c:v>12.09788</c:v>
                </c:pt>
                <c:pt idx="3">
                  <c:v>18.748090000000001</c:v>
                </c:pt>
                <c:pt idx="4">
                  <c:v>8.7217169999999999</c:v>
                </c:pt>
                <c:pt idx="5">
                  <c:v>16.334340000000001</c:v>
                </c:pt>
                <c:pt idx="6">
                  <c:v>14.520960000000001</c:v>
                </c:pt>
                <c:pt idx="7">
                  <c:v>7.908474</c:v>
                </c:pt>
                <c:pt idx="8">
                  <c:v>10.14123</c:v>
                </c:pt>
                <c:pt idx="9">
                  <c:v>13.05016</c:v>
                </c:pt>
                <c:pt idx="10">
                  <c:v>13.436310000000001</c:v>
                </c:pt>
                <c:pt idx="11">
                  <c:v>28.0928</c:v>
                </c:pt>
                <c:pt idx="12">
                  <c:v>11.89181</c:v>
                </c:pt>
                <c:pt idx="13">
                  <c:v>16.19735</c:v>
                </c:pt>
                <c:pt idx="14">
                  <c:v>8.5296299999999992</c:v>
                </c:pt>
                <c:pt idx="15">
                  <c:v>17.635210000000001</c:v>
                </c:pt>
                <c:pt idx="16">
                  <c:v>8.6734380000000009</c:v>
                </c:pt>
                <c:pt idx="17">
                  <c:v>14.946429999999999</c:v>
                </c:pt>
                <c:pt idx="18">
                  <c:v>9.0166389999999996</c:v>
                </c:pt>
                <c:pt idx="19">
                  <c:v>14.29171</c:v>
                </c:pt>
                <c:pt idx="20">
                  <c:v>8.4178479999999993</c:v>
                </c:pt>
                <c:pt idx="21">
                  <c:v>8.6243560000000006</c:v>
                </c:pt>
                <c:pt idx="22">
                  <c:v>16.37067</c:v>
                </c:pt>
                <c:pt idx="23">
                  <c:v>12.046279999999999</c:v>
                </c:pt>
                <c:pt idx="24">
                  <c:v>9.3420880000000004</c:v>
                </c:pt>
                <c:pt idx="25">
                  <c:v>8.5420719999999992</c:v>
                </c:pt>
                <c:pt idx="26">
                  <c:v>18.032589999999999</c:v>
                </c:pt>
                <c:pt idx="27">
                  <c:v>12.227790000000001</c:v>
                </c:pt>
                <c:pt idx="28">
                  <c:v>9.8815869999999997</c:v>
                </c:pt>
                <c:pt idx="29">
                  <c:v>6.6533049999999996</c:v>
                </c:pt>
                <c:pt idx="30">
                  <c:v>10.314679999999999</c:v>
                </c:pt>
                <c:pt idx="31">
                  <c:v>8.4155569999999997</c:v>
                </c:pt>
                <c:pt idx="32">
                  <c:v>16.885249999999999</c:v>
                </c:pt>
                <c:pt idx="33">
                  <c:v>13.46827</c:v>
                </c:pt>
                <c:pt idx="34">
                  <c:v>14.546340000000001</c:v>
                </c:pt>
                <c:pt idx="35">
                  <c:v>6.4858399999999996</c:v>
                </c:pt>
                <c:pt idx="36">
                  <c:v>9.4794750000000008</c:v>
                </c:pt>
                <c:pt idx="37">
                  <c:v>11.20684</c:v>
                </c:pt>
                <c:pt idx="38">
                  <c:v>14.108890000000001</c:v>
                </c:pt>
                <c:pt idx="39">
                  <c:v>13.964779999999999</c:v>
                </c:pt>
                <c:pt idx="40">
                  <c:v>12.70345</c:v>
                </c:pt>
                <c:pt idx="41">
                  <c:v>12.39734</c:v>
                </c:pt>
                <c:pt idx="42">
                  <c:v>12.73329</c:v>
                </c:pt>
                <c:pt idx="43">
                  <c:v>6.3890399999999996</c:v>
                </c:pt>
                <c:pt idx="44">
                  <c:v>19.857199999999999</c:v>
                </c:pt>
                <c:pt idx="45">
                  <c:v>17.991620000000001</c:v>
                </c:pt>
                <c:pt idx="46">
                  <c:v>8.6579359999999994</c:v>
                </c:pt>
                <c:pt idx="47">
                  <c:v>12.342320000000001</c:v>
                </c:pt>
                <c:pt idx="48">
                  <c:v>9.8566870000000009</c:v>
                </c:pt>
                <c:pt idx="49">
                  <c:v>9.8065510000000007</c:v>
                </c:pt>
                <c:pt idx="50">
                  <c:v>15.30411</c:v>
                </c:pt>
                <c:pt idx="51">
                  <c:v>6.7994349999999999</c:v>
                </c:pt>
                <c:pt idx="52">
                  <c:v>10.063319999999999</c:v>
                </c:pt>
                <c:pt idx="53">
                  <c:v>19.563939999999999</c:v>
                </c:pt>
                <c:pt idx="54">
                  <c:v>9.1794200000000004</c:v>
                </c:pt>
                <c:pt idx="55">
                  <c:v>10.364699999999999</c:v>
                </c:pt>
                <c:pt idx="56">
                  <c:v>10.706530000000001</c:v>
                </c:pt>
                <c:pt idx="57">
                  <c:v>14.639900000000001</c:v>
                </c:pt>
                <c:pt idx="58">
                  <c:v>7.1728540000000001</c:v>
                </c:pt>
                <c:pt idx="59">
                  <c:v>13.73179</c:v>
                </c:pt>
                <c:pt idx="60">
                  <c:v>6.7324630000000001</c:v>
                </c:pt>
                <c:pt idx="61">
                  <c:v>8.8121460000000003</c:v>
                </c:pt>
                <c:pt idx="62">
                  <c:v>15.207269999999999</c:v>
                </c:pt>
                <c:pt idx="63">
                  <c:v>21.704879999999999</c:v>
                </c:pt>
                <c:pt idx="64">
                  <c:v>9.3990749999999998</c:v>
                </c:pt>
                <c:pt idx="65">
                  <c:v>11.75746</c:v>
                </c:pt>
                <c:pt idx="66">
                  <c:v>12.39165</c:v>
                </c:pt>
                <c:pt idx="67">
                  <c:v>8.0662850000000006</c:v>
                </c:pt>
                <c:pt idx="68">
                  <c:v>8.3926499999999997</c:v>
                </c:pt>
                <c:pt idx="69">
                  <c:v>12.106820000000001</c:v>
                </c:pt>
                <c:pt idx="70">
                  <c:v>5.9046859999999999</c:v>
                </c:pt>
                <c:pt idx="71">
                  <c:v>16.051770000000001</c:v>
                </c:pt>
                <c:pt idx="72">
                  <c:v>9.8678039999999996</c:v>
                </c:pt>
                <c:pt idx="73">
                  <c:v>6.9288559999999997</c:v>
                </c:pt>
                <c:pt idx="74">
                  <c:v>9.7409090000000003</c:v>
                </c:pt>
                <c:pt idx="75">
                  <c:v>13.440379999999999</c:v>
                </c:pt>
                <c:pt idx="76">
                  <c:v>9.6317599999999999</c:v>
                </c:pt>
                <c:pt idx="77">
                  <c:v>9.4572719999999997</c:v>
                </c:pt>
                <c:pt idx="78">
                  <c:v>17.74586</c:v>
                </c:pt>
                <c:pt idx="79">
                  <c:v>13.999180000000001</c:v>
                </c:pt>
              </c:numCache>
            </c:numRef>
          </c:yVal>
          <c:smooth val="0"/>
          <c:extLst>
            <c:ext xmlns:c16="http://schemas.microsoft.com/office/drawing/2014/chart" uri="{C3380CC4-5D6E-409C-BE32-E72D297353CC}">
              <c16:uniqueId val="{00000000-33B4-43A1-AF71-1ECB12C96368}"/>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Driftsutgifter!$M$667:$M$704</c:f>
              <c:numCache>
                <c:formatCode>General</c:formatCode>
                <c:ptCount val="38"/>
                <c:pt idx="0">
                  <c:v>13.904640000000001</c:v>
                </c:pt>
                <c:pt idx="1">
                  <c:v>9.5999020000000002</c:v>
                </c:pt>
                <c:pt idx="2">
                  <c:v>15.58343</c:v>
                </c:pt>
                <c:pt idx="3">
                  <c:v>8.132536</c:v>
                </c:pt>
                <c:pt idx="4">
                  <c:v>11.0145</c:v>
                </c:pt>
                <c:pt idx="5">
                  <c:v>10.87172</c:v>
                </c:pt>
                <c:pt idx="6">
                  <c:v>9.3845840000000003</c:v>
                </c:pt>
                <c:pt idx="7">
                  <c:v>8.6929599999999994</c:v>
                </c:pt>
                <c:pt idx="8">
                  <c:v>7.604177</c:v>
                </c:pt>
                <c:pt idx="9">
                  <c:v>8.7597179999999994</c:v>
                </c:pt>
                <c:pt idx="10">
                  <c:v>12.075659999999999</c:v>
                </c:pt>
                <c:pt idx="11">
                  <c:v>8.7605769999999996</c:v>
                </c:pt>
                <c:pt idx="12">
                  <c:v>6.1750780000000001</c:v>
                </c:pt>
                <c:pt idx="13">
                  <c:v>7.3734359999999999</c:v>
                </c:pt>
                <c:pt idx="14">
                  <c:v>7.9128230000000004</c:v>
                </c:pt>
                <c:pt idx="15">
                  <c:v>7.8294940000000004</c:v>
                </c:pt>
                <c:pt idx="16">
                  <c:v>13.775840000000001</c:v>
                </c:pt>
                <c:pt idx="17">
                  <c:v>10.992900000000001</c:v>
                </c:pt>
                <c:pt idx="18">
                  <c:v>12.64016</c:v>
                </c:pt>
                <c:pt idx="19">
                  <c:v>10.47494</c:v>
                </c:pt>
                <c:pt idx="20">
                  <c:v>13.990780000000001</c:v>
                </c:pt>
                <c:pt idx="21">
                  <c:v>7.6045749999999996</c:v>
                </c:pt>
                <c:pt idx="22">
                  <c:v>10.30096</c:v>
                </c:pt>
                <c:pt idx="23">
                  <c:v>14.651009999999999</c:v>
                </c:pt>
                <c:pt idx="24">
                  <c:v>7.6557620000000002</c:v>
                </c:pt>
                <c:pt idx="25">
                  <c:v>9.1126369999999994</c:v>
                </c:pt>
                <c:pt idx="26">
                  <c:v>7.5321040000000004</c:v>
                </c:pt>
                <c:pt idx="27">
                  <c:v>12.021470000000001</c:v>
                </c:pt>
                <c:pt idx="28">
                  <c:v>9.1351859999999991</c:v>
                </c:pt>
                <c:pt idx="29">
                  <c:v>10.533910000000001</c:v>
                </c:pt>
                <c:pt idx="30">
                  <c:v>11.042719999999999</c:v>
                </c:pt>
                <c:pt idx="31">
                  <c:v>8.1963840000000001</c:v>
                </c:pt>
                <c:pt idx="32">
                  <c:v>22.819459999999999</c:v>
                </c:pt>
                <c:pt idx="33">
                  <c:v>18.400880000000001</c:v>
                </c:pt>
                <c:pt idx="34">
                  <c:v>9.3967109999999998</c:v>
                </c:pt>
                <c:pt idx="35">
                  <c:v>8.0518110000000007</c:v>
                </c:pt>
                <c:pt idx="36">
                  <c:v>7.4588200000000002</c:v>
                </c:pt>
                <c:pt idx="37">
                  <c:v>10.771229999999999</c:v>
                </c:pt>
              </c:numCache>
            </c:numRef>
          </c:yVal>
          <c:smooth val="0"/>
          <c:extLst>
            <c:ext xmlns:c16="http://schemas.microsoft.com/office/drawing/2014/chart" uri="{C3380CC4-5D6E-409C-BE32-E72D297353CC}">
              <c16:uniqueId val="{00000001-33B4-43A1-AF71-1ECB12C96368}"/>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Driftsutgifter!$M$705:$M$796</c:f>
              <c:numCache>
                <c:formatCode>General</c:formatCode>
                <c:ptCount val="92"/>
                <c:pt idx="0">
                  <c:v>4.6106389999999999</c:v>
                </c:pt>
                <c:pt idx="1">
                  <c:v>8.2728260000000002</c:v>
                </c:pt>
                <c:pt idx="2">
                  <c:v>10.508330000000001</c:v>
                </c:pt>
                <c:pt idx="3">
                  <c:v>14.980969999999999</c:v>
                </c:pt>
                <c:pt idx="4">
                  <c:v>6.2878579999999999</c:v>
                </c:pt>
                <c:pt idx="5">
                  <c:v>6.2448199999999998</c:v>
                </c:pt>
                <c:pt idx="6">
                  <c:v>4.5341139999999998</c:v>
                </c:pt>
                <c:pt idx="7">
                  <c:v>7.0343450000000001</c:v>
                </c:pt>
                <c:pt idx="8">
                  <c:v>6.6799770000000001</c:v>
                </c:pt>
                <c:pt idx="9">
                  <c:v>7.7373529999999997</c:v>
                </c:pt>
                <c:pt idx="10">
                  <c:v>22.1326</c:v>
                </c:pt>
                <c:pt idx="11">
                  <c:v>9.8852419999999999</c:v>
                </c:pt>
                <c:pt idx="12">
                  <c:v>8.0015590000000003</c:v>
                </c:pt>
                <c:pt idx="13">
                  <c:v>10.02374</c:v>
                </c:pt>
                <c:pt idx="14">
                  <c:v>5.5304279999999997</c:v>
                </c:pt>
                <c:pt idx="15">
                  <c:v>7.9452910000000001</c:v>
                </c:pt>
                <c:pt idx="16">
                  <c:v>10.12106</c:v>
                </c:pt>
                <c:pt idx="17">
                  <c:v>6.7022459999999997</c:v>
                </c:pt>
                <c:pt idx="18">
                  <c:v>11.967750000000001</c:v>
                </c:pt>
                <c:pt idx="19">
                  <c:v>5.0667679999999997</c:v>
                </c:pt>
                <c:pt idx="20">
                  <c:v>7.0140459999999996</c:v>
                </c:pt>
                <c:pt idx="21">
                  <c:v>9.2620009999999997</c:v>
                </c:pt>
                <c:pt idx="22">
                  <c:v>11.155799999999999</c:v>
                </c:pt>
                <c:pt idx="23">
                  <c:v>7.4689990000000002</c:v>
                </c:pt>
                <c:pt idx="24">
                  <c:v>5.928369</c:v>
                </c:pt>
                <c:pt idx="25">
                  <c:v>11.37546</c:v>
                </c:pt>
                <c:pt idx="26">
                  <c:v>8.0945300000000007</c:v>
                </c:pt>
                <c:pt idx="27">
                  <c:v>6.7367109999999997</c:v>
                </c:pt>
                <c:pt idx="28">
                  <c:v>7.1302459999999996</c:v>
                </c:pt>
                <c:pt idx="29">
                  <c:v>5.431934</c:v>
                </c:pt>
                <c:pt idx="30">
                  <c:v>9.9849910000000008</c:v>
                </c:pt>
                <c:pt idx="31">
                  <c:v>30.809360000000002</c:v>
                </c:pt>
                <c:pt idx="32">
                  <c:v>9.8193629999999992</c:v>
                </c:pt>
                <c:pt idx="33">
                  <c:v>7.6576500000000003</c:v>
                </c:pt>
                <c:pt idx="34">
                  <c:v>8.1869340000000008</c:v>
                </c:pt>
                <c:pt idx="35">
                  <c:v>12.077310000000001</c:v>
                </c:pt>
                <c:pt idx="36">
                  <c:v>8.7249770000000009</c:v>
                </c:pt>
                <c:pt idx="37">
                  <c:v>8.656936</c:v>
                </c:pt>
                <c:pt idx="38">
                  <c:v>6.5955579999999996</c:v>
                </c:pt>
                <c:pt idx="39">
                  <c:v>8.790578</c:v>
                </c:pt>
                <c:pt idx="40">
                  <c:v>20.58352</c:v>
                </c:pt>
                <c:pt idx="41">
                  <c:v>9.1431100000000001</c:v>
                </c:pt>
                <c:pt idx="42">
                  <c:v>17.415710000000001</c:v>
                </c:pt>
                <c:pt idx="43">
                  <c:v>5.9251550000000002</c:v>
                </c:pt>
                <c:pt idx="44">
                  <c:v>8.2136530000000008</c:v>
                </c:pt>
                <c:pt idx="45">
                  <c:v>5.8541080000000001</c:v>
                </c:pt>
                <c:pt idx="46">
                  <c:v>7.7743979999999997</c:v>
                </c:pt>
                <c:pt idx="47">
                  <c:v>6.828532</c:v>
                </c:pt>
                <c:pt idx="48">
                  <c:v>12.240919999999999</c:v>
                </c:pt>
                <c:pt idx="49">
                  <c:v>10.11434</c:v>
                </c:pt>
                <c:pt idx="50">
                  <c:v>6.1230549999999999</c:v>
                </c:pt>
                <c:pt idx="51">
                  <c:v>7.6669239999999999</c:v>
                </c:pt>
                <c:pt idx="52">
                  <c:v>10.02613</c:v>
                </c:pt>
                <c:pt idx="53">
                  <c:v>7.5308849999999996</c:v>
                </c:pt>
                <c:pt idx="54">
                  <c:v>13.47148</c:v>
                </c:pt>
                <c:pt idx="55">
                  <c:v>7.7156229999999999</c:v>
                </c:pt>
                <c:pt idx="56">
                  <c:v>14.94374</c:v>
                </c:pt>
                <c:pt idx="57">
                  <c:v>9.2613439999999994</c:v>
                </c:pt>
                <c:pt idx="58">
                  <c:v>20.43496</c:v>
                </c:pt>
                <c:pt idx="59">
                  <c:v>8.0355709999999991</c:v>
                </c:pt>
                <c:pt idx="60">
                  <c:v>7.4741689999999998</c:v>
                </c:pt>
                <c:pt idx="61">
                  <c:v>7.5950749999999996</c:v>
                </c:pt>
                <c:pt idx="62">
                  <c:v>8.5222770000000008</c:v>
                </c:pt>
                <c:pt idx="63">
                  <c:v>15.53584</c:v>
                </c:pt>
                <c:pt idx="64">
                  <c:v>33.838740000000001</c:v>
                </c:pt>
                <c:pt idx="65">
                  <c:v>7.4478099999999996</c:v>
                </c:pt>
                <c:pt idx="66">
                  <c:v>6.6630089999999997</c:v>
                </c:pt>
                <c:pt idx="67">
                  <c:v>9.3599110000000003</c:v>
                </c:pt>
                <c:pt idx="68">
                  <c:v>7.7581530000000001</c:v>
                </c:pt>
                <c:pt idx="69">
                  <c:v>6.8499670000000004</c:v>
                </c:pt>
                <c:pt idx="70">
                  <c:v>7.7605810000000002</c:v>
                </c:pt>
                <c:pt idx="71">
                  <c:v>9.4038170000000001</c:v>
                </c:pt>
                <c:pt idx="72">
                  <c:v>8.4968529999999998</c:v>
                </c:pt>
                <c:pt idx="73">
                  <c:v>11.15931</c:v>
                </c:pt>
                <c:pt idx="74">
                  <c:v>9.3675309999999996</c:v>
                </c:pt>
                <c:pt idx="75">
                  <c:v>11.1858</c:v>
                </c:pt>
                <c:pt idx="76">
                  <c:v>11.67975</c:v>
                </c:pt>
                <c:pt idx="77">
                  <c:v>7.862215</c:v>
                </c:pt>
                <c:pt idx="78">
                  <c:v>7.0315479999999999</c:v>
                </c:pt>
                <c:pt idx="79">
                  <c:v>8.8050929999999994</c:v>
                </c:pt>
                <c:pt idx="80">
                  <c:v>6.0304640000000003</c:v>
                </c:pt>
                <c:pt idx="81">
                  <c:v>9.5258099999999999</c:v>
                </c:pt>
                <c:pt idx="82">
                  <c:v>7.9572760000000002</c:v>
                </c:pt>
                <c:pt idx="83">
                  <c:v>6.2458929999999997</c:v>
                </c:pt>
                <c:pt idx="84">
                  <c:v>13.514089999999999</c:v>
                </c:pt>
                <c:pt idx="85">
                  <c:v>6.5008679999999996</c:v>
                </c:pt>
                <c:pt idx="86">
                  <c:v>7.0742089999999997</c:v>
                </c:pt>
                <c:pt idx="87">
                  <c:v>7.2155670000000001</c:v>
                </c:pt>
                <c:pt idx="88">
                  <c:v>8.6419779999999999</c:v>
                </c:pt>
                <c:pt idx="89">
                  <c:v>9.9157709999999994</c:v>
                </c:pt>
                <c:pt idx="90">
                  <c:v>7.5281630000000002</c:v>
                </c:pt>
                <c:pt idx="91">
                  <c:v>5.2088489999999998</c:v>
                </c:pt>
              </c:numCache>
            </c:numRef>
          </c:yVal>
          <c:smooth val="0"/>
          <c:extLst>
            <c:ext xmlns:c16="http://schemas.microsoft.com/office/drawing/2014/chart" uri="{C3380CC4-5D6E-409C-BE32-E72D297353CC}">
              <c16:uniqueId val="{00000002-33B4-43A1-AF71-1ECB12C96368}"/>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Driftsutgifter!$M$797:$M$844</c:f>
              <c:numCache>
                <c:formatCode>General</c:formatCode>
                <c:ptCount val="48"/>
                <c:pt idx="0">
                  <c:v>5.4162569999999999</c:v>
                </c:pt>
                <c:pt idx="1">
                  <c:v>4.4905869999999997</c:v>
                </c:pt>
                <c:pt idx="2">
                  <c:v>7.0829079999999998</c:v>
                </c:pt>
                <c:pt idx="3">
                  <c:v>6.8194900000000001</c:v>
                </c:pt>
                <c:pt idx="4">
                  <c:v>8.6819939999999995</c:v>
                </c:pt>
                <c:pt idx="5">
                  <c:v>5.5771699999999997</c:v>
                </c:pt>
                <c:pt idx="6">
                  <c:v>28.795390000000001</c:v>
                </c:pt>
                <c:pt idx="7">
                  <c:v>7.6139390000000002</c:v>
                </c:pt>
                <c:pt idx="8">
                  <c:v>5.9561739999999999</c:v>
                </c:pt>
                <c:pt idx="9">
                  <c:v>4.7217219999999998</c:v>
                </c:pt>
                <c:pt idx="10">
                  <c:v>8.3166550000000008</c:v>
                </c:pt>
                <c:pt idx="11">
                  <c:v>10.58009</c:v>
                </c:pt>
                <c:pt idx="12">
                  <c:v>7.9896240000000001</c:v>
                </c:pt>
                <c:pt idx="13">
                  <c:v>22.33953</c:v>
                </c:pt>
                <c:pt idx="14">
                  <c:v>16.241099999999999</c:v>
                </c:pt>
                <c:pt idx="15">
                  <c:v>8.7643459999999997</c:v>
                </c:pt>
                <c:pt idx="16">
                  <c:v>10.31409</c:v>
                </c:pt>
                <c:pt idx="17">
                  <c:v>8.2059549999999994</c:v>
                </c:pt>
                <c:pt idx="18">
                  <c:v>6.1171730000000002</c:v>
                </c:pt>
                <c:pt idx="19">
                  <c:v>6.587053</c:v>
                </c:pt>
                <c:pt idx="20">
                  <c:v>5.4024429999999999</c:v>
                </c:pt>
                <c:pt idx="21">
                  <c:v>7.8581839999999996</c:v>
                </c:pt>
                <c:pt idx="22">
                  <c:v>12.77262</c:v>
                </c:pt>
                <c:pt idx="23">
                  <c:v>7.5470839999999999</c:v>
                </c:pt>
                <c:pt idx="24">
                  <c:v>36.268610000000002</c:v>
                </c:pt>
                <c:pt idx="25">
                  <c:v>6.7899630000000002</c:v>
                </c:pt>
                <c:pt idx="26">
                  <c:v>17.174900000000001</c:v>
                </c:pt>
                <c:pt idx="27">
                  <c:v>8.648892</c:v>
                </c:pt>
                <c:pt idx="28">
                  <c:v>6.8016059999999996</c:v>
                </c:pt>
                <c:pt idx="29">
                  <c:v>7.0808299999999997</c:v>
                </c:pt>
                <c:pt idx="30">
                  <c:v>11.84473</c:v>
                </c:pt>
                <c:pt idx="31">
                  <c:v>8.7250920000000001</c:v>
                </c:pt>
                <c:pt idx="32">
                  <c:v>4.8417880000000002</c:v>
                </c:pt>
                <c:pt idx="33">
                  <c:v>6.8021250000000002</c:v>
                </c:pt>
                <c:pt idx="34">
                  <c:v>8.9034209999999998</c:v>
                </c:pt>
                <c:pt idx="35">
                  <c:v>19.09891</c:v>
                </c:pt>
                <c:pt idx="36">
                  <c:v>27.024550000000001</c:v>
                </c:pt>
                <c:pt idx="37">
                  <c:v>10.43117</c:v>
                </c:pt>
                <c:pt idx="38">
                  <c:v>7.693651</c:v>
                </c:pt>
                <c:pt idx="39">
                  <c:v>10.141299999999999</c:v>
                </c:pt>
                <c:pt idx="40">
                  <c:v>7.8042939999999996</c:v>
                </c:pt>
                <c:pt idx="41">
                  <c:v>7.8176300000000003</c:v>
                </c:pt>
                <c:pt idx="42">
                  <c:v>10.789479999999999</c:v>
                </c:pt>
                <c:pt idx="43">
                  <c:v>7.463692</c:v>
                </c:pt>
                <c:pt idx="44">
                  <c:v>7.4522370000000002</c:v>
                </c:pt>
                <c:pt idx="45">
                  <c:v>6.6366690000000004</c:v>
                </c:pt>
                <c:pt idx="46">
                  <c:v>10.855079999999999</c:v>
                </c:pt>
                <c:pt idx="47">
                  <c:v>5.0080549999999997</c:v>
                </c:pt>
              </c:numCache>
            </c:numRef>
          </c:yVal>
          <c:smooth val="0"/>
          <c:extLst>
            <c:ext xmlns:c16="http://schemas.microsoft.com/office/drawing/2014/chart" uri="{C3380CC4-5D6E-409C-BE32-E72D297353CC}">
              <c16:uniqueId val="{00000003-33B4-43A1-AF71-1ECB12C96368}"/>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Driftsutgifter!$M$845:$M$890</c:f>
              <c:numCache>
                <c:formatCode>General</c:formatCode>
                <c:ptCount val="46"/>
                <c:pt idx="0">
                  <c:v>9.0003740000000008</c:v>
                </c:pt>
                <c:pt idx="1">
                  <c:v>7.0723739999999999</c:v>
                </c:pt>
                <c:pt idx="2">
                  <c:v>17.923159999999999</c:v>
                </c:pt>
                <c:pt idx="3">
                  <c:v>10.536949999999999</c:v>
                </c:pt>
                <c:pt idx="4">
                  <c:v>6.6355560000000002</c:v>
                </c:pt>
                <c:pt idx="5">
                  <c:v>9.9844679999999997</c:v>
                </c:pt>
                <c:pt idx="6">
                  <c:v>10.40315</c:v>
                </c:pt>
                <c:pt idx="7">
                  <c:v>8.6917050000000007</c:v>
                </c:pt>
                <c:pt idx="8">
                  <c:v>13.338939999999999</c:v>
                </c:pt>
                <c:pt idx="9">
                  <c:v>7.7699040000000004</c:v>
                </c:pt>
                <c:pt idx="10">
                  <c:v>11.109590000000001</c:v>
                </c:pt>
                <c:pt idx="11">
                  <c:v>7.9157580000000003</c:v>
                </c:pt>
                <c:pt idx="12">
                  <c:v>7.085769</c:v>
                </c:pt>
                <c:pt idx="13">
                  <c:v>8.2407509999999995</c:v>
                </c:pt>
                <c:pt idx="14">
                  <c:v>8.2106890000000003</c:v>
                </c:pt>
                <c:pt idx="15">
                  <c:v>8.7743249999999993</c:v>
                </c:pt>
                <c:pt idx="16">
                  <c:v>9.8352930000000001</c:v>
                </c:pt>
                <c:pt idx="17">
                  <c:v>5.8261459999999996</c:v>
                </c:pt>
                <c:pt idx="18">
                  <c:v>10.25967</c:v>
                </c:pt>
                <c:pt idx="19">
                  <c:v>7.8602959999999999</c:v>
                </c:pt>
                <c:pt idx="20">
                  <c:v>7.6950190000000003</c:v>
                </c:pt>
                <c:pt idx="21">
                  <c:v>6.3247289999999996</c:v>
                </c:pt>
                <c:pt idx="22">
                  <c:v>7.5136149999999997</c:v>
                </c:pt>
                <c:pt idx="23">
                  <c:v>7.6150099999999998</c:v>
                </c:pt>
                <c:pt idx="24">
                  <c:v>10.28267</c:v>
                </c:pt>
                <c:pt idx="25">
                  <c:v>8.5798819999999996</c:v>
                </c:pt>
                <c:pt idx="26">
                  <c:v>7.0945320000000001</c:v>
                </c:pt>
                <c:pt idx="27">
                  <c:v>9.973865</c:v>
                </c:pt>
                <c:pt idx="28">
                  <c:v>10.02596</c:v>
                </c:pt>
                <c:pt idx="29">
                  <c:v>8.8269420000000007</c:v>
                </c:pt>
                <c:pt idx="30">
                  <c:v>10.90072</c:v>
                </c:pt>
                <c:pt idx="31">
                  <c:v>9.2747790000000006</c:v>
                </c:pt>
                <c:pt idx="32">
                  <c:v>12.01755</c:v>
                </c:pt>
                <c:pt idx="33">
                  <c:v>9.0866570000000007</c:v>
                </c:pt>
                <c:pt idx="34">
                  <c:v>11.14278</c:v>
                </c:pt>
                <c:pt idx="35">
                  <c:v>7.1996270000000004</c:v>
                </c:pt>
                <c:pt idx="36">
                  <c:v>7.3664040000000002</c:v>
                </c:pt>
                <c:pt idx="37">
                  <c:v>6.1992279999999997</c:v>
                </c:pt>
                <c:pt idx="38">
                  <c:v>7.3190530000000003</c:v>
                </c:pt>
                <c:pt idx="39">
                  <c:v>7.4299780000000002</c:v>
                </c:pt>
                <c:pt idx="40">
                  <c:v>8.4552589999999999</c:v>
                </c:pt>
                <c:pt idx="41">
                  <c:v>8.9348779999999994</c:v>
                </c:pt>
                <c:pt idx="42">
                  <c:v>12.463179999999999</c:v>
                </c:pt>
                <c:pt idx="43">
                  <c:v>5.8442259999999999</c:v>
                </c:pt>
                <c:pt idx="44">
                  <c:v>9.7396320000000003</c:v>
                </c:pt>
                <c:pt idx="45">
                  <c:v>5.8480020000000001</c:v>
                </c:pt>
              </c:numCache>
            </c:numRef>
          </c:yVal>
          <c:smooth val="0"/>
          <c:extLst>
            <c:ext xmlns:c16="http://schemas.microsoft.com/office/drawing/2014/chart" uri="{C3380CC4-5D6E-409C-BE32-E72D297353CC}">
              <c16:uniqueId val="{00000004-33B4-43A1-AF71-1ECB12C96368}"/>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Driftsutgifter!$M$891:$M$942</c:f>
              <c:numCache>
                <c:formatCode>General</c:formatCode>
                <c:ptCount val="52"/>
                <c:pt idx="0">
                  <c:v>5.6880610000000003</c:v>
                </c:pt>
                <c:pt idx="1">
                  <c:v>6.8521470000000004</c:v>
                </c:pt>
                <c:pt idx="2">
                  <c:v>7.1246419999999997</c:v>
                </c:pt>
                <c:pt idx="3">
                  <c:v>7.7854200000000002</c:v>
                </c:pt>
                <c:pt idx="4">
                  <c:v>7.1592960000000003</c:v>
                </c:pt>
                <c:pt idx="5">
                  <c:v>6.7652029999999996</c:v>
                </c:pt>
                <c:pt idx="6">
                  <c:v>6.9918690000000003</c:v>
                </c:pt>
                <c:pt idx="7">
                  <c:v>6.6278160000000002</c:v>
                </c:pt>
                <c:pt idx="8">
                  <c:v>5.6951910000000003</c:v>
                </c:pt>
                <c:pt idx="9">
                  <c:v>7.9252640000000003</c:v>
                </c:pt>
                <c:pt idx="10">
                  <c:v>6.4882239999999998</c:v>
                </c:pt>
                <c:pt idx="11">
                  <c:v>5.3323770000000001</c:v>
                </c:pt>
                <c:pt idx="12">
                  <c:v>6.0675020000000002</c:v>
                </c:pt>
                <c:pt idx="13">
                  <c:v>8.8647500000000008</c:v>
                </c:pt>
                <c:pt idx="14">
                  <c:v>7.1190499999999997</c:v>
                </c:pt>
                <c:pt idx="15">
                  <c:v>7.1222240000000001</c:v>
                </c:pt>
                <c:pt idx="16">
                  <c:v>8.7411209999999997</c:v>
                </c:pt>
                <c:pt idx="17">
                  <c:v>5.4859140000000002</c:v>
                </c:pt>
                <c:pt idx="18">
                  <c:v>10.00727</c:v>
                </c:pt>
                <c:pt idx="19">
                  <c:v>10.228770000000001</c:v>
                </c:pt>
                <c:pt idx="20">
                  <c:v>7.5655999999999999</c:v>
                </c:pt>
                <c:pt idx="21">
                  <c:v>10.381069999999999</c:v>
                </c:pt>
                <c:pt idx="22">
                  <c:v>4.5124149999999998</c:v>
                </c:pt>
                <c:pt idx="23">
                  <c:v>5.4075810000000004</c:v>
                </c:pt>
                <c:pt idx="24">
                  <c:v>10.167999999999999</c:v>
                </c:pt>
                <c:pt idx="25">
                  <c:v>6.8716689999999998</c:v>
                </c:pt>
                <c:pt idx="26">
                  <c:v>6.8537800000000004</c:v>
                </c:pt>
                <c:pt idx="27">
                  <c:v>6.041353</c:v>
                </c:pt>
                <c:pt idx="28">
                  <c:v>12.13209</c:v>
                </c:pt>
                <c:pt idx="29">
                  <c:v>9.1026810000000005</c:v>
                </c:pt>
                <c:pt idx="30">
                  <c:v>5.3427210000000001</c:v>
                </c:pt>
                <c:pt idx="31">
                  <c:v>10.311999999999999</c:v>
                </c:pt>
                <c:pt idx="32">
                  <c:v>12.3972</c:v>
                </c:pt>
                <c:pt idx="33">
                  <c:v>6.1949550000000002</c:v>
                </c:pt>
                <c:pt idx="34">
                  <c:v>7.3250089999999997</c:v>
                </c:pt>
                <c:pt idx="35">
                  <c:v>13.882149999999999</c:v>
                </c:pt>
                <c:pt idx="36">
                  <c:v>18.690249999999999</c:v>
                </c:pt>
                <c:pt idx="37">
                  <c:v>10.461029999999999</c:v>
                </c:pt>
                <c:pt idx="38">
                  <c:v>7.2983250000000002</c:v>
                </c:pt>
                <c:pt idx="39">
                  <c:v>7.7756280000000002</c:v>
                </c:pt>
                <c:pt idx="40">
                  <c:v>7.012365</c:v>
                </c:pt>
                <c:pt idx="41">
                  <c:v>8.5855169999999994</c:v>
                </c:pt>
                <c:pt idx="42">
                  <c:v>7.4085349999999996</c:v>
                </c:pt>
                <c:pt idx="43">
                  <c:v>13.77529</c:v>
                </c:pt>
                <c:pt idx="44">
                  <c:v>4.9422259999999998</c:v>
                </c:pt>
                <c:pt idx="45">
                  <c:v>6.0680300000000003</c:v>
                </c:pt>
                <c:pt idx="46">
                  <c:v>6.5254450000000004</c:v>
                </c:pt>
                <c:pt idx="47">
                  <c:v>11.875590000000001</c:v>
                </c:pt>
                <c:pt idx="48">
                  <c:v>9.9343009999999996</c:v>
                </c:pt>
                <c:pt idx="49">
                  <c:v>8.9606490000000001</c:v>
                </c:pt>
                <c:pt idx="50">
                  <c:v>13.34473</c:v>
                </c:pt>
                <c:pt idx="51">
                  <c:v>6.6469259999999997</c:v>
                </c:pt>
              </c:numCache>
            </c:numRef>
          </c:yVal>
          <c:smooth val="0"/>
          <c:extLst>
            <c:ext xmlns:c16="http://schemas.microsoft.com/office/drawing/2014/chart" uri="{C3380CC4-5D6E-409C-BE32-E72D297353CC}">
              <c16:uniqueId val="{00000005-33B4-43A1-AF71-1ECB12C9636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(7) Kapitalslit, PIM-da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Driftsutgifter!$N$587:$N$666</c:f>
              <c:numCache>
                <c:formatCode>General</c:formatCode>
                <c:ptCount val="80"/>
                <c:pt idx="0">
                  <c:v>14.453290000000001</c:v>
                </c:pt>
                <c:pt idx="1">
                  <c:v>23.39</c:v>
                </c:pt>
                <c:pt idx="2">
                  <c:v>12.52009</c:v>
                </c:pt>
                <c:pt idx="3">
                  <c:v>19.470880000000001</c:v>
                </c:pt>
                <c:pt idx="4">
                  <c:v>8.8997919999999997</c:v>
                </c:pt>
                <c:pt idx="5">
                  <c:v>16.926279999999998</c:v>
                </c:pt>
                <c:pt idx="6">
                  <c:v>15.14987</c:v>
                </c:pt>
                <c:pt idx="7">
                  <c:v>8.3493089999999999</c:v>
                </c:pt>
                <c:pt idx="8">
                  <c:v>10.72453</c:v>
                </c:pt>
                <c:pt idx="9">
                  <c:v>13.61716</c:v>
                </c:pt>
                <c:pt idx="10">
                  <c:v>14.263210000000001</c:v>
                </c:pt>
                <c:pt idx="11">
                  <c:v>28.946339999999999</c:v>
                </c:pt>
                <c:pt idx="12">
                  <c:v>12.69501</c:v>
                </c:pt>
                <c:pt idx="13">
                  <c:v>16.827760000000001</c:v>
                </c:pt>
                <c:pt idx="14">
                  <c:v>8.8681370000000008</c:v>
                </c:pt>
                <c:pt idx="15">
                  <c:v>18.223859999999998</c:v>
                </c:pt>
                <c:pt idx="16">
                  <c:v>9.0137909999999994</c:v>
                </c:pt>
                <c:pt idx="17">
                  <c:v>15.27678</c:v>
                </c:pt>
                <c:pt idx="18">
                  <c:v>9.4303670000000004</c:v>
                </c:pt>
                <c:pt idx="19">
                  <c:v>15.153700000000001</c:v>
                </c:pt>
                <c:pt idx="20">
                  <c:v>8.7349340000000009</c:v>
                </c:pt>
                <c:pt idx="21">
                  <c:v>8.9957100000000008</c:v>
                </c:pt>
                <c:pt idx="22">
                  <c:v>17.048749999999998</c:v>
                </c:pt>
                <c:pt idx="23">
                  <c:v>12.60131</c:v>
                </c:pt>
                <c:pt idx="24">
                  <c:v>9.710566</c:v>
                </c:pt>
                <c:pt idx="25">
                  <c:v>8.7985009999999999</c:v>
                </c:pt>
                <c:pt idx="26">
                  <c:v>19.297920000000001</c:v>
                </c:pt>
                <c:pt idx="27">
                  <c:v>12.72606</c:v>
                </c:pt>
                <c:pt idx="28">
                  <c:v>10.335470000000001</c:v>
                </c:pt>
                <c:pt idx="29">
                  <c:v>7.0510669999999998</c:v>
                </c:pt>
                <c:pt idx="30">
                  <c:v>10.82957</c:v>
                </c:pt>
                <c:pt idx="31">
                  <c:v>8.7662440000000004</c:v>
                </c:pt>
                <c:pt idx="32">
                  <c:v>17.135190000000001</c:v>
                </c:pt>
                <c:pt idx="33">
                  <c:v>14.28276</c:v>
                </c:pt>
                <c:pt idx="34">
                  <c:v>15.122640000000001</c:v>
                </c:pt>
                <c:pt idx="35">
                  <c:v>6.8065879999999996</c:v>
                </c:pt>
                <c:pt idx="36">
                  <c:v>9.8040730000000007</c:v>
                </c:pt>
                <c:pt idx="37">
                  <c:v>11.946199999999999</c:v>
                </c:pt>
                <c:pt idx="38">
                  <c:v>14.39396</c:v>
                </c:pt>
                <c:pt idx="39">
                  <c:v>14.412409999999999</c:v>
                </c:pt>
                <c:pt idx="40">
                  <c:v>13.44966</c:v>
                </c:pt>
                <c:pt idx="41">
                  <c:v>12.42287</c:v>
                </c:pt>
                <c:pt idx="42">
                  <c:v>13.53497</c:v>
                </c:pt>
                <c:pt idx="43">
                  <c:v>6.5404400000000003</c:v>
                </c:pt>
                <c:pt idx="44">
                  <c:v>20.448119999999999</c:v>
                </c:pt>
                <c:pt idx="45">
                  <c:v>18.850860000000001</c:v>
                </c:pt>
                <c:pt idx="46">
                  <c:v>9.0682480000000005</c:v>
                </c:pt>
                <c:pt idx="47">
                  <c:v>12.605420000000001</c:v>
                </c:pt>
                <c:pt idx="48">
                  <c:v>10.044</c:v>
                </c:pt>
                <c:pt idx="49">
                  <c:v>10.26835</c:v>
                </c:pt>
                <c:pt idx="50">
                  <c:v>15.827299999999999</c:v>
                </c:pt>
                <c:pt idx="51">
                  <c:v>7.0804049999999998</c:v>
                </c:pt>
                <c:pt idx="52">
                  <c:v>10.485480000000001</c:v>
                </c:pt>
                <c:pt idx="53">
                  <c:v>20.606539999999999</c:v>
                </c:pt>
                <c:pt idx="54">
                  <c:v>9.5836159999999992</c:v>
                </c:pt>
                <c:pt idx="55">
                  <c:v>10.92516</c:v>
                </c:pt>
                <c:pt idx="56">
                  <c:v>11.03599</c:v>
                </c:pt>
                <c:pt idx="57">
                  <c:v>15.13251</c:v>
                </c:pt>
                <c:pt idx="58">
                  <c:v>7.2164760000000001</c:v>
                </c:pt>
                <c:pt idx="59">
                  <c:v>14.59925</c:v>
                </c:pt>
                <c:pt idx="60">
                  <c:v>7.1137110000000003</c:v>
                </c:pt>
                <c:pt idx="61">
                  <c:v>9.2004929999999998</c:v>
                </c:pt>
                <c:pt idx="62">
                  <c:v>15.597849999999999</c:v>
                </c:pt>
                <c:pt idx="63">
                  <c:v>22.3309</c:v>
                </c:pt>
                <c:pt idx="64">
                  <c:v>9.7183069999999994</c:v>
                </c:pt>
                <c:pt idx="65">
                  <c:v>12.485429999999999</c:v>
                </c:pt>
                <c:pt idx="66">
                  <c:v>13.224780000000001</c:v>
                </c:pt>
                <c:pt idx="67">
                  <c:v>8.3939120000000003</c:v>
                </c:pt>
                <c:pt idx="68">
                  <c:v>8.9169499999999999</c:v>
                </c:pt>
                <c:pt idx="69">
                  <c:v>12.67746</c:v>
                </c:pt>
                <c:pt idx="70">
                  <c:v>6.0881020000000001</c:v>
                </c:pt>
                <c:pt idx="71">
                  <c:v>16.576070000000001</c:v>
                </c:pt>
                <c:pt idx="72">
                  <c:v>10.36402</c:v>
                </c:pt>
                <c:pt idx="73">
                  <c:v>7.277857</c:v>
                </c:pt>
                <c:pt idx="74">
                  <c:v>10.081020000000001</c:v>
                </c:pt>
                <c:pt idx="75">
                  <c:v>14.06912</c:v>
                </c:pt>
                <c:pt idx="76">
                  <c:v>10.11337</c:v>
                </c:pt>
                <c:pt idx="77">
                  <c:v>9.9131429999999998</c:v>
                </c:pt>
                <c:pt idx="78">
                  <c:v>18.50712</c:v>
                </c:pt>
                <c:pt idx="79">
                  <c:v>14.42057</c:v>
                </c:pt>
              </c:numCache>
            </c:numRef>
          </c:yVal>
          <c:smooth val="0"/>
          <c:extLst>
            <c:ext xmlns:c16="http://schemas.microsoft.com/office/drawing/2014/chart" uri="{C3380CC4-5D6E-409C-BE32-E72D297353CC}">
              <c16:uniqueId val="{00000000-A05A-45FD-8D03-798B90680908}"/>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Driftsutgifter!$N$667:$N$704</c:f>
              <c:numCache>
                <c:formatCode>General</c:formatCode>
                <c:ptCount val="38"/>
                <c:pt idx="0">
                  <c:v>14.67966</c:v>
                </c:pt>
                <c:pt idx="1">
                  <c:v>10.14507</c:v>
                </c:pt>
                <c:pt idx="2">
                  <c:v>17.150569999999998</c:v>
                </c:pt>
                <c:pt idx="3">
                  <c:v>8.7266790000000007</c:v>
                </c:pt>
                <c:pt idx="4">
                  <c:v>11.740220000000001</c:v>
                </c:pt>
                <c:pt idx="5">
                  <c:v>11.667719999999999</c:v>
                </c:pt>
                <c:pt idx="6">
                  <c:v>10.26263</c:v>
                </c:pt>
                <c:pt idx="7">
                  <c:v>9.0864560000000001</c:v>
                </c:pt>
                <c:pt idx="8">
                  <c:v>8.1914639999999999</c:v>
                </c:pt>
                <c:pt idx="9">
                  <c:v>9.4151699999999998</c:v>
                </c:pt>
                <c:pt idx="10">
                  <c:v>12.899369999999999</c:v>
                </c:pt>
                <c:pt idx="11">
                  <c:v>9.3347850000000001</c:v>
                </c:pt>
                <c:pt idx="12">
                  <c:v>6.6463590000000003</c:v>
                </c:pt>
                <c:pt idx="13">
                  <c:v>7.7944360000000001</c:v>
                </c:pt>
                <c:pt idx="14">
                  <c:v>9.0946669999999994</c:v>
                </c:pt>
                <c:pt idx="15">
                  <c:v>8.2461470000000006</c:v>
                </c:pt>
                <c:pt idx="16">
                  <c:v>14.70425</c:v>
                </c:pt>
                <c:pt idx="17">
                  <c:v>11.687279999999999</c:v>
                </c:pt>
                <c:pt idx="18">
                  <c:v>13.565799999999999</c:v>
                </c:pt>
                <c:pt idx="19">
                  <c:v>11.05829</c:v>
                </c:pt>
                <c:pt idx="20">
                  <c:v>14.838039999999999</c:v>
                </c:pt>
                <c:pt idx="21">
                  <c:v>8.0688130000000005</c:v>
                </c:pt>
                <c:pt idx="22">
                  <c:v>10.910589999999999</c:v>
                </c:pt>
                <c:pt idx="23">
                  <c:v>15.338839999999999</c:v>
                </c:pt>
                <c:pt idx="24">
                  <c:v>8.2981289999999994</c:v>
                </c:pt>
                <c:pt idx="25">
                  <c:v>10.018039999999999</c:v>
                </c:pt>
                <c:pt idx="26">
                  <c:v>7.768402</c:v>
                </c:pt>
                <c:pt idx="27">
                  <c:v>12.946</c:v>
                </c:pt>
                <c:pt idx="28">
                  <c:v>9.6075189999999999</c:v>
                </c:pt>
                <c:pt idx="29">
                  <c:v>11.353859999999999</c:v>
                </c:pt>
                <c:pt idx="30">
                  <c:v>11.74508</c:v>
                </c:pt>
                <c:pt idx="31">
                  <c:v>8.7620170000000002</c:v>
                </c:pt>
                <c:pt idx="32">
                  <c:v>24.867619999999999</c:v>
                </c:pt>
                <c:pt idx="33">
                  <c:v>19.82028</c:v>
                </c:pt>
                <c:pt idx="34">
                  <c:v>10.02915</c:v>
                </c:pt>
                <c:pt idx="35">
                  <c:v>8.5691369999999996</c:v>
                </c:pt>
                <c:pt idx="36">
                  <c:v>7.9968209999999997</c:v>
                </c:pt>
                <c:pt idx="37">
                  <c:v>11.346360000000001</c:v>
                </c:pt>
              </c:numCache>
            </c:numRef>
          </c:yVal>
          <c:smooth val="0"/>
          <c:extLst>
            <c:ext xmlns:c16="http://schemas.microsoft.com/office/drawing/2014/chart" uri="{C3380CC4-5D6E-409C-BE32-E72D297353CC}">
              <c16:uniqueId val="{00000001-A05A-45FD-8D03-798B90680908}"/>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Driftsutgifter!$N$705:$N$796</c:f>
              <c:numCache>
                <c:formatCode>General</c:formatCode>
                <c:ptCount val="92"/>
                <c:pt idx="0">
                  <c:v>5.2591400000000004</c:v>
                </c:pt>
                <c:pt idx="1">
                  <c:v>9.2928390000000007</c:v>
                </c:pt>
                <c:pt idx="2">
                  <c:v>12.07719</c:v>
                </c:pt>
                <c:pt idx="3">
                  <c:v>16.19042</c:v>
                </c:pt>
                <c:pt idx="4">
                  <c:v>7.3296999999999999</c:v>
                </c:pt>
                <c:pt idx="5">
                  <c:v>7.1889110000000001</c:v>
                </c:pt>
                <c:pt idx="6">
                  <c:v>5.2678279999999997</c:v>
                </c:pt>
                <c:pt idx="7">
                  <c:v>7.8319559999999999</c:v>
                </c:pt>
                <c:pt idx="8">
                  <c:v>7.6317719999999998</c:v>
                </c:pt>
                <c:pt idx="9">
                  <c:v>8.7515699999999992</c:v>
                </c:pt>
                <c:pt idx="10">
                  <c:v>26.186389999999999</c:v>
                </c:pt>
                <c:pt idx="11">
                  <c:v>11.22566</c:v>
                </c:pt>
                <c:pt idx="12">
                  <c:v>9.0418559999999992</c:v>
                </c:pt>
                <c:pt idx="13">
                  <c:v>11.93699</c:v>
                </c:pt>
                <c:pt idx="14">
                  <c:v>6.2996590000000001</c:v>
                </c:pt>
                <c:pt idx="15">
                  <c:v>8.9036960000000001</c:v>
                </c:pt>
                <c:pt idx="16">
                  <c:v>11.27258</c:v>
                </c:pt>
                <c:pt idx="17">
                  <c:v>7.9430560000000003</c:v>
                </c:pt>
                <c:pt idx="18">
                  <c:v>13.2523</c:v>
                </c:pt>
                <c:pt idx="19">
                  <c:v>5.4949969999999997</c:v>
                </c:pt>
                <c:pt idx="20">
                  <c:v>8.4093029999999995</c:v>
                </c:pt>
                <c:pt idx="21">
                  <c:v>10.356669999999999</c:v>
                </c:pt>
                <c:pt idx="22">
                  <c:v>12.8157</c:v>
                </c:pt>
                <c:pt idx="23">
                  <c:v>8.4769310000000004</c:v>
                </c:pt>
                <c:pt idx="24">
                  <c:v>6.7493590000000001</c:v>
                </c:pt>
                <c:pt idx="25">
                  <c:v>12.9749</c:v>
                </c:pt>
                <c:pt idx="26">
                  <c:v>9.0859860000000001</c:v>
                </c:pt>
                <c:pt idx="27">
                  <c:v>7.656657</c:v>
                </c:pt>
                <c:pt idx="28">
                  <c:v>8.1162589999999994</c:v>
                </c:pt>
                <c:pt idx="29">
                  <c:v>5.9725669999999997</c:v>
                </c:pt>
                <c:pt idx="30">
                  <c:v>11.266030000000001</c:v>
                </c:pt>
                <c:pt idx="31">
                  <c:v>34.97392</c:v>
                </c:pt>
                <c:pt idx="32">
                  <c:v>11.110390000000001</c:v>
                </c:pt>
                <c:pt idx="33">
                  <c:v>8.804691</c:v>
                </c:pt>
                <c:pt idx="34">
                  <c:v>8.9899570000000004</c:v>
                </c:pt>
                <c:pt idx="35">
                  <c:v>13.97805</c:v>
                </c:pt>
                <c:pt idx="36">
                  <c:v>10.15775</c:v>
                </c:pt>
                <c:pt idx="37">
                  <c:v>9.4932580000000009</c:v>
                </c:pt>
                <c:pt idx="38">
                  <c:v>7.3398849999999998</c:v>
                </c:pt>
                <c:pt idx="39">
                  <c:v>9.7221309999999992</c:v>
                </c:pt>
                <c:pt idx="40">
                  <c:v>22.606929999999998</c:v>
                </c:pt>
                <c:pt idx="41">
                  <c:v>10.350569999999999</c:v>
                </c:pt>
                <c:pt idx="42">
                  <c:v>19.38757</c:v>
                </c:pt>
                <c:pt idx="43">
                  <c:v>6.9368129999999999</c:v>
                </c:pt>
                <c:pt idx="44">
                  <c:v>9.1745529999999995</c:v>
                </c:pt>
                <c:pt idx="45">
                  <c:v>6.6418280000000003</c:v>
                </c:pt>
                <c:pt idx="46">
                  <c:v>8.6434300000000004</c:v>
                </c:pt>
                <c:pt idx="47">
                  <c:v>7.6764599999999996</c:v>
                </c:pt>
                <c:pt idx="48">
                  <c:v>13.971310000000001</c:v>
                </c:pt>
                <c:pt idx="49">
                  <c:v>11.37168</c:v>
                </c:pt>
                <c:pt idx="50">
                  <c:v>6.8852200000000003</c:v>
                </c:pt>
                <c:pt idx="51">
                  <c:v>8.5401740000000004</c:v>
                </c:pt>
                <c:pt idx="52">
                  <c:v>10.92353</c:v>
                </c:pt>
                <c:pt idx="53">
                  <c:v>8.4916440000000009</c:v>
                </c:pt>
                <c:pt idx="54">
                  <c:v>15.15536</c:v>
                </c:pt>
                <c:pt idx="55">
                  <c:v>8.5483039999999999</c:v>
                </c:pt>
                <c:pt idx="56">
                  <c:v>16.439879999999999</c:v>
                </c:pt>
                <c:pt idx="57">
                  <c:v>10.555910000000001</c:v>
                </c:pt>
                <c:pt idx="58">
                  <c:v>23.116289999999999</c:v>
                </c:pt>
                <c:pt idx="59">
                  <c:v>9.3602830000000008</c:v>
                </c:pt>
                <c:pt idx="60">
                  <c:v>8.490907</c:v>
                </c:pt>
                <c:pt idx="61">
                  <c:v>8.573423</c:v>
                </c:pt>
                <c:pt idx="62">
                  <c:v>9.6175420000000003</c:v>
                </c:pt>
                <c:pt idx="63">
                  <c:v>17.88644</c:v>
                </c:pt>
                <c:pt idx="64">
                  <c:v>38.710979999999999</c:v>
                </c:pt>
                <c:pt idx="65">
                  <c:v>8.5756189999999997</c:v>
                </c:pt>
                <c:pt idx="66">
                  <c:v>7.5420920000000002</c:v>
                </c:pt>
                <c:pt idx="67">
                  <c:v>10.347619999999999</c:v>
                </c:pt>
                <c:pt idx="68">
                  <c:v>8.7669910000000009</c:v>
                </c:pt>
                <c:pt idx="69">
                  <c:v>7.9769740000000002</c:v>
                </c:pt>
                <c:pt idx="70">
                  <c:v>8.6454269999999998</c:v>
                </c:pt>
                <c:pt idx="71">
                  <c:v>10.87594</c:v>
                </c:pt>
                <c:pt idx="72">
                  <c:v>9.9841239999999996</c:v>
                </c:pt>
                <c:pt idx="73">
                  <c:v>13.11979</c:v>
                </c:pt>
                <c:pt idx="74">
                  <c:v>10.375489999999999</c:v>
                </c:pt>
                <c:pt idx="75">
                  <c:v>13.192690000000001</c:v>
                </c:pt>
                <c:pt idx="76">
                  <c:v>13.116669999999999</c:v>
                </c:pt>
                <c:pt idx="77">
                  <c:v>8.8854620000000004</c:v>
                </c:pt>
                <c:pt idx="78">
                  <c:v>7.967911</c:v>
                </c:pt>
                <c:pt idx="79">
                  <c:v>9.8611170000000001</c:v>
                </c:pt>
                <c:pt idx="80">
                  <c:v>6.8921890000000001</c:v>
                </c:pt>
                <c:pt idx="81">
                  <c:v>11.159750000000001</c:v>
                </c:pt>
                <c:pt idx="82">
                  <c:v>8.7452740000000002</c:v>
                </c:pt>
                <c:pt idx="83">
                  <c:v>7.1259620000000004</c:v>
                </c:pt>
                <c:pt idx="84">
                  <c:v>15.64203</c:v>
                </c:pt>
                <c:pt idx="85">
                  <c:v>7.4717789999999997</c:v>
                </c:pt>
                <c:pt idx="86">
                  <c:v>8.0785300000000007</c:v>
                </c:pt>
                <c:pt idx="87">
                  <c:v>7.9860379999999997</c:v>
                </c:pt>
                <c:pt idx="88">
                  <c:v>9.7193520000000007</c:v>
                </c:pt>
                <c:pt idx="89">
                  <c:v>10.73315</c:v>
                </c:pt>
                <c:pt idx="90">
                  <c:v>8.4974779999999992</c:v>
                </c:pt>
                <c:pt idx="91">
                  <c:v>5.9430129999999997</c:v>
                </c:pt>
              </c:numCache>
            </c:numRef>
          </c:yVal>
          <c:smooth val="0"/>
          <c:extLst>
            <c:ext xmlns:c16="http://schemas.microsoft.com/office/drawing/2014/chart" uri="{C3380CC4-5D6E-409C-BE32-E72D297353CC}">
              <c16:uniqueId val="{00000002-A05A-45FD-8D03-798B90680908}"/>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Driftsutgifter!$N$797:$N$844</c:f>
              <c:numCache>
                <c:formatCode>General</c:formatCode>
                <c:ptCount val="48"/>
                <c:pt idx="0">
                  <c:v>6.2562810000000004</c:v>
                </c:pt>
                <c:pt idx="1">
                  <c:v>5.2454400000000003</c:v>
                </c:pt>
                <c:pt idx="2">
                  <c:v>8.2942850000000004</c:v>
                </c:pt>
                <c:pt idx="3">
                  <c:v>6.8535550000000001</c:v>
                </c:pt>
                <c:pt idx="4">
                  <c:v>8.6794609999999999</c:v>
                </c:pt>
                <c:pt idx="5">
                  <c:v>6.4722390000000001</c:v>
                </c:pt>
                <c:pt idx="6">
                  <c:v>32.982399999999998</c:v>
                </c:pt>
                <c:pt idx="7">
                  <c:v>8.4700799999999994</c:v>
                </c:pt>
                <c:pt idx="8">
                  <c:v>6.7752619999999997</c:v>
                </c:pt>
                <c:pt idx="9">
                  <c:v>4.7100049999999998</c:v>
                </c:pt>
                <c:pt idx="10">
                  <c:v>8.3589110000000009</c:v>
                </c:pt>
                <c:pt idx="11">
                  <c:v>12.278309999999999</c:v>
                </c:pt>
                <c:pt idx="12">
                  <c:v>8.104177</c:v>
                </c:pt>
                <c:pt idx="13">
                  <c:v>25.64049</c:v>
                </c:pt>
                <c:pt idx="14">
                  <c:v>16.158239999999999</c:v>
                </c:pt>
                <c:pt idx="15">
                  <c:v>8.9148219999999991</c:v>
                </c:pt>
                <c:pt idx="16">
                  <c:v>11.66136</c:v>
                </c:pt>
                <c:pt idx="17">
                  <c:v>8.3692519999999995</c:v>
                </c:pt>
                <c:pt idx="18">
                  <c:v>6.9141570000000003</c:v>
                </c:pt>
                <c:pt idx="19">
                  <c:v>7.7349209999999999</c:v>
                </c:pt>
                <c:pt idx="20">
                  <c:v>5.4681629999999997</c:v>
                </c:pt>
                <c:pt idx="21">
                  <c:v>8.8057949999999998</c:v>
                </c:pt>
                <c:pt idx="22">
                  <c:v>13.302060000000001</c:v>
                </c:pt>
                <c:pt idx="23">
                  <c:v>7.6430040000000004</c:v>
                </c:pt>
                <c:pt idx="24">
                  <c:v>41.653590000000001</c:v>
                </c:pt>
                <c:pt idx="25">
                  <c:v>7.9292309999999997</c:v>
                </c:pt>
                <c:pt idx="26">
                  <c:v>20.193549999999998</c:v>
                </c:pt>
                <c:pt idx="27">
                  <c:v>10.02975</c:v>
                </c:pt>
                <c:pt idx="28">
                  <c:v>7.9371499999999999</c:v>
                </c:pt>
                <c:pt idx="29">
                  <c:v>7.1593419999999997</c:v>
                </c:pt>
                <c:pt idx="30">
                  <c:v>11.97527</c:v>
                </c:pt>
                <c:pt idx="31">
                  <c:v>9.9011289999999992</c:v>
                </c:pt>
                <c:pt idx="32">
                  <c:v>4.8877649999999999</c:v>
                </c:pt>
                <c:pt idx="33">
                  <c:v>7.8135110000000001</c:v>
                </c:pt>
                <c:pt idx="34">
                  <c:v>8.9264910000000004</c:v>
                </c:pt>
                <c:pt idx="35">
                  <c:v>19.087029999999999</c:v>
                </c:pt>
                <c:pt idx="36">
                  <c:v>27.525179999999999</c:v>
                </c:pt>
                <c:pt idx="37">
                  <c:v>10.43805</c:v>
                </c:pt>
                <c:pt idx="38">
                  <c:v>8.937481</c:v>
                </c:pt>
                <c:pt idx="39">
                  <c:v>11.638159999999999</c:v>
                </c:pt>
                <c:pt idx="40">
                  <c:v>7.814209</c:v>
                </c:pt>
                <c:pt idx="41">
                  <c:v>8.0638620000000003</c:v>
                </c:pt>
                <c:pt idx="42">
                  <c:v>12.566610000000001</c:v>
                </c:pt>
                <c:pt idx="43">
                  <c:v>8.761374</c:v>
                </c:pt>
                <c:pt idx="44">
                  <c:v>8.6152999999999995</c:v>
                </c:pt>
                <c:pt idx="45">
                  <c:v>6.5870259999999998</c:v>
                </c:pt>
                <c:pt idx="46">
                  <c:v>10.976470000000001</c:v>
                </c:pt>
                <c:pt idx="47">
                  <c:v>5.0240349999999996</c:v>
                </c:pt>
              </c:numCache>
            </c:numRef>
          </c:yVal>
          <c:smooth val="0"/>
          <c:extLst>
            <c:ext xmlns:c16="http://schemas.microsoft.com/office/drawing/2014/chart" uri="{C3380CC4-5D6E-409C-BE32-E72D297353CC}">
              <c16:uniqueId val="{00000003-A05A-45FD-8D03-798B90680908}"/>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Driftsutgifter!$N$845:$N$890</c:f>
              <c:numCache>
                <c:formatCode>General</c:formatCode>
                <c:ptCount val="46"/>
                <c:pt idx="0">
                  <c:v>9.8766160000000003</c:v>
                </c:pt>
                <c:pt idx="1">
                  <c:v>7.6627029999999996</c:v>
                </c:pt>
                <c:pt idx="2">
                  <c:v>19.400590000000001</c:v>
                </c:pt>
                <c:pt idx="3">
                  <c:v>11.144410000000001</c:v>
                </c:pt>
                <c:pt idx="4">
                  <c:v>7.1099920000000001</c:v>
                </c:pt>
                <c:pt idx="5">
                  <c:v>10.71293</c:v>
                </c:pt>
                <c:pt idx="6">
                  <c:v>11.097329999999999</c:v>
                </c:pt>
                <c:pt idx="7">
                  <c:v>9.3216470000000005</c:v>
                </c:pt>
                <c:pt idx="8">
                  <c:v>14.00643</c:v>
                </c:pt>
                <c:pt idx="9">
                  <c:v>8.7523099999999996</c:v>
                </c:pt>
                <c:pt idx="10">
                  <c:v>11.997059999999999</c:v>
                </c:pt>
                <c:pt idx="11">
                  <c:v>8.4247549999999993</c:v>
                </c:pt>
                <c:pt idx="12">
                  <c:v>7.7156289999999998</c:v>
                </c:pt>
                <c:pt idx="13">
                  <c:v>9.156345</c:v>
                </c:pt>
                <c:pt idx="14">
                  <c:v>8.7855349999999994</c:v>
                </c:pt>
                <c:pt idx="15">
                  <c:v>9.4765870000000003</c:v>
                </c:pt>
                <c:pt idx="16">
                  <c:v>10.547090000000001</c:v>
                </c:pt>
                <c:pt idx="17">
                  <c:v>6.2534799999999997</c:v>
                </c:pt>
                <c:pt idx="18">
                  <c:v>11.076650000000001</c:v>
                </c:pt>
                <c:pt idx="19">
                  <c:v>8.3624910000000003</c:v>
                </c:pt>
                <c:pt idx="20">
                  <c:v>8.2938759999999991</c:v>
                </c:pt>
                <c:pt idx="21">
                  <c:v>6.7883190000000004</c:v>
                </c:pt>
                <c:pt idx="22">
                  <c:v>8.1210500000000003</c:v>
                </c:pt>
                <c:pt idx="23">
                  <c:v>8.0843950000000007</c:v>
                </c:pt>
                <c:pt idx="24">
                  <c:v>11.045500000000001</c:v>
                </c:pt>
                <c:pt idx="25">
                  <c:v>9.1169650000000004</c:v>
                </c:pt>
                <c:pt idx="26">
                  <c:v>7.5407500000000001</c:v>
                </c:pt>
                <c:pt idx="27">
                  <c:v>10.68146</c:v>
                </c:pt>
                <c:pt idx="28">
                  <c:v>10.624269999999999</c:v>
                </c:pt>
                <c:pt idx="29">
                  <c:v>9.5883310000000002</c:v>
                </c:pt>
                <c:pt idx="30">
                  <c:v>11.601760000000001</c:v>
                </c:pt>
                <c:pt idx="31">
                  <c:v>10.044739999999999</c:v>
                </c:pt>
                <c:pt idx="32">
                  <c:v>12.924519999999999</c:v>
                </c:pt>
                <c:pt idx="33">
                  <c:v>9.8556050000000006</c:v>
                </c:pt>
                <c:pt idx="34">
                  <c:v>12.3276</c:v>
                </c:pt>
                <c:pt idx="35">
                  <c:v>8.0057419999999997</c:v>
                </c:pt>
                <c:pt idx="36">
                  <c:v>7.8543950000000002</c:v>
                </c:pt>
                <c:pt idx="37">
                  <c:v>6.6555799999999996</c:v>
                </c:pt>
                <c:pt idx="38">
                  <c:v>7.8912060000000004</c:v>
                </c:pt>
                <c:pt idx="39">
                  <c:v>8.1621279999999992</c:v>
                </c:pt>
                <c:pt idx="40">
                  <c:v>9.1718589999999995</c:v>
                </c:pt>
                <c:pt idx="41">
                  <c:v>9.6665369999999999</c:v>
                </c:pt>
                <c:pt idx="42">
                  <c:v>13.54217</c:v>
                </c:pt>
                <c:pt idx="43">
                  <c:v>6.2747250000000001</c:v>
                </c:pt>
                <c:pt idx="44">
                  <c:v>10.38222</c:v>
                </c:pt>
                <c:pt idx="45">
                  <c:v>6.2472190000000003</c:v>
                </c:pt>
              </c:numCache>
            </c:numRef>
          </c:yVal>
          <c:smooth val="0"/>
          <c:extLst>
            <c:ext xmlns:c16="http://schemas.microsoft.com/office/drawing/2014/chart" uri="{C3380CC4-5D6E-409C-BE32-E72D297353CC}">
              <c16:uniqueId val="{00000004-A05A-45FD-8D03-798B90680908}"/>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Driftsutgifter!$N$891:$N$942</c:f>
              <c:numCache>
                <c:formatCode>General</c:formatCode>
                <c:ptCount val="52"/>
                <c:pt idx="0">
                  <c:v>5.7731960000000004</c:v>
                </c:pt>
                <c:pt idx="1">
                  <c:v>6.9777449999999996</c:v>
                </c:pt>
                <c:pt idx="2">
                  <c:v>7.2314230000000004</c:v>
                </c:pt>
                <c:pt idx="3">
                  <c:v>7.7651490000000001</c:v>
                </c:pt>
                <c:pt idx="4">
                  <c:v>7.2734769999999997</c:v>
                </c:pt>
                <c:pt idx="5">
                  <c:v>6.8089570000000004</c:v>
                </c:pt>
                <c:pt idx="6">
                  <c:v>7.0330870000000001</c:v>
                </c:pt>
                <c:pt idx="7">
                  <c:v>6.5748930000000003</c:v>
                </c:pt>
                <c:pt idx="8">
                  <c:v>5.7322139999999999</c:v>
                </c:pt>
                <c:pt idx="9">
                  <c:v>7.9731589999999999</c:v>
                </c:pt>
                <c:pt idx="10">
                  <c:v>6.5719279999999998</c:v>
                </c:pt>
                <c:pt idx="11">
                  <c:v>5.3615779999999997</c:v>
                </c:pt>
                <c:pt idx="12">
                  <c:v>6.0586710000000004</c:v>
                </c:pt>
                <c:pt idx="13">
                  <c:v>8.8318659999999998</c:v>
                </c:pt>
                <c:pt idx="14">
                  <c:v>7.1852679999999998</c:v>
                </c:pt>
                <c:pt idx="15">
                  <c:v>7.1693860000000003</c:v>
                </c:pt>
                <c:pt idx="16">
                  <c:v>8.724615</c:v>
                </c:pt>
                <c:pt idx="17">
                  <c:v>5.5126759999999999</c:v>
                </c:pt>
                <c:pt idx="18">
                  <c:v>10.16395</c:v>
                </c:pt>
                <c:pt idx="19">
                  <c:v>10.199</c:v>
                </c:pt>
                <c:pt idx="20">
                  <c:v>7.6227859999999996</c:v>
                </c:pt>
                <c:pt idx="21">
                  <c:v>10.41201</c:v>
                </c:pt>
                <c:pt idx="22">
                  <c:v>4.531466</c:v>
                </c:pt>
                <c:pt idx="23">
                  <c:v>5.4276400000000002</c:v>
                </c:pt>
                <c:pt idx="24">
                  <c:v>9.6689659999999993</c:v>
                </c:pt>
                <c:pt idx="25">
                  <c:v>6.9121940000000004</c:v>
                </c:pt>
                <c:pt idx="26">
                  <c:v>6.9661780000000002</c:v>
                </c:pt>
                <c:pt idx="27">
                  <c:v>6.1086650000000002</c:v>
                </c:pt>
                <c:pt idx="28">
                  <c:v>12.1114</c:v>
                </c:pt>
                <c:pt idx="29">
                  <c:v>9.3018929999999997</c:v>
                </c:pt>
                <c:pt idx="30">
                  <c:v>5.5855560000000004</c:v>
                </c:pt>
                <c:pt idx="31">
                  <c:v>10.254049999999999</c:v>
                </c:pt>
                <c:pt idx="32">
                  <c:v>12.296329999999999</c:v>
                </c:pt>
                <c:pt idx="33">
                  <c:v>6.2317960000000001</c:v>
                </c:pt>
                <c:pt idx="34">
                  <c:v>7.4256640000000003</c:v>
                </c:pt>
                <c:pt idx="35">
                  <c:v>13.791790000000001</c:v>
                </c:pt>
                <c:pt idx="36">
                  <c:v>18.402699999999999</c:v>
                </c:pt>
                <c:pt idx="37">
                  <c:v>10.4086</c:v>
                </c:pt>
                <c:pt idx="38">
                  <c:v>7.4364030000000003</c:v>
                </c:pt>
                <c:pt idx="39">
                  <c:v>7.8035990000000002</c:v>
                </c:pt>
                <c:pt idx="40">
                  <c:v>7.046691</c:v>
                </c:pt>
                <c:pt idx="41">
                  <c:v>8.6090319999999991</c:v>
                </c:pt>
                <c:pt idx="42">
                  <c:v>7.4415269999999998</c:v>
                </c:pt>
                <c:pt idx="43">
                  <c:v>13.803739999999999</c:v>
                </c:pt>
                <c:pt idx="44">
                  <c:v>5.025169</c:v>
                </c:pt>
                <c:pt idx="45">
                  <c:v>6.1366759999999996</c:v>
                </c:pt>
                <c:pt idx="46">
                  <c:v>6.4985179999999998</c:v>
                </c:pt>
                <c:pt idx="47">
                  <c:v>12.031280000000001</c:v>
                </c:pt>
                <c:pt idx="48">
                  <c:v>10.14179</c:v>
                </c:pt>
                <c:pt idx="49">
                  <c:v>8.5501470000000008</c:v>
                </c:pt>
                <c:pt idx="50">
                  <c:v>13.514480000000001</c:v>
                </c:pt>
                <c:pt idx="51">
                  <c:v>6.6673609999999996</c:v>
                </c:pt>
              </c:numCache>
            </c:numRef>
          </c:yVal>
          <c:smooth val="0"/>
          <c:extLst>
            <c:ext xmlns:c16="http://schemas.microsoft.com/office/drawing/2014/chart" uri="{C3380CC4-5D6E-409C-BE32-E72D297353CC}">
              <c16:uniqueId val="{00000005-A05A-45FD-8D03-798B9068090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(8) Kapitalslit, PIM-aa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b) Depresieringsrater over funksjoner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49928603603603605"/>
          <c:y val="0.14340416666666667"/>
          <c:w val="0.43405555555555553"/>
          <c:h val="0.66832361111111094"/>
        </c:manualLayout>
      </c:layout>
      <c:barChart>
        <c:barDir val="bar"/>
        <c:grouping val="stacked"/>
        <c:varyColors val="0"/>
        <c:ser>
          <c:idx val="0"/>
          <c:order val="0"/>
          <c:tx>
            <c:strRef>
              <c:f>[Kapitalanalyse.xlsx]Parametere!$P$32</c:f>
              <c:strCache>
                <c:ptCount val="1"/>
                <c:pt idx="0">
                  <c:v>Primærkommuner</c:v>
                </c:pt>
              </c:strCache>
            </c:strRef>
          </c:tx>
          <c:spPr>
            <a:solidFill>
              <a:schemeClr val="accent1"/>
            </a:solidFill>
            <a:ln>
              <a:noFill/>
            </a:ln>
            <a:effectLst/>
          </c:spPr>
          <c:invertIfNegative val="0"/>
          <c:cat>
            <c:strRef>
              <c:f>[Kapitalanalyse.xlsx]Parametere!$O$33:$O$43</c:f>
              <c:strCache>
                <c:ptCount val="11"/>
                <c:pt idx="0">
                  <c:v>Kommunal sektor, samlet</c:v>
                </c:pt>
                <c:pt idx="1">
                  <c:v>Barneomsorg og sosial</c:v>
                </c:pt>
                <c:pt idx="2">
                  <c:v>Kultur</c:v>
                </c:pt>
                <c:pt idx="3">
                  <c:v>Skole</c:v>
                </c:pt>
                <c:pt idx="4">
                  <c:v>Kommunale boliger</c:v>
                </c:pt>
                <c:pt idx="5">
                  <c:v>Tannhelse</c:v>
                </c:pt>
                <c:pt idx="6">
                  <c:v>Admin. og beredskap</c:v>
                </c:pt>
                <c:pt idx="7">
                  <c:v>Kirke</c:v>
                </c:pt>
                <c:pt idx="8">
                  <c:v>VAR-tjenester</c:v>
                </c:pt>
                <c:pt idx="9">
                  <c:v>Helse og eldreomsorg</c:v>
                </c:pt>
                <c:pt idx="10">
                  <c:v>Samferdsel</c:v>
                </c:pt>
              </c:strCache>
            </c:strRef>
          </c:cat>
          <c:val>
            <c:numRef>
              <c:f>[Kapitalanalyse.xlsx]Parametere!$P$33:$P$43</c:f>
              <c:numCache>
                <c:formatCode>General</c:formatCode>
                <c:ptCount val="11"/>
                <c:pt idx="1">
                  <c:v>2.0895579364947327E-2</c:v>
                </c:pt>
                <c:pt idx="4">
                  <c:v>2.438575248592267E-2</c:v>
                </c:pt>
                <c:pt idx="7">
                  <c:v>2.8708902404058805E-2</c:v>
                </c:pt>
                <c:pt idx="8">
                  <c:v>3.2393399405699561E-2</c:v>
                </c:pt>
                <c:pt idx="9">
                  <c:v>4.8214349266261371E-2</c:v>
                </c:pt>
              </c:numCache>
            </c:numRef>
          </c:val>
          <c:extLst>
            <c:ext xmlns:c16="http://schemas.microsoft.com/office/drawing/2014/chart" uri="{C3380CC4-5D6E-409C-BE32-E72D297353CC}">
              <c16:uniqueId val="{00000000-0B00-4B1C-87C0-E525B7A62B28}"/>
            </c:ext>
          </c:extLst>
        </c:ser>
        <c:ser>
          <c:idx val="1"/>
          <c:order val="1"/>
          <c:tx>
            <c:strRef>
              <c:f>[Kapitalanalyse.xlsx]Parametere!$Q$32</c:f>
              <c:strCache>
                <c:ptCount val="1"/>
                <c:pt idx="0">
                  <c:v>Fylkeskommuner</c:v>
                </c:pt>
              </c:strCache>
            </c:strRef>
          </c:tx>
          <c:spPr>
            <a:solidFill>
              <a:schemeClr val="accent2"/>
            </a:solidFill>
            <a:ln>
              <a:noFill/>
            </a:ln>
            <a:effectLst/>
          </c:spPr>
          <c:invertIfNegative val="0"/>
          <c:cat>
            <c:strRef>
              <c:f>[Kapitalanalyse.xlsx]Parametere!$O$33:$O$43</c:f>
              <c:strCache>
                <c:ptCount val="11"/>
                <c:pt idx="0">
                  <c:v>Kommunal sektor, samlet</c:v>
                </c:pt>
                <c:pt idx="1">
                  <c:v>Barneomsorg og sosial</c:v>
                </c:pt>
                <c:pt idx="2">
                  <c:v>Kultur</c:v>
                </c:pt>
                <c:pt idx="3">
                  <c:v>Skole</c:v>
                </c:pt>
                <c:pt idx="4">
                  <c:v>Kommunale boliger</c:v>
                </c:pt>
                <c:pt idx="5">
                  <c:v>Tannhelse</c:v>
                </c:pt>
                <c:pt idx="6">
                  <c:v>Admin. og beredskap</c:v>
                </c:pt>
                <c:pt idx="7">
                  <c:v>Kirke</c:v>
                </c:pt>
                <c:pt idx="8">
                  <c:v>VAR-tjenester</c:v>
                </c:pt>
                <c:pt idx="9">
                  <c:v>Helse og eldreomsorg</c:v>
                </c:pt>
                <c:pt idx="10">
                  <c:v>Samferdsel</c:v>
                </c:pt>
              </c:strCache>
            </c:strRef>
          </c:cat>
          <c:val>
            <c:numRef>
              <c:f>[Kapitalanalyse.xlsx]Parametere!$Q$33:$Q$43</c:f>
              <c:numCache>
                <c:formatCode>General</c:formatCode>
                <c:ptCount val="11"/>
                <c:pt idx="5">
                  <c:v>2.6849464074108209E-2</c:v>
                </c:pt>
              </c:numCache>
            </c:numRef>
          </c:val>
          <c:extLst>
            <c:ext xmlns:c16="http://schemas.microsoft.com/office/drawing/2014/chart" uri="{C3380CC4-5D6E-409C-BE32-E72D297353CC}">
              <c16:uniqueId val="{00000001-0B00-4B1C-87C0-E525B7A62B28}"/>
            </c:ext>
          </c:extLst>
        </c:ser>
        <c:ser>
          <c:idx val="2"/>
          <c:order val="2"/>
          <c:tx>
            <c:strRef>
              <c:f>[Kapitalanalyse.xlsx]Parametere!$R$32</c:f>
              <c:strCache>
                <c:ptCount val="1"/>
                <c:pt idx="0">
                  <c:v>Begge forvaltningsnivåer</c:v>
                </c:pt>
              </c:strCache>
            </c:strRef>
          </c:tx>
          <c:spPr>
            <a:solidFill>
              <a:schemeClr val="accent3"/>
            </a:solidFill>
            <a:ln>
              <a:noFill/>
            </a:ln>
            <a:effectLst/>
          </c:spPr>
          <c:invertIfNegative val="0"/>
          <c:cat>
            <c:strRef>
              <c:f>[Kapitalanalyse.xlsx]Parametere!$O$33:$O$43</c:f>
              <c:strCache>
                <c:ptCount val="11"/>
                <c:pt idx="0">
                  <c:v>Kommunal sektor, samlet</c:v>
                </c:pt>
                <c:pt idx="1">
                  <c:v>Barneomsorg og sosial</c:v>
                </c:pt>
                <c:pt idx="2">
                  <c:v>Kultur</c:v>
                </c:pt>
                <c:pt idx="3">
                  <c:v>Skole</c:v>
                </c:pt>
                <c:pt idx="4">
                  <c:v>Kommunale boliger</c:v>
                </c:pt>
                <c:pt idx="5">
                  <c:v>Tannhelse</c:v>
                </c:pt>
                <c:pt idx="6">
                  <c:v>Admin. og beredskap</c:v>
                </c:pt>
                <c:pt idx="7">
                  <c:v>Kirke</c:v>
                </c:pt>
                <c:pt idx="8">
                  <c:v>VAR-tjenester</c:v>
                </c:pt>
                <c:pt idx="9">
                  <c:v>Helse og eldreomsorg</c:v>
                </c:pt>
                <c:pt idx="10">
                  <c:v>Samferdsel</c:v>
                </c:pt>
              </c:strCache>
            </c:strRef>
          </c:cat>
          <c:val>
            <c:numRef>
              <c:f>[Kapitalanalyse.xlsx]Parametere!$R$33:$R$43</c:f>
              <c:numCache>
                <c:formatCode>General</c:formatCode>
                <c:ptCount val="11"/>
                <c:pt idx="0">
                  <c:v>3.2571844576965464E-2</c:v>
                </c:pt>
                <c:pt idx="2">
                  <c:v>2.1565881413097138E-2</c:v>
                </c:pt>
                <c:pt idx="3">
                  <c:v>2.1984300826961917E-2</c:v>
                </c:pt>
                <c:pt idx="6">
                  <c:v>2.8184725125032752E-2</c:v>
                </c:pt>
                <c:pt idx="10">
                  <c:v>7.4565206391838126E-2</c:v>
                </c:pt>
              </c:numCache>
            </c:numRef>
          </c:val>
          <c:extLst>
            <c:ext xmlns:c16="http://schemas.microsoft.com/office/drawing/2014/chart" uri="{C3380CC4-5D6E-409C-BE32-E72D297353CC}">
              <c16:uniqueId val="{00000002-0B00-4B1C-87C0-E525B7A62B28}"/>
            </c:ext>
          </c:extLst>
        </c:ser>
        <c:dLbls>
          <c:showLegendKey val="0"/>
          <c:showVal val="0"/>
          <c:showCatName val="0"/>
          <c:showSerName val="0"/>
          <c:showPercent val="0"/>
          <c:showBubbleSize val="0"/>
        </c:dLbls>
        <c:gapWidth val="219"/>
        <c:overlap val="100"/>
        <c:axId val="1703561743"/>
        <c:axId val="1703561263"/>
      </c:barChart>
      <c:catAx>
        <c:axId val="1703561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263"/>
        <c:crosses val="autoZero"/>
        <c:auto val="1"/>
        <c:lblAlgn val="ctr"/>
        <c:lblOffset val="100"/>
        <c:noMultiLvlLbl val="0"/>
      </c:catAx>
      <c:valAx>
        <c:axId val="1703561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743"/>
        <c:crosses val="autoZero"/>
        <c:crossBetween val="between"/>
      </c:valAx>
      <c:spPr>
        <a:noFill/>
        <a:ln>
          <a:noFill/>
        </a:ln>
        <a:effectLst/>
      </c:spPr>
    </c:plotArea>
    <c:legend>
      <c:legendPos val="b"/>
      <c:layout>
        <c:manualLayout>
          <c:xMode val="edge"/>
          <c:yMode val="edge"/>
          <c:x val="1.7215123456790122E-2"/>
          <c:y val="0.8791727777777778"/>
          <c:w val="0.96165"/>
          <c:h val="0.11024388888888889"/>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Driftsutgifter!$O$587:$O$666</c:f>
              <c:numCache>
                <c:formatCode>General</c:formatCode>
                <c:ptCount val="80"/>
                <c:pt idx="0">
                  <c:v>43.527700000000003</c:v>
                </c:pt>
                <c:pt idx="1">
                  <c:v>52.369199999999999</c:v>
                </c:pt>
                <c:pt idx="2">
                  <c:v>31.01022</c:v>
                </c:pt>
                <c:pt idx="3">
                  <c:v>48.446300000000001</c:v>
                </c:pt>
                <c:pt idx="4">
                  <c:v>19.598479999999999</c:v>
                </c:pt>
                <c:pt idx="5">
                  <c:v>41.197020000000002</c:v>
                </c:pt>
                <c:pt idx="6">
                  <c:v>37.038080000000001</c:v>
                </c:pt>
                <c:pt idx="7">
                  <c:v>18.387820000000001</c:v>
                </c:pt>
                <c:pt idx="8">
                  <c:v>27.792359999999999</c:v>
                </c:pt>
                <c:pt idx="9">
                  <c:v>33.729410000000001</c:v>
                </c:pt>
                <c:pt idx="10">
                  <c:v>42.31841</c:v>
                </c:pt>
                <c:pt idx="11">
                  <c:v>69.49006</c:v>
                </c:pt>
                <c:pt idx="12">
                  <c:v>34.98657</c:v>
                </c:pt>
                <c:pt idx="13">
                  <c:v>38.497970000000002</c:v>
                </c:pt>
                <c:pt idx="14">
                  <c:v>21.932130000000001</c:v>
                </c:pt>
                <c:pt idx="15">
                  <c:v>45.344630000000002</c:v>
                </c:pt>
                <c:pt idx="16">
                  <c:v>22.552800000000001</c:v>
                </c:pt>
                <c:pt idx="17">
                  <c:v>38.535020000000003</c:v>
                </c:pt>
                <c:pt idx="18">
                  <c:v>19.983129999999999</c:v>
                </c:pt>
                <c:pt idx="19">
                  <c:v>37.040689999999998</c:v>
                </c:pt>
                <c:pt idx="20">
                  <c:v>22.51811</c:v>
                </c:pt>
                <c:pt idx="21">
                  <c:v>22.497800000000002</c:v>
                </c:pt>
                <c:pt idx="22">
                  <c:v>40.185279999999999</c:v>
                </c:pt>
                <c:pt idx="23">
                  <c:v>29.687719999999999</c:v>
                </c:pt>
                <c:pt idx="24">
                  <c:v>19.537289999999999</c:v>
                </c:pt>
                <c:pt idx="25">
                  <c:v>19.134070000000001</c:v>
                </c:pt>
                <c:pt idx="26">
                  <c:v>51.391280000000002</c:v>
                </c:pt>
                <c:pt idx="27">
                  <c:v>31.766069999999999</c:v>
                </c:pt>
                <c:pt idx="28">
                  <c:v>27.094899999999999</c:v>
                </c:pt>
                <c:pt idx="29">
                  <c:v>18.58841</c:v>
                </c:pt>
                <c:pt idx="30">
                  <c:v>26.657599999999999</c:v>
                </c:pt>
                <c:pt idx="31">
                  <c:v>23.841000000000001</c:v>
                </c:pt>
                <c:pt idx="32">
                  <c:v>38.314749999999997</c:v>
                </c:pt>
                <c:pt idx="33">
                  <c:v>37.017780000000002</c:v>
                </c:pt>
                <c:pt idx="34">
                  <c:v>36.804000000000002</c:v>
                </c:pt>
                <c:pt idx="35">
                  <c:v>17.391919999999999</c:v>
                </c:pt>
                <c:pt idx="36">
                  <c:v>24.232700000000001</c:v>
                </c:pt>
                <c:pt idx="37">
                  <c:v>29.618839999999999</c:v>
                </c:pt>
                <c:pt idx="38">
                  <c:v>41.310639999999999</c:v>
                </c:pt>
                <c:pt idx="39">
                  <c:v>36.358789999999999</c:v>
                </c:pt>
                <c:pt idx="40">
                  <c:v>34.44</c:v>
                </c:pt>
                <c:pt idx="41">
                  <c:v>29.9678</c:v>
                </c:pt>
                <c:pt idx="42">
                  <c:v>34.253340000000001</c:v>
                </c:pt>
                <c:pt idx="43">
                  <c:v>14.393050000000001</c:v>
                </c:pt>
                <c:pt idx="44">
                  <c:v>50.1081</c:v>
                </c:pt>
                <c:pt idx="45">
                  <c:v>46.577730000000003</c:v>
                </c:pt>
                <c:pt idx="46">
                  <c:v>24.208449999999999</c:v>
                </c:pt>
                <c:pt idx="47">
                  <c:v>34.563290000000002</c:v>
                </c:pt>
                <c:pt idx="48">
                  <c:v>25.15062</c:v>
                </c:pt>
                <c:pt idx="49">
                  <c:v>24.433309999999999</c:v>
                </c:pt>
                <c:pt idx="50">
                  <c:v>37.037579999999998</c:v>
                </c:pt>
                <c:pt idx="51">
                  <c:v>17.127939999999999</c:v>
                </c:pt>
                <c:pt idx="52">
                  <c:v>24.83774</c:v>
                </c:pt>
                <c:pt idx="53">
                  <c:v>54.074750000000002</c:v>
                </c:pt>
                <c:pt idx="54">
                  <c:v>24.006689999999999</c:v>
                </c:pt>
                <c:pt idx="55">
                  <c:v>26.808530000000001</c:v>
                </c:pt>
                <c:pt idx="56">
                  <c:v>28.217289999999998</c:v>
                </c:pt>
                <c:pt idx="57">
                  <c:v>34.511020000000002</c:v>
                </c:pt>
                <c:pt idx="58">
                  <c:v>18.526060000000001</c:v>
                </c:pt>
                <c:pt idx="59">
                  <c:v>34.373860000000001</c:v>
                </c:pt>
                <c:pt idx="60">
                  <c:v>18.662749999999999</c:v>
                </c:pt>
                <c:pt idx="61">
                  <c:v>21.831990000000001</c:v>
                </c:pt>
                <c:pt idx="62">
                  <c:v>36.369540000000001</c:v>
                </c:pt>
                <c:pt idx="63">
                  <c:v>51.09684</c:v>
                </c:pt>
                <c:pt idx="64">
                  <c:v>24.9236</c:v>
                </c:pt>
                <c:pt idx="65">
                  <c:v>27.308859999999999</c:v>
                </c:pt>
                <c:pt idx="66">
                  <c:v>33.231310000000001</c:v>
                </c:pt>
                <c:pt idx="67">
                  <c:v>21.949750000000002</c:v>
                </c:pt>
                <c:pt idx="68">
                  <c:v>20.609169999999999</c:v>
                </c:pt>
                <c:pt idx="69">
                  <c:v>32.549129999999998</c:v>
                </c:pt>
                <c:pt idx="70">
                  <c:v>13.043570000000001</c:v>
                </c:pt>
                <c:pt idx="71">
                  <c:v>33.927390000000003</c:v>
                </c:pt>
                <c:pt idx="72">
                  <c:v>25.60857</c:v>
                </c:pt>
                <c:pt idx="73">
                  <c:v>18.183620000000001</c:v>
                </c:pt>
                <c:pt idx="74">
                  <c:v>25.072929999999999</c:v>
                </c:pt>
                <c:pt idx="75">
                  <c:v>31.579190000000001</c:v>
                </c:pt>
                <c:pt idx="76">
                  <c:v>26.559840000000001</c:v>
                </c:pt>
                <c:pt idx="77">
                  <c:v>25.538589999999999</c:v>
                </c:pt>
                <c:pt idx="78">
                  <c:v>39.901560000000003</c:v>
                </c:pt>
                <c:pt idx="79">
                  <c:v>36.090470000000003</c:v>
                </c:pt>
              </c:numCache>
            </c:numRef>
          </c:yVal>
          <c:smooth val="0"/>
          <c:extLst>
            <c:ext xmlns:c16="http://schemas.microsoft.com/office/drawing/2014/chart" uri="{C3380CC4-5D6E-409C-BE32-E72D297353CC}">
              <c16:uniqueId val="{00000000-F5B4-4FA1-83E9-FAB5B922B57B}"/>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Driftsutgifter!$O$667:$O$704</c:f>
              <c:numCache>
                <c:formatCode>General</c:formatCode>
                <c:ptCount val="38"/>
                <c:pt idx="0">
                  <c:v>33.850020000000001</c:v>
                </c:pt>
                <c:pt idx="1">
                  <c:v>26.050999999999998</c:v>
                </c:pt>
                <c:pt idx="2">
                  <c:v>42.538719999999998</c:v>
                </c:pt>
                <c:pt idx="3">
                  <c:v>20.770800000000001</c:v>
                </c:pt>
                <c:pt idx="4">
                  <c:v>27.378869999999999</c:v>
                </c:pt>
                <c:pt idx="5">
                  <c:v>28.543289999999999</c:v>
                </c:pt>
                <c:pt idx="6">
                  <c:v>28.080670000000001</c:v>
                </c:pt>
                <c:pt idx="7">
                  <c:v>22.36016</c:v>
                </c:pt>
                <c:pt idx="8">
                  <c:v>18.090019999999999</c:v>
                </c:pt>
                <c:pt idx="9">
                  <c:v>22.21237</c:v>
                </c:pt>
                <c:pt idx="10">
                  <c:v>31.318770000000001</c:v>
                </c:pt>
                <c:pt idx="11">
                  <c:v>21.925360000000001</c:v>
                </c:pt>
                <c:pt idx="12">
                  <c:v>15.57207</c:v>
                </c:pt>
                <c:pt idx="13">
                  <c:v>18.769680000000001</c:v>
                </c:pt>
                <c:pt idx="14">
                  <c:v>19.964849999999998</c:v>
                </c:pt>
                <c:pt idx="15">
                  <c:v>19.285920000000001</c:v>
                </c:pt>
                <c:pt idx="16">
                  <c:v>36.518160000000002</c:v>
                </c:pt>
                <c:pt idx="17">
                  <c:v>28.809429999999999</c:v>
                </c:pt>
                <c:pt idx="18">
                  <c:v>33.78584</c:v>
                </c:pt>
                <c:pt idx="19">
                  <c:v>26.82826</c:v>
                </c:pt>
                <c:pt idx="20">
                  <c:v>34.253950000000003</c:v>
                </c:pt>
                <c:pt idx="21">
                  <c:v>19.93797</c:v>
                </c:pt>
                <c:pt idx="22">
                  <c:v>27.163540000000001</c:v>
                </c:pt>
                <c:pt idx="23">
                  <c:v>35.010550000000002</c:v>
                </c:pt>
                <c:pt idx="24">
                  <c:v>21.02497</c:v>
                </c:pt>
                <c:pt idx="25">
                  <c:v>22.384840000000001</c:v>
                </c:pt>
                <c:pt idx="26">
                  <c:v>19.668209999999998</c:v>
                </c:pt>
                <c:pt idx="27">
                  <c:v>31.926010000000002</c:v>
                </c:pt>
                <c:pt idx="28">
                  <c:v>22.914850000000001</c:v>
                </c:pt>
                <c:pt idx="29">
                  <c:v>27.511060000000001</c:v>
                </c:pt>
                <c:pt idx="30">
                  <c:v>25.707750000000001</c:v>
                </c:pt>
                <c:pt idx="31">
                  <c:v>21.456669999999999</c:v>
                </c:pt>
                <c:pt idx="32">
                  <c:v>59.574640000000002</c:v>
                </c:pt>
                <c:pt idx="33">
                  <c:v>45.592390000000002</c:v>
                </c:pt>
                <c:pt idx="34">
                  <c:v>27.121420000000001</c:v>
                </c:pt>
                <c:pt idx="35">
                  <c:v>20.912400000000002</c:v>
                </c:pt>
                <c:pt idx="36">
                  <c:v>21.1738</c:v>
                </c:pt>
                <c:pt idx="37">
                  <c:v>27.449210000000001</c:v>
                </c:pt>
              </c:numCache>
            </c:numRef>
          </c:yVal>
          <c:smooth val="0"/>
          <c:extLst>
            <c:ext xmlns:c16="http://schemas.microsoft.com/office/drawing/2014/chart" uri="{C3380CC4-5D6E-409C-BE32-E72D297353CC}">
              <c16:uniqueId val="{00000001-F5B4-4FA1-83E9-FAB5B922B57B}"/>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Driftsutgifter!$O$705:$O$796</c:f>
              <c:numCache>
                <c:formatCode>General</c:formatCode>
                <c:ptCount val="92"/>
                <c:pt idx="0">
                  <c:v>11.55841</c:v>
                </c:pt>
                <c:pt idx="1">
                  <c:v>21.213470000000001</c:v>
                </c:pt>
                <c:pt idx="2">
                  <c:v>26.798469999999998</c:v>
                </c:pt>
                <c:pt idx="3">
                  <c:v>35.767850000000003</c:v>
                </c:pt>
                <c:pt idx="4">
                  <c:v>16.785039999999999</c:v>
                </c:pt>
                <c:pt idx="5">
                  <c:v>16.212569999999999</c:v>
                </c:pt>
                <c:pt idx="6">
                  <c:v>11.860139999999999</c:v>
                </c:pt>
                <c:pt idx="7">
                  <c:v>17.23086</c:v>
                </c:pt>
                <c:pt idx="8">
                  <c:v>17.085349999999998</c:v>
                </c:pt>
                <c:pt idx="9">
                  <c:v>19.870509999999999</c:v>
                </c:pt>
                <c:pt idx="10">
                  <c:v>53.36759</c:v>
                </c:pt>
                <c:pt idx="11">
                  <c:v>23.181509999999999</c:v>
                </c:pt>
                <c:pt idx="12">
                  <c:v>21.393429999999999</c:v>
                </c:pt>
                <c:pt idx="13">
                  <c:v>24.59159</c:v>
                </c:pt>
                <c:pt idx="14">
                  <c:v>14.06555</c:v>
                </c:pt>
                <c:pt idx="15">
                  <c:v>19.088999999999999</c:v>
                </c:pt>
                <c:pt idx="16">
                  <c:v>26.23903</c:v>
                </c:pt>
                <c:pt idx="17">
                  <c:v>15.446540000000001</c:v>
                </c:pt>
                <c:pt idx="18">
                  <c:v>34.092039999999997</c:v>
                </c:pt>
                <c:pt idx="19">
                  <c:v>12.07203</c:v>
                </c:pt>
                <c:pt idx="20">
                  <c:v>19.812639999999998</c:v>
                </c:pt>
                <c:pt idx="21">
                  <c:v>24.33841</c:v>
                </c:pt>
                <c:pt idx="22">
                  <c:v>28.99924</c:v>
                </c:pt>
                <c:pt idx="23">
                  <c:v>18.255369999999999</c:v>
                </c:pt>
                <c:pt idx="24">
                  <c:v>15.71092</c:v>
                </c:pt>
                <c:pt idx="25">
                  <c:v>29.874379999999999</c:v>
                </c:pt>
                <c:pt idx="26">
                  <c:v>20.361789999999999</c:v>
                </c:pt>
                <c:pt idx="27">
                  <c:v>17.769439999999999</c:v>
                </c:pt>
                <c:pt idx="28">
                  <c:v>16.815329999999999</c:v>
                </c:pt>
                <c:pt idx="29">
                  <c:v>13.453519999999999</c:v>
                </c:pt>
                <c:pt idx="30">
                  <c:v>27.12114</c:v>
                </c:pt>
                <c:pt idx="31">
                  <c:v>69.6785</c:v>
                </c:pt>
                <c:pt idx="32">
                  <c:v>23.46133</c:v>
                </c:pt>
                <c:pt idx="33">
                  <c:v>19.699829999999999</c:v>
                </c:pt>
                <c:pt idx="34">
                  <c:v>20.278600000000001</c:v>
                </c:pt>
                <c:pt idx="35">
                  <c:v>30.283850000000001</c:v>
                </c:pt>
                <c:pt idx="36">
                  <c:v>20.603560000000002</c:v>
                </c:pt>
                <c:pt idx="37">
                  <c:v>23.882180000000002</c:v>
                </c:pt>
                <c:pt idx="38">
                  <c:v>16.41516</c:v>
                </c:pt>
                <c:pt idx="39">
                  <c:v>22.156140000000001</c:v>
                </c:pt>
                <c:pt idx="40">
                  <c:v>46.460470000000001</c:v>
                </c:pt>
                <c:pt idx="41">
                  <c:v>22.246729999999999</c:v>
                </c:pt>
                <c:pt idx="42">
                  <c:v>40.95861</c:v>
                </c:pt>
                <c:pt idx="43">
                  <c:v>15.236879999999999</c:v>
                </c:pt>
                <c:pt idx="44">
                  <c:v>20.558620000000001</c:v>
                </c:pt>
                <c:pt idx="45">
                  <c:v>15.155609999999999</c:v>
                </c:pt>
                <c:pt idx="46">
                  <c:v>18.875309999999999</c:v>
                </c:pt>
                <c:pt idx="47">
                  <c:v>17.109819999999999</c:v>
                </c:pt>
                <c:pt idx="48">
                  <c:v>30.630929999999999</c:v>
                </c:pt>
                <c:pt idx="49">
                  <c:v>27.96228</c:v>
                </c:pt>
                <c:pt idx="50">
                  <c:v>15.20397</c:v>
                </c:pt>
                <c:pt idx="51">
                  <c:v>18.9556</c:v>
                </c:pt>
                <c:pt idx="52">
                  <c:v>23.757110000000001</c:v>
                </c:pt>
                <c:pt idx="53">
                  <c:v>17.79156</c:v>
                </c:pt>
                <c:pt idx="54">
                  <c:v>36.090530000000001</c:v>
                </c:pt>
                <c:pt idx="55">
                  <c:v>19.11007</c:v>
                </c:pt>
                <c:pt idx="56">
                  <c:v>36.272530000000003</c:v>
                </c:pt>
                <c:pt idx="57">
                  <c:v>23.21435</c:v>
                </c:pt>
                <c:pt idx="58">
                  <c:v>53.470910000000003</c:v>
                </c:pt>
                <c:pt idx="59">
                  <c:v>19.623460000000001</c:v>
                </c:pt>
                <c:pt idx="60">
                  <c:v>17.68797</c:v>
                </c:pt>
                <c:pt idx="61">
                  <c:v>19.869009999999999</c:v>
                </c:pt>
                <c:pt idx="62">
                  <c:v>22.409849999999999</c:v>
                </c:pt>
                <c:pt idx="63">
                  <c:v>37.884340000000002</c:v>
                </c:pt>
                <c:pt idx="64">
                  <c:v>86.579059999999998</c:v>
                </c:pt>
                <c:pt idx="65">
                  <c:v>19.909970000000001</c:v>
                </c:pt>
                <c:pt idx="66">
                  <c:v>17.602609999999999</c:v>
                </c:pt>
                <c:pt idx="67">
                  <c:v>24.299430000000001</c:v>
                </c:pt>
                <c:pt idx="68">
                  <c:v>20.335229999999999</c:v>
                </c:pt>
                <c:pt idx="69">
                  <c:v>17.565999999999999</c:v>
                </c:pt>
                <c:pt idx="70">
                  <c:v>20.752009999999999</c:v>
                </c:pt>
                <c:pt idx="71">
                  <c:v>23.427009999999999</c:v>
                </c:pt>
                <c:pt idx="72">
                  <c:v>22.407129999999999</c:v>
                </c:pt>
                <c:pt idx="73">
                  <c:v>32.253810000000001</c:v>
                </c:pt>
                <c:pt idx="74">
                  <c:v>25.692810000000001</c:v>
                </c:pt>
                <c:pt idx="75">
                  <c:v>29.345829999999999</c:v>
                </c:pt>
                <c:pt idx="76">
                  <c:v>30.042899999999999</c:v>
                </c:pt>
                <c:pt idx="77">
                  <c:v>20.301200000000001</c:v>
                </c:pt>
                <c:pt idx="78">
                  <c:v>17.710139999999999</c:v>
                </c:pt>
                <c:pt idx="79">
                  <c:v>21.444690000000001</c:v>
                </c:pt>
                <c:pt idx="80">
                  <c:v>14.95707</c:v>
                </c:pt>
                <c:pt idx="81">
                  <c:v>24.76164</c:v>
                </c:pt>
                <c:pt idx="82">
                  <c:v>20.002400000000002</c:v>
                </c:pt>
                <c:pt idx="83">
                  <c:v>14.73526</c:v>
                </c:pt>
                <c:pt idx="84">
                  <c:v>33.98845</c:v>
                </c:pt>
                <c:pt idx="85">
                  <c:v>16.601310000000002</c:v>
                </c:pt>
                <c:pt idx="86">
                  <c:v>19.479099999999999</c:v>
                </c:pt>
                <c:pt idx="87">
                  <c:v>17.377749999999999</c:v>
                </c:pt>
                <c:pt idx="88">
                  <c:v>22.701460000000001</c:v>
                </c:pt>
                <c:pt idx="89">
                  <c:v>23.36467</c:v>
                </c:pt>
                <c:pt idx="90">
                  <c:v>19.459050000000001</c:v>
                </c:pt>
                <c:pt idx="91">
                  <c:v>13.054500000000001</c:v>
                </c:pt>
              </c:numCache>
            </c:numRef>
          </c:yVal>
          <c:smooth val="0"/>
          <c:extLst>
            <c:ext xmlns:c16="http://schemas.microsoft.com/office/drawing/2014/chart" uri="{C3380CC4-5D6E-409C-BE32-E72D297353CC}">
              <c16:uniqueId val="{00000002-F5B4-4FA1-83E9-FAB5B922B57B}"/>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Driftsutgifter!$O$797:$O$844</c:f>
              <c:numCache>
                <c:formatCode>General</c:formatCode>
                <c:ptCount val="48"/>
                <c:pt idx="0">
                  <c:v>14.001659999999999</c:v>
                </c:pt>
                <c:pt idx="1">
                  <c:v>12.587529999999999</c:v>
                </c:pt>
                <c:pt idx="2">
                  <c:v>18.296610000000001</c:v>
                </c:pt>
                <c:pt idx="3">
                  <c:v>17.860720000000001</c:v>
                </c:pt>
                <c:pt idx="4">
                  <c:v>22.224769999999999</c:v>
                </c:pt>
                <c:pt idx="5">
                  <c:v>15.025919999999999</c:v>
                </c:pt>
                <c:pt idx="6">
                  <c:v>70.240530000000007</c:v>
                </c:pt>
                <c:pt idx="7">
                  <c:v>18.859590000000001</c:v>
                </c:pt>
                <c:pt idx="8">
                  <c:v>15.081519999999999</c:v>
                </c:pt>
                <c:pt idx="9">
                  <c:v>11.626010000000001</c:v>
                </c:pt>
                <c:pt idx="10">
                  <c:v>21.21895</c:v>
                </c:pt>
                <c:pt idx="11">
                  <c:v>28.60575</c:v>
                </c:pt>
                <c:pt idx="12">
                  <c:v>19.183199999999999</c:v>
                </c:pt>
                <c:pt idx="13">
                  <c:v>65.090990000000005</c:v>
                </c:pt>
                <c:pt idx="14">
                  <c:v>40.617919999999998</c:v>
                </c:pt>
                <c:pt idx="15">
                  <c:v>22.101289999999999</c:v>
                </c:pt>
                <c:pt idx="16">
                  <c:v>26.816199999999998</c:v>
                </c:pt>
                <c:pt idx="17">
                  <c:v>22.273240000000001</c:v>
                </c:pt>
                <c:pt idx="18">
                  <c:v>15.32635</c:v>
                </c:pt>
                <c:pt idx="19">
                  <c:v>16.17116</c:v>
                </c:pt>
                <c:pt idx="20">
                  <c:v>13.906969999999999</c:v>
                </c:pt>
                <c:pt idx="21">
                  <c:v>21.287089999999999</c:v>
                </c:pt>
                <c:pt idx="22">
                  <c:v>34.129800000000003</c:v>
                </c:pt>
                <c:pt idx="23">
                  <c:v>20.607959999999999</c:v>
                </c:pt>
                <c:pt idx="24">
                  <c:v>90.169730000000001</c:v>
                </c:pt>
                <c:pt idx="25">
                  <c:v>17.462399999999999</c:v>
                </c:pt>
                <c:pt idx="26">
                  <c:v>45.730440000000002</c:v>
                </c:pt>
                <c:pt idx="27">
                  <c:v>20.916239999999998</c:v>
                </c:pt>
                <c:pt idx="28">
                  <c:v>17.827950000000001</c:v>
                </c:pt>
                <c:pt idx="29">
                  <c:v>18.265910000000002</c:v>
                </c:pt>
                <c:pt idx="30">
                  <c:v>30.478190000000001</c:v>
                </c:pt>
                <c:pt idx="31">
                  <c:v>20.724350000000001</c:v>
                </c:pt>
                <c:pt idx="32">
                  <c:v>12.0909</c:v>
                </c:pt>
                <c:pt idx="33">
                  <c:v>17.386240000000001</c:v>
                </c:pt>
                <c:pt idx="34">
                  <c:v>22.554939999999998</c:v>
                </c:pt>
                <c:pt idx="35">
                  <c:v>49.036209999999997</c:v>
                </c:pt>
                <c:pt idx="36">
                  <c:v>59.597580000000001</c:v>
                </c:pt>
                <c:pt idx="37">
                  <c:v>26.94763</c:v>
                </c:pt>
                <c:pt idx="38">
                  <c:v>19.829789999999999</c:v>
                </c:pt>
                <c:pt idx="39">
                  <c:v>25.38944</c:v>
                </c:pt>
                <c:pt idx="40">
                  <c:v>19.16602</c:v>
                </c:pt>
                <c:pt idx="41">
                  <c:v>20.234870000000001</c:v>
                </c:pt>
                <c:pt idx="42">
                  <c:v>27.167439999999999</c:v>
                </c:pt>
                <c:pt idx="43">
                  <c:v>19.606020000000001</c:v>
                </c:pt>
                <c:pt idx="44">
                  <c:v>18.996390000000002</c:v>
                </c:pt>
                <c:pt idx="45">
                  <c:v>16.88588</c:v>
                </c:pt>
                <c:pt idx="46">
                  <c:v>26.516069999999999</c:v>
                </c:pt>
                <c:pt idx="47">
                  <c:v>12.012499999999999</c:v>
                </c:pt>
              </c:numCache>
            </c:numRef>
          </c:yVal>
          <c:smooth val="0"/>
          <c:extLst>
            <c:ext xmlns:c16="http://schemas.microsoft.com/office/drawing/2014/chart" uri="{C3380CC4-5D6E-409C-BE32-E72D297353CC}">
              <c16:uniqueId val="{00000003-F5B4-4FA1-83E9-FAB5B922B57B}"/>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Driftsutgifter!$O$845:$O$890</c:f>
              <c:numCache>
                <c:formatCode>General</c:formatCode>
                <c:ptCount val="46"/>
                <c:pt idx="0">
                  <c:v>22.449839999999998</c:v>
                </c:pt>
                <c:pt idx="1">
                  <c:v>18.126660000000001</c:v>
                </c:pt>
                <c:pt idx="2">
                  <c:v>45.470419999999997</c:v>
                </c:pt>
                <c:pt idx="3">
                  <c:v>25.267589999999998</c:v>
                </c:pt>
                <c:pt idx="4">
                  <c:v>16.105609999999999</c:v>
                </c:pt>
                <c:pt idx="5">
                  <c:v>24.474440000000001</c:v>
                </c:pt>
                <c:pt idx="6">
                  <c:v>28.055099999999999</c:v>
                </c:pt>
                <c:pt idx="7">
                  <c:v>22.979679999999998</c:v>
                </c:pt>
                <c:pt idx="8">
                  <c:v>35.35454</c:v>
                </c:pt>
                <c:pt idx="9">
                  <c:v>20.37201</c:v>
                </c:pt>
                <c:pt idx="10">
                  <c:v>28.892019999999999</c:v>
                </c:pt>
                <c:pt idx="11">
                  <c:v>20.025880000000001</c:v>
                </c:pt>
                <c:pt idx="12">
                  <c:v>16.830539999999999</c:v>
                </c:pt>
                <c:pt idx="13">
                  <c:v>22.332609999999999</c:v>
                </c:pt>
                <c:pt idx="14">
                  <c:v>20.310510000000001</c:v>
                </c:pt>
                <c:pt idx="15">
                  <c:v>23.387910000000002</c:v>
                </c:pt>
                <c:pt idx="16">
                  <c:v>25.575990000000001</c:v>
                </c:pt>
                <c:pt idx="17">
                  <c:v>15.18308</c:v>
                </c:pt>
                <c:pt idx="18">
                  <c:v>25.093319999999999</c:v>
                </c:pt>
                <c:pt idx="19">
                  <c:v>19.75339</c:v>
                </c:pt>
                <c:pt idx="20">
                  <c:v>22.39227</c:v>
                </c:pt>
                <c:pt idx="21">
                  <c:v>15.99926</c:v>
                </c:pt>
                <c:pt idx="22">
                  <c:v>19.004740000000002</c:v>
                </c:pt>
                <c:pt idx="23">
                  <c:v>19.161180000000002</c:v>
                </c:pt>
                <c:pt idx="24">
                  <c:v>25.712720000000001</c:v>
                </c:pt>
                <c:pt idx="25">
                  <c:v>22.78049</c:v>
                </c:pt>
                <c:pt idx="26">
                  <c:v>17.718430000000001</c:v>
                </c:pt>
                <c:pt idx="27">
                  <c:v>25.4817</c:v>
                </c:pt>
                <c:pt idx="28">
                  <c:v>26.044930000000001</c:v>
                </c:pt>
                <c:pt idx="29">
                  <c:v>21.751349999999999</c:v>
                </c:pt>
                <c:pt idx="30">
                  <c:v>26.576789999999999</c:v>
                </c:pt>
                <c:pt idx="31">
                  <c:v>23.51389</c:v>
                </c:pt>
                <c:pt idx="32">
                  <c:v>29.304790000000001</c:v>
                </c:pt>
                <c:pt idx="33">
                  <c:v>22.684850000000001</c:v>
                </c:pt>
                <c:pt idx="34">
                  <c:v>29.625499999999999</c:v>
                </c:pt>
                <c:pt idx="35">
                  <c:v>21.234210000000001</c:v>
                </c:pt>
                <c:pt idx="36">
                  <c:v>18.805820000000001</c:v>
                </c:pt>
                <c:pt idx="37">
                  <c:v>15.29148</c:v>
                </c:pt>
                <c:pt idx="38">
                  <c:v>18.523689999999998</c:v>
                </c:pt>
                <c:pt idx="39">
                  <c:v>19.954219999999999</c:v>
                </c:pt>
                <c:pt idx="40">
                  <c:v>21.848929999999999</c:v>
                </c:pt>
                <c:pt idx="41">
                  <c:v>24.558810000000001</c:v>
                </c:pt>
                <c:pt idx="42">
                  <c:v>28.59704</c:v>
                </c:pt>
                <c:pt idx="43">
                  <c:v>14.956849999999999</c:v>
                </c:pt>
                <c:pt idx="44">
                  <c:v>24.058900000000001</c:v>
                </c:pt>
                <c:pt idx="45">
                  <c:v>14.94242</c:v>
                </c:pt>
              </c:numCache>
            </c:numRef>
          </c:yVal>
          <c:smooth val="0"/>
          <c:extLst>
            <c:ext xmlns:c16="http://schemas.microsoft.com/office/drawing/2014/chart" uri="{C3380CC4-5D6E-409C-BE32-E72D297353CC}">
              <c16:uniqueId val="{00000004-F5B4-4FA1-83E9-FAB5B922B57B}"/>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Driftsutgifter!$O$891:$O$942</c:f>
              <c:numCache>
                <c:formatCode>General</c:formatCode>
                <c:ptCount val="52"/>
                <c:pt idx="0">
                  <c:v>14.521839999999999</c:v>
                </c:pt>
                <c:pt idx="1">
                  <c:v>19.019559999999998</c:v>
                </c:pt>
                <c:pt idx="2">
                  <c:v>17.516999999999999</c:v>
                </c:pt>
                <c:pt idx="3">
                  <c:v>20.28097</c:v>
                </c:pt>
                <c:pt idx="4">
                  <c:v>18.190300000000001</c:v>
                </c:pt>
                <c:pt idx="5">
                  <c:v>17.091889999999999</c:v>
                </c:pt>
                <c:pt idx="6">
                  <c:v>17.443290000000001</c:v>
                </c:pt>
                <c:pt idx="7">
                  <c:v>16.78678</c:v>
                </c:pt>
                <c:pt idx="8">
                  <c:v>14.048629999999999</c:v>
                </c:pt>
                <c:pt idx="9">
                  <c:v>20.06606</c:v>
                </c:pt>
                <c:pt idx="10">
                  <c:v>16.981770000000001</c:v>
                </c:pt>
                <c:pt idx="11">
                  <c:v>13.572649999999999</c:v>
                </c:pt>
                <c:pt idx="12">
                  <c:v>15.92826</c:v>
                </c:pt>
                <c:pt idx="13">
                  <c:v>21.638030000000001</c:v>
                </c:pt>
                <c:pt idx="14">
                  <c:v>18.483529999999998</c:v>
                </c:pt>
                <c:pt idx="15">
                  <c:v>18.428249999999998</c:v>
                </c:pt>
                <c:pt idx="16">
                  <c:v>20.285350000000001</c:v>
                </c:pt>
                <c:pt idx="17">
                  <c:v>14.40804</c:v>
                </c:pt>
                <c:pt idx="18">
                  <c:v>24.990369999999999</c:v>
                </c:pt>
                <c:pt idx="19">
                  <c:v>22.82715</c:v>
                </c:pt>
                <c:pt idx="20">
                  <c:v>19.623200000000001</c:v>
                </c:pt>
                <c:pt idx="21">
                  <c:v>26.13391</c:v>
                </c:pt>
                <c:pt idx="22">
                  <c:v>11.762280000000001</c:v>
                </c:pt>
                <c:pt idx="23">
                  <c:v>14.372479999999999</c:v>
                </c:pt>
                <c:pt idx="24">
                  <c:v>26.762</c:v>
                </c:pt>
                <c:pt idx="25">
                  <c:v>17.344889999999999</c:v>
                </c:pt>
                <c:pt idx="26">
                  <c:v>16.12434</c:v>
                </c:pt>
                <c:pt idx="27">
                  <c:v>23.25112</c:v>
                </c:pt>
                <c:pt idx="28">
                  <c:v>33.777180000000001</c:v>
                </c:pt>
                <c:pt idx="29">
                  <c:v>23.749580000000002</c:v>
                </c:pt>
                <c:pt idx="30">
                  <c:v>14.322150000000001</c:v>
                </c:pt>
                <c:pt idx="31">
                  <c:v>23.85746</c:v>
                </c:pt>
                <c:pt idx="32">
                  <c:v>28.692969999999999</c:v>
                </c:pt>
                <c:pt idx="33">
                  <c:v>15.69238</c:v>
                </c:pt>
                <c:pt idx="34">
                  <c:v>18.24213</c:v>
                </c:pt>
                <c:pt idx="35">
                  <c:v>39.36027</c:v>
                </c:pt>
                <c:pt idx="36">
                  <c:v>43.193069999999999</c:v>
                </c:pt>
                <c:pt idx="37">
                  <c:v>23.95927</c:v>
                </c:pt>
                <c:pt idx="38">
                  <c:v>20.685220000000001</c:v>
                </c:pt>
                <c:pt idx="39">
                  <c:v>18.507110000000001</c:v>
                </c:pt>
                <c:pt idx="40">
                  <c:v>18.15091</c:v>
                </c:pt>
                <c:pt idx="41">
                  <c:v>21.68938</c:v>
                </c:pt>
                <c:pt idx="42">
                  <c:v>19.236689999999999</c:v>
                </c:pt>
                <c:pt idx="43">
                  <c:v>33.279130000000002</c:v>
                </c:pt>
                <c:pt idx="44">
                  <c:v>12.766220000000001</c:v>
                </c:pt>
                <c:pt idx="45">
                  <c:v>15.990790000000001</c:v>
                </c:pt>
                <c:pt idx="46">
                  <c:v>16.43854</c:v>
                </c:pt>
                <c:pt idx="47">
                  <c:v>33.1524</c:v>
                </c:pt>
                <c:pt idx="48">
                  <c:v>30.092659999999999</c:v>
                </c:pt>
                <c:pt idx="49">
                  <c:v>23.484110000000001</c:v>
                </c:pt>
                <c:pt idx="50">
                  <c:v>32.159179999999999</c:v>
                </c:pt>
                <c:pt idx="51">
                  <c:v>16.78397</c:v>
                </c:pt>
              </c:numCache>
            </c:numRef>
          </c:yVal>
          <c:smooth val="0"/>
          <c:extLst>
            <c:ext xmlns:c16="http://schemas.microsoft.com/office/drawing/2014/chart" uri="{C3380CC4-5D6E-409C-BE32-E72D297353CC}">
              <c16:uniqueId val="{00000005-F5B4-4FA1-83E9-FAB5B922B57B}"/>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(9) Kapsl. og rentek., PIM-ddl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Driftsutgifter!$P$587:$P$666</c:f>
              <c:numCache>
                <c:formatCode>General</c:formatCode>
                <c:ptCount val="80"/>
                <c:pt idx="0">
                  <c:v>37.222880000000004</c:v>
                </c:pt>
                <c:pt idx="1">
                  <c:v>58.269959999999998</c:v>
                </c:pt>
                <c:pt idx="2">
                  <c:v>32.728020000000001</c:v>
                </c:pt>
                <c:pt idx="3">
                  <c:v>50.928339999999999</c:v>
                </c:pt>
                <c:pt idx="4">
                  <c:v>24.058949999999999</c:v>
                </c:pt>
                <c:pt idx="5">
                  <c:v>45.062019999999997</c:v>
                </c:pt>
                <c:pt idx="6">
                  <c:v>39.500369999999997</c:v>
                </c:pt>
                <c:pt idx="7">
                  <c:v>21.257580000000001</c:v>
                </c:pt>
                <c:pt idx="8">
                  <c:v>27.036549999999998</c:v>
                </c:pt>
                <c:pt idx="9">
                  <c:v>35.937080000000002</c:v>
                </c:pt>
                <c:pt idx="10">
                  <c:v>36.20684</c:v>
                </c:pt>
                <c:pt idx="11">
                  <c:v>79.880709999999993</c:v>
                </c:pt>
                <c:pt idx="12">
                  <c:v>33.225960000000001</c:v>
                </c:pt>
                <c:pt idx="13">
                  <c:v>45.983969999999999</c:v>
                </c:pt>
                <c:pt idx="14">
                  <c:v>23.426459999999999</c:v>
                </c:pt>
                <c:pt idx="15">
                  <c:v>50.304609999999997</c:v>
                </c:pt>
                <c:pt idx="16">
                  <c:v>23.993459999999999</c:v>
                </c:pt>
                <c:pt idx="17">
                  <c:v>41.40475</c:v>
                </c:pt>
                <c:pt idx="18">
                  <c:v>24.186959999999999</c:v>
                </c:pt>
                <c:pt idx="19">
                  <c:v>38.178229999999999</c:v>
                </c:pt>
                <c:pt idx="20">
                  <c:v>23.05977</c:v>
                </c:pt>
                <c:pt idx="21">
                  <c:v>24.00741</c:v>
                </c:pt>
                <c:pt idx="22">
                  <c:v>45.101970000000001</c:v>
                </c:pt>
                <c:pt idx="23">
                  <c:v>32.89922</c:v>
                </c:pt>
                <c:pt idx="24">
                  <c:v>25.74399</c:v>
                </c:pt>
                <c:pt idx="25">
                  <c:v>23.665839999999999</c:v>
                </c:pt>
                <c:pt idx="26">
                  <c:v>47.711480000000002</c:v>
                </c:pt>
                <c:pt idx="27">
                  <c:v>33.657769999999999</c:v>
                </c:pt>
                <c:pt idx="28">
                  <c:v>26.508140000000001</c:v>
                </c:pt>
                <c:pt idx="29">
                  <c:v>18.16536</c:v>
                </c:pt>
                <c:pt idx="30">
                  <c:v>28.253779999999999</c:v>
                </c:pt>
                <c:pt idx="31">
                  <c:v>23.374860000000002</c:v>
                </c:pt>
                <c:pt idx="32">
                  <c:v>47.818579999999997</c:v>
                </c:pt>
                <c:pt idx="33">
                  <c:v>34.63438</c:v>
                </c:pt>
                <c:pt idx="34">
                  <c:v>41.01999</c:v>
                </c:pt>
                <c:pt idx="35">
                  <c:v>17.85069</c:v>
                </c:pt>
                <c:pt idx="36">
                  <c:v>26.320139999999999</c:v>
                </c:pt>
                <c:pt idx="37">
                  <c:v>29.40476</c:v>
                </c:pt>
                <c:pt idx="38">
                  <c:v>40.18824</c:v>
                </c:pt>
                <c:pt idx="39">
                  <c:v>40.285110000000003</c:v>
                </c:pt>
                <c:pt idx="40">
                  <c:v>34.199150000000003</c:v>
                </c:pt>
                <c:pt idx="41">
                  <c:v>34.740760000000002</c:v>
                </c:pt>
                <c:pt idx="42">
                  <c:v>33.173839999999998</c:v>
                </c:pt>
                <c:pt idx="43">
                  <c:v>18.011690000000002</c:v>
                </c:pt>
                <c:pt idx="44">
                  <c:v>57.374949999999998</c:v>
                </c:pt>
                <c:pt idx="45">
                  <c:v>47.248339999999999</c:v>
                </c:pt>
                <c:pt idx="46">
                  <c:v>23.544809999999998</c:v>
                </c:pt>
                <c:pt idx="47">
                  <c:v>34.312480000000001</c:v>
                </c:pt>
                <c:pt idx="48">
                  <c:v>26.89987</c:v>
                </c:pt>
                <c:pt idx="49">
                  <c:v>26.55311</c:v>
                </c:pt>
                <c:pt idx="50">
                  <c:v>43.009300000000003</c:v>
                </c:pt>
                <c:pt idx="51">
                  <c:v>18.50901</c:v>
                </c:pt>
                <c:pt idx="52">
                  <c:v>28.172370000000001</c:v>
                </c:pt>
                <c:pt idx="53">
                  <c:v>52.94171</c:v>
                </c:pt>
                <c:pt idx="54">
                  <c:v>24.032409999999999</c:v>
                </c:pt>
                <c:pt idx="55">
                  <c:v>27.9053</c:v>
                </c:pt>
                <c:pt idx="56">
                  <c:v>29.570329999999998</c:v>
                </c:pt>
                <c:pt idx="57">
                  <c:v>38.747410000000002</c:v>
                </c:pt>
                <c:pt idx="58">
                  <c:v>20.035550000000001</c:v>
                </c:pt>
                <c:pt idx="59">
                  <c:v>37.219230000000003</c:v>
                </c:pt>
                <c:pt idx="60">
                  <c:v>18.264410000000002</c:v>
                </c:pt>
                <c:pt idx="61">
                  <c:v>24.507760000000001</c:v>
                </c:pt>
                <c:pt idx="62">
                  <c:v>40.217089999999999</c:v>
                </c:pt>
                <c:pt idx="63">
                  <c:v>60.421039999999998</c:v>
                </c:pt>
                <c:pt idx="64">
                  <c:v>25.839030000000001</c:v>
                </c:pt>
                <c:pt idx="65">
                  <c:v>31.235489999999999</c:v>
                </c:pt>
                <c:pt idx="66">
                  <c:v>33.588999999999999</c:v>
                </c:pt>
                <c:pt idx="67">
                  <c:v>22.205179999999999</c:v>
                </c:pt>
                <c:pt idx="68">
                  <c:v>23.03809</c:v>
                </c:pt>
                <c:pt idx="69">
                  <c:v>34.047669999999997</c:v>
                </c:pt>
                <c:pt idx="70">
                  <c:v>16.503399999999999</c:v>
                </c:pt>
                <c:pt idx="71">
                  <c:v>46.275709999999997</c:v>
                </c:pt>
                <c:pt idx="72">
                  <c:v>26.909749999999999</c:v>
                </c:pt>
                <c:pt idx="73">
                  <c:v>18.241700000000002</c:v>
                </c:pt>
                <c:pt idx="74">
                  <c:v>26.558479999999999</c:v>
                </c:pt>
                <c:pt idx="75">
                  <c:v>36.500489999999999</c:v>
                </c:pt>
                <c:pt idx="76">
                  <c:v>25.984729999999999</c:v>
                </c:pt>
                <c:pt idx="77">
                  <c:v>25.88693</c:v>
                </c:pt>
                <c:pt idx="78">
                  <c:v>47.453400000000002</c:v>
                </c:pt>
                <c:pt idx="79">
                  <c:v>39.1678</c:v>
                </c:pt>
              </c:numCache>
            </c:numRef>
          </c:yVal>
          <c:smooth val="0"/>
          <c:extLst>
            <c:ext xmlns:c16="http://schemas.microsoft.com/office/drawing/2014/chart" uri="{C3380CC4-5D6E-409C-BE32-E72D297353CC}">
              <c16:uniqueId val="{00000000-DDF0-4971-8E1B-031640B45B89}"/>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Driftsutgifter!$P$667:$P$704</c:f>
              <c:numCache>
                <c:formatCode>General</c:formatCode>
                <c:ptCount val="38"/>
                <c:pt idx="0">
                  <c:v>39.631050000000002</c:v>
                </c:pt>
                <c:pt idx="1">
                  <c:v>26.64621</c:v>
                </c:pt>
                <c:pt idx="2">
                  <c:v>42.17671</c:v>
                </c:pt>
                <c:pt idx="3">
                  <c:v>22.56982</c:v>
                </c:pt>
                <c:pt idx="4">
                  <c:v>29.910620000000002</c:v>
                </c:pt>
                <c:pt idx="5">
                  <c:v>30.26606</c:v>
                </c:pt>
                <c:pt idx="6">
                  <c:v>24.713719999999999</c:v>
                </c:pt>
                <c:pt idx="7">
                  <c:v>23.74213</c:v>
                </c:pt>
                <c:pt idx="8">
                  <c:v>21.022099999999998</c:v>
                </c:pt>
                <c:pt idx="9">
                  <c:v>23.885390000000001</c:v>
                </c:pt>
                <c:pt idx="10">
                  <c:v>33.165750000000003</c:v>
                </c:pt>
                <c:pt idx="11">
                  <c:v>25.16743</c:v>
                </c:pt>
                <c:pt idx="12">
                  <c:v>16.9954</c:v>
                </c:pt>
                <c:pt idx="13">
                  <c:v>20.547529999999998</c:v>
                </c:pt>
                <c:pt idx="14">
                  <c:v>22.027349999999998</c:v>
                </c:pt>
                <c:pt idx="15">
                  <c:v>22.259920000000001</c:v>
                </c:pt>
                <c:pt idx="16">
                  <c:v>37.734360000000002</c:v>
                </c:pt>
                <c:pt idx="17">
                  <c:v>30.012</c:v>
                </c:pt>
                <c:pt idx="18">
                  <c:v>35.010210000000001</c:v>
                </c:pt>
                <c:pt idx="19">
                  <c:v>28.885000000000002</c:v>
                </c:pt>
                <c:pt idx="20">
                  <c:v>37.994390000000003</c:v>
                </c:pt>
                <c:pt idx="21">
                  <c:v>21.114070000000002</c:v>
                </c:pt>
                <c:pt idx="22">
                  <c:v>28.854389999999999</c:v>
                </c:pt>
                <c:pt idx="23">
                  <c:v>42.347439999999999</c:v>
                </c:pt>
                <c:pt idx="24">
                  <c:v>21.191240000000001</c:v>
                </c:pt>
                <c:pt idx="25">
                  <c:v>24.312570000000001</c:v>
                </c:pt>
                <c:pt idx="26">
                  <c:v>20.987660000000002</c:v>
                </c:pt>
                <c:pt idx="27">
                  <c:v>33.757800000000003</c:v>
                </c:pt>
                <c:pt idx="28">
                  <c:v>24.762969999999999</c:v>
                </c:pt>
                <c:pt idx="29">
                  <c:v>29.828479999999999</c:v>
                </c:pt>
                <c:pt idx="30">
                  <c:v>30.103539999999999</c:v>
                </c:pt>
                <c:pt idx="31">
                  <c:v>22.754270000000002</c:v>
                </c:pt>
                <c:pt idx="32">
                  <c:v>62.326799999999999</c:v>
                </c:pt>
                <c:pt idx="33">
                  <c:v>51.121029999999998</c:v>
                </c:pt>
                <c:pt idx="34">
                  <c:v>26.306940000000001</c:v>
                </c:pt>
                <c:pt idx="35">
                  <c:v>21.759689999999999</c:v>
                </c:pt>
                <c:pt idx="36">
                  <c:v>20.42886</c:v>
                </c:pt>
                <c:pt idx="37">
                  <c:v>29.630220000000001</c:v>
                </c:pt>
              </c:numCache>
            </c:numRef>
          </c:yVal>
          <c:smooth val="0"/>
          <c:extLst>
            <c:ext xmlns:c16="http://schemas.microsoft.com/office/drawing/2014/chart" uri="{C3380CC4-5D6E-409C-BE32-E72D297353CC}">
              <c16:uniqueId val="{00000001-DDF0-4971-8E1B-031640B45B89}"/>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Driftsutgifter!$P$705:$P$796</c:f>
              <c:numCache>
                <c:formatCode>General</c:formatCode>
                <c:ptCount val="92"/>
                <c:pt idx="0">
                  <c:v>12.723129999999999</c:v>
                </c:pt>
                <c:pt idx="1">
                  <c:v>23.14622</c:v>
                </c:pt>
                <c:pt idx="2">
                  <c:v>28.520720000000001</c:v>
                </c:pt>
                <c:pt idx="3">
                  <c:v>41.134099999999997</c:v>
                </c:pt>
                <c:pt idx="4">
                  <c:v>17.400590000000001</c:v>
                </c:pt>
                <c:pt idx="5">
                  <c:v>16.933219999999999</c:v>
                </c:pt>
                <c:pt idx="6">
                  <c:v>12.46956</c:v>
                </c:pt>
                <c:pt idx="7">
                  <c:v>19.284199999999998</c:v>
                </c:pt>
                <c:pt idx="8">
                  <c:v>18.14526</c:v>
                </c:pt>
                <c:pt idx="9">
                  <c:v>20.545580000000001</c:v>
                </c:pt>
                <c:pt idx="10">
                  <c:v>61.568100000000001</c:v>
                </c:pt>
                <c:pt idx="11">
                  <c:v>27.205729999999999</c:v>
                </c:pt>
                <c:pt idx="12">
                  <c:v>22.157969999999999</c:v>
                </c:pt>
                <c:pt idx="13">
                  <c:v>27.33933</c:v>
                </c:pt>
                <c:pt idx="14">
                  <c:v>15.2319</c:v>
                </c:pt>
                <c:pt idx="15">
                  <c:v>21.67859</c:v>
                </c:pt>
                <c:pt idx="16">
                  <c:v>27.583069999999999</c:v>
                </c:pt>
                <c:pt idx="17">
                  <c:v>18.2729</c:v>
                </c:pt>
                <c:pt idx="18">
                  <c:v>31.87209</c:v>
                </c:pt>
                <c:pt idx="19">
                  <c:v>13.658530000000001</c:v>
                </c:pt>
                <c:pt idx="20">
                  <c:v>18.935400000000001</c:v>
                </c:pt>
                <c:pt idx="21">
                  <c:v>24.967099999999999</c:v>
                </c:pt>
                <c:pt idx="22">
                  <c:v>29.78105</c:v>
                </c:pt>
                <c:pt idx="23">
                  <c:v>20.57771</c:v>
                </c:pt>
                <c:pt idx="24">
                  <c:v>16.07281</c:v>
                </c:pt>
                <c:pt idx="25">
                  <c:v>30.909140000000001</c:v>
                </c:pt>
                <c:pt idx="26">
                  <c:v>22.207360000000001</c:v>
                </c:pt>
                <c:pt idx="27">
                  <c:v>18.71997</c:v>
                </c:pt>
                <c:pt idx="28">
                  <c:v>18.96546</c:v>
                </c:pt>
                <c:pt idx="29">
                  <c:v>15.14795</c:v>
                </c:pt>
                <c:pt idx="30">
                  <c:v>26.802350000000001</c:v>
                </c:pt>
                <c:pt idx="31">
                  <c:v>85.742869999999996</c:v>
                </c:pt>
                <c:pt idx="32">
                  <c:v>26.95824</c:v>
                </c:pt>
                <c:pt idx="33">
                  <c:v>21.078109999999999</c:v>
                </c:pt>
                <c:pt idx="34">
                  <c:v>22.859120000000001</c:v>
                </c:pt>
                <c:pt idx="35">
                  <c:v>32.682020000000001</c:v>
                </c:pt>
                <c:pt idx="36">
                  <c:v>23.166969999999999</c:v>
                </c:pt>
                <c:pt idx="37">
                  <c:v>24.15202</c:v>
                </c:pt>
                <c:pt idx="38">
                  <c:v>18.029419999999998</c:v>
                </c:pt>
                <c:pt idx="39">
                  <c:v>24.39096</c:v>
                </c:pt>
                <c:pt idx="40">
                  <c:v>56.469810000000003</c:v>
                </c:pt>
                <c:pt idx="41">
                  <c:v>24.915179999999999</c:v>
                </c:pt>
                <c:pt idx="42">
                  <c:v>47.800359999999998</c:v>
                </c:pt>
                <c:pt idx="43">
                  <c:v>16.432009999999998</c:v>
                </c:pt>
                <c:pt idx="44">
                  <c:v>22.419699999999999</c:v>
                </c:pt>
                <c:pt idx="45">
                  <c:v>16.03558</c:v>
                </c:pt>
                <c:pt idx="46">
                  <c:v>21.451630000000002</c:v>
                </c:pt>
                <c:pt idx="47">
                  <c:v>18.327629999999999</c:v>
                </c:pt>
                <c:pt idx="48">
                  <c:v>33.852040000000002</c:v>
                </c:pt>
                <c:pt idx="49">
                  <c:v>27.885929999999998</c:v>
                </c:pt>
                <c:pt idx="50">
                  <c:v>17.303650000000001</c:v>
                </c:pt>
                <c:pt idx="51">
                  <c:v>21.249649999999999</c:v>
                </c:pt>
                <c:pt idx="52">
                  <c:v>26.486129999999999</c:v>
                </c:pt>
                <c:pt idx="53">
                  <c:v>20.358529999999998</c:v>
                </c:pt>
                <c:pt idx="54">
                  <c:v>36.921909999999997</c:v>
                </c:pt>
                <c:pt idx="55">
                  <c:v>20.94286</c:v>
                </c:pt>
                <c:pt idx="56">
                  <c:v>42.06006</c:v>
                </c:pt>
                <c:pt idx="57">
                  <c:v>25.655069999999998</c:v>
                </c:pt>
                <c:pt idx="58">
                  <c:v>55.657060000000001</c:v>
                </c:pt>
                <c:pt idx="59">
                  <c:v>21.622730000000001</c:v>
                </c:pt>
                <c:pt idx="60">
                  <c:v>20.395</c:v>
                </c:pt>
                <c:pt idx="61">
                  <c:v>20.434799999999999</c:v>
                </c:pt>
                <c:pt idx="62">
                  <c:v>23.38514</c:v>
                </c:pt>
                <c:pt idx="63">
                  <c:v>42.485239999999997</c:v>
                </c:pt>
                <c:pt idx="64">
                  <c:v>89.436040000000006</c:v>
                </c:pt>
                <c:pt idx="65">
                  <c:v>19.999780000000001</c:v>
                </c:pt>
                <c:pt idx="66">
                  <c:v>18.188680000000002</c:v>
                </c:pt>
                <c:pt idx="67">
                  <c:v>25.979869999999998</c:v>
                </c:pt>
                <c:pt idx="68">
                  <c:v>21.106580000000001</c:v>
                </c:pt>
                <c:pt idx="69">
                  <c:v>18.740670000000001</c:v>
                </c:pt>
                <c:pt idx="70">
                  <c:v>21.202259999999999</c:v>
                </c:pt>
                <c:pt idx="71">
                  <c:v>24.586069999999999</c:v>
                </c:pt>
                <c:pt idx="72">
                  <c:v>23.396270000000001</c:v>
                </c:pt>
                <c:pt idx="73">
                  <c:v>29.56728</c:v>
                </c:pt>
                <c:pt idx="74">
                  <c:v>25.722760000000001</c:v>
                </c:pt>
                <c:pt idx="75">
                  <c:v>31.28144</c:v>
                </c:pt>
                <c:pt idx="76">
                  <c:v>31.61646</c:v>
                </c:pt>
                <c:pt idx="77">
                  <c:v>22.004149999999999</c:v>
                </c:pt>
                <c:pt idx="78">
                  <c:v>19.147480000000002</c:v>
                </c:pt>
                <c:pt idx="79">
                  <c:v>23.673770000000001</c:v>
                </c:pt>
                <c:pt idx="80">
                  <c:v>16.291229999999999</c:v>
                </c:pt>
                <c:pt idx="81">
                  <c:v>26.245999999999999</c:v>
                </c:pt>
                <c:pt idx="82">
                  <c:v>21.63456</c:v>
                </c:pt>
                <c:pt idx="83">
                  <c:v>16.887740000000001</c:v>
                </c:pt>
                <c:pt idx="84">
                  <c:v>35.304389999999998</c:v>
                </c:pt>
                <c:pt idx="85">
                  <c:v>17.712330000000001</c:v>
                </c:pt>
                <c:pt idx="86">
                  <c:v>19.375810000000001</c:v>
                </c:pt>
                <c:pt idx="87">
                  <c:v>19.50047</c:v>
                </c:pt>
                <c:pt idx="88">
                  <c:v>23.674669999999999</c:v>
                </c:pt>
                <c:pt idx="89">
                  <c:v>27.934480000000001</c:v>
                </c:pt>
                <c:pt idx="90">
                  <c:v>20.458880000000001</c:v>
                </c:pt>
                <c:pt idx="91">
                  <c:v>13.93277</c:v>
                </c:pt>
              </c:numCache>
            </c:numRef>
          </c:yVal>
          <c:smooth val="0"/>
          <c:extLst>
            <c:ext xmlns:c16="http://schemas.microsoft.com/office/drawing/2014/chart" uri="{C3380CC4-5D6E-409C-BE32-E72D297353CC}">
              <c16:uniqueId val="{00000002-DDF0-4971-8E1B-031640B45B89}"/>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Driftsutgifter!$P$797:$P$844</c:f>
              <c:numCache>
                <c:formatCode>General</c:formatCode>
                <c:ptCount val="48"/>
                <c:pt idx="0">
                  <c:v>14.696350000000001</c:v>
                </c:pt>
                <c:pt idx="1">
                  <c:v>12.3094</c:v>
                </c:pt>
                <c:pt idx="2">
                  <c:v>19.71716</c:v>
                </c:pt>
                <c:pt idx="3">
                  <c:v>18.918420000000001</c:v>
                </c:pt>
                <c:pt idx="4">
                  <c:v>23.60744</c:v>
                </c:pt>
                <c:pt idx="5">
                  <c:v>15.48231</c:v>
                </c:pt>
                <c:pt idx="6">
                  <c:v>81.706119999999999</c:v>
                </c:pt>
                <c:pt idx="7">
                  <c:v>20.993269999999999</c:v>
                </c:pt>
                <c:pt idx="8">
                  <c:v>16.793030000000002</c:v>
                </c:pt>
                <c:pt idx="9">
                  <c:v>12.82673</c:v>
                </c:pt>
                <c:pt idx="10">
                  <c:v>22.954180000000001</c:v>
                </c:pt>
                <c:pt idx="11">
                  <c:v>28.899090000000001</c:v>
                </c:pt>
                <c:pt idx="12">
                  <c:v>21.81391</c:v>
                </c:pt>
                <c:pt idx="13">
                  <c:v>61.939349999999997</c:v>
                </c:pt>
                <c:pt idx="14">
                  <c:v>44.931489999999997</c:v>
                </c:pt>
                <c:pt idx="15">
                  <c:v>23.941089999999999</c:v>
                </c:pt>
                <c:pt idx="16">
                  <c:v>28.35633</c:v>
                </c:pt>
                <c:pt idx="17">
                  <c:v>22.762619999999998</c:v>
                </c:pt>
                <c:pt idx="18">
                  <c:v>16.678339999999999</c:v>
                </c:pt>
                <c:pt idx="19">
                  <c:v>18.33878</c:v>
                </c:pt>
                <c:pt idx="20">
                  <c:v>15.109859999999999</c:v>
                </c:pt>
                <c:pt idx="21">
                  <c:v>22.461790000000001</c:v>
                </c:pt>
                <c:pt idx="22">
                  <c:v>34.869169999999997</c:v>
                </c:pt>
                <c:pt idx="23">
                  <c:v>20.683319999999998</c:v>
                </c:pt>
                <c:pt idx="24">
                  <c:v>100.6674</c:v>
                </c:pt>
                <c:pt idx="25">
                  <c:v>18.531269999999999</c:v>
                </c:pt>
                <c:pt idx="26">
                  <c:v>45.497990000000001</c:v>
                </c:pt>
                <c:pt idx="27">
                  <c:v>24.34432</c:v>
                </c:pt>
                <c:pt idx="28">
                  <c:v>18.79973</c:v>
                </c:pt>
                <c:pt idx="29">
                  <c:v>19.219349999999999</c:v>
                </c:pt>
                <c:pt idx="30">
                  <c:v>32.458570000000002</c:v>
                </c:pt>
                <c:pt idx="31">
                  <c:v>24.384070000000001</c:v>
                </c:pt>
                <c:pt idx="32">
                  <c:v>13.23512</c:v>
                </c:pt>
                <c:pt idx="33">
                  <c:v>18.253080000000001</c:v>
                </c:pt>
                <c:pt idx="34">
                  <c:v>24.366420000000002</c:v>
                </c:pt>
                <c:pt idx="35">
                  <c:v>53.166849999999997</c:v>
                </c:pt>
                <c:pt idx="36">
                  <c:v>74.664209999999997</c:v>
                </c:pt>
                <c:pt idx="37">
                  <c:v>28.530460000000001</c:v>
                </c:pt>
                <c:pt idx="38">
                  <c:v>21.194610000000001</c:v>
                </c:pt>
                <c:pt idx="39">
                  <c:v>28.192460000000001</c:v>
                </c:pt>
                <c:pt idx="40">
                  <c:v>21.716149999999999</c:v>
                </c:pt>
                <c:pt idx="41">
                  <c:v>21.00055</c:v>
                </c:pt>
                <c:pt idx="42">
                  <c:v>29.010680000000001</c:v>
                </c:pt>
                <c:pt idx="43">
                  <c:v>19.974450000000001</c:v>
                </c:pt>
                <c:pt idx="44">
                  <c:v>20.60258</c:v>
                </c:pt>
                <c:pt idx="45">
                  <c:v>18.289619999999999</c:v>
                </c:pt>
                <c:pt idx="46">
                  <c:v>30.26953</c:v>
                </c:pt>
                <c:pt idx="47">
                  <c:v>13.970800000000001</c:v>
                </c:pt>
              </c:numCache>
            </c:numRef>
          </c:yVal>
          <c:smooth val="0"/>
          <c:extLst>
            <c:ext xmlns:c16="http://schemas.microsoft.com/office/drawing/2014/chart" uri="{C3380CC4-5D6E-409C-BE32-E72D297353CC}">
              <c16:uniqueId val="{00000003-DDF0-4971-8E1B-031640B45B89}"/>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Driftsutgifter!$P$845:$P$890</c:f>
              <c:numCache>
                <c:formatCode>General</c:formatCode>
                <c:ptCount val="46"/>
                <c:pt idx="0">
                  <c:v>23.92418</c:v>
                </c:pt>
                <c:pt idx="1">
                  <c:v>19.274609999999999</c:v>
                </c:pt>
                <c:pt idx="2">
                  <c:v>49.202800000000003</c:v>
                </c:pt>
                <c:pt idx="3">
                  <c:v>30.4602</c:v>
                </c:pt>
                <c:pt idx="4">
                  <c:v>18.967210000000001</c:v>
                </c:pt>
                <c:pt idx="5">
                  <c:v>26.70974</c:v>
                </c:pt>
                <c:pt idx="6">
                  <c:v>29.281469999999999</c:v>
                </c:pt>
                <c:pt idx="7">
                  <c:v>24.01041</c:v>
                </c:pt>
                <c:pt idx="8">
                  <c:v>37.886670000000002</c:v>
                </c:pt>
                <c:pt idx="9">
                  <c:v>21.0379</c:v>
                </c:pt>
                <c:pt idx="10">
                  <c:v>30.587039999999998</c:v>
                </c:pt>
                <c:pt idx="11">
                  <c:v>21.84986</c:v>
                </c:pt>
                <c:pt idx="12">
                  <c:v>19.419699999999999</c:v>
                </c:pt>
                <c:pt idx="13">
                  <c:v>22.476320000000001</c:v>
                </c:pt>
                <c:pt idx="14">
                  <c:v>22.88457</c:v>
                </c:pt>
                <c:pt idx="15">
                  <c:v>24.393689999999999</c:v>
                </c:pt>
                <c:pt idx="16">
                  <c:v>27.171199999999999</c:v>
                </c:pt>
                <c:pt idx="17">
                  <c:v>16.453230000000001</c:v>
                </c:pt>
                <c:pt idx="18">
                  <c:v>28.420670000000001</c:v>
                </c:pt>
                <c:pt idx="19">
                  <c:v>22.03321</c:v>
                </c:pt>
                <c:pt idx="20">
                  <c:v>21.959140000000001</c:v>
                </c:pt>
                <c:pt idx="21">
                  <c:v>17.383009999999999</c:v>
                </c:pt>
                <c:pt idx="22">
                  <c:v>20.555769999999999</c:v>
                </c:pt>
                <c:pt idx="23">
                  <c:v>21.161359999999998</c:v>
                </c:pt>
                <c:pt idx="24">
                  <c:v>28.067869999999999</c:v>
                </c:pt>
                <c:pt idx="25">
                  <c:v>24.09056</c:v>
                </c:pt>
                <c:pt idx="26">
                  <c:v>19.554169999999999</c:v>
                </c:pt>
                <c:pt idx="27">
                  <c:v>28.450520000000001</c:v>
                </c:pt>
                <c:pt idx="28">
                  <c:v>28.30789</c:v>
                </c:pt>
                <c:pt idx="29">
                  <c:v>23.549949999999999</c:v>
                </c:pt>
                <c:pt idx="30">
                  <c:v>30.187809999999999</c:v>
                </c:pt>
                <c:pt idx="31">
                  <c:v>25.967839999999999</c:v>
                </c:pt>
                <c:pt idx="32">
                  <c:v>33.488869999999999</c:v>
                </c:pt>
                <c:pt idx="33">
                  <c:v>25.176369999999999</c:v>
                </c:pt>
                <c:pt idx="34">
                  <c:v>30.485499999999998</c:v>
                </c:pt>
                <c:pt idx="35">
                  <c:v>19.80716</c:v>
                </c:pt>
                <c:pt idx="36">
                  <c:v>20.445810000000002</c:v>
                </c:pt>
                <c:pt idx="37">
                  <c:v>16.977270000000001</c:v>
                </c:pt>
                <c:pt idx="38">
                  <c:v>20.280660000000001</c:v>
                </c:pt>
                <c:pt idx="39">
                  <c:v>20.180420000000002</c:v>
                </c:pt>
                <c:pt idx="40">
                  <c:v>22.696480000000001</c:v>
                </c:pt>
                <c:pt idx="41">
                  <c:v>25.293939999999999</c:v>
                </c:pt>
                <c:pt idx="42">
                  <c:v>34.263010000000001</c:v>
                </c:pt>
                <c:pt idx="43">
                  <c:v>16.380389999999998</c:v>
                </c:pt>
                <c:pt idx="44">
                  <c:v>27.228870000000001</c:v>
                </c:pt>
                <c:pt idx="45">
                  <c:v>16.12604</c:v>
                </c:pt>
              </c:numCache>
            </c:numRef>
          </c:yVal>
          <c:smooth val="0"/>
          <c:extLst>
            <c:ext xmlns:c16="http://schemas.microsoft.com/office/drawing/2014/chart" uri="{C3380CC4-5D6E-409C-BE32-E72D297353CC}">
              <c16:uniqueId val="{00000004-DDF0-4971-8E1B-031640B45B89}"/>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Driftsutgifter!$P$891:$P$942</c:f>
              <c:numCache>
                <c:formatCode>General</c:formatCode>
                <c:ptCount val="52"/>
                <c:pt idx="0">
                  <c:v>15.87529</c:v>
                </c:pt>
                <c:pt idx="1">
                  <c:v>18.36665</c:v>
                </c:pt>
                <c:pt idx="2">
                  <c:v>19.683140000000002</c:v>
                </c:pt>
                <c:pt idx="3">
                  <c:v>21.75572</c:v>
                </c:pt>
                <c:pt idx="4">
                  <c:v>20.334109999999999</c:v>
                </c:pt>
                <c:pt idx="5">
                  <c:v>18.762820000000001</c:v>
                </c:pt>
                <c:pt idx="6">
                  <c:v>19.05245</c:v>
                </c:pt>
                <c:pt idx="7">
                  <c:v>18.40954</c:v>
                </c:pt>
                <c:pt idx="8">
                  <c:v>15.693669999999999</c:v>
                </c:pt>
                <c:pt idx="9">
                  <c:v>22.804169999999999</c:v>
                </c:pt>
                <c:pt idx="10">
                  <c:v>17.941549999999999</c:v>
                </c:pt>
                <c:pt idx="11">
                  <c:v>14.759370000000001</c:v>
                </c:pt>
                <c:pt idx="12">
                  <c:v>17.177160000000001</c:v>
                </c:pt>
                <c:pt idx="13">
                  <c:v>24.93459</c:v>
                </c:pt>
                <c:pt idx="14">
                  <c:v>20.045500000000001</c:v>
                </c:pt>
                <c:pt idx="15">
                  <c:v>19.6188</c:v>
                </c:pt>
                <c:pt idx="16">
                  <c:v>24.017890000000001</c:v>
                </c:pt>
                <c:pt idx="17">
                  <c:v>15.332660000000001</c:v>
                </c:pt>
                <c:pt idx="18">
                  <c:v>27.176939999999998</c:v>
                </c:pt>
                <c:pt idx="19">
                  <c:v>28.16311</c:v>
                </c:pt>
                <c:pt idx="20">
                  <c:v>21.041460000000001</c:v>
                </c:pt>
                <c:pt idx="21">
                  <c:v>28.79326</c:v>
                </c:pt>
                <c:pt idx="22">
                  <c:v>12.46791</c:v>
                </c:pt>
                <c:pt idx="23">
                  <c:v>15.17928</c:v>
                </c:pt>
                <c:pt idx="24">
                  <c:v>27.86673</c:v>
                </c:pt>
                <c:pt idx="25">
                  <c:v>19.03443</c:v>
                </c:pt>
                <c:pt idx="26">
                  <c:v>18.636690000000002</c:v>
                </c:pt>
                <c:pt idx="27">
                  <c:v>16.40577</c:v>
                </c:pt>
                <c:pt idx="28">
                  <c:v>33.094819999999999</c:v>
                </c:pt>
                <c:pt idx="29">
                  <c:v>25.216360000000002</c:v>
                </c:pt>
                <c:pt idx="30">
                  <c:v>14.49235</c:v>
                </c:pt>
                <c:pt idx="31">
                  <c:v>28.206160000000001</c:v>
                </c:pt>
                <c:pt idx="32">
                  <c:v>34.992660000000001</c:v>
                </c:pt>
                <c:pt idx="33">
                  <c:v>17.07685</c:v>
                </c:pt>
                <c:pt idx="34">
                  <c:v>20.26295</c:v>
                </c:pt>
                <c:pt idx="35">
                  <c:v>38.86347</c:v>
                </c:pt>
                <c:pt idx="36">
                  <c:v>52.761099999999999</c:v>
                </c:pt>
                <c:pt idx="37">
                  <c:v>28.232749999999999</c:v>
                </c:pt>
                <c:pt idx="38">
                  <c:v>19.99755</c:v>
                </c:pt>
                <c:pt idx="39">
                  <c:v>21.564409999999999</c:v>
                </c:pt>
                <c:pt idx="40">
                  <c:v>19.493179999999999</c:v>
                </c:pt>
                <c:pt idx="41">
                  <c:v>23.843430000000001</c:v>
                </c:pt>
                <c:pt idx="42">
                  <c:v>20.81889</c:v>
                </c:pt>
                <c:pt idx="43">
                  <c:v>38.227620000000002</c:v>
                </c:pt>
                <c:pt idx="44">
                  <c:v>13.438700000000001</c:v>
                </c:pt>
                <c:pt idx="45">
                  <c:v>16.72747</c:v>
                </c:pt>
                <c:pt idx="46">
                  <c:v>18.196470000000001</c:v>
                </c:pt>
                <c:pt idx="47">
                  <c:v>32.8245</c:v>
                </c:pt>
                <c:pt idx="48">
                  <c:v>27.769100000000002</c:v>
                </c:pt>
                <c:pt idx="49">
                  <c:v>25.086549999999999</c:v>
                </c:pt>
                <c:pt idx="50">
                  <c:v>36.4114</c:v>
                </c:pt>
                <c:pt idx="51">
                  <c:v>18.48086</c:v>
                </c:pt>
              </c:numCache>
            </c:numRef>
          </c:yVal>
          <c:smooth val="0"/>
          <c:extLst>
            <c:ext xmlns:c16="http://schemas.microsoft.com/office/drawing/2014/chart" uri="{C3380CC4-5D6E-409C-BE32-E72D297353CC}">
              <c16:uniqueId val="{00000005-DDF0-4971-8E1B-031640B45B89}"/>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(10) Kapsl. og rk., PIM-ddf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Driftsutgifter!$Q$587:$Q$666</c:f>
              <c:numCache>
                <c:formatCode>General</c:formatCode>
                <c:ptCount val="80"/>
                <c:pt idx="0">
                  <c:v>33.273209999999999</c:v>
                </c:pt>
                <c:pt idx="1">
                  <c:v>52.184730000000002</c:v>
                </c:pt>
                <c:pt idx="2">
                  <c:v>28.960450000000002</c:v>
                </c:pt>
                <c:pt idx="3">
                  <c:v>45.637050000000002</c:v>
                </c:pt>
                <c:pt idx="4">
                  <c:v>21.34366</c:v>
                </c:pt>
                <c:pt idx="5">
                  <c:v>40.109070000000003</c:v>
                </c:pt>
                <c:pt idx="6">
                  <c:v>35.109020000000001</c:v>
                </c:pt>
                <c:pt idx="7">
                  <c:v>18.968920000000001</c:v>
                </c:pt>
                <c:pt idx="8">
                  <c:v>23.999369999999999</c:v>
                </c:pt>
                <c:pt idx="9">
                  <c:v>31.957789999999999</c:v>
                </c:pt>
                <c:pt idx="10">
                  <c:v>32.25047</c:v>
                </c:pt>
                <c:pt idx="11">
                  <c:v>71.454669999999993</c:v>
                </c:pt>
                <c:pt idx="12">
                  <c:v>29.792449999999999</c:v>
                </c:pt>
                <c:pt idx="13">
                  <c:v>41.46011</c:v>
                </c:pt>
                <c:pt idx="14">
                  <c:v>20.9026</c:v>
                </c:pt>
                <c:pt idx="15">
                  <c:v>44.987189999999998</c:v>
                </c:pt>
                <c:pt idx="16">
                  <c:v>21.3673</c:v>
                </c:pt>
                <c:pt idx="17">
                  <c:v>36.65549</c:v>
                </c:pt>
                <c:pt idx="18">
                  <c:v>21.501359999999998</c:v>
                </c:pt>
                <c:pt idx="19">
                  <c:v>34.015410000000003</c:v>
                </c:pt>
                <c:pt idx="20">
                  <c:v>20.45309</c:v>
                </c:pt>
                <c:pt idx="21">
                  <c:v>21.434280000000001</c:v>
                </c:pt>
                <c:pt idx="22">
                  <c:v>40.260689999999997</c:v>
                </c:pt>
                <c:pt idx="23">
                  <c:v>29.23255</c:v>
                </c:pt>
                <c:pt idx="24">
                  <c:v>22.988409999999998</c:v>
                </c:pt>
                <c:pt idx="25">
                  <c:v>21.149139999999999</c:v>
                </c:pt>
                <c:pt idx="26">
                  <c:v>42.834069999999997</c:v>
                </c:pt>
                <c:pt idx="27">
                  <c:v>29.898890000000002</c:v>
                </c:pt>
                <c:pt idx="28">
                  <c:v>23.640219999999999</c:v>
                </c:pt>
                <c:pt idx="29">
                  <c:v>16.24335</c:v>
                </c:pt>
                <c:pt idx="30">
                  <c:v>25.02467</c:v>
                </c:pt>
                <c:pt idx="31">
                  <c:v>20.686640000000001</c:v>
                </c:pt>
                <c:pt idx="32">
                  <c:v>42.602739999999997</c:v>
                </c:pt>
                <c:pt idx="33">
                  <c:v>31.006640000000001</c:v>
                </c:pt>
                <c:pt idx="34">
                  <c:v>36.481630000000003</c:v>
                </c:pt>
                <c:pt idx="35">
                  <c:v>15.99784</c:v>
                </c:pt>
                <c:pt idx="36">
                  <c:v>23.458829999999999</c:v>
                </c:pt>
                <c:pt idx="37">
                  <c:v>26.216419999999999</c:v>
                </c:pt>
                <c:pt idx="38">
                  <c:v>35.898200000000003</c:v>
                </c:pt>
                <c:pt idx="39">
                  <c:v>36.00347</c:v>
                </c:pt>
                <c:pt idx="40">
                  <c:v>30.701519999999999</c:v>
                </c:pt>
                <c:pt idx="41">
                  <c:v>30.830909999999999</c:v>
                </c:pt>
                <c:pt idx="42">
                  <c:v>29.769179999999999</c:v>
                </c:pt>
                <c:pt idx="43">
                  <c:v>16.085760000000001</c:v>
                </c:pt>
                <c:pt idx="44">
                  <c:v>51.353580000000001</c:v>
                </c:pt>
                <c:pt idx="45">
                  <c:v>41.963900000000002</c:v>
                </c:pt>
                <c:pt idx="46">
                  <c:v>20.973009999999999</c:v>
                </c:pt>
                <c:pt idx="47">
                  <c:v>30.624860000000002</c:v>
                </c:pt>
                <c:pt idx="48">
                  <c:v>23.829440000000002</c:v>
                </c:pt>
                <c:pt idx="49">
                  <c:v>23.718620000000001</c:v>
                </c:pt>
                <c:pt idx="50">
                  <c:v>38.489800000000002</c:v>
                </c:pt>
                <c:pt idx="51">
                  <c:v>16.453469999999999</c:v>
                </c:pt>
                <c:pt idx="52">
                  <c:v>25.145820000000001</c:v>
                </c:pt>
                <c:pt idx="53">
                  <c:v>46.802140000000001</c:v>
                </c:pt>
                <c:pt idx="54">
                  <c:v>21.325369999999999</c:v>
                </c:pt>
                <c:pt idx="55">
                  <c:v>24.848710000000001</c:v>
                </c:pt>
                <c:pt idx="56">
                  <c:v>26.28876</c:v>
                </c:pt>
                <c:pt idx="57">
                  <c:v>34.392589999999998</c:v>
                </c:pt>
                <c:pt idx="58">
                  <c:v>17.665649999999999</c:v>
                </c:pt>
                <c:pt idx="59">
                  <c:v>33.186210000000003</c:v>
                </c:pt>
                <c:pt idx="60">
                  <c:v>16.308479999999999</c:v>
                </c:pt>
                <c:pt idx="61">
                  <c:v>21.857959999999999</c:v>
                </c:pt>
                <c:pt idx="62">
                  <c:v>35.513579999999997</c:v>
                </c:pt>
                <c:pt idx="63">
                  <c:v>53.590969999999999</c:v>
                </c:pt>
                <c:pt idx="64">
                  <c:v>22.83306</c:v>
                </c:pt>
                <c:pt idx="65">
                  <c:v>27.962309999999999</c:v>
                </c:pt>
                <c:pt idx="66">
                  <c:v>29.881150000000002</c:v>
                </c:pt>
                <c:pt idx="67">
                  <c:v>19.77712</c:v>
                </c:pt>
                <c:pt idx="68">
                  <c:v>20.363710000000001</c:v>
                </c:pt>
                <c:pt idx="69">
                  <c:v>30.230779999999999</c:v>
                </c:pt>
                <c:pt idx="70">
                  <c:v>14.6333</c:v>
                </c:pt>
                <c:pt idx="71">
                  <c:v>41.109929999999999</c:v>
                </c:pt>
                <c:pt idx="72">
                  <c:v>24.042269999999998</c:v>
                </c:pt>
                <c:pt idx="73">
                  <c:v>16.306750000000001</c:v>
                </c:pt>
                <c:pt idx="74">
                  <c:v>23.51792</c:v>
                </c:pt>
                <c:pt idx="75">
                  <c:v>32.437019999999997</c:v>
                </c:pt>
                <c:pt idx="76">
                  <c:v>23.12547</c:v>
                </c:pt>
                <c:pt idx="77">
                  <c:v>23.18168</c:v>
                </c:pt>
                <c:pt idx="78">
                  <c:v>42.362209999999997</c:v>
                </c:pt>
                <c:pt idx="79">
                  <c:v>34.783859999999997</c:v>
                </c:pt>
              </c:numCache>
            </c:numRef>
          </c:yVal>
          <c:smooth val="0"/>
          <c:extLst>
            <c:ext xmlns:c16="http://schemas.microsoft.com/office/drawing/2014/chart" uri="{C3380CC4-5D6E-409C-BE32-E72D297353CC}">
              <c16:uniqueId val="{00000000-C49E-4AF9-A252-C72E8430A269}"/>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Driftsutgifter!$Q$667:$Q$704</c:f>
              <c:numCache>
                <c:formatCode>General</c:formatCode>
                <c:ptCount val="38"/>
                <c:pt idx="0">
                  <c:v>35.404640000000001</c:v>
                </c:pt>
                <c:pt idx="1">
                  <c:v>23.625889999999998</c:v>
                </c:pt>
                <c:pt idx="2">
                  <c:v>37.551670000000001</c:v>
                </c:pt>
                <c:pt idx="3">
                  <c:v>20.10153</c:v>
                </c:pt>
                <c:pt idx="4">
                  <c:v>26.558859999999999</c:v>
                </c:pt>
                <c:pt idx="5">
                  <c:v>26.697880000000001</c:v>
                </c:pt>
                <c:pt idx="6">
                  <c:v>21.98077</c:v>
                </c:pt>
                <c:pt idx="7">
                  <c:v>21.048110000000001</c:v>
                </c:pt>
                <c:pt idx="8">
                  <c:v>18.59891</c:v>
                </c:pt>
                <c:pt idx="9">
                  <c:v>21.19333</c:v>
                </c:pt>
                <c:pt idx="10">
                  <c:v>29.531600000000001</c:v>
                </c:pt>
                <c:pt idx="11">
                  <c:v>22.503440000000001</c:v>
                </c:pt>
                <c:pt idx="12">
                  <c:v>15.01666</c:v>
                </c:pt>
                <c:pt idx="13">
                  <c:v>18.149750000000001</c:v>
                </c:pt>
                <c:pt idx="14">
                  <c:v>19.487349999999999</c:v>
                </c:pt>
                <c:pt idx="15">
                  <c:v>19.816510000000001</c:v>
                </c:pt>
                <c:pt idx="16">
                  <c:v>33.424930000000003</c:v>
                </c:pt>
                <c:pt idx="17">
                  <c:v>26.533100000000001</c:v>
                </c:pt>
                <c:pt idx="18">
                  <c:v>31.210429999999999</c:v>
                </c:pt>
                <c:pt idx="19">
                  <c:v>25.589130000000001</c:v>
                </c:pt>
                <c:pt idx="20">
                  <c:v>33.870399999999997</c:v>
                </c:pt>
                <c:pt idx="21">
                  <c:v>18.766559999999998</c:v>
                </c:pt>
                <c:pt idx="22">
                  <c:v>25.69258</c:v>
                </c:pt>
                <c:pt idx="23">
                  <c:v>37.81082</c:v>
                </c:pt>
                <c:pt idx="24">
                  <c:v>18.816780000000001</c:v>
                </c:pt>
                <c:pt idx="25">
                  <c:v>21.703939999999999</c:v>
                </c:pt>
                <c:pt idx="26">
                  <c:v>18.682780000000001</c:v>
                </c:pt>
                <c:pt idx="27">
                  <c:v>29.970330000000001</c:v>
                </c:pt>
                <c:pt idx="28">
                  <c:v>21.923670000000001</c:v>
                </c:pt>
                <c:pt idx="29">
                  <c:v>26.574919999999999</c:v>
                </c:pt>
                <c:pt idx="30">
                  <c:v>26.765419999999999</c:v>
                </c:pt>
                <c:pt idx="31">
                  <c:v>20.254860000000001</c:v>
                </c:pt>
                <c:pt idx="32">
                  <c:v>55.008459999999999</c:v>
                </c:pt>
                <c:pt idx="33">
                  <c:v>45.831780000000002</c:v>
                </c:pt>
                <c:pt idx="34">
                  <c:v>23.371259999999999</c:v>
                </c:pt>
                <c:pt idx="35">
                  <c:v>19.20729</c:v>
                </c:pt>
                <c:pt idx="36">
                  <c:v>18.128520000000002</c:v>
                </c:pt>
                <c:pt idx="37">
                  <c:v>26.352720000000001</c:v>
                </c:pt>
              </c:numCache>
            </c:numRef>
          </c:yVal>
          <c:smooth val="0"/>
          <c:extLst>
            <c:ext xmlns:c16="http://schemas.microsoft.com/office/drawing/2014/chart" uri="{C3380CC4-5D6E-409C-BE32-E72D297353CC}">
              <c16:uniqueId val="{00000001-C49E-4AF9-A252-C72E8430A269}"/>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Driftsutgifter!$Q$705:$Q$796</c:f>
              <c:numCache>
                <c:formatCode>General</c:formatCode>
                <c:ptCount val="92"/>
                <c:pt idx="0">
                  <c:v>11.30879</c:v>
                </c:pt>
                <c:pt idx="1">
                  <c:v>20.793130000000001</c:v>
                </c:pt>
                <c:pt idx="2">
                  <c:v>25.37304</c:v>
                </c:pt>
                <c:pt idx="3">
                  <c:v>36.270359999999997</c:v>
                </c:pt>
                <c:pt idx="4">
                  <c:v>15.44664</c:v>
                </c:pt>
                <c:pt idx="5">
                  <c:v>15.068949999999999</c:v>
                </c:pt>
                <c:pt idx="6">
                  <c:v>11.086309999999999</c:v>
                </c:pt>
                <c:pt idx="7">
                  <c:v>17.094619999999999</c:v>
                </c:pt>
                <c:pt idx="8">
                  <c:v>16.16461</c:v>
                </c:pt>
                <c:pt idx="9">
                  <c:v>18.291340000000002</c:v>
                </c:pt>
                <c:pt idx="10">
                  <c:v>54.51726</c:v>
                </c:pt>
                <c:pt idx="11">
                  <c:v>24.207979999999999</c:v>
                </c:pt>
                <c:pt idx="12">
                  <c:v>19.70823</c:v>
                </c:pt>
                <c:pt idx="13">
                  <c:v>24.152450000000002</c:v>
                </c:pt>
                <c:pt idx="14">
                  <c:v>13.57147</c:v>
                </c:pt>
                <c:pt idx="15">
                  <c:v>19.301939999999998</c:v>
                </c:pt>
                <c:pt idx="16">
                  <c:v>24.645659999999999</c:v>
                </c:pt>
                <c:pt idx="17">
                  <c:v>16.273219999999998</c:v>
                </c:pt>
                <c:pt idx="18">
                  <c:v>28.207429999999999</c:v>
                </c:pt>
                <c:pt idx="19">
                  <c:v>12.138909999999999</c:v>
                </c:pt>
                <c:pt idx="20">
                  <c:v>16.88655</c:v>
                </c:pt>
                <c:pt idx="21">
                  <c:v>22.260100000000001</c:v>
                </c:pt>
                <c:pt idx="22">
                  <c:v>26.510649999999998</c:v>
                </c:pt>
                <c:pt idx="23">
                  <c:v>18.285019999999999</c:v>
                </c:pt>
                <c:pt idx="24">
                  <c:v>14.335570000000001</c:v>
                </c:pt>
                <c:pt idx="25">
                  <c:v>27.661180000000002</c:v>
                </c:pt>
                <c:pt idx="26">
                  <c:v>19.843599999999999</c:v>
                </c:pt>
                <c:pt idx="27">
                  <c:v>16.634039999999999</c:v>
                </c:pt>
                <c:pt idx="28">
                  <c:v>16.857700000000001</c:v>
                </c:pt>
                <c:pt idx="29">
                  <c:v>13.501519999999999</c:v>
                </c:pt>
                <c:pt idx="30">
                  <c:v>23.786180000000002</c:v>
                </c:pt>
                <c:pt idx="31">
                  <c:v>75.813959999999994</c:v>
                </c:pt>
                <c:pt idx="32">
                  <c:v>23.971959999999999</c:v>
                </c:pt>
                <c:pt idx="33">
                  <c:v>18.721119999999999</c:v>
                </c:pt>
                <c:pt idx="34">
                  <c:v>20.410820000000001</c:v>
                </c:pt>
                <c:pt idx="35">
                  <c:v>29.22288</c:v>
                </c:pt>
                <c:pt idx="36">
                  <c:v>20.651869999999999</c:v>
                </c:pt>
                <c:pt idx="37">
                  <c:v>21.521830000000001</c:v>
                </c:pt>
                <c:pt idx="38">
                  <c:v>16.005279999999999</c:v>
                </c:pt>
                <c:pt idx="39">
                  <c:v>21.718579999999999</c:v>
                </c:pt>
                <c:pt idx="40">
                  <c:v>50.153599999999997</c:v>
                </c:pt>
                <c:pt idx="41">
                  <c:v>22.148520000000001</c:v>
                </c:pt>
                <c:pt idx="42">
                  <c:v>43.002090000000003</c:v>
                </c:pt>
                <c:pt idx="43">
                  <c:v>14.610569999999999</c:v>
                </c:pt>
                <c:pt idx="44">
                  <c:v>19.938929999999999</c:v>
                </c:pt>
                <c:pt idx="45">
                  <c:v>14.257339999999999</c:v>
                </c:pt>
                <c:pt idx="46">
                  <c:v>19.057559999999999</c:v>
                </c:pt>
                <c:pt idx="47">
                  <c:v>16.343229999999998</c:v>
                </c:pt>
                <c:pt idx="48">
                  <c:v>30.046759999999999</c:v>
                </c:pt>
                <c:pt idx="49">
                  <c:v>24.796320000000001</c:v>
                </c:pt>
                <c:pt idx="50">
                  <c:v>15.538489999999999</c:v>
                </c:pt>
                <c:pt idx="51">
                  <c:v>18.903880000000001</c:v>
                </c:pt>
                <c:pt idx="52">
                  <c:v>23.529209999999999</c:v>
                </c:pt>
                <c:pt idx="53">
                  <c:v>18.13205</c:v>
                </c:pt>
                <c:pt idx="54">
                  <c:v>32.86271</c:v>
                </c:pt>
                <c:pt idx="55">
                  <c:v>18.637360000000001</c:v>
                </c:pt>
                <c:pt idx="56">
                  <c:v>37.689300000000003</c:v>
                </c:pt>
                <c:pt idx="57">
                  <c:v>22.83943</c:v>
                </c:pt>
                <c:pt idx="58">
                  <c:v>49.844749999999998</c:v>
                </c:pt>
                <c:pt idx="59">
                  <c:v>19.284310000000001</c:v>
                </c:pt>
                <c:pt idx="60">
                  <c:v>18.2331</c:v>
                </c:pt>
                <c:pt idx="61">
                  <c:v>18.235289999999999</c:v>
                </c:pt>
                <c:pt idx="62">
                  <c:v>20.879190000000001</c:v>
                </c:pt>
                <c:pt idx="63">
                  <c:v>37.682319999999997</c:v>
                </c:pt>
                <c:pt idx="64">
                  <c:v>80.354770000000002</c:v>
                </c:pt>
                <c:pt idx="65">
                  <c:v>17.90175</c:v>
                </c:pt>
                <c:pt idx="66">
                  <c:v>16.129770000000001</c:v>
                </c:pt>
                <c:pt idx="67">
                  <c:v>23.224969999999999</c:v>
                </c:pt>
                <c:pt idx="68">
                  <c:v>18.755220000000001</c:v>
                </c:pt>
                <c:pt idx="69">
                  <c:v>16.65671</c:v>
                </c:pt>
                <c:pt idx="70">
                  <c:v>18.857019999999999</c:v>
                </c:pt>
                <c:pt idx="71">
                  <c:v>22.055969999999999</c:v>
                </c:pt>
                <c:pt idx="72">
                  <c:v>20.798950000000001</c:v>
                </c:pt>
                <c:pt idx="73">
                  <c:v>26.41817</c:v>
                </c:pt>
                <c:pt idx="74">
                  <c:v>22.954260000000001</c:v>
                </c:pt>
                <c:pt idx="75">
                  <c:v>27.6096</c:v>
                </c:pt>
                <c:pt idx="76">
                  <c:v>28.201450000000001</c:v>
                </c:pt>
                <c:pt idx="77">
                  <c:v>19.498449999999998</c:v>
                </c:pt>
                <c:pt idx="78">
                  <c:v>17.077179999999998</c:v>
                </c:pt>
                <c:pt idx="79">
                  <c:v>20.986039999999999</c:v>
                </c:pt>
                <c:pt idx="80">
                  <c:v>14.521610000000001</c:v>
                </c:pt>
                <c:pt idx="81">
                  <c:v>23.3599</c:v>
                </c:pt>
                <c:pt idx="82">
                  <c:v>19.200279999999999</c:v>
                </c:pt>
                <c:pt idx="83">
                  <c:v>15.03866</c:v>
                </c:pt>
                <c:pt idx="84">
                  <c:v>31.53464</c:v>
                </c:pt>
                <c:pt idx="85">
                  <c:v>15.760199999999999</c:v>
                </c:pt>
                <c:pt idx="86">
                  <c:v>17.173269999999999</c:v>
                </c:pt>
                <c:pt idx="87">
                  <c:v>17.36101</c:v>
                </c:pt>
                <c:pt idx="88">
                  <c:v>21.211770000000001</c:v>
                </c:pt>
                <c:pt idx="89">
                  <c:v>25.007349999999999</c:v>
                </c:pt>
                <c:pt idx="90">
                  <c:v>18.277850000000001</c:v>
                </c:pt>
                <c:pt idx="91">
                  <c:v>12.42478</c:v>
                </c:pt>
              </c:numCache>
            </c:numRef>
          </c:yVal>
          <c:smooth val="0"/>
          <c:extLst>
            <c:ext xmlns:c16="http://schemas.microsoft.com/office/drawing/2014/chart" uri="{C3380CC4-5D6E-409C-BE32-E72D297353CC}">
              <c16:uniqueId val="{00000002-C49E-4AF9-A252-C72E8430A269}"/>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Driftsutgifter!$Q$797:$Q$844</c:f>
              <c:numCache>
                <c:formatCode>General</c:formatCode>
                <c:ptCount val="48"/>
                <c:pt idx="0">
                  <c:v>13.086320000000001</c:v>
                </c:pt>
                <c:pt idx="1">
                  <c:v>10.92658</c:v>
                </c:pt>
                <c:pt idx="2">
                  <c:v>17.495629999999998</c:v>
                </c:pt>
                <c:pt idx="3">
                  <c:v>16.810880000000001</c:v>
                </c:pt>
                <c:pt idx="4">
                  <c:v>20.846769999999999</c:v>
                </c:pt>
                <c:pt idx="5">
                  <c:v>13.78641</c:v>
                </c:pt>
                <c:pt idx="6">
                  <c:v>72.865679999999998</c:v>
                </c:pt>
                <c:pt idx="7">
                  <c:v>18.617039999999999</c:v>
                </c:pt>
                <c:pt idx="8">
                  <c:v>14.94436</c:v>
                </c:pt>
                <c:pt idx="9">
                  <c:v>11.413</c:v>
                </c:pt>
                <c:pt idx="10">
                  <c:v>20.4313</c:v>
                </c:pt>
                <c:pt idx="11">
                  <c:v>25.64828</c:v>
                </c:pt>
                <c:pt idx="12">
                  <c:v>19.492159999999998</c:v>
                </c:pt>
                <c:pt idx="13">
                  <c:v>54.799599999999998</c:v>
                </c:pt>
                <c:pt idx="14">
                  <c:v>39.928759999999997</c:v>
                </c:pt>
                <c:pt idx="15">
                  <c:v>21.34892</c:v>
                </c:pt>
                <c:pt idx="16">
                  <c:v>25.233720000000002</c:v>
                </c:pt>
                <c:pt idx="17">
                  <c:v>20.1739</c:v>
                </c:pt>
                <c:pt idx="18">
                  <c:v>14.792870000000001</c:v>
                </c:pt>
                <c:pt idx="19">
                  <c:v>16.256730000000001</c:v>
                </c:pt>
                <c:pt idx="20">
                  <c:v>13.44082</c:v>
                </c:pt>
                <c:pt idx="21">
                  <c:v>20.051480000000002</c:v>
                </c:pt>
                <c:pt idx="22">
                  <c:v>31.025230000000001</c:v>
                </c:pt>
                <c:pt idx="23">
                  <c:v>18.396380000000001</c:v>
                </c:pt>
                <c:pt idx="24">
                  <c:v>89.967879999999994</c:v>
                </c:pt>
                <c:pt idx="25">
                  <c:v>16.464279999999999</c:v>
                </c:pt>
                <c:pt idx="26">
                  <c:v>40.441809999999997</c:v>
                </c:pt>
                <c:pt idx="27">
                  <c:v>21.563490000000002</c:v>
                </c:pt>
                <c:pt idx="28">
                  <c:v>16.692740000000001</c:v>
                </c:pt>
                <c:pt idx="29">
                  <c:v>17.15089</c:v>
                </c:pt>
                <c:pt idx="30">
                  <c:v>28.80172</c:v>
                </c:pt>
                <c:pt idx="31">
                  <c:v>21.639720000000001</c:v>
                </c:pt>
                <c:pt idx="32">
                  <c:v>11.7705</c:v>
                </c:pt>
                <c:pt idx="33">
                  <c:v>16.252500000000001</c:v>
                </c:pt>
                <c:pt idx="34">
                  <c:v>21.643470000000001</c:v>
                </c:pt>
                <c:pt idx="35">
                  <c:v>47.310490000000001</c:v>
                </c:pt>
                <c:pt idx="36">
                  <c:v>66.412030000000001</c:v>
                </c:pt>
                <c:pt idx="37">
                  <c:v>25.342199999999998</c:v>
                </c:pt>
                <c:pt idx="38">
                  <c:v>18.839089999999999</c:v>
                </c:pt>
                <c:pt idx="39">
                  <c:v>24.922820000000002</c:v>
                </c:pt>
                <c:pt idx="40">
                  <c:v>19.292149999999999</c:v>
                </c:pt>
                <c:pt idx="41">
                  <c:v>18.73113</c:v>
                </c:pt>
                <c:pt idx="42">
                  <c:v>25.825209999999998</c:v>
                </c:pt>
                <c:pt idx="43">
                  <c:v>17.864920000000001</c:v>
                </c:pt>
                <c:pt idx="44">
                  <c:v>18.343959999999999</c:v>
                </c:pt>
                <c:pt idx="45">
                  <c:v>16.196770000000001</c:v>
                </c:pt>
                <c:pt idx="46">
                  <c:v>26.89012</c:v>
                </c:pt>
                <c:pt idx="47">
                  <c:v>12.427899999999999</c:v>
                </c:pt>
              </c:numCache>
            </c:numRef>
          </c:yVal>
          <c:smooth val="0"/>
          <c:extLst>
            <c:ext xmlns:c16="http://schemas.microsoft.com/office/drawing/2014/chart" uri="{C3380CC4-5D6E-409C-BE32-E72D297353CC}">
              <c16:uniqueId val="{00000003-C49E-4AF9-A252-C72E8430A269}"/>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Driftsutgifter!$Q$845:$Q$890</c:f>
              <c:numCache>
                <c:formatCode>General</c:formatCode>
                <c:ptCount val="46"/>
                <c:pt idx="0">
                  <c:v>21.402609999999999</c:v>
                </c:pt>
                <c:pt idx="1">
                  <c:v>17.094339999999999</c:v>
                </c:pt>
                <c:pt idx="2">
                  <c:v>43.622720000000001</c:v>
                </c:pt>
                <c:pt idx="3">
                  <c:v>27.19877</c:v>
                </c:pt>
                <c:pt idx="4">
                  <c:v>16.943670000000001</c:v>
                </c:pt>
                <c:pt idx="5">
                  <c:v>23.755579999999998</c:v>
                </c:pt>
                <c:pt idx="6">
                  <c:v>25.960840000000001</c:v>
                </c:pt>
                <c:pt idx="7">
                  <c:v>21.347200000000001</c:v>
                </c:pt>
                <c:pt idx="8">
                  <c:v>33.695839999999997</c:v>
                </c:pt>
                <c:pt idx="9">
                  <c:v>18.74898</c:v>
                </c:pt>
                <c:pt idx="10">
                  <c:v>27.229340000000001</c:v>
                </c:pt>
                <c:pt idx="11">
                  <c:v>19.442039999999999</c:v>
                </c:pt>
                <c:pt idx="12">
                  <c:v>17.326589999999999</c:v>
                </c:pt>
                <c:pt idx="13">
                  <c:v>19.950230000000001</c:v>
                </c:pt>
                <c:pt idx="14">
                  <c:v>20.28698</c:v>
                </c:pt>
                <c:pt idx="15">
                  <c:v>21.681059999999999</c:v>
                </c:pt>
                <c:pt idx="16">
                  <c:v>24.133649999999999</c:v>
                </c:pt>
                <c:pt idx="17">
                  <c:v>14.629860000000001</c:v>
                </c:pt>
                <c:pt idx="18">
                  <c:v>25.302140000000001</c:v>
                </c:pt>
                <c:pt idx="19">
                  <c:v>19.627300000000002</c:v>
                </c:pt>
                <c:pt idx="20">
                  <c:v>19.487939999999998</c:v>
                </c:pt>
                <c:pt idx="21">
                  <c:v>15.46008</c:v>
                </c:pt>
                <c:pt idx="22">
                  <c:v>18.331689999999998</c:v>
                </c:pt>
                <c:pt idx="23">
                  <c:v>18.866440000000001</c:v>
                </c:pt>
                <c:pt idx="24">
                  <c:v>24.840669999999999</c:v>
                </c:pt>
                <c:pt idx="25">
                  <c:v>21.432790000000001</c:v>
                </c:pt>
                <c:pt idx="26">
                  <c:v>17.382580000000001</c:v>
                </c:pt>
                <c:pt idx="27">
                  <c:v>25.343990000000002</c:v>
                </c:pt>
                <c:pt idx="28">
                  <c:v>25.168379999999999</c:v>
                </c:pt>
                <c:pt idx="29">
                  <c:v>20.848140000000001</c:v>
                </c:pt>
                <c:pt idx="30">
                  <c:v>26.755120000000002</c:v>
                </c:pt>
                <c:pt idx="31">
                  <c:v>23.1004</c:v>
                </c:pt>
                <c:pt idx="32">
                  <c:v>30.03436</c:v>
                </c:pt>
                <c:pt idx="33">
                  <c:v>22.43084</c:v>
                </c:pt>
                <c:pt idx="34">
                  <c:v>27.146840000000001</c:v>
                </c:pt>
                <c:pt idx="35">
                  <c:v>17.708839999999999</c:v>
                </c:pt>
                <c:pt idx="36">
                  <c:v>18.165479999999999</c:v>
                </c:pt>
                <c:pt idx="37">
                  <c:v>15.090909999999999</c:v>
                </c:pt>
                <c:pt idx="38">
                  <c:v>17.969830000000002</c:v>
                </c:pt>
                <c:pt idx="39">
                  <c:v>17.927140000000001</c:v>
                </c:pt>
                <c:pt idx="40">
                  <c:v>20.177379999999999</c:v>
                </c:pt>
                <c:pt idx="41">
                  <c:v>22.478580000000001</c:v>
                </c:pt>
                <c:pt idx="42">
                  <c:v>30.730609999999999</c:v>
                </c:pt>
                <c:pt idx="43">
                  <c:v>14.59136</c:v>
                </c:pt>
                <c:pt idx="44">
                  <c:v>24.270800000000001</c:v>
                </c:pt>
                <c:pt idx="45">
                  <c:v>14.290570000000001</c:v>
                </c:pt>
              </c:numCache>
            </c:numRef>
          </c:yVal>
          <c:smooth val="0"/>
          <c:extLst>
            <c:ext xmlns:c16="http://schemas.microsoft.com/office/drawing/2014/chart" uri="{C3380CC4-5D6E-409C-BE32-E72D297353CC}">
              <c16:uniqueId val="{00000004-C49E-4AF9-A252-C72E8430A269}"/>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Driftsutgifter!$Q$891:$Q$942</c:f>
              <c:numCache>
                <c:formatCode>General</c:formatCode>
                <c:ptCount val="52"/>
                <c:pt idx="0">
                  <c:v>14.07006</c:v>
                </c:pt>
                <c:pt idx="1">
                  <c:v>16.344380000000001</c:v>
                </c:pt>
                <c:pt idx="2">
                  <c:v>17.528500000000001</c:v>
                </c:pt>
                <c:pt idx="3">
                  <c:v>19.223240000000001</c:v>
                </c:pt>
                <c:pt idx="4">
                  <c:v>18.050850000000001</c:v>
                </c:pt>
                <c:pt idx="5">
                  <c:v>16.655080000000002</c:v>
                </c:pt>
                <c:pt idx="6">
                  <c:v>16.900759999999998</c:v>
                </c:pt>
                <c:pt idx="7">
                  <c:v>16.315159999999999</c:v>
                </c:pt>
                <c:pt idx="8">
                  <c:v>13.95072</c:v>
                </c:pt>
                <c:pt idx="9">
                  <c:v>20.284990000000001</c:v>
                </c:pt>
                <c:pt idx="10">
                  <c:v>15.982329999999999</c:v>
                </c:pt>
                <c:pt idx="11">
                  <c:v>13.089259999999999</c:v>
                </c:pt>
                <c:pt idx="12">
                  <c:v>15.25896</c:v>
                </c:pt>
                <c:pt idx="13">
                  <c:v>22.15964</c:v>
                </c:pt>
                <c:pt idx="14">
                  <c:v>17.90523</c:v>
                </c:pt>
                <c:pt idx="15">
                  <c:v>17.416930000000001</c:v>
                </c:pt>
                <c:pt idx="16">
                  <c:v>21.291740000000001</c:v>
                </c:pt>
                <c:pt idx="17">
                  <c:v>13.585369999999999</c:v>
                </c:pt>
                <c:pt idx="18">
                  <c:v>24.18665</c:v>
                </c:pt>
                <c:pt idx="19">
                  <c:v>25.053719999999998</c:v>
                </c:pt>
                <c:pt idx="20">
                  <c:v>18.684999999999999</c:v>
                </c:pt>
                <c:pt idx="21">
                  <c:v>25.447130000000001</c:v>
                </c:pt>
                <c:pt idx="22">
                  <c:v>11.03759</c:v>
                </c:pt>
                <c:pt idx="23">
                  <c:v>13.57452</c:v>
                </c:pt>
                <c:pt idx="24">
                  <c:v>24.69717</c:v>
                </c:pt>
                <c:pt idx="25">
                  <c:v>16.882580000000001</c:v>
                </c:pt>
                <c:pt idx="26">
                  <c:v>16.514410000000002</c:v>
                </c:pt>
                <c:pt idx="27">
                  <c:v>14.493180000000001</c:v>
                </c:pt>
                <c:pt idx="28">
                  <c:v>29.44068</c:v>
                </c:pt>
                <c:pt idx="29">
                  <c:v>22.427209999999999</c:v>
                </c:pt>
                <c:pt idx="30">
                  <c:v>12.89899</c:v>
                </c:pt>
                <c:pt idx="31">
                  <c:v>25.06549</c:v>
                </c:pt>
                <c:pt idx="32">
                  <c:v>30.99192</c:v>
                </c:pt>
                <c:pt idx="33">
                  <c:v>15.22533</c:v>
                </c:pt>
                <c:pt idx="34">
                  <c:v>17.999870000000001</c:v>
                </c:pt>
                <c:pt idx="35">
                  <c:v>34.589759999999998</c:v>
                </c:pt>
                <c:pt idx="36">
                  <c:v>46.918599999999998</c:v>
                </c:pt>
                <c:pt idx="37">
                  <c:v>24.948879999999999</c:v>
                </c:pt>
                <c:pt idx="38">
                  <c:v>17.780249999999999</c:v>
                </c:pt>
                <c:pt idx="39">
                  <c:v>19.077120000000001</c:v>
                </c:pt>
                <c:pt idx="40">
                  <c:v>17.381550000000001</c:v>
                </c:pt>
                <c:pt idx="41">
                  <c:v>21.114850000000001</c:v>
                </c:pt>
                <c:pt idx="42">
                  <c:v>18.524989999999999</c:v>
                </c:pt>
                <c:pt idx="43">
                  <c:v>34.244219999999999</c:v>
                </c:pt>
                <c:pt idx="44">
                  <c:v>11.98643</c:v>
                </c:pt>
                <c:pt idx="45">
                  <c:v>14.861409999999999</c:v>
                </c:pt>
                <c:pt idx="46">
                  <c:v>16.136340000000001</c:v>
                </c:pt>
                <c:pt idx="47">
                  <c:v>29.150980000000001</c:v>
                </c:pt>
                <c:pt idx="48">
                  <c:v>24.709440000000001</c:v>
                </c:pt>
                <c:pt idx="49">
                  <c:v>22.22167</c:v>
                </c:pt>
                <c:pt idx="50">
                  <c:v>32.552689999999998</c:v>
                </c:pt>
                <c:pt idx="51">
                  <c:v>16.422499999999999</c:v>
                </c:pt>
              </c:numCache>
            </c:numRef>
          </c:yVal>
          <c:smooth val="0"/>
          <c:extLst>
            <c:ext xmlns:c16="http://schemas.microsoft.com/office/drawing/2014/chart" uri="{C3380CC4-5D6E-409C-BE32-E72D297353CC}">
              <c16:uniqueId val="{00000005-C49E-4AF9-A252-C72E8430A269}"/>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(11) Kapsl. og rk.,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Driftsutgifter!$R$587:$R$666</c:f>
              <c:numCache>
                <c:formatCode>General</c:formatCode>
                <c:ptCount val="80"/>
                <c:pt idx="0">
                  <c:v>23.618960000000001</c:v>
                </c:pt>
                <c:pt idx="1">
                  <c:v>36.696539999999999</c:v>
                </c:pt>
                <c:pt idx="2">
                  <c:v>18.95439</c:v>
                </c:pt>
                <c:pt idx="3">
                  <c:v>32.245719999999999</c:v>
                </c:pt>
                <c:pt idx="4">
                  <c:v>14.70349</c:v>
                </c:pt>
                <c:pt idx="5">
                  <c:v>27.88984</c:v>
                </c:pt>
                <c:pt idx="6">
                  <c:v>24.435870000000001</c:v>
                </c:pt>
                <c:pt idx="7">
                  <c:v>13.37696</c:v>
                </c:pt>
                <c:pt idx="8">
                  <c:v>16.75142</c:v>
                </c:pt>
                <c:pt idx="9">
                  <c:v>21.887560000000001</c:v>
                </c:pt>
                <c:pt idx="10">
                  <c:v>22.805340000000001</c:v>
                </c:pt>
                <c:pt idx="11">
                  <c:v>52.978900000000003</c:v>
                </c:pt>
                <c:pt idx="12">
                  <c:v>22.36016</c:v>
                </c:pt>
                <c:pt idx="13">
                  <c:v>31.44903</c:v>
                </c:pt>
                <c:pt idx="14">
                  <c:v>14.712009999999999</c:v>
                </c:pt>
                <c:pt idx="15">
                  <c:v>32.310920000000003</c:v>
                </c:pt>
                <c:pt idx="16">
                  <c:v>14.831200000000001</c:v>
                </c:pt>
                <c:pt idx="17">
                  <c:v>24.147929999999999</c:v>
                </c:pt>
                <c:pt idx="18">
                  <c:v>14.59216</c:v>
                </c:pt>
                <c:pt idx="19">
                  <c:v>23.76539</c:v>
                </c:pt>
                <c:pt idx="20">
                  <c:v>13.48122</c:v>
                </c:pt>
                <c:pt idx="21">
                  <c:v>15.10346</c:v>
                </c:pt>
                <c:pt idx="22">
                  <c:v>28.380659999999999</c:v>
                </c:pt>
                <c:pt idx="23">
                  <c:v>20.073519999999998</c:v>
                </c:pt>
                <c:pt idx="24">
                  <c:v>16.028500000000001</c:v>
                </c:pt>
                <c:pt idx="25">
                  <c:v>14.894349999999999</c:v>
                </c:pt>
                <c:pt idx="26">
                  <c:v>30.93702</c:v>
                </c:pt>
                <c:pt idx="27">
                  <c:v>20.250109999999999</c:v>
                </c:pt>
                <c:pt idx="28">
                  <c:v>16.34543</c:v>
                </c:pt>
                <c:pt idx="29">
                  <c:v>11.687620000000001</c:v>
                </c:pt>
                <c:pt idx="30">
                  <c:v>17.036799999999999</c:v>
                </c:pt>
                <c:pt idx="31">
                  <c:v>13.86533</c:v>
                </c:pt>
                <c:pt idx="32">
                  <c:v>28.580880000000001</c:v>
                </c:pt>
                <c:pt idx="33">
                  <c:v>22.094650000000001</c:v>
                </c:pt>
                <c:pt idx="34">
                  <c:v>25.775649999999999</c:v>
                </c:pt>
                <c:pt idx="35">
                  <c:v>11.642950000000001</c:v>
                </c:pt>
                <c:pt idx="36">
                  <c:v>16.47992</c:v>
                </c:pt>
                <c:pt idx="37">
                  <c:v>18.82131</c:v>
                </c:pt>
                <c:pt idx="38">
                  <c:v>25.13832</c:v>
                </c:pt>
                <c:pt idx="39">
                  <c:v>25.380669999999999</c:v>
                </c:pt>
                <c:pt idx="40">
                  <c:v>22.08841</c:v>
                </c:pt>
                <c:pt idx="41">
                  <c:v>19.77993</c:v>
                </c:pt>
                <c:pt idx="42">
                  <c:v>21.713809999999999</c:v>
                </c:pt>
                <c:pt idx="43">
                  <c:v>11.58154</c:v>
                </c:pt>
                <c:pt idx="44">
                  <c:v>37.103259999999999</c:v>
                </c:pt>
                <c:pt idx="45">
                  <c:v>29.137160000000002</c:v>
                </c:pt>
                <c:pt idx="46">
                  <c:v>14.757580000000001</c:v>
                </c:pt>
                <c:pt idx="47">
                  <c:v>20.786580000000001</c:v>
                </c:pt>
                <c:pt idx="48">
                  <c:v>15.07621</c:v>
                </c:pt>
                <c:pt idx="49">
                  <c:v>17.111540000000002</c:v>
                </c:pt>
                <c:pt idx="50">
                  <c:v>27.31992</c:v>
                </c:pt>
                <c:pt idx="51">
                  <c:v>11.348459999999999</c:v>
                </c:pt>
                <c:pt idx="52">
                  <c:v>17.69679</c:v>
                </c:pt>
                <c:pt idx="53">
                  <c:v>31.604810000000001</c:v>
                </c:pt>
                <c:pt idx="54">
                  <c:v>14.69786</c:v>
                </c:pt>
                <c:pt idx="55">
                  <c:v>17.427910000000001</c:v>
                </c:pt>
                <c:pt idx="56">
                  <c:v>17.937139999999999</c:v>
                </c:pt>
                <c:pt idx="57">
                  <c:v>23.5715</c:v>
                </c:pt>
                <c:pt idx="58">
                  <c:v>11.54148</c:v>
                </c:pt>
                <c:pt idx="59">
                  <c:v>22.951219999999999</c:v>
                </c:pt>
                <c:pt idx="60">
                  <c:v>11.511839999999999</c:v>
                </c:pt>
                <c:pt idx="61">
                  <c:v>15.523910000000001</c:v>
                </c:pt>
                <c:pt idx="62">
                  <c:v>23.140540000000001</c:v>
                </c:pt>
                <c:pt idx="63">
                  <c:v>35.528739999999999</c:v>
                </c:pt>
                <c:pt idx="64">
                  <c:v>14.79781</c:v>
                </c:pt>
                <c:pt idx="65">
                  <c:v>20.091259999999998</c:v>
                </c:pt>
                <c:pt idx="66">
                  <c:v>21.163129999999999</c:v>
                </c:pt>
                <c:pt idx="67">
                  <c:v>13.796749999999999</c:v>
                </c:pt>
                <c:pt idx="68">
                  <c:v>13.93206</c:v>
                </c:pt>
                <c:pt idx="69">
                  <c:v>20.505199999999999</c:v>
                </c:pt>
                <c:pt idx="70">
                  <c:v>9.972512</c:v>
                </c:pt>
                <c:pt idx="71">
                  <c:v>27.92417</c:v>
                </c:pt>
                <c:pt idx="72">
                  <c:v>16.963450000000002</c:v>
                </c:pt>
                <c:pt idx="73">
                  <c:v>11.34834</c:v>
                </c:pt>
                <c:pt idx="74">
                  <c:v>15.50184</c:v>
                </c:pt>
                <c:pt idx="75">
                  <c:v>22.1495</c:v>
                </c:pt>
                <c:pt idx="76">
                  <c:v>16.223510000000001</c:v>
                </c:pt>
                <c:pt idx="77">
                  <c:v>16.717700000000001</c:v>
                </c:pt>
                <c:pt idx="78">
                  <c:v>29.26549</c:v>
                </c:pt>
                <c:pt idx="79">
                  <c:v>23.66292</c:v>
                </c:pt>
              </c:numCache>
            </c:numRef>
          </c:yVal>
          <c:smooth val="0"/>
          <c:extLst>
            <c:ext xmlns:c16="http://schemas.microsoft.com/office/drawing/2014/chart" uri="{C3380CC4-5D6E-409C-BE32-E72D297353CC}">
              <c16:uniqueId val="{00000000-1663-4240-9D04-142D92CA0750}"/>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Driftsutgifter!$R$667:$R$704</c:f>
              <c:numCache>
                <c:formatCode>General</c:formatCode>
                <c:ptCount val="38"/>
                <c:pt idx="0">
                  <c:v>25.297689999999999</c:v>
                </c:pt>
                <c:pt idx="1">
                  <c:v>16.080390000000001</c:v>
                </c:pt>
                <c:pt idx="2">
                  <c:v>26.584350000000001</c:v>
                </c:pt>
                <c:pt idx="3">
                  <c:v>14.238099999999999</c:v>
                </c:pt>
                <c:pt idx="4">
                  <c:v>18.61608</c:v>
                </c:pt>
                <c:pt idx="5">
                  <c:v>17.476179999999999</c:v>
                </c:pt>
                <c:pt idx="6">
                  <c:v>15.23019</c:v>
                </c:pt>
                <c:pt idx="7">
                  <c:v>13.95659</c:v>
                </c:pt>
                <c:pt idx="8">
                  <c:v>12.48602</c:v>
                </c:pt>
                <c:pt idx="9">
                  <c:v>14.762869999999999</c:v>
                </c:pt>
                <c:pt idx="10">
                  <c:v>20.30574</c:v>
                </c:pt>
                <c:pt idx="11">
                  <c:v>16.289899999999999</c:v>
                </c:pt>
                <c:pt idx="12">
                  <c:v>10.054919999999999</c:v>
                </c:pt>
                <c:pt idx="13">
                  <c:v>11.87871</c:v>
                </c:pt>
                <c:pt idx="14">
                  <c:v>14.16625</c:v>
                </c:pt>
                <c:pt idx="15">
                  <c:v>13.98301</c:v>
                </c:pt>
                <c:pt idx="16">
                  <c:v>22.601590000000002</c:v>
                </c:pt>
                <c:pt idx="17">
                  <c:v>18.052320000000002</c:v>
                </c:pt>
                <c:pt idx="18">
                  <c:v>21.798459999999999</c:v>
                </c:pt>
                <c:pt idx="19">
                  <c:v>17.30829</c:v>
                </c:pt>
                <c:pt idx="20">
                  <c:v>24.358630000000002</c:v>
                </c:pt>
                <c:pt idx="21">
                  <c:v>12.993460000000001</c:v>
                </c:pt>
                <c:pt idx="22">
                  <c:v>18.027940000000001</c:v>
                </c:pt>
                <c:pt idx="23">
                  <c:v>26.79382</c:v>
                </c:pt>
                <c:pt idx="24">
                  <c:v>12.97345</c:v>
                </c:pt>
                <c:pt idx="25">
                  <c:v>15.48157</c:v>
                </c:pt>
                <c:pt idx="26">
                  <c:v>12.74803</c:v>
                </c:pt>
                <c:pt idx="27">
                  <c:v>20.89321</c:v>
                </c:pt>
                <c:pt idx="28">
                  <c:v>14.725540000000001</c:v>
                </c:pt>
                <c:pt idx="29">
                  <c:v>19.058779999999999</c:v>
                </c:pt>
                <c:pt idx="30">
                  <c:v>18.581050000000001</c:v>
                </c:pt>
                <c:pt idx="31">
                  <c:v>14.23902</c:v>
                </c:pt>
                <c:pt idx="32">
                  <c:v>38.020609999999998</c:v>
                </c:pt>
                <c:pt idx="33">
                  <c:v>33.16619</c:v>
                </c:pt>
                <c:pt idx="34">
                  <c:v>16.048380000000002</c:v>
                </c:pt>
                <c:pt idx="35">
                  <c:v>12.83009</c:v>
                </c:pt>
                <c:pt idx="36">
                  <c:v>12.44544</c:v>
                </c:pt>
                <c:pt idx="37">
                  <c:v>18.358450000000001</c:v>
                </c:pt>
              </c:numCache>
            </c:numRef>
          </c:yVal>
          <c:smooth val="0"/>
          <c:extLst>
            <c:ext xmlns:c16="http://schemas.microsoft.com/office/drawing/2014/chart" uri="{C3380CC4-5D6E-409C-BE32-E72D297353CC}">
              <c16:uniqueId val="{00000001-1663-4240-9D04-142D92CA0750}"/>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Driftsutgifter!$R$705:$R$796</c:f>
              <c:numCache>
                <c:formatCode>General</c:formatCode>
                <c:ptCount val="92"/>
                <c:pt idx="0">
                  <c:v>8.5148960000000002</c:v>
                </c:pt>
                <c:pt idx="1">
                  <c:v>16.804819999999999</c:v>
                </c:pt>
                <c:pt idx="2">
                  <c:v>19.535270000000001</c:v>
                </c:pt>
                <c:pt idx="3">
                  <c:v>25.61871</c:v>
                </c:pt>
                <c:pt idx="4">
                  <c:v>10.56955</c:v>
                </c:pt>
                <c:pt idx="5">
                  <c:v>11.211869999999999</c:v>
                </c:pt>
                <c:pt idx="6">
                  <c:v>8.2600460000000009</c:v>
                </c:pt>
                <c:pt idx="7">
                  <c:v>12.94872</c:v>
                </c:pt>
                <c:pt idx="8">
                  <c:v>12.63608</c:v>
                </c:pt>
                <c:pt idx="9">
                  <c:v>14.14809</c:v>
                </c:pt>
                <c:pt idx="10">
                  <c:v>40.253790000000002</c:v>
                </c:pt>
                <c:pt idx="11">
                  <c:v>18.52656</c:v>
                </c:pt>
                <c:pt idx="12">
                  <c:v>14.6584</c:v>
                </c:pt>
                <c:pt idx="13">
                  <c:v>17.70607</c:v>
                </c:pt>
                <c:pt idx="14">
                  <c:v>10.62148</c:v>
                </c:pt>
                <c:pt idx="15">
                  <c:v>14.787879999999999</c:v>
                </c:pt>
                <c:pt idx="16">
                  <c:v>19.224689999999999</c:v>
                </c:pt>
                <c:pt idx="17">
                  <c:v>12.663119999999999</c:v>
                </c:pt>
                <c:pt idx="18">
                  <c:v>21.30303</c:v>
                </c:pt>
                <c:pt idx="19">
                  <c:v>8.6931989999999999</c:v>
                </c:pt>
                <c:pt idx="20">
                  <c:v>12.93244</c:v>
                </c:pt>
                <c:pt idx="21">
                  <c:v>17.146930000000001</c:v>
                </c:pt>
                <c:pt idx="22">
                  <c:v>20.729150000000001</c:v>
                </c:pt>
                <c:pt idx="23">
                  <c:v>13.959070000000001</c:v>
                </c:pt>
                <c:pt idx="24">
                  <c:v>11.356030000000001</c:v>
                </c:pt>
                <c:pt idx="25">
                  <c:v>21.749739999999999</c:v>
                </c:pt>
                <c:pt idx="26">
                  <c:v>15.405530000000001</c:v>
                </c:pt>
                <c:pt idx="27">
                  <c:v>12.24804</c:v>
                </c:pt>
                <c:pt idx="28">
                  <c:v>12.93355</c:v>
                </c:pt>
                <c:pt idx="29">
                  <c:v>10.442130000000001</c:v>
                </c:pt>
                <c:pt idx="30">
                  <c:v>18.213539999999998</c:v>
                </c:pt>
                <c:pt idx="31">
                  <c:v>56.347850000000001</c:v>
                </c:pt>
                <c:pt idx="32">
                  <c:v>18.128509999999999</c:v>
                </c:pt>
                <c:pt idx="33">
                  <c:v>13.87439</c:v>
                </c:pt>
                <c:pt idx="34">
                  <c:v>16.06485</c:v>
                </c:pt>
                <c:pt idx="35">
                  <c:v>23.10388</c:v>
                </c:pt>
                <c:pt idx="36">
                  <c:v>16.21311</c:v>
                </c:pt>
                <c:pt idx="37">
                  <c:v>16.421690000000002</c:v>
                </c:pt>
                <c:pt idx="38">
                  <c:v>12.23568</c:v>
                </c:pt>
                <c:pt idx="39">
                  <c:v>16.757629999999999</c:v>
                </c:pt>
                <c:pt idx="40">
                  <c:v>38.7331</c:v>
                </c:pt>
                <c:pt idx="41">
                  <c:v>16.935179999999999</c:v>
                </c:pt>
                <c:pt idx="42">
                  <c:v>34.658799999999999</c:v>
                </c:pt>
                <c:pt idx="43">
                  <c:v>10.838710000000001</c:v>
                </c:pt>
                <c:pt idx="44">
                  <c:v>15.065099999999999</c:v>
                </c:pt>
                <c:pt idx="45">
                  <c:v>11.167450000000001</c:v>
                </c:pt>
                <c:pt idx="46">
                  <c:v>14.615869999999999</c:v>
                </c:pt>
                <c:pt idx="47">
                  <c:v>12.71564</c:v>
                </c:pt>
                <c:pt idx="48">
                  <c:v>22.728729999999999</c:v>
                </c:pt>
                <c:pt idx="49">
                  <c:v>18.916160000000001</c:v>
                </c:pt>
                <c:pt idx="50">
                  <c:v>12.506119999999999</c:v>
                </c:pt>
                <c:pt idx="51">
                  <c:v>14.53645</c:v>
                </c:pt>
                <c:pt idx="52">
                  <c:v>18.143180000000001</c:v>
                </c:pt>
                <c:pt idx="53">
                  <c:v>13.668670000000001</c:v>
                </c:pt>
                <c:pt idx="54">
                  <c:v>25.439039999999999</c:v>
                </c:pt>
                <c:pt idx="55">
                  <c:v>14.204789999999999</c:v>
                </c:pt>
                <c:pt idx="56">
                  <c:v>29.81287</c:v>
                </c:pt>
                <c:pt idx="57">
                  <c:v>17.11347</c:v>
                </c:pt>
                <c:pt idx="58">
                  <c:v>39.600409999999997</c:v>
                </c:pt>
                <c:pt idx="59">
                  <c:v>15.010999999999999</c:v>
                </c:pt>
                <c:pt idx="60">
                  <c:v>14.3263</c:v>
                </c:pt>
                <c:pt idx="61">
                  <c:v>14.170439999999999</c:v>
                </c:pt>
                <c:pt idx="62">
                  <c:v>16.206630000000001</c:v>
                </c:pt>
                <c:pt idx="63">
                  <c:v>27.760590000000001</c:v>
                </c:pt>
                <c:pt idx="64">
                  <c:v>63.665680000000002</c:v>
                </c:pt>
                <c:pt idx="65">
                  <c:v>14.026350000000001</c:v>
                </c:pt>
                <c:pt idx="66">
                  <c:v>12.31387</c:v>
                </c:pt>
                <c:pt idx="67">
                  <c:v>18.156459999999999</c:v>
                </c:pt>
                <c:pt idx="68">
                  <c:v>13.865159999999999</c:v>
                </c:pt>
                <c:pt idx="69">
                  <c:v>12.601789999999999</c:v>
                </c:pt>
                <c:pt idx="70">
                  <c:v>14.36495</c:v>
                </c:pt>
                <c:pt idx="71">
                  <c:v>17.466170000000002</c:v>
                </c:pt>
                <c:pt idx="72">
                  <c:v>16.04466</c:v>
                </c:pt>
                <c:pt idx="73">
                  <c:v>20.105630000000001</c:v>
                </c:pt>
                <c:pt idx="74">
                  <c:v>17.64274</c:v>
                </c:pt>
                <c:pt idx="75">
                  <c:v>21.068529999999999</c:v>
                </c:pt>
                <c:pt idx="76">
                  <c:v>21.876110000000001</c:v>
                </c:pt>
                <c:pt idx="77">
                  <c:v>14.34169</c:v>
                </c:pt>
                <c:pt idx="78">
                  <c:v>13.280290000000001</c:v>
                </c:pt>
                <c:pt idx="79">
                  <c:v>16.092449999999999</c:v>
                </c:pt>
                <c:pt idx="80">
                  <c:v>11.327500000000001</c:v>
                </c:pt>
                <c:pt idx="81">
                  <c:v>17.72561</c:v>
                </c:pt>
                <c:pt idx="82">
                  <c:v>14.498060000000001</c:v>
                </c:pt>
                <c:pt idx="83">
                  <c:v>11.613530000000001</c:v>
                </c:pt>
                <c:pt idx="84">
                  <c:v>24.626519999999999</c:v>
                </c:pt>
                <c:pt idx="85">
                  <c:v>11.947430000000001</c:v>
                </c:pt>
                <c:pt idx="86">
                  <c:v>12.682359999999999</c:v>
                </c:pt>
                <c:pt idx="87">
                  <c:v>13.22719</c:v>
                </c:pt>
                <c:pt idx="88">
                  <c:v>16.848030000000001</c:v>
                </c:pt>
                <c:pt idx="89">
                  <c:v>19.39303</c:v>
                </c:pt>
                <c:pt idx="90">
                  <c:v>14.04002</c:v>
                </c:pt>
                <c:pt idx="91">
                  <c:v>9.60121</c:v>
                </c:pt>
              </c:numCache>
            </c:numRef>
          </c:yVal>
          <c:smooth val="0"/>
          <c:extLst>
            <c:ext xmlns:c16="http://schemas.microsoft.com/office/drawing/2014/chart" uri="{C3380CC4-5D6E-409C-BE32-E72D297353CC}">
              <c16:uniqueId val="{00000002-1663-4240-9D04-142D92CA0750}"/>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Driftsutgifter!$R$797:$R$844</c:f>
              <c:numCache>
                <c:formatCode>General</c:formatCode>
                <c:ptCount val="48"/>
                <c:pt idx="0">
                  <c:v>10.11182</c:v>
                </c:pt>
                <c:pt idx="1">
                  <c:v>8.1765360000000005</c:v>
                </c:pt>
                <c:pt idx="2">
                  <c:v>13.13566</c:v>
                </c:pt>
                <c:pt idx="3">
                  <c:v>11.33311</c:v>
                </c:pt>
                <c:pt idx="4">
                  <c:v>13.252280000000001</c:v>
                </c:pt>
                <c:pt idx="5">
                  <c:v>10.32699</c:v>
                </c:pt>
                <c:pt idx="6">
                  <c:v>54.814749999999997</c:v>
                </c:pt>
                <c:pt idx="7">
                  <c:v>13.984450000000001</c:v>
                </c:pt>
                <c:pt idx="8">
                  <c:v>11.132529999999999</c:v>
                </c:pt>
                <c:pt idx="9">
                  <c:v>7.7819289999999999</c:v>
                </c:pt>
                <c:pt idx="10">
                  <c:v>13.95683</c:v>
                </c:pt>
                <c:pt idx="11">
                  <c:v>19.0108</c:v>
                </c:pt>
                <c:pt idx="12">
                  <c:v>13.35012</c:v>
                </c:pt>
                <c:pt idx="13">
                  <c:v>39.717289999999998</c:v>
                </c:pt>
                <c:pt idx="14">
                  <c:v>26.445930000000001</c:v>
                </c:pt>
                <c:pt idx="15">
                  <c:v>14.991989999999999</c:v>
                </c:pt>
                <c:pt idx="16">
                  <c:v>18.929130000000001</c:v>
                </c:pt>
                <c:pt idx="17">
                  <c:v>13.59304</c:v>
                </c:pt>
                <c:pt idx="18">
                  <c:v>11.040789999999999</c:v>
                </c:pt>
                <c:pt idx="19">
                  <c:v>12.112819999999999</c:v>
                </c:pt>
                <c:pt idx="20">
                  <c:v>9.2939419999999995</c:v>
                </c:pt>
                <c:pt idx="21">
                  <c:v>15.425800000000001</c:v>
                </c:pt>
                <c:pt idx="22">
                  <c:v>21.626609999999999</c:v>
                </c:pt>
                <c:pt idx="23">
                  <c:v>12.505240000000001</c:v>
                </c:pt>
                <c:pt idx="24">
                  <c:v>68.081180000000003</c:v>
                </c:pt>
                <c:pt idx="25">
                  <c:v>12.30335</c:v>
                </c:pt>
                <c:pt idx="26">
                  <c:v>30.395569999999999</c:v>
                </c:pt>
                <c:pt idx="27">
                  <c:v>15.387840000000001</c:v>
                </c:pt>
                <c:pt idx="28">
                  <c:v>12.497870000000001</c:v>
                </c:pt>
                <c:pt idx="29">
                  <c:v>11.928240000000001</c:v>
                </c:pt>
                <c:pt idx="30">
                  <c:v>19.49288</c:v>
                </c:pt>
                <c:pt idx="31">
                  <c:v>15.881209999999999</c:v>
                </c:pt>
                <c:pt idx="32">
                  <c:v>8.1331889999999998</c:v>
                </c:pt>
                <c:pt idx="33">
                  <c:v>12.42037</c:v>
                </c:pt>
                <c:pt idx="34">
                  <c:v>14.58018</c:v>
                </c:pt>
                <c:pt idx="35">
                  <c:v>31.94942</c:v>
                </c:pt>
                <c:pt idx="36">
                  <c:v>45.580179999999999</c:v>
                </c:pt>
                <c:pt idx="37">
                  <c:v>17.087060000000001</c:v>
                </c:pt>
                <c:pt idx="38">
                  <c:v>13.995839999999999</c:v>
                </c:pt>
                <c:pt idx="39">
                  <c:v>17.9741</c:v>
                </c:pt>
                <c:pt idx="40">
                  <c:v>13.09186</c:v>
                </c:pt>
                <c:pt idx="41">
                  <c:v>13.109579999999999</c:v>
                </c:pt>
                <c:pt idx="42">
                  <c:v>19.282820000000001</c:v>
                </c:pt>
                <c:pt idx="43">
                  <c:v>13.83882</c:v>
                </c:pt>
                <c:pt idx="44">
                  <c:v>13.685779999999999</c:v>
                </c:pt>
                <c:pt idx="45">
                  <c:v>10.53482</c:v>
                </c:pt>
                <c:pt idx="46">
                  <c:v>18.028379999999999</c:v>
                </c:pt>
                <c:pt idx="47">
                  <c:v>8.4184190000000001</c:v>
                </c:pt>
              </c:numCache>
            </c:numRef>
          </c:yVal>
          <c:smooth val="0"/>
          <c:extLst>
            <c:ext xmlns:c16="http://schemas.microsoft.com/office/drawing/2014/chart" uri="{C3380CC4-5D6E-409C-BE32-E72D297353CC}">
              <c16:uniqueId val="{00000003-1663-4240-9D04-142D92CA0750}"/>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Driftsutgifter!$R$845:$R$890</c:f>
              <c:numCache>
                <c:formatCode>General</c:formatCode>
                <c:ptCount val="46"/>
                <c:pt idx="0">
                  <c:v>16.080860000000001</c:v>
                </c:pt>
                <c:pt idx="1">
                  <c:v>12.47916</c:v>
                </c:pt>
                <c:pt idx="2">
                  <c:v>31.644300000000001</c:v>
                </c:pt>
                <c:pt idx="3">
                  <c:v>20.070810000000002</c:v>
                </c:pt>
                <c:pt idx="4">
                  <c:v>12.71222</c:v>
                </c:pt>
                <c:pt idx="5">
                  <c:v>17.478850000000001</c:v>
                </c:pt>
                <c:pt idx="6">
                  <c:v>18.774550000000001</c:v>
                </c:pt>
                <c:pt idx="7">
                  <c:v>15.920640000000001</c:v>
                </c:pt>
                <c:pt idx="8">
                  <c:v>24.173269999999999</c:v>
                </c:pt>
                <c:pt idx="9">
                  <c:v>13.86694</c:v>
                </c:pt>
                <c:pt idx="10">
                  <c:v>19.69464</c:v>
                </c:pt>
                <c:pt idx="11">
                  <c:v>14.164529999999999</c:v>
                </c:pt>
                <c:pt idx="12">
                  <c:v>12.784050000000001</c:v>
                </c:pt>
                <c:pt idx="13">
                  <c:v>14.449949999999999</c:v>
                </c:pt>
                <c:pt idx="14">
                  <c:v>14.35553</c:v>
                </c:pt>
                <c:pt idx="15">
                  <c:v>15.987080000000001</c:v>
                </c:pt>
                <c:pt idx="16">
                  <c:v>17.47598</c:v>
                </c:pt>
                <c:pt idx="17">
                  <c:v>10.73535</c:v>
                </c:pt>
                <c:pt idx="18">
                  <c:v>18.558219999999999</c:v>
                </c:pt>
                <c:pt idx="19">
                  <c:v>14.21754</c:v>
                </c:pt>
                <c:pt idx="20">
                  <c:v>14.268000000000001</c:v>
                </c:pt>
                <c:pt idx="21">
                  <c:v>11.406140000000001</c:v>
                </c:pt>
                <c:pt idx="22">
                  <c:v>13.59615</c:v>
                </c:pt>
                <c:pt idx="23">
                  <c:v>13.908160000000001</c:v>
                </c:pt>
                <c:pt idx="24">
                  <c:v>17.943439999999999</c:v>
                </c:pt>
                <c:pt idx="25">
                  <c:v>15.64813</c:v>
                </c:pt>
                <c:pt idx="26">
                  <c:v>12.73171</c:v>
                </c:pt>
                <c:pt idx="27">
                  <c:v>18.559370000000001</c:v>
                </c:pt>
                <c:pt idx="28">
                  <c:v>18.278420000000001</c:v>
                </c:pt>
                <c:pt idx="29">
                  <c:v>15.438510000000001</c:v>
                </c:pt>
                <c:pt idx="30">
                  <c:v>19.077970000000001</c:v>
                </c:pt>
                <c:pt idx="31">
                  <c:v>17.028559999999999</c:v>
                </c:pt>
                <c:pt idx="32">
                  <c:v>23.063780000000001</c:v>
                </c:pt>
                <c:pt idx="33">
                  <c:v>16.44511</c:v>
                </c:pt>
                <c:pt idx="34">
                  <c:v>20.277170000000002</c:v>
                </c:pt>
                <c:pt idx="35">
                  <c:v>13.338789999999999</c:v>
                </c:pt>
                <c:pt idx="36">
                  <c:v>13.395300000000001</c:v>
                </c:pt>
                <c:pt idx="37">
                  <c:v>11.050840000000001</c:v>
                </c:pt>
                <c:pt idx="38">
                  <c:v>12.99846</c:v>
                </c:pt>
                <c:pt idx="39">
                  <c:v>12.95609</c:v>
                </c:pt>
                <c:pt idx="40">
                  <c:v>14.70984</c:v>
                </c:pt>
                <c:pt idx="41">
                  <c:v>16.277719999999999</c:v>
                </c:pt>
                <c:pt idx="42">
                  <c:v>23.441749999999999</c:v>
                </c:pt>
                <c:pt idx="43">
                  <c:v>10.71766</c:v>
                </c:pt>
                <c:pt idx="44">
                  <c:v>17.822939999999999</c:v>
                </c:pt>
                <c:pt idx="45">
                  <c:v>10.29415</c:v>
                </c:pt>
              </c:numCache>
            </c:numRef>
          </c:yVal>
          <c:smooth val="0"/>
          <c:extLst>
            <c:ext xmlns:c16="http://schemas.microsoft.com/office/drawing/2014/chart" uri="{C3380CC4-5D6E-409C-BE32-E72D297353CC}">
              <c16:uniqueId val="{00000004-1663-4240-9D04-142D92CA0750}"/>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Driftsutgifter!$R$891:$R$942</c:f>
              <c:numCache>
                <c:formatCode>General</c:formatCode>
                <c:ptCount val="52"/>
                <c:pt idx="0">
                  <c:v>8.8766459999999991</c:v>
                </c:pt>
                <c:pt idx="1">
                  <c:v>11.03697</c:v>
                </c:pt>
                <c:pt idx="2">
                  <c:v>12.10688</c:v>
                </c:pt>
                <c:pt idx="3">
                  <c:v>11.929550000000001</c:v>
                </c:pt>
                <c:pt idx="4">
                  <c:v>12.21641</c:v>
                </c:pt>
                <c:pt idx="5">
                  <c:v>10.548920000000001</c:v>
                </c:pt>
                <c:pt idx="6">
                  <c:v>11.357760000000001</c:v>
                </c:pt>
                <c:pt idx="7">
                  <c:v>9.7745569999999997</c:v>
                </c:pt>
                <c:pt idx="8">
                  <c:v>9.5059629999999995</c:v>
                </c:pt>
                <c:pt idx="9">
                  <c:v>13.115550000000001</c:v>
                </c:pt>
                <c:pt idx="10">
                  <c:v>11.046290000000001</c:v>
                </c:pt>
                <c:pt idx="11">
                  <c:v>8.7670700000000004</c:v>
                </c:pt>
                <c:pt idx="12">
                  <c:v>9.6754060000000006</c:v>
                </c:pt>
                <c:pt idx="13">
                  <c:v>14.19525</c:v>
                </c:pt>
                <c:pt idx="14">
                  <c:v>12.51506</c:v>
                </c:pt>
                <c:pt idx="15">
                  <c:v>11.06907</c:v>
                </c:pt>
                <c:pt idx="16">
                  <c:v>14.69121</c:v>
                </c:pt>
                <c:pt idx="17">
                  <c:v>8.5439550000000004</c:v>
                </c:pt>
                <c:pt idx="18">
                  <c:v>16.471820000000001</c:v>
                </c:pt>
                <c:pt idx="19">
                  <c:v>16.65578</c:v>
                </c:pt>
                <c:pt idx="20">
                  <c:v>11.95059</c:v>
                </c:pt>
                <c:pt idx="21">
                  <c:v>16.68703</c:v>
                </c:pt>
                <c:pt idx="22">
                  <c:v>7.3826080000000003</c:v>
                </c:pt>
                <c:pt idx="23">
                  <c:v>9.6892790000000009</c:v>
                </c:pt>
                <c:pt idx="24">
                  <c:v>14.0747</c:v>
                </c:pt>
                <c:pt idx="25">
                  <c:v>11.267530000000001</c:v>
                </c:pt>
                <c:pt idx="26">
                  <c:v>10.6027</c:v>
                </c:pt>
                <c:pt idx="27">
                  <c:v>9.5461939999999998</c:v>
                </c:pt>
                <c:pt idx="28">
                  <c:v>19.856079999999999</c:v>
                </c:pt>
                <c:pt idx="29">
                  <c:v>14.649089999999999</c:v>
                </c:pt>
                <c:pt idx="30">
                  <c:v>9.0700140000000005</c:v>
                </c:pt>
                <c:pt idx="31">
                  <c:v>16.451170000000001</c:v>
                </c:pt>
                <c:pt idx="32">
                  <c:v>19.8871</c:v>
                </c:pt>
                <c:pt idx="33">
                  <c:v>10.55654</c:v>
                </c:pt>
                <c:pt idx="34">
                  <c:v>12.25052</c:v>
                </c:pt>
                <c:pt idx="35">
                  <c:v>23.016590000000001</c:v>
                </c:pt>
                <c:pt idx="36">
                  <c:v>31.43608</c:v>
                </c:pt>
                <c:pt idx="37">
                  <c:v>16.744219999999999</c:v>
                </c:pt>
                <c:pt idx="38">
                  <c:v>11.55151</c:v>
                </c:pt>
                <c:pt idx="39">
                  <c:v>11.840669999999999</c:v>
                </c:pt>
                <c:pt idx="40">
                  <c:v>11.980219999999999</c:v>
                </c:pt>
                <c:pt idx="41">
                  <c:v>13.312580000000001</c:v>
                </c:pt>
                <c:pt idx="42">
                  <c:v>12.722300000000001</c:v>
                </c:pt>
                <c:pt idx="43">
                  <c:v>24.375889999999998</c:v>
                </c:pt>
                <c:pt idx="44">
                  <c:v>7.9345299999999996</c:v>
                </c:pt>
                <c:pt idx="45">
                  <c:v>10.10233</c:v>
                </c:pt>
                <c:pt idx="46">
                  <c:v>9.9251629999999995</c:v>
                </c:pt>
                <c:pt idx="47">
                  <c:v>18.418430000000001</c:v>
                </c:pt>
                <c:pt idx="48">
                  <c:v>16.43</c:v>
                </c:pt>
                <c:pt idx="49">
                  <c:v>12.590260000000001</c:v>
                </c:pt>
                <c:pt idx="50">
                  <c:v>23.003270000000001</c:v>
                </c:pt>
                <c:pt idx="51">
                  <c:v>10.519590000000001</c:v>
                </c:pt>
              </c:numCache>
            </c:numRef>
          </c:yVal>
          <c:smooth val="0"/>
          <c:extLst>
            <c:ext xmlns:c16="http://schemas.microsoft.com/office/drawing/2014/chart" uri="{C3380CC4-5D6E-409C-BE32-E72D297353CC}">
              <c16:uniqueId val="{00000005-1663-4240-9D04-142D92CA0750}"/>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(12) Kapitaltjen.,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b="1"/>
              <a:t>Korrelasjoner</a:t>
            </a:r>
            <a:r>
              <a:rPr lang="nb-NO" b="1" baseline="0"/>
              <a:t> med bruttodriftsutgifter</a:t>
            </a:r>
            <a:endParaRPr lang="nb-NO"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clustered"/>
        <c:varyColors val="0"/>
        <c:ser>
          <c:idx val="0"/>
          <c:order val="0"/>
          <c:tx>
            <c:strRef>
              <c:f>'Sektor drift'!$B$5</c:f>
              <c:strCache>
                <c:ptCount val="1"/>
                <c:pt idx="0">
                  <c:v>Løpende rentekostnader, PIM-dd funk.</c:v>
                </c:pt>
              </c:strCache>
            </c:strRef>
          </c:tx>
          <c:spPr>
            <a:solidFill>
              <a:schemeClr val="accent1"/>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drift'!$C$5:$P$5</c:f>
              <c:numCache>
                <c:formatCode>General</c:formatCode>
                <c:ptCount val="14"/>
                <c:pt idx="0">
                  <c:v>8.9399999999999993E-2</c:v>
                </c:pt>
                <c:pt idx="1">
                  <c:v>0.1363</c:v>
                </c:pt>
                <c:pt idx="2">
                  <c:v>0.34429999999999999</c:v>
                </c:pt>
                <c:pt idx="3">
                  <c:v>0.34970000000000001</c:v>
                </c:pt>
                <c:pt idx="4">
                  <c:v>0.35099999999999998</c:v>
                </c:pt>
                <c:pt idx="5">
                  <c:v>0.3765</c:v>
                </c:pt>
                <c:pt idx="6">
                  <c:v>0.41720000000000002</c:v>
                </c:pt>
                <c:pt idx="7">
                  <c:v>0.44800000000000001</c:v>
                </c:pt>
                <c:pt idx="8">
                  <c:v>0.47610000000000002</c:v>
                </c:pt>
                <c:pt idx="9">
                  <c:v>0.47989999999999999</c:v>
                </c:pt>
                <c:pt idx="10">
                  <c:v>0.57089999999999996</c:v>
                </c:pt>
                <c:pt idx="11">
                  <c:v>0.69720000000000004</c:v>
                </c:pt>
                <c:pt idx="12">
                  <c:v>0.72409999999999997</c:v>
                </c:pt>
                <c:pt idx="13">
                  <c:v>0.77800000000000002</c:v>
                </c:pt>
              </c:numCache>
            </c:numRef>
          </c:val>
          <c:extLst>
            <c:ext xmlns:c16="http://schemas.microsoft.com/office/drawing/2014/chart" uri="{C3380CC4-5D6E-409C-BE32-E72D297353CC}">
              <c16:uniqueId val="{00000000-E906-485E-9A75-6079B9F6027C}"/>
            </c:ext>
          </c:extLst>
        </c:ser>
        <c:ser>
          <c:idx val="1"/>
          <c:order val="1"/>
          <c:tx>
            <c:strRef>
              <c:f>'Sektor drift'!$B$6</c:f>
              <c:strCache>
                <c:ptCount val="1"/>
                <c:pt idx="0">
                  <c:v>Kapitalslit og løpende rentekostnad, PIM-dd funk.</c:v>
                </c:pt>
              </c:strCache>
            </c:strRef>
          </c:tx>
          <c:spPr>
            <a:solidFill>
              <a:schemeClr val="accent2"/>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drift'!$C$6:$P$6</c:f>
              <c:numCache>
                <c:formatCode>General</c:formatCode>
                <c:ptCount val="14"/>
                <c:pt idx="0">
                  <c:v>8.9599999999999999E-2</c:v>
                </c:pt>
                <c:pt idx="1">
                  <c:v>0.1363</c:v>
                </c:pt>
                <c:pt idx="2">
                  <c:v>0.34439999999999998</c:v>
                </c:pt>
                <c:pt idx="3">
                  <c:v>0.35049999999999998</c:v>
                </c:pt>
                <c:pt idx="4">
                  <c:v>0.35099999999999998</c:v>
                </c:pt>
                <c:pt idx="5">
                  <c:v>0.37690000000000001</c:v>
                </c:pt>
                <c:pt idx="6">
                  <c:v>0.4178</c:v>
                </c:pt>
                <c:pt idx="7">
                  <c:v>0.44819999999999999</c:v>
                </c:pt>
                <c:pt idx="8">
                  <c:v>0.4763</c:v>
                </c:pt>
                <c:pt idx="9">
                  <c:v>0.48</c:v>
                </c:pt>
                <c:pt idx="10">
                  <c:v>0.57120000000000004</c:v>
                </c:pt>
                <c:pt idx="11">
                  <c:v>0.69740000000000002</c:v>
                </c:pt>
                <c:pt idx="12">
                  <c:v>0.7238</c:v>
                </c:pt>
                <c:pt idx="13">
                  <c:v>0.7782</c:v>
                </c:pt>
              </c:numCache>
            </c:numRef>
          </c:val>
          <c:extLst>
            <c:ext xmlns:c16="http://schemas.microsoft.com/office/drawing/2014/chart" uri="{C3380CC4-5D6E-409C-BE32-E72D297353CC}">
              <c16:uniqueId val="{00000001-E906-485E-9A75-6079B9F6027C}"/>
            </c:ext>
          </c:extLst>
        </c:ser>
        <c:ser>
          <c:idx val="2"/>
          <c:order val="2"/>
          <c:tx>
            <c:strRef>
              <c:f>'Sektor drift'!$B$7</c:f>
              <c:strCache>
                <c:ptCount val="1"/>
                <c:pt idx="0">
                  <c:v>Kapitalslit, PIM-dd funk.</c:v>
                </c:pt>
              </c:strCache>
            </c:strRef>
          </c:tx>
          <c:spPr>
            <a:solidFill>
              <a:schemeClr val="accent3"/>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drift'!$C$7:$P$7</c:f>
              <c:numCache>
                <c:formatCode>General</c:formatCode>
                <c:ptCount val="14"/>
                <c:pt idx="0">
                  <c:v>9.01E-2</c:v>
                </c:pt>
                <c:pt idx="1">
                  <c:v>0.1361</c:v>
                </c:pt>
                <c:pt idx="2">
                  <c:v>0.34449999999999997</c:v>
                </c:pt>
                <c:pt idx="3">
                  <c:v>0.35249999999999998</c:v>
                </c:pt>
                <c:pt idx="4">
                  <c:v>0.35099999999999998</c:v>
                </c:pt>
                <c:pt idx="5">
                  <c:v>0.3775</c:v>
                </c:pt>
                <c:pt idx="6">
                  <c:v>0.41920000000000002</c:v>
                </c:pt>
                <c:pt idx="7">
                  <c:v>0.44850000000000001</c:v>
                </c:pt>
                <c:pt idx="8">
                  <c:v>0.47660000000000002</c:v>
                </c:pt>
                <c:pt idx="9">
                  <c:v>0.48</c:v>
                </c:pt>
                <c:pt idx="10">
                  <c:v>0.5716</c:v>
                </c:pt>
                <c:pt idx="11">
                  <c:v>0.69779999999999998</c:v>
                </c:pt>
                <c:pt idx="12">
                  <c:v>0.72330000000000005</c:v>
                </c:pt>
                <c:pt idx="13">
                  <c:v>0.7782</c:v>
                </c:pt>
              </c:numCache>
            </c:numRef>
          </c:val>
          <c:extLst>
            <c:ext xmlns:c16="http://schemas.microsoft.com/office/drawing/2014/chart" uri="{C3380CC4-5D6E-409C-BE32-E72D297353CC}">
              <c16:uniqueId val="{00000002-E906-485E-9A75-6079B9F6027C}"/>
            </c:ext>
          </c:extLst>
        </c:ser>
        <c:ser>
          <c:idx val="3"/>
          <c:order val="3"/>
          <c:tx>
            <c:strRef>
              <c:f>'Sektor drift'!$B$8</c:f>
              <c:strCache>
                <c:ptCount val="1"/>
                <c:pt idx="0">
                  <c:v>Kapitalslit, DM</c:v>
                </c:pt>
              </c:strCache>
            </c:strRef>
          </c:tx>
          <c:spPr>
            <a:solidFill>
              <a:schemeClr val="accent4"/>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drift'!$C$8:$P$8</c:f>
              <c:numCache>
                <c:formatCode>General</c:formatCode>
                <c:ptCount val="14"/>
                <c:pt idx="0">
                  <c:v>5.0999999999999997E-2</c:v>
                </c:pt>
                <c:pt idx="1">
                  <c:v>0.14530000000000001</c:v>
                </c:pt>
                <c:pt idx="2">
                  <c:v>0.34110000000000001</c:v>
                </c:pt>
                <c:pt idx="3">
                  <c:v>0.33579999999999999</c:v>
                </c:pt>
                <c:pt idx="4">
                  <c:v>0.3826</c:v>
                </c:pt>
                <c:pt idx="5">
                  <c:v>0.39360000000000001</c:v>
                </c:pt>
                <c:pt idx="6">
                  <c:v>0.43340000000000001</c:v>
                </c:pt>
                <c:pt idx="7">
                  <c:v>0.43230000000000002</c:v>
                </c:pt>
                <c:pt idx="8">
                  <c:v>0.68669999999999998</c:v>
                </c:pt>
                <c:pt idx="9">
                  <c:v>0.4708</c:v>
                </c:pt>
                <c:pt idx="10">
                  <c:v>0.63529999999999998</c:v>
                </c:pt>
                <c:pt idx="11">
                  <c:v>0.81559999999999999</c:v>
                </c:pt>
                <c:pt idx="12">
                  <c:v>0.76939999999999997</c:v>
                </c:pt>
                <c:pt idx="13">
                  <c:v>0.8175</c:v>
                </c:pt>
              </c:numCache>
            </c:numRef>
          </c:val>
          <c:extLst>
            <c:ext xmlns:c16="http://schemas.microsoft.com/office/drawing/2014/chart" uri="{C3380CC4-5D6E-409C-BE32-E72D297353CC}">
              <c16:uniqueId val="{00000003-E906-485E-9A75-6079B9F6027C}"/>
            </c:ext>
          </c:extLst>
        </c:ser>
        <c:dLbls>
          <c:showLegendKey val="0"/>
          <c:showVal val="0"/>
          <c:showCatName val="0"/>
          <c:showSerName val="0"/>
          <c:showPercent val="0"/>
          <c:showBubbleSize val="0"/>
        </c:dLbls>
        <c:gapWidth val="219"/>
        <c:axId val="569689983"/>
        <c:axId val="569691423"/>
      </c:barChart>
      <c:catAx>
        <c:axId val="5696899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91423"/>
        <c:crosses val="autoZero"/>
        <c:auto val="1"/>
        <c:lblAlgn val="ctr"/>
        <c:lblOffset val="100"/>
        <c:noMultiLvlLbl val="0"/>
      </c:catAx>
      <c:valAx>
        <c:axId val="5696914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8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26118568232661"/>
          <c:y val="4.3358162631905652E-2"/>
          <c:w val="0.76793586875466069"/>
          <c:h val="0.65889478584729966"/>
        </c:manualLayout>
      </c:layout>
      <c:scatterChart>
        <c:scatterStyle val="lineMarker"/>
        <c:varyColors val="0"/>
        <c:ser>
          <c:idx val="0"/>
          <c:order val="0"/>
          <c:tx>
            <c:strRef>
              <c:f>Driftsutgifter!$F$968</c:f>
              <c:strCache>
                <c:ptCount val="1"/>
                <c:pt idx="0">
                  <c:v>Nord-Norge</c:v>
                </c:pt>
              </c:strCache>
            </c:strRef>
          </c:tx>
          <c:spPr>
            <a:ln w="25400" cap="rnd">
              <a:noFill/>
              <a:round/>
            </a:ln>
            <a:effectLst/>
          </c:spPr>
          <c:marker>
            <c:symbol val="circle"/>
            <c:size val="5"/>
            <c:spPr>
              <a:solidFill>
                <a:srgbClr val="A60E24"/>
              </a:solidFill>
              <a:ln w="9525">
                <a:noFill/>
              </a:ln>
              <a:effectLst/>
            </c:spPr>
          </c:marker>
          <c:dLbls>
            <c:dLbl>
              <c:idx val="0"/>
              <c:tx>
                <c:rich>
                  <a:bodyPr/>
                  <a:lstStyle/>
                  <a:p>
                    <a:fld id="{711E5C54-89FC-4CD9-802A-76D5BEE06052}"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9CB-4495-A1C8-30068990A33B}"/>
                </c:ext>
              </c:extLst>
            </c:dLbl>
            <c:dLbl>
              <c:idx val="1"/>
              <c:tx>
                <c:rich>
                  <a:bodyPr/>
                  <a:lstStyle/>
                  <a:p>
                    <a:fld id="{64C3CF37-5B17-4C0F-BCDA-5544A0B831D0}" type="CELLRANGE">
                      <a:rPr lang="nb-NO"/>
                      <a:pPr/>
                      <a:t>[CELLEOMRÅDE]</a:t>
                    </a:fld>
                    <a:endParaRPr lang="nb-NO"/>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Driftsutgifter!$H$968:$H$969</c:f>
              <c:numCache>
                <c:formatCode>0</c:formatCode>
                <c:ptCount val="2"/>
                <c:pt idx="0">
                  <c:v>32.097850000000001</c:v>
                </c:pt>
                <c:pt idx="1">
                  <c:v>30.222549999999998</c:v>
                </c:pt>
              </c:numCache>
            </c:numRef>
          </c:xVal>
          <c:yVal>
            <c:numRef>
              <c:f>Driftsutgifter!$G$968:$G$969</c:f>
              <c:numCache>
                <c:formatCode>0</c:formatCode>
                <c:ptCount val="2"/>
                <c:pt idx="0">
                  <c:v>242094</c:v>
                </c:pt>
                <c:pt idx="1">
                  <c:v>240637</c:v>
                </c:pt>
              </c:numCache>
            </c:numRef>
          </c:yVal>
          <c:smooth val="0"/>
          <c:extLst>
            <c:ext xmlns:c15="http://schemas.microsoft.com/office/drawing/2012/chart" uri="{02D57815-91ED-43cb-92C2-25804820EDAC}">
              <c15:datalabelsRange>
                <c15:f>Driftsutgifter!$C$968:$C$969</c15:f>
                <c15:dlblRangeCache>
                  <c:ptCount val="2"/>
                  <c:pt idx="0">
                    <c:v>T&amp;F</c:v>
                  </c:pt>
                  <c:pt idx="1">
                    <c:v>Nordl.</c:v>
                  </c:pt>
                </c15:dlblRangeCache>
              </c15:datalabelsRange>
            </c:ext>
            <c:ext xmlns:c16="http://schemas.microsoft.com/office/drawing/2014/chart" uri="{C3380CC4-5D6E-409C-BE32-E72D297353CC}">
              <c16:uniqueId val="{00000002-F9CB-4495-A1C8-30068990A33B}"/>
            </c:ext>
          </c:extLst>
        </c:ser>
        <c:ser>
          <c:idx val="1"/>
          <c:order val="1"/>
          <c:tx>
            <c:strRef>
              <c:f>Driftsutgifter!$F$970</c:f>
              <c:strCache>
                <c:ptCount val="1"/>
                <c:pt idx="0">
                  <c:v>Midt-Norge</c:v>
                </c:pt>
              </c:strCache>
            </c:strRef>
          </c:tx>
          <c:spPr>
            <a:ln w="25400" cap="rnd">
              <a:noFill/>
              <a:round/>
            </a:ln>
            <a:effectLst/>
          </c:spPr>
          <c:marker>
            <c:symbol val="circle"/>
            <c:size val="5"/>
            <c:spPr>
              <a:solidFill>
                <a:srgbClr val="F48594"/>
              </a:solidFill>
              <a:ln w="9525">
                <a:noFill/>
              </a:ln>
              <a:effectLst/>
            </c:spPr>
          </c:marker>
          <c:dLbls>
            <c:dLbl>
              <c:idx val="0"/>
              <c:tx>
                <c:rich>
                  <a:bodyPr/>
                  <a:lstStyle/>
                  <a:p>
                    <a:fld id="{030F532D-D17C-4F03-BC18-8E4662EDD09B}" type="CELLRANGE">
                      <a:rPr lang="en-US"/>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Driftsutgifter!$H$970</c:f>
              <c:numCache>
                <c:formatCode>0</c:formatCode>
                <c:ptCount val="1"/>
                <c:pt idx="0">
                  <c:v>21.114180000000001</c:v>
                </c:pt>
              </c:numCache>
            </c:numRef>
          </c:xVal>
          <c:yVal>
            <c:numRef>
              <c:f>Driftsutgifter!$G$970</c:f>
              <c:numCache>
                <c:formatCode>0</c:formatCode>
                <c:ptCount val="1"/>
                <c:pt idx="0">
                  <c:v>476300.5</c:v>
                </c:pt>
              </c:numCache>
            </c:numRef>
          </c:yVal>
          <c:smooth val="0"/>
          <c:extLst>
            <c:ext xmlns:c15="http://schemas.microsoft.com/office/drawing/2012/chart" uri="{02D57815-91ED-43cb-92C2-25804820EDAC}">
              <c15:datalabelsRange>
                <c15:f>Driftsutgifter!$D$970</c15:f>
                <c15:dlblRangeCache>
                  <c:ptCount val="1"/>
                  <c:pt idx="0">
                    <c:v>Trøndelag</c:v>
                  </c:pt>
                </c15:dlblRangeCache>
              </c15:datalabelsRange>
            </c:ext>
            <c:ext xmlns:c16="http://schemas.microsoft.com/office/drawing/2014/chart" uri="{C3380CC4-5D6E-409C-BE32-E72D297353CC}">
              <c16:uniqueId val="{00000004-F9CB-4495-A1C8-30068990A33B}"/>
            </c:ext>
          </c:extLst>
        </c:ser>
        <c:ser>
          <c:idx val="2"/>
          <c:order val="2"/>
          <c:tx>
            <c:strRef>
              <c:f>Driftsutgifter!$F$971</c:f>
              <c:strCache>
                <c:ptCount val="1"/>
                <c:pt idx="0">
                  <c:v>Vestlandet</c:v>
                </c:pt>
              </c:strCache>
            </c:strRef>
          </c:tx>
          <c:spPr>
            <a:ln w="25400" cap="rnd">
              <a:noFill/>
              <a:round/>
            </a:ln>
            <a:effectLst/>
          </c:spPr>
          <c:marker>
            <c:symbol val="circle"/>
            <c:size val="5"/>
            <c:spPr>
              <a:solidFill>
                <a:srgbClr val="FABF8F"/>
              </a:solidFill>
              <a:ln w="9525">
                <a:noFill/>
              </a:ln>
              <a:effectLst/>
            </c:spPr>
          </c:marker>
          <c:dLbls>
            <c:dLbl>
              <c:idx val="0"/>
              <c:tx>
                <c:rich>
                  <a:bodyPr/>
                  <a:lstStyle/>
                  <a:p>
                    <a:fld id="{8264DD65-3BCD-4717-82E5-696DD18AFC64}"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9CB-4495-A1C8-30068990A33B}"/>
                </c:ext>
              </c:extLst>
            </c:dLbl>
            <c:dLbl>
              <c:idx val="1"/>
              <c:tx>
                <c:rich>
                  <a:bodyPr/>
                  <a:lstStyle/>
                  <a:p>
                    <a:fld id="{AA3DB3DC-6B83-44CA-80F3-52B400FCAF13}" type="CELLRANGE">
                      <a:rPr lang="nb-NO"/>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9CB-4495-A1C8-30068990A33B}"/>
                </c:ext>
              </c:extLst>
            </c:dLbl>
            <c:dLbl>
              <c:idx val="2"/>
              <c:tx>
                <c:rich>
                  <a:bodyPr/>
                  <a:lstStyle/>
                  <a:p>
                    <a:fld id="{70852284-62AE-4B2B-AF89-9DF319D133F1}" type="CELLRANGE">
                      <a:rPr lang="en-US"/>
                      <a:pPr/>
                      <a:t>[CELLEOMRÅDE]</a:t>
                    </a:fld>
                    <a:endParaRPr lang="nb-NO"/>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Driftsutgifter!$H$968:$H$978</c:f>
              <c:numCache>
                <c:formatCode>0</c:formatCode>
                <c:ptCount val="11"/>
                <c:pt idx="0">
                  <c:v>32.097850000000001</c:v>
                </c:pt>
                <c:pt idx="1">
                  <c:v>30.222549999999998</c:v>
                </c:pt>
                <c:pt idx="2">
                  <c:v>21.114180000000001</c:v>
                </c:pt>
                <c:pt idx="3">
                  <c:v>18.598559999999999</c:v>
                </c:pt>
                <c:pt idx="4">
                  <c:v>24.999369999999999</c:v>
                </c:pt>
                <c:pt idx="5">
                  <c:v>26.292819999999999</c:v>
                </c:pt>
                <c:pt idx="6">
                  <c:v>19.69801</c:v>
                </c:pt>
                <c:pt idx="7">
                  <c:v>17.713750000000001</c:v>
                </c:pt>
                <c:pt idx="8">
                  <c:v>20.63166</c:v>
                </c:pt>
                <c:pt idx="9">
                  <c:v>15.57427</c:v>
                </c:pt>
                <c:pt idx="10">
                  <c:v>13.125909999999999</c:v>
                </c:pt>
              </c:numCache>
            </c:numRef>
          </c:xVal>
          <c:yVal>
            <c:numRef>
              <c:f>Driftsutgifter!$G$971:$G$973</c:f>
              <c:numCache>
                <c:formatCode>0</c:formatCode>
                <c:ptCount val="3"/>
                <c:pt idx="0">
                  <c:v>489073.5</c:v>
                </c:pt>
                <c:pt idx="1">
                  <c:v>643748.5</c:v>
                </c:pt>
                <c:pt idx="2">
                  <c:v>267106.5</c:v>
                </c:pt>
              </c:numCache>
            </c:numRef>
          </c:yVal>
          <c:smooth val="0"/>
          <c:extLst>
            <c:ext xmlns:c15="http://schemas.microsoft.com/office/drawing/2012/chart" uri="{02D57815-91ED-43cb-92C2-25804820EDAC}">
              <c15:datalabelsRange>
                <c15:f>Driftsutgifter!$C$971:$C$973</c15:f>
                <c15:dlblRangeCache>
                  <c:ptCount val="3"/>
                  <c:pt idx="0">
                    <c:v>Rogal.</c:v>
                  </c:pt>
                  <c:pt idx="1">
                    <c:v>Vestl.</c:v>
                  </c:pt>
                  <c:pt idx="2">
                    <c:v>M&amp;R</c:v>
                  </c:pt>
                </c15:dlblRangeCache>
              </c15:datalabelsRange>
            </c:ext>
            <c:ext xmlns:c16="http://schemas.microsoft.com/office/drawing/2014/chart" uri="{C3380CC4-5D6E-409C-BE32-E72D297353CC}">
              <c16:uniqueId val="{00000008-F9CB-4495-A1C8-30068990A33B}"/>
            </c:ext>
          </c:extLst>
        </c:ser>
        <c:ser>
          <c:idx val="3"/>
          <c:order val="3"/>
          <c:tx>
            <c:strRef>
              <c:f>Driftsutgifter!$F$974</c:f>
              <c:strCache>
                <c:ptCount val="1"/>
                <c:pt idx="0">
                  <c:v>Agder og Sør-Østlandet</c:v>
                </c:pt>
              </c:strCache>
            </c:strRef>
          </c:tx>
          <c:spPr>
            <a:ln w="25400" cap="rnd">
              <a:noFill/>
              <a:round/>
            </a:ln>
            <a:effectLst/>
          </c:spPr>
          <c:marker>
            <c:symbol val="circle"/>
            <c:size val="5"/>
            <c:spPr>
              <a:solidFill>
                <a:srgbClr val="CCCC00"/>
              </a:solidFill>
              <a:ln w="9525">
                <a:noFill/>
              </a:ln>
              <a:effectLst/>
            </c:spPr>
          </c:marker>
          <c:dLbls>
            <c:dLbl>
              <c:idx val="0"/>
              <c:tx>
                <c:rich>
                  <a:bodyPr/>
                  <a:lstStyle/>
                  <a:p>
                    <a:fld id="{CA860DB0-B14C-43D2-9506-964A7B72A0E1}" type="CELLRANGE">
                      <a:rPr lang="en-US"/>
                      <a:pPr/>
                      <a:t>[CELLEOMRÅDE]</a:t>
                    </a:fld>
                    <a:endParaRPr lang="nb-NO"/>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9CB-4495-A1C8-30068990A33B}"/>
                </c:ext>
              </c:extLst>
            </c:dLbl>
            <c:dLbl>
              <c:idx val="1"/>
              <c:tx>
                <c:rich>
                  <a:bodyPr/>
                  <a:lstStyle/>
                  <a:p>
                    <a:fld id="{E25590B2-0BAD-431A-BFBC-7821D74300D9}" type="CELLRANGE">
                      <a:rPr lang="nb-NO"/>
                      <a:pPr/>
                      <a:t>[CELLEOMRÅDE]</a:t>
                    </a:fld>
                    <a:endParaRPr lang="nb-NO"/>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Driftsutgifter!$H$974:$H$975</c:f>
              <c:numCache>
                <c:formatCode>0</c:formatCode>
                <c:ptCount val="2"/>
                <c:pt idx="0">
                  <c:v>19.69801</c:v>
                </c:pt>
                <c:pt idx="1">
                  <c:v>17.713750000000001</c:v>
                </c:pt>
              </c:numCache>
            </c:numRef>
          </c:xVal>
          <c:yVal>
            <c:numRef>
              <c:f>Driftsutgifter!$G$974:$G$975</c:f>
              <c:numCache>
                <c:formatCode>0</c:formatCode>
                <c:ptCount val="2"/>
                <c:pt idx="0">
                  <c:v>313592.5</c:v>
                </c:pt>
                <c:pt idx="1">
                  <c:v>426966.5</c:v>
                </c:pt>
              </c:numCache>
            </c:numRef>
          </c:yVal>
          <c:smooth val="0"/>
          <c:extLst>
            <c:ext xmlns:c15="http://schemas.microsoft.com/office/drawing/2012/chart" uri="{02D57815-91ED-43cb-92C2-25804820EDAC}">
              <c15:datalabelsRange>
                <c15:f>Driftsutgifter!$C$974:$C$975</c15:f>
                <c15:dlblRangeCache>
                  <c:ptCount val="2"/>
                  <c:pt idx="0">
                    <c:v>Agder</c:v>
                  </c:pt>
                  <c:pt idx="1">
                    <c:v>V&amp;T</c:v>
                  </c:pt>
                </c15:dlblRangeCache>
              </c15:datalabelsRange>
            </c:ext>
            <c:ext xmlns:c16="http://schemas.microsoft.com/office/drawing/2014/chart" uri="{C3380CC4-5D6E-409C-BE32-E72D297353CC}">
              <c16:uniqueId val="{0000000B-F9CB-4495-A1C8-30068990A33B}"/>
            </c:ext>
          </c:extLst>
        </c:ser>
        <c:ser>
          <c:idx val="4"/>
          <c:order val="4"/>
          <c:tx>
            <c:strRef>
              <c:f>Driftsutgifter!$D$976</c:f>
              <c:strCache>
                <c:ptCount val="1"/>
                <c:pt idx="0">
                  <c:v>Innlandet</c:v>
                </c:pt>
              </c:strCache>
            </c:strRef>
          </c:tx>
          <c:spPr>
            <a:ln w="25400" cap="rnd">
              <a:noFill/>
              <a:round/>
            </a:ln>
            <a:effectLst/>
          </c:spPr>
          <c:marker>
            <c:symbol val="circle"/>
            <c:size val="5"/>
            <c:spPr>
              <a:solidFill>
                <a:srgbClr val="AFD7BB"/>
              </a:solidFill>
              <a:ln w="9525">
                <a:noFill/>
              </a:ln>
              <a:effectLst/>
            </c:spPr>
          </c:marker>
          <c:dLbls>
            <c:dLbl>
              <c:idx val="0"/>
              <c:tx>
                <c:rich>
                  <a:bodyPr/>
                  <a:lstStyle/>
                  <a:p>
                    <a:fld id="{9754D233-BED9-41E8-982D-F6AE66C9C008}" type="CELLRANGE">
                      <a:rPr lang="nb-NO"/>
                      <a:pPr/>
                      <a:t>[CELLEOMRÅDE]</a:t>
                    </a:fld>
                    <a:endParaRPr lang="nb-NO"/>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Driftsutgifter!$H$976</c:f>
              <c:numCache>
                <c:formatCode>0</c:formatCode>
                <c:ptCount val="1"/>
                <c:pt idx="0">
                  <c:v>20.63166</c:v>
                </c:pt>
              </c:numCache>
            </c:numRef>
          </c:xVal>
          <c:yVal>
            <c:numRef>
              <c:f>Driftsutgifter!$G$976</c:f>
              <c:numCache>
                <c:formatCode>0</c:formatCode>
                <c:ptCount val="1"/>
                <c:pt idx="0">
                  <c:v>372440.5</c:v>
                </c:pt>
              </c:numCache>
            </c:numRef>
          </c:yVal>
          <c:smooth val="0"/>
          <c:extLst>
            <c:ext xmlns:c15="http://schemas.microsoft.com/office/drawing/2012/chart" uri="{02D57815-91ED-43cb-92C2-25804820EDAC}">
              <c15:datalabelsRange>
                <c15:f>Driftsutgifter!$D$976</c15:f>
                <c15:dlblRangeCache>
                  <c:ptCount val="1"/>
                  <c:pt idx="0">
                    <c:v>Innlandet</c:v>
                  </c:pt>
                </c15:dlblRangeCache>
              </c15:datalabelsRange>
            </c:ext>
            <c:ext xmlns:c16="http://schemas.microsoft.com/office/drawing/2014/chart" uri="{C3380CC4-5D6E-409C-BE32-E72D297353CC}">
              <c16:uniqueId val="{0000000D-F9CB-4495-A1C8-30068990A33B}"/>
            </c:ext>
          </c:extLst>
        </c:ser>
        <c:ser>
          <c:idx val="5"/>
          <c:order val="5"/>
          <c:tx>
            <c:strRef>
              <c:f>Driftsutgifter!$F$977</c:f>
              <c:strCache>
                <c:ptCount val="1"/>
                <c:pt idx="0">
                  <c:v>Oslo og Viken</c:v>
                </c:pt>
              </c:strCache>
            </c:strRef>
          </c:tx>
          <c:spPr>
            <a:ln w="25400" cap="rnd">
              <a:noFill/>
              <a:round/>
            </a:ln>
            <a:effectLst/>
          </c:spPr>
          <c:marker>
            <c:symbol val="circle"/>
            <c:size val="5"/>
            <c:spPr>
              <a:solidFill>
                <a:srgbClr val="468C5C"/>
              </a:solidFill>
              <a:ln w="9525">
                <a:noFill/>
              </a:ln>
              <a:effectLst/>
            </c:spPr>
          </c:marker>
          <c:dLbls>
            <c:dLbl>
              <c:idx val="0"/>
              <c:tx>
                <c:rich>
                  <a:bodyPr/>
                  <a:lstStyle/>
                  <a:p>
                    <a:fld id="{F654C11D-59F2-4888-BDD7-5D602F02E742}" type="CELLRANGE">
                      <a:rPr lang="en-US"/>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9CB-4495-A1C8-30068990A33B}"/>
                </c:ext>
              </c:extLst>
            </c:dLbl>
            <c:dLbl>
              <c:idx val="1"/>
              <c:tx>
                <c:rich>
                  <a:bodyPr/>
                  <a:lstStyle/>
                  <a:p>
                    <a:fld id="{AFE3D8F4-C799-4CAC-B118-CDA872BA6D19}" type="CELLRANGE">
                      <a:rPr lang="nb-NO"/>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Driftsutgifter!$H$977:$H$978</c:f>
              <c:numCache>
                <c:formatCode>0</c:formatCode>
                <c:ptCount val="2"/>
                <c:pt idx="0">
                  <c:v>15.57427</c:v>
                </c:pt>
                <c:pt idx="1">
                  <c:v>13.125909999999999</c:v>
                </c:pt>
              </c:numCache>
            </c:numRef>
          </c:xVal>
          <c:yVal>
            <c:numRef>
              <c:f>Driftsutgifter!$G$977:$G$978</c:f>
              <c:numCache>
                <c:formatCode>0</c:formatCode>
                <c:ptCount val="2"/>
                <c:pt idx="0">
                  <c:v>1280736</c:v>
                </c:pt>
                <c:pt idx="1">
                  <c:v>704432</c:v>
                </c:pt>
              </c:numCache>
            </c:numRef>
          </c:yVal>
          <c:smooth val="0"/>
          <c:extLst>
            <c:ext xmlns:c15="http://schemas.microsoft.com/office/drawing/2012/chart" uri="{02D57815-91ED-43cb-92C2-25804820EDAC}">
              <c15:datalabelsRange>
                <c15:f>Driftsutgifter!$C$977:$C$978</c15:f>
                <c15:dlblRangeCache>
                  <c:ptCount val="2"/>
                  <c:pt idx="0">
                    <c:v>Viken</c:v>
                  </c:pt>
                  <c:pt idx="1">
                    <c:v>Oslo</c:v>
                  </c:pt>
                </c15:dlblRangeCache>
              </c15:datalabelsRange>
            </c:ext>
            <c:ext xmlns:c16="http://schemas.microsoft.com/office/drawing/2014/chart" uri="{C3380CC4-5D6E-409C-BE32-E72D297353CC}">
              <c16:uniqueId val="{00000010-F9CB-4495-A1C8-30068990A33B}"/>
            </c:ext>
          </c:extLst>
        </c:ser>
        <c:dLbls>
          <c:dLblPos val="t"/>
          <c:showLegendKey val="0"/>
          <c:showVal val="1"/>
          <c:showCatName val="0"/>
          <c:showSerName val="0"/>
          <c:showPercent val="0"/>
          <c:showBubbleSize val="0"/>
        </c:dLbls>
        <c:axId val="145986304"/>
        <c:axId val="145985824"/>
      </c:scatterChart>
      <c:valAx>
        <c:axId val="145986304"/>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layout>
            <c:manualLayout>
              <c:xMode val="edge"/>
              <c:yMode val="edge"/>
              <c:x val="0.39476275331935712"/>
              <c:y val="0.7663901303538175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Befolkning (tierlogaritmisk skala)</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legend>
      <c:legendPos val="b"/>
      <c:layout>
        <c:manualLayout>
          <c:xMode val="edge"/>
          <c:yMode val="edge"/>
          <c:x val="6.6950753415630629E-2"/>
          <c:y val="0.83641371818746124"/>
          <c:w val="0.86609849316873877"/>
          <c:h val="0.1399363749224084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Driftsutgifter!$I$968</c:f>
              <c:numCache>
                <c:formatCode>0</c:formatCode>
                <c:ptCount val="1"/>
                <c:pt idx="0">
                  <c:v>6.3799429999999999</c:v>
                </c:pt>
              </c:numCache>
            </c:numRef>
          </c:yVal>
          <c:smooth val="0"/>
          <c:extLst>
            <c:ext xmlns:c16="http://schemas.microsoft.com/office/drawing/2014/chart" uri="{C3380CC4-5D6E-409C-BE32-E72D297353CC}">
              <c16:uniqueId val="{00000000-83AC-45E5-B523-58B2DFA9430F}"/>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Driftsutgifter!$I$969</c:f>
              <c:numCache>
                <c:formatCode>0</c:formatCode>
                <c:ptCount val="1"/>
                <c:pt idx="0">
                  <c:v>5.592511</c:v>
                </c:pt>
              </c:numCache>
            </c:numRef>
          </c:yVal>
          <c:smooth val="0"/>
          <c:extLst>
            <c:ext xmlns:c16="http://schemas.microsoft.com/office/drawing/2014/chart" uri="{C3380CC4-5D6E-409C-BE32-E72D297353CC}">
              <c16:uniqueId val="{00000001-83AC-45E5-B523-58B2DFA9430F}"/>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Driftsutgifter!$I$970</c:f>
              <c:numCache>
                <c:formatCode>0</c:formatCode>
                <c:ptCount val="1"/>
                <c:pt idx="0">
                  <c:v>4.6305690000000004</c:v>
                </c:pt>
              </c:numCache>
            </c:numRef>
          </c:yVal>
          <c:smooth val="0"/>
          <c:extLst>
            <c:ext xmlns:c16="http://schemas.microsoft.com/office/drawing/2014/chart" uri="{C3380CC4-5D6E-409C-BE32-E72D297353CC}">
              <c16:uniqueId val="{00000002-83AC-45E5-B523-58B2DFA9430F}"/>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Driftsutgifter!$I$971</c:f>
              <c:numCache>
                <c:formatCode>0</c:formatCode>
                <c:ptCount val="1"/>
                <c:pt idx="0">
                  <c:v>4.9506670000000002</c:v>
                </c:pt>
              </c:numCache>
            </c:numRef>
          </c:yVal>
          <c:smooth val="0"/>
          <c:extLst>
            <c:ext xmlns:c16="http://schemas.microsoft.com/office/drawing/2014/chart" uri="{C3380CC4-5D6E-409C-BE32-E72D297353CC}">
              <c16:uniqueId val="{00000003-83AC-45E5-B523-58B2DFA9430F}"/>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Driftsutgifter!$I$972</c:f>
              <c:numCache>
                <c:formatCode>0</c:formatCode>
                <c:ptCount val="1"/>
                <c:pt idx="0">
                  <c:v>9.3338199999999993</c:v>
                </c:pt>
              </c:numCache>
            </c:numRef>
          </c:yVal>
          <c:smooth val="0"/>
          <c:extLst>
            <c:ext xmlns:c16="http://schemas.microsoft.com/office/drawing/2014/chart" uri="{C3380CC4-5D6E-409C-BE32-E72D297353CC}">
              <c16:uniqueId val="{00000004-83AC-45E5-B523-58B2DFA9430F}"/>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Driftsutgifter!$I$973</c:f>
              <c:numCache>
                <c:formatCode>0</c:formatCode>
                <c:ptCount val="1"/>
                <c:pt idx="0">
                  <c:v>8.4566459999999992</c:v>
                </c:pt>
              </c:numCache>
            </c:numRef>
          </c:yVal>
          <c:smooth val="0"/>
          <c:extLst>
            <c:ext xmlns:c16="http://schemas.microsoft.com/office/drawing/2014/chart" uri="{C3380CC4-5D6E-409C-BE32-E72D297353CC}">
              <c16:uniqueId val="{00000005-83AC-45E5-B523-58B2DFA9430F}"/>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Driftsutgifter!$I$974</c:f>
              <c:numCache>
                <c:formatCode>0</c:formatCode>
                <c:ptCount val="1"/>
                <c:pt idx="0">
                  <c:v>3.350498</c:v>
                </c:pt>
              </c:numCache>
            </c:numRef>
          </c:yVal>
          <c:smooth val="0"/>
          <c:extLst>
            <c:ext xmlns:c16="http://schemas.microsoft.com/office/drawing/2014/chart" uri="{C3380CC4-5D6E-409C-BE32-E72D297353CC}">
              <c16:uniqueId val="{00000006-83AC-45E5-B523-58B2DFA9430F}"/>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Driftsutgifter!$I$975</c:f>
              <c:numCache>
                <c:formatCode>0</c:formatCode>
                <c:ptCount val="1"/>
                <c:pt idx="0">
                  <c:v>2.4271180000000001</c:v>
                </c:pt>
              </c:numCache>
            </c:numRef>
          </c:yVal>
          <c:smooth val="0"/>
          <c:extLst>
            <c:ext xmlns:c16="http://schemas.microsoft.com/office/drawing/2014/chart" uri="{C3380CC4-5D6E-409C-BE32-E72D297353CC}">
              <c16:uniqueId val="{00000007-83AC-45E5-B523-58B2DFA9430F}"/>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Driftsutgifter!$I$976</c:f>
              <c:numCache>
                <c:formatCode>0</c:formatCode>
                <c:ptCount val="1"/>
                <c:pt idx="0">
                  <c:v>2.7247150000000002</c:v>
                </c:pt>
              </c:numCache>
            </c:numRef>
          </c:yVal>
          <c:smooth val="0"/>
          <c:extLst>
            <c:ext xmlns:c16="http://schemas.microsoft.com/office/drawing/2014/chart" uri="{C3380CC4-5D6E-409C-BE32-E72D297353CC}">
              <c16:uniqueId val="{00000008-83AC-45E5-B523-58B2DFA9430F}"/>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Driftsutgifter!$I$977</c:f>
              <c:numCache>
                <c:formatCode>0</c:formatCode>
                <c:ptCount val="1"/>
                <c:pt idx="0">
                  <c:v>2.5523180000000001</c:v>
                </c:pt>
              </c:numCache>
            </c:numRef>
          </c:yVal>
          <c:smooth val="0"/>
          <c:extLst>
            <c:ext xmlns:c16="http://schemas.microsoft.com/office/drawing/2014/chart" uri="{C3380CC4-5D6E-409C-BE32-E72D297353CC}">
              <c16:uniqueId val="{00000009-83AC-45E5-B523-58B2DFA9430F}"/>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Driftsutgifter!$I$978</c:f>
              <c:numCache>
                <c:formatCode>0</c:formatCode>
                <c:ptCount val="1"/>
                <c:pt idx="0">
                  <c:v>0.23518520000000001</c:v>
                </c:pt>
              </c:numCache>
            </c:numRef>
          </c:yVal>
          <c:smooth val="0"/>
          <c:extLst>
            <c:ext xmlns:c16="http://schemas.microsoft.com/office/drawing/2014/chart" uri="{C3380CC4-5D6E-409C-BE32-E72D297353CC}">
              <c16:uniqueId val="{0000000A-83AC-45E5-B523-58B2DFA9430F}"/>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(1) Bruttoinvesteringsutgifter</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Driftsutgifter!$J$968</c:f>
              <c:numCache>
                <c:formatCode>0</c:formatCode>
                <c:ptCount val="1"/>
                <c:pt idx="0">
                  <c:v>6.3668950000000004</c:v>
                </c:pt>
              </c:numCache>
            </c:numRef>
          </c:yVal>
          <c:smooth val="0"/>
          <c:extLst>
            <c:ext xmlns:c16="http://schemas.microsoft.com/office/drawing/2014/chart" uri="{C3380CC4-5D6E-409C-BE32-E72D297353CC}">
              <c16:uniqueId val="{00000000-2EE1-47EA-8BAC-EED1CE6345A3}"/>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Driftsutgifter!$J$969</c:f>
              <c:numCache>
                <c:formatCode>0</c:formatCode>
                <c:ptCount val="1"/>
                <c:pt idx="0">
                  <c:v>5.4903190000000004</c:v>
                </c:pt>
              </c:numCache>
            </c:numRef>
          </c:yVal>
          <c:smooth val="0"/>
          <c:extLst>
            <c:ext xmlns:c16="http://schemas.microsoft.com/office/drawing/2014/chart" uri="{C3380CC4-5D6E-409C-BE32-E72D297353CC}">
              <c16:uniqueId val="{00000001-2EE1-47EA-8BAC-EED1CE6345A3}"/>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2EE1-47EA-8BAC-EED1CE6345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Driftsutgifter!$J$970</c:f>
              <c:numCache>
                <c:formatCode>0</c:formatCode>
                <c:ptCount val="1"/>
                <c:pt idx="0">
                  <c:v>4.0169870000000003</c:v>
                </c:pt>
              </c:numCache>
            </c:numRef>
          </c:yVal>
          <c:smooth val="0"/>
          <c:extLst>
            <c:ext xmlns:c16="http://schemas.microsoft.com/office/drawing/2014/chart" uri="{C3380CC4-5D6E-409C-BE32-E72D297353CC}">
              <c16:uniqueId val="{00000003-2EE1-47EA-8BAC-EED1CE6345A3}"/>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Driftsutgifter!$J$971</c:f>
              <c:numCache>
                <c:formatCode>0</c:formatCode>
                <c:ptCount val="1"/>
                <c:pt idx="0">
                  <c:v>4.927276</c:v>
                </c:pt>
              </c:numCache>
            </c:numRef>
          </c:yVal>
          <c:smooth val="0"/>
          <c:extLst>
            <c:ext xmlns:c16="http://schemas.microsoft.com/office/drawing/2014/chart" uri="{C3380CC4-5D6E-409C-BE32-E72D297353CC}">
              <c16:uniqueId val="{00000004-2EE1-47EA-8BAC-EED1CE6345A3}"/>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Driftsutgifter!$J$972</c:f>
              <c:numCache>
                <c:formatCode>0</c:formatCode>
                <c:ptCount val="1"/>
                <c:pt idx="0">
                  <c:v>7.5991200000000001</c:v>
                </c:pt>
              </c:numCache>
            </c:numRef>
          </c:yVal>
          <c:smooth val="0"/>
          <c:extLst>
            <c:ext xmlns:c16="http://schemas.microsoft.com/office/drawing/2014/chart" uri="{C3380CC4-5D6E-409C-BE32-E72D297353CC}">
              <c16:uniqueId val="{00000005-2EE1-47EA-8BAC-EED1CE6345A3}"/>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Driftsutgifter!$J$973</c:f>
              <c:numCache>
                <c:formatCode>0</c:formatCode>
                <c:ptCount val="1"/>
                <c:pt idx="0">
                  <c:v>8.4530849999999997</c:v>
                </c:pt>
              </c:numCache>
            </c:numRef>
          </c:yVal>
          <c:smooth val="0"/>
          <c:extLst>
            <c:ext xmlns:c16="http://schemas.microsoft.com/office/drawing/2014/chart" uri="{C3380CC4-5D6E-409C-BE32-E72D297353CC}">
              <c16:uniqueId val="{00000006-2EE1-47EA-8BAC-EED1CE6345A3}"/>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Driftsutgifter!$J$974</c:f>
              <c:numCache>
                <c:formatCode>0</c:formatCode>
                <c:ptCount val="1"/>
                <c:pt idx="0">
                  <c:v>3.311769</c:v>
                </c:pt>
              </c:numCache>
            </c:numRef>
          </c:yVal>
          <c:smooth val="0"/>
          <c:extLst>
            <c:ext xmlns:c16="http://schemas.microsoft.com/office/drawing/2014/chart" uri="{C3380CC4-5D6E-409C-BE32-E72D297353CC}">
              <c16:uniqueId val="{00000007-2EE1-47EA-8BAC-EED1CE6345A3}"/>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Driftsutgifter!$J$975</c:f>
              <c:numCache>
                <c:formatCode>0</c:formatCode>
                <c:ptCount val="1"/>
                <c:pt idx="0">
                  <c:v>2.4234900000000001</c:v>
                </c:pt>
              </c:numCache>
            </c:numRef>
          </c:yVal>
          <c:smooth val="0"/>
          <c:extLst>
            <c:ext xmlns:c16="http://schemas.microsoft.com/office/drawing/2014/chart" uri="{C3380CC4-5D6E-409C-BE32-E72D297353CC}">
              <c16:uniqueId val="{00000008-2EE1-47EA-8BAC-EED1CE6345A3}"/>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Driftsutgifter!$J$976</c:f>
              <c:numCache>
                <c:formatCode>0</c:formatCode>
                <c:ptCount val="1"/>
                <c:pt idx="0">
                  <c:v>2.6985809999999999</c:v>
                </c:pt>
              </c:numCache>
            </c:numRef>
          </c:yVal>
          <c:smooth val="0"/>
          <c:extLst>
            <c:ext xmlns:c16="http://schemas.microsoft.com/office/drawing/2014/chart" uri="{C3380CC4-5D6E-409C-BE32-E72D297353CC}">
              <c16:uniqueId val="{00000009-2EE1-47EA-8BAC-EED1CE6345A3}"/>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Driftsutgifter!$J$977</c:f>
              <c:numCache>
                <c:formatCode>0</c:formatCode>
                <c:ptCount val="1"/>
                <c:pt idx="0">
                  <c:v>2.5425659999999999</c:v>
                </c:pt>
              </c:numCache>
            </c:numRef>
          </c:yVal>
          <c:smooth val="0"/>
          <c:extLst>
            <c:ext xmlns:c16="http://schemas.microsoft.com/office/drawing/2014/chart" uri="{C3380CC4-5D6E-409C-BE32-E72D297353CC}">
              <c16:uniqueId val="{0000000A-2EE1-47EA-8BAC-EED1CE6345A3}"/>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Driftsutgifter!$J$978</c:f>
              <c:numCache>
                <c:formatCode>0</c:formatCode>
                <c:ptCount val="1"/>
                <c:pt idx="0">
                  <c:v>0.23518520000000001</c:v>
                </c:pt>
              </c:numCache>
            </c:numRef>
          </c:yVal>
          <c:smooth val="0"/>
          <c:extLst>
            <c:ext xmlns:c16="http://schemas.microsoft.com/office/drawing/2014/chart" uri="{C3380CC4-5D6E-409C-BE32-E72D297353CC}">
              <c16:uniqueId val="{0000000B-2EE1-47EA-8BAC-EED1CE6345A3}"/>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(2) Bruttoinvesteringerstrøm</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Driftsutgifter!$K$968</c:f>
              <c:numCache>
                <c:formatCode>0</c:formatCode>
                <c:ptCount val="1"/>
                <c:pt idx="0">
                  <c:v>1.5714969999999999</c:v>
                </c:pt>
              </c:numCache>
            </c:numRef>
          </c:yVal>
          <c:smooth val="0"/>
          <c:extLst>
            <c:ext xmlns:c16="http://schemas.microsoft.com/office/drawing/2014/chart" uri="{C3380CC4-5D6E-409C-BE32-E72D297353CC}">
              <c16:uniqueId val="{00000000-4720-41FA-9F50-F9F43B42E6E7}"/>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Driftsutgifter!$K$969</c:f>
              <c:numCache>
                <c:formatCode>0</c:formatCode>
                <c:ptCount val="1"/>
                <c:pt idx="0">
                  <c:v>1.851145</c:v>
                </c:pt>
              </c:numCache>
            </c:numRef>
          </c:yVal>
          <c:smooth val="0"/>
          <c:extLst>
            <c:ext xmlns:c16="http://schemas.microsoft.com/office/drawing/2014/chart" uri="{C3380CC4-5D6E-409C-BE32-E72D297353CC}">
              <c16:uniqueId val="{00000001-4720-41FA-9F50-F9F43B42E6E7}"/>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Driftsutgifter!$K$970</c:f>
              <c:numCache>
                <c:formatCode>0</c:formatCode>
                <c:ptCount val="1"/>
                <c:pt idx="0">
                  <c:v>1.561455</c:v>
                </c:pt>
              </c:numCache>
            </c:numRef>
          </c:yVal>
          <c:smooth val="0"/>
          <c:extLst>
            <c:ext xmlns:c16="http://schemas.microsoft.com/office/drawing/2014/chart" uri="{C3380CC4-5D6E-409C-BE32-E72D297353CC}">
              <c16:uniqueId val="{00000002-4720-41FA-9F50-F9F43B42E6E7}"/>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Driftsutgifter!$K$971</c:f>
              <c:numCache>
                <c:formatCode>0</c:formatCode>
                <c:ptCount val="1"/>
                <c:pt idx="0">
                  <c:v>1.3307260000000001</c:v>
                </c:pt>
              </c:numCache>
            </c:numRef>
          </c:yVal>
          <c:smooth val="0"/>
          <c:extLst>
            <c:ext xmlns:c16="http://schemas.microsoft.com/office/drawing/2014/chart" uri="{C3380CC4-5D6E-409C-BE32-E72D297353CC}">
              <c16:uniqueId val="{00000003-4720-41FA-9F50-F9F43B42E6E7}"/>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Driftsutgifter!$K$972</c:f>
              <c:numCache>
                <c:formatCode>0</c:formatCode>
                <c:ptCount val="1"/>
                <c:pt idx="0">
                  <c:v>1.9567460000000001</c:v>
                </c:pt>
              </c:numCache>
            </c:numRef>
          </c:yVal>
          <c:smooth val="0"/>
          <c:extLst>
            <c:ext xmlns:c16="http://schemas.microsoft.com/office/drawing/2014/chart" uri="{C3380CC4-5D6E-409C-BE32-E72D297353CC}">
              <c16:uniqueId val="{00000004-4720-41FA-9F50-F9F43B42E6E7}"/>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Driftsutgifter!$K$973</c:f>
              <c:numCache>
                <c:formatCode>0</c:formatCode>
                <c:ptCount val="1"/>
                <c:pt idx="0">
                  <c:v>1.8036890000000001</c:v>
                </c:pt>
              </c:numCache>
            </c:numRef>
          </c:yVal>
          <c:smooth val="0"/>
          <c:extLst>
            <c:ext xmlns:c16="http://schemas.microsoft.com/office/drawing/2014/chart" uri="{C3380CC4-5D6E-409C-BE32-E72D297353CC}">
              <c16:uniqueId val="{00000005-4720-41FA-9F50-F9F43B42E6E7}"/>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4720-41FA-9F50-F9F43B42E6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Driftsutgifter!$K$974</c:f>
              <c:numCache>
                <c:formatCode>0</c:formatCode>
                <c:ptCount val="1"/>
                <c:pt idx="0">
                  <c:v>1.261296</c:v>
                </c:pt>
              </c:numCache>
            </c:numRef>
          </c:yVal>
          <c:smooth val="0"/>
          <c:extLst>
            <c:ext xmlns:c16="http://schemas.microsoft.com/office/drawing/2014/chart" uri="{C3380CC4-5D6E-409C-BE32-E72D297353CC}">
              <c16:uniqueId val="{00000007-4720-41FA-9F50-F9F43B42E6E7}"/>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Driftsutgifter!$K$975</c:f>
              <c:numCache>
                <c:formatCode>0</c:formatCode>
                <c:ptCount val="1"/>
                <c:pt idx="0">
                  <c:v>0.84301700000000002</c:v>
                </c:pt>
              </c:numCache>
            </c:numRef>
          </c:yVal>
          <c:smooth val="0"/>
          <c:extLst>
            <c:ext xmlns:c16="http://schemas.microsoft.com/office/drawing/2014/chart" uri="{C3380CC4-5D6E-409C-BE32-E72D297353CC}">
              <c16:uniqueId val="{00000008-4720-41FA-9F50-F9F43B42E6E7}"/>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Driftsutgifter!$K$976</c:f>
              <c:numCache>
                <c:formatCode>0</c:formatCode>
                <c:ptCount val="1"/>
                <c:pt idx="0">
                  <c:v>1.0833569999999999</c:v>
                </c:pt>
              </c:numCache>
            </c:numRef>
          </c:yVal>
          <c:smooth val="0"/>
          <c:extLst>
            <c:ext xmlns:c16="http://schemas.microsoft.com/office/drawing/2014/chart" uri="{C3380CC4-5D6E-409C-BE32-E72D297353CC}">
              <c16:uniqueId val="{00000009-4720-41FA-9F50-F9F43B42E6E7}"/>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Driftsutgifter!$K$977</c:f>
              <c:numCache>
                <c:formatCode>0</c:formatCode>
                <c:ptCount val="1"/>
                <c:pt idx="0">
                  <c:v>0.83463370000000003</c:v>
                </c:pt>
              </c:numCache>
            </c:numRef>
          </c:yVal>
          <c:smooth val="0"/>
          <c:extLst>
            <c:ext xmlns:c16="http://schemas.microsoft.com/office/drawing/2014/chart" uri="{C3380CC4-5D6E-409C-BE32-E72D297353CC}">
              <c16:uniqueId val="{0000000A-4720-41FA-9F50-F9F43B42E6E7}"/>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Driftsutgifter!$K$978</c:f>
              <c:numCache>
                <c:formatCode>0</c:formatCode>
                <c:ptCount val="1"/>
                <c:pt idx="0">
                  <c:v>0.47049079999999999</c:v>
                </c:pt>
              </c:numCache>
            </c:numRef>
          </c:yVal>
          <c:smooth val="0"/>
          <c:extLst>
            <c:ext xmlns:c16="http://schemas.microsoft.com/office/drawing/2014/chart" uri="{C3380CC4-5D6E-409C-BE32-E72D297353CC}">
              <c16:uniqueId val="{0000000B-4720-41FA-9F50-F9F43B42E6E7}"/>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(3) Kapitalslit, DM</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Driftsutgifter!$L$968</c:f>
              <c:numCache>
                <c:formatCode>0</c:formatCode>
                <c:ptCount val="1"/>
                <c:pt idx="0">
                  <c:v>2.0299670000000001</c:v>
                </c:pt>
              </c:numCache>
            </c:numRef>
          </c:yVal>
          <c:smooth val="0"/>
          <c:extLst>
            <c:ext xmlns:c16="http://schemas.microsoft.com/office/drawing/2014/chart" uri="{C3380CC4-5D6E-409C-BE32-E72D297353CC}">
              <c16:uniqueId val="{00000000-725A-4349-8858-48A29906E88E}"/>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Driftsutgifter!$L$969</c:f>
              <c:numCache>
                <c:formatCode>0</c:formatCode>
                <c:ptCount val="1"/>
                <c:pt idx="0">
                  <c:v>2.191306</c:v>
                </c:pt>
              </c:numCache>
            </c:numRef>
          </c:yVal>
          <c:smooth val="0"/>
          <c:extLst>
            <c:ext xmlns:c16="http://schemas.microsoft.com/office/drawing/2014/chart" uri="{C3380CC4-5D6E-409C-BE32-E72D297353CC}">
              <c16:uniqueId val="{00000001-725A-4349-8858-48A29906E88E}"/>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Driftsutgifter!$L$970</c:f>
              <c:numCache>
                <c:formatCode>0</c:formatCode>
                <c:ptCount val="1"/>
                <c:pt idx="0">
                  <c:v>1.6693610000000001</c:v>
                </c:pt>
              </c:numCache>
            </c:numRef>
          </c:yVal>
          <c:smooth val="0"/>
          <c:extLst>
            <c:ext xmlns:c16="http://schemas.microsoft.com/office/drawing/2014/chart" uri="{C3380CC4-5D6E-409C-BE32-E72D297353CC}">
              <c16:uniqueId val="{00000002-725A-4349-8858-48A29906E88E}"/>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Driftsutgifter!$L$971</c:f>
              <c:numCache>
                <c:formatCode>0</c:formatCode>
                <c:ptCount val="1"/>
                <c:pt idx="0">
                  <c:v>1.5502560000000001</c:v>
                </c:pt>
              </c:numCache>
            </c:numRef>
          </c:yVal>
          <c:smooth val="0"/>
          <c:extLst>
            <c:ext xmlns:c16="http://schemas.microsoft.com/office/drawing/2014/chart" uri="{C3380CC4-5D6E-409C-BE32-E72D297353CC}">
              <c16:uniqueId val="{00000003-725A-4349-8858-48A29906E88E}"/>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Driftsutgifter!$L$972</c:f>
              <c:numCache>
                <c:formatCode>0</c:formatCode>
                <c:ptCount val="1"/>
                <c:pt idx="0">
                  <c:v>2.4725450000000002</c:v>
                </c:pt>
              </c:numCache>
            </c:numRef>
          </c:yVal>
          <c:smooth val="0"/>
          <c:extLst>
            <c:ext xmlns:c16="http://schemas.microsoft.com/office/drawing/2014/chart" uri="{C3380CC4-5D6E-409C-BE32-E72D297353CC}">
              <c16:uniqueId val="{00000004-725A-4349-8858-48A29906E88E}"/>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Driftsutgifter!$L$973</c:f>
              <c:numCache>
                <c:formatCode>0</c:formatCode>
                <c:ptCount val="1"/>
                <c:pt idx="0">
                  <c:v>1.7834049999999999</c:v>
                </c:pt>
              </c:numCache>
            </c:numRef>
          </c:yVal>
          <c:smooth val="0"/>
          <c:extLst>
            <c:ext xmlns:c16="http://schemas.microsoft.com/office/drawing/2014/chart" uri="{C3380CC4-5D6E-409C-BE32-E72D297353CC}">
              <c16:uniqueId val="{00000005-725A-4349-8858-48A29906E88E}"/>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Driftsutgifter!$L$974</c:f>
              <c:numCache>
                <c:formatCode>0</c:formatCode>
                <c:ptCount val="1"/>
                <c:pt idx="0">
                  <c:v>1.340619</c:v>
                </c:pt>
              </c:numCache>
            </c:numRef>
          </c:yVal>
          <c:smooth val="0"/>
          <c:extLst>
            <c:ext xmlns:c16="http://schemas.microsoft.com/office/drawing/2014/chart" uri="{C3380CC4-5D6E-409C-BE32-E72D297353CC}">
              <c16:uniqueId val="{00000006-725A-4349-8858-48A29906E88E}"/>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Driftsutgifter!$L$975</c:f>
              <c:numCache>
                <c:formatCode>0</c:formatCode>
                <c:ptCount val="1"/>
                <c:pt idx="0">
                  <c:v>1.092058</c:v>
                </c:pt>
              </c:numCache>
            </c:numRef>
          </c:yVal>
          <c:smooth val="0"/>
          <c:extLst>
            <c:ext xmlns:c16="http://schemas.microsoft.com/office/drawing/2014/chart" uri="{C3380CC4-5D6E-409C-BE32-E72D297353CC}">
              <c16:uniqueId val="{00000007-725A-4349-8858-48A29906E88E}"/>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Driftsutgifter!$L$976</c:f>
              <c:numCache>
                <c:formatCode>0</c:formatCode>
                <c:ptCount val="1"/>
                <c:pt idx="0">
                  <c:v>1.3584670000000001</c:v>
                </c:pt>
              </c:numCache>
            </c:numRef>
          </c:yVal>
          <c:smooth val="0"/>
          <c:extLst>
            <c:ext xmlns:c16="http://schemas.microsoft.com/office/drawing/2014/chart" uri="{C3380CC4-5D6E-409C-BE32-E72D297353CC}">
              <c16:uniqueId val="{00000008-725A-4349-8858-48A29906E88E}"/>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Driftsutgifter!$L$977</c:f>
              <c:numCache>
                <c:formatCode>0</c:formatCode>
                <c:ptCount val="1"/>
                <c:pt idx="0">
                  <c:v>1.0228820000000001</c:v>
                </c:pt>
              </c:numCache>
            </c:numRef>
          </c:yVal>
          <c:smooth val="0"/>
          <c:extLst>
            <c:ext xmlns:c16="http://schemas.microsoft.com/office/drawing/2014/chart" uri="{C3380CC4-5D6E-409C-BE32-E72D297353CC}">
              <c16:uniqueId val="{00000009-725A-4349-8858-48A29906E88E}"/>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Driftsutgifter!$L$978</c:f>
              <c:numCache>
                <c:formatCode>0</c:formatCode>
                <c:ptCount val="1"/>
                <c:pt idx="0">
                  <c:v>0.28880899999999998</c:v>
                </c:pt>
              </c:numCache>
            </c:numRef>
          </c:yVal>
          <c:smooth val="0"/>
          <c:extLst>
            <c:ext xmlns:c16="http://schemas.microsoft.com/office/drawing/2014/chart" uri="{C3380CC4-5D6E-409C-BE32-E72D297353CC}">
              <c16:uniqueId val="{0000000A-725A-4349-8858-48A29906E88E}"/>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(4) Kapitalslit, PIM-dd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Realkapitalprisutvikling</a:t>
            </a:r>
            <a:r>
              <a:rPr lang="nb-NO" sz="1200" b="1" baseline="0"/>
              <a:t> over kapitalarter</a:t>
            </a:r>
            <a:endParaRPr lang="nb-N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[Kapitalanalyse.xlsx]Parametere!$B$105</c:f>
              <c:strCache>
                <c:ptCount val="1"/>
                <c:pt idx="0">
                  <c:v>Samlet</c:v>
                </c:pt>
              </c:strCache>
            </c:strRef>
          </c:tx>
          <c:spPr>
            <a:ln w="28575" cap="rnd">
              <a:solidFill>
                <a:schemeClr val="accent1"/>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[Kapitalanalyse.xlsx]Parametere!$C$105:$AA$105</c:f>
              <c:numCache>
                <c:formatCode>General</c:formatCode>
                <c:ptCount val="25"/>
                <c:pt idx="0">
                  <c:v>0.75272089817111021</c:v>
                </c:pt>
                <c:pt idx="1">
                  <c:v>0.80131602081299802</c:v>
                </c:pt>
                <c:pt idx="2">
                  <c:v>0.89981501642076345</c:v>
                </c:pt>
                <c:pt idx="3">
                  <c:v>0.96445731942615376</c:v>
                </c:pt>
                <c:pt idx="4">
                  <c:v>0.99365467623486847</c:v>
                </c:pt>
                <c:pt idx="5">
                  <c:v>1</c:v>
                </c:pt>
                <c:pt idx="6">
                  <c:v>1.074499392525661</c:v>
                </c:pt>
                <c:pt idx="7">
                  <c:v>1.1334582589584434</c:v>
                </c:pt>
                <c:pt idx="8">
                  <c:v>1.2660787344216886</c:v>
                </c:pt>
                <c:pt idx="9">
                  <c:v>1.4002707775546448</c:v>
                </c:pt>
                <c:pt idx="10">
                  <c:v>1.3932289139742537</c:v>
                </c:pt>
                <c:pt idx="11">
                  <c:v>1.4068832006281684</c:v>
                </c:pt>
                <c:pt idx="12">
                  <c:v>1.5082570953398771</c:v>
                </c:pt>
                <c:pt idx="13">
                  <c:v>1.6136322674886214</c:v>
                </c:pt>
                <c:pt idx="14">
                  <c:v>1.715798568266635</c:v>
                </c:pt>
                <c:pt idx="15">
                  <c:v>1.7778424104361441</c:v>
                </c:pt>
                <c:pt idx="16">
                  <c:v>1.8348206115538197</c:v>
                </c:pt>
                <c:pt idx="17">
                  <c:v>1.9522119532039963</c:v>
                </c:pt>
                <c:pt idx="18">
                  <c:v>2.0805132992777713</c:v>
                </c:pt>
                <c:pt idx="19">
                  <c:v>2.1850369739011777</c:v>
                </c:pt>
                <c:pt idx="20">
                  <c:v>2.2190208756877023</c:v>
                </c:pt>
                <c:pt idx="21">
                  <c:v>2.2704643612335689</c:v>
                </c:pt>
                <c:pt idx="22">
                  <c:v>2.366337492456887</c:v>
                </c:pt>
                <c:pt idx="23">
                  <c:v>2.5929059202092821</c:v>
                </c:pt>
                <c:pt idx="24">
                  <c:v>2.7425496402910214</c:v>
                </c:pt>
              </c:numCache>
            </c:numRef>
          </c:val>
          <c:smooth val="1"/>
          <c:extLst>
            <c:ext xmlns:c16="http://schemas.microsoft.com/office/drawing/2014/chart" uri="{C3380CC4-5D6E-409C-BE32-E72D297353CC}">
              <c16:uniqueId val="{00000000-CA53-4C56-BB0B-D1335B336635}"/>
            </c:ext>
          </c:extLst>
        </c:ser>
        <c:ser>
          <c:idx val="1"/>
          <c:order val="1"/>
          <c:tx>
            <c:strRef>
              <c:f>[Kapitalanalyse.xlsx]Parametere!$B$106</c:f>
              <c:strCache>
                <c:ptCount val="1"/>
                <c:pt idx="0">
                  <c:v>Fast eiendom og anlegg</c:v>
                </c:pt>
              </c:strCache>
            </c:strRef>
          </c:tx>
          <c:spPr>
            <a:ln w="28575" cap="rnd">
              <a:solidFill>
                <a:schemeClr val="accent2"/>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[Kapitalanalyse.xlsx]Parametere!$C$106:$AA$106</c:f>
              <c:numCache>
                <c:formatCode>General</c:formatCode>
                <c:ptCount val="25"/>
                <c:pt idx="0">
                  <c:v>0.68191721132897598</c:v>
                </c:pt>
                <c:pt idx="1">
                  <c:v>0.75599128540305016</c:v>
                </c:pt>
                <c:pt idx="2">
                  <c:v>0.87799564270152497</c:v>
                </c:pt>
                <c:pt idx="3">
                  <c:v>0.93681917211328969</c:v>
                </c:pt>
                <c:pt idx="4">
                  <c:v>0.98474945533769076</c:v>
                </c:pt>
                <c:pt idx="5">
                  <c:v>1</c:v>
                </c:pt>
                <c:pt idx="6">
                  <c:v>1.10239651416122</c:v>
                </c:pt>
                <c:pt idx="7">
                  <c:v>1.1938997821350761</c:v>
                </c:pt>
                <c:pt idx="8">
                  <c:v>1.3572984749455337</c:v>
                </c:pt>
                <c:pt idx="9">
                  <c:v>1.5272331154684093</c:v>
                </c:pt>
                <c:pt idx="10">
                  <c:v>1.5119825708061003</c:v>
                </c:pt>
                <c:pt idx="11">
                  <c:v>1.5403050108932461</c:v>
                </c:pt>
                <c:pt idx="12">
                  <c:v>1.6666666666666665</c:v>
                </c:pt>
                <c:pt idx="13">
                  <c:v>1.7995642701525054</c:v>
                </c:pt>
                <c:pt idx="14">
                  <c:v>1.9215686274509802</c:v>
                </c:pt>
                <c:pt idx="15">
                  <c:v>2</c:v>
                </c:pt>
                <c:pt idx="16">
                  <c:v>2.0544662309368191</c:v>
                </c:pt>
                <c:pt idx="17">
                  <c:v>2.1786492374727668</c:v>
                </c:pt>
                <c:pt idx="18">
                  <c:v>2.3311546840958606</c:v>
                </c:pt>
                <c:pt idx="19">
                  <c:v>2.44880174291939</c:v>
                </c:pt>
                <c:pt idx="20">
                  <c:v>2.4836601307189543</c:v>
                </c:pt>
                <c:pt idx="21">
                  <c:v>2.5446623093681917</c:v>
                </c:pt>
                <c:pt idx="22">
                  <c:v>2.65359477124183</c:v>
                </c:pt>
                <c:pt idx="23">
                  <c:v>2.9302832244008714</c:v>
                </c:pt>
                <c:pt idx="24">
                  <c:v>3.0849673202614376</c:v>
                </c:pt>
              </c:numCache>
            </c:numRef>
          </c:val>
          <c:smooth val="1"/>
          <c:extLst>
            <c:ext xmlns:c16="http://schemas.microsoft.com/office/drawing/2014/chart" uri="{C3380CC4-5D6E-409C-BE32-E72D297353CC}">
              <c16:uniqueId val="{00000001-CA53-4C56-BB0B-D1335B336635}"/>
            </c:ext>
          </c:extLst>
        </c:ser>
        <c:ser>
          <c:idx val="2"/>
          <c:order val="2"/>
          <c:tx>
            <c:strRef>
              <c:f>[Kapitalanalyse.xlsx]Parametere!$B$107</c:f>
              <c:strCache>
                <c:ptCount val="1"/>
                <c:pt idx="0">
                  <c:v>Bygg og anlegg</c:v>
                </c:pt>
              </c:strCache>
            </c:strRef>
          </c:tx>
          <c:spPr>
            <a:ln w="28575" cap="rnd">
              <a:solidFill>
                <a:schemeClr val="accent3"/>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[Kapitalanalyse.xlsx]Parametere!$C$107:$AA$107</c:f>
              <c:numCache>
                <c:formatCode>General</c:formatCode>
                <c:ptCount val="25"/>
                <c:pt idx="0">
                  <c:v>0.8052127001421191</c:v>
                </c:pt>
                <c:pt idx="1">
                  <c:v>0.83973061432879692</c:v>
                </c:pt>
                <c:pt idx="2">
                  <c:v>0.88592512996983275</c:v>
                </c:pt>
                <c:pt idx="3">
                  <c:v>0.9381498355448562</c:v>
                </c:pt>
                <c:pt idx="4">
                  <c:v>0.97373805027592875</c:v>
                </c:pt>
                <c:pt idx="5">
                  <c:v>1</c:v>
                </c:pt>
                <c:pt idx="6">
                  <c:v>1.0535835105412936</c:v>
                </c:pt>
                <c:pt idx="7">
                  <c:v>1.1157689147804963</c:v>
                </c:pt>
                <c:pt idx="8">
                  <c:v>1.1961317148506396</c:v>
                </c:pt>
                <c:pt idx="9">
                  <c:v>1.271869219205582</c:v>
                </c:pt>
                <c:pt idx="10">
                  <c:v>1.3602097996738798</c:v>
                </c:pt>
                <c:pt idx="11">
                  <c:v>1.3918397531049398</c:v>
                </c:pt>
                <c:pt idx="12">
                  <c:v>1.4409577395337225</c:v>
                </c:pt>
                <c:pt idx="13">
                  <c:v>1.5116790726379932</c:v>
                </c:pt>
                <c:pt idx="14">
                  <c:v>1.5625047391838134</c:v>
                </c:pt>
                <c:pt idx="15">
                  <c:v>1.6094033985880412</c:v>
                </c:pt>
                <c:pt idx="16">
                  <c:v>1.6961154412362014</c:v>
                </c:pt>
                <c:pt idx="17">
                  <c:v>1.7694029529507984</c:v>
                </c:pt>
                <c:pt idx="18">
                  <c:v>1.8097035343514296</c:v>
                </c:pt>
                <c:pt idx="19">
                  <c:v>1.8686016750077741</c:v>
                </c:pt>
                <c:pt idx="20">
                  <c:v>1.9390264362539578</c:v>
                </c:pt>
                <c:pt idx="21">
                  <c:v>1.9880619457718782</c:v>
                </c:pt>
                <c:pt idx="22">
                  <c:v>2.0387436200409521</c:v>
                </c:pt>
                <c:pt idx="23">
                  <c:v>2.1544769995419508</c:v>
                </c:pt>
                <c:pt idx="24">
                  <c:v>2.3501358948795965</c:v>
                </c:pt>
              </c:numCache>
            </c:numRef>
          </c:val>
          <c:smooth val="1"/>
          <c:extLst>
            <c:ext xmlns:c16="http://schemas.microsoft.com/office/drawing/2014/chart" uri="{C3380CC4-5D6E-409C-BE32-E72D297353CC}">
              <c16:uniqueId val="{00000002-CA53-4C56-BB0B-D1335B336635}"/>
            </c:ext>
          </c:extLst>
        </c:ser>
        <c:ser>
          <c:idx val="3"/>
          <c:order val="3"/>
          <c:tx>
            <c:strRef>
              <c:f>[Kapitalanalyse.xlsx]Parametere!$B$108</c:f>
              <c:strCache>
                <c:ptCount val="1"/>
                <c:pt idx="0">
                  <c:v>Maskiner, utstyr og transportmidler</c:v>
                </c:pt>
              </c:strCache>
            </c:strRef>
          </c:tx>
          <c:spPr>
            <a:ln w="28575" cap="rnd">
              <a:solidFill>
                <a:schemeClr val="accent4"/>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[Kapitalanalyse.xlsx]Parametere!$C$108:$AA$108</c:f>
              <c:numCache>
                <c:formatCode>General</c:formatCode>
                <c:ptCount val="25"/>
                <c:pt idx="0">
                  <c:v>1.3013950454110943</c:v>
                </c:pt>
                <c:pt idx="1">
                  <c:v>1.1894829379301712</c:v>
                </c:pt>
                <c:pt idx="2">
                  <c:v>1.1466810071634901</c:v>
                </c:pt>
                <c:pt idx="3">
                  <c:v>1.1999495280818484</c:v>
                </c:pt>
                <c:pt idx="4">
                  <c:v>1.0631287879504807</c:v>
                </c:pt>
                <c:pt idx="5">
                  <c:v>1</c:v>
                </c:pt>
                <c:pt idx="6">
                  <c:v>0.95966576736276132</c:v>
                </c:pt>
                <c:pt idx="7">
                  <c:v>0.87721199871634759</c:v>
                </c:pt>
                <c:pt idx="8">
                  <c:v>0.82649844740977396</c:v>
                </c:pt>
                <c:pt idx="9">
                  <c:v>0.82345850725081005</c:v>
                </c:pt>
                <c:pt idx="10">
                  <c:v>0.79258861630637178</c:v>
                </c:pt>
                <c:pt idx="11">
                  <c:v>0.73193727793197305</c:v>
                </c:pt>
                <c:pt idx="12">
                  <c:v>0.7160283353493373</c:v>
                </c:pt>
                <c:pt idx="13">
                  <c:v>0.69847137948630511</c:v>
                </c:pt>
                <c:pt idx="14">
                  <c:v>0.72031095386065935</c:v>
                </c:pt>
                <c:pt idx="15">
                  <c:v>0.69651313741286236</c:v>
                </c:pt>
                <c:pt idx="16">
                  <c:v>0.69777934489587645</c:v>
                </c:pt>
                <c:pt idx="17">
                  <c:v>0.72892883167354872</c:v>
                </c:pt>
                <c:pt idx="18">
                  <c:v>0.73780298903080721</c:v>
                </c:pt>
                <c:pt idx="19">
                  <c:v>0.75588645727913895</c:v>
                </c:pt>
                <c:pt idx="20">
                  <c:v>0.76951660165159641</c:v>
                </c:pt>
                <c:pt idx="21">
                  <c:v>0.77713648787263012</c:v>
                </c:pt>
                <c:pt idx="22">
                  <c:v>0.81107688165640635</c:v>
                </c:pt>
                <c:pt idx="23">
                  <c:v>0.81264069564496355</c:v>
                </c:pt>
                <c:pt idx="24">
                  <c:v>0.86796334090865601</c:v>
                </c:pt>
              </c:numCache>
            </c:numRef>
          </c:val>
          <c:smooth val="1"/>
          <c:extLst>
            <c:ext xmlns:c16="http://schemas.microsoft.com/office/drawing/2014/chart" uri="{C3380CC4-5D6E-409C-BE32-E72D297353CC}">
              <c16:uniqueId val="{00000003-CA53-4C56-BB0B-D1335B336635}"/>
            </c:ext>
          </c:extLst>
        </c:ser>
        <c:ser>
          <c:idx val="4"/>
          <c:order val="4"/>
          <c:tx>
            <c:strRef>
              <c:f>[Kapitalanalyse.xlsx]Parametere!$B$109</c:f>
              <c:strCache>
                <c:ptCount val="1"/>
                <c:pt idx="0">
                  <c:v>Immaterielle eiendeler</c:v>
                </c:pt>
              </c:strCache>
            </c:strRef>
          </c:tx>
          <c:spPr>
            <a:ln w="28575" cap="rnd">
              <a:solidFill>
                <a:schemeClr val="accent5"/>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[Kapitalanalyse.xlsx]Parametere!$C$109:$AA$109</c:f>
              <c:numCache>
                <c:formatCode>General</c:formatCode>
                <c:ptCount val="25"/>
                <c:pt idx="0">
                  <c:v>1.1309404128815463</c:v>
                </c:pt>
                <c:pt idx="1">
                  <c:v>1.1536077590743259</c:v>
                </c:pt>
                <c:pt idx="2">
                  <c:v>1.2138481598404713</c:v>
                </c:pt>
                <c:pt idx="3">
                  <c:v>1.2194157129848704</c:v>
                </c:pt>
                <c:pt idx="4">
                  <c:v>0.99492834974861655</c:v>
                </c:pt>
                <c:pt idx="5">
                  <c:v>1</c:v>
                </c:pt>
                <c:pt idx="6">
                  <c:v>1.0578091676273029</c:v>
                </c:pt>
                <c:pt idx="7">
                  <c:v>1.0197162396391786</c:v>
                </c:pt>
                <c:pt idx="8">
                  <c:v>1.0956620737333596</c:v>
                </c:pt>
                <c:pt idx="9">
                  <c:v>1.1365797208717947</c:v>
                </c:pt>
                <c:pt idx="10">
                  <c:v>1.1628599829975377</c:v>
                </c:pt>
                <c:pt idx="11">
                  <c:v>1.2086368433433705</c:v>
                </c:pt>
                <c:pt idx="12">
                  <c:v>1.2072445637575591</c:v>
                </c:pt>
                <c:pt idx="13">
                  <c:v>1.2267124423531863</c:v>
                </c:pt>
                <c:pt idx="14">
                  <c:v>1.2498648061647983</c:v>
                </c:pt>
                <c:pt idx="15">
                  <c:v>1.2541127590235746</c:v>
                </c:pt>
                <c:pt idx="16">
                  <c:v>1.2842323542318126</c:v>
                </c:pt>
                <c:pt idx="17">
                  <c:v>1.2997597875917375</c:v>
                </c:pt>
                <c:pt idx="18">
                  <c:v>1.3202893958369721</c:v>
                </c:pt>
                <c:pt idx="19">
                  <c:v>1.3466036050205603</c:v>
                </c:pt>
                <c:pt idx="20">
                  <c:v>1.369033053415293</c:v>
                </c:pt>
                <c:pt idx="21">
                  <c:v>1.4281933768266122</c:v>
                </c:pt>
                <c:pt idx="22">
                  <c:v>1.4648238529773745</c:v>
                </c:pt>
                <c:pt idx="23">
                  <c:v>1.5019725975170912</c:v>
                </c:pt>
                <c:pt idx="24">
                  <c:v>1.6036885800286025</c:v>
                </c:pt>
              </c:numCache>
            </c:numRef>
          </c:val>
          <c:smooth val="1"/>
          <c:extLst>
            <c:ext xmlns:c16="http://schemas.microsoft.com/office/drawing/2014/chart" uri="{C3380CC4-5D6E-409C-BE32-E72D297353CC}">
              <c16:uniqueId val="{00000004-CA53-4C56-BB0B-D1335B336635}"/>
            </c:ext>
          </c:extLst>
        </c:ser>
        <c:dLbls>
          <c:showLegendKey val="0"/>
          <c:showVal val="0"/>
          <c:showCatName val="0"/>
          <c:showSerName val="0"/>
          <c:showPercent val="0"/>
          <c:showBubbleSize val="0"/>
        </c:dLbls>
        <c:smooth val="0"/>
        <c:axId val="283901103"/>
        <c:axId val="283899183"/>
      </c:lineChart>
      <c:catAx>
        <c:axId val="28390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899183"/>
        <c:crosses val="autoZero"/>
        <c:auto val="1"/>
        <c:lblAlgn val="ctr"/>
        <c:lblOffset val="100"/>
        <c:noMultiLvlLbl val="0"/>
      </c:catAx>
      <c:valAx>
        <c:axId val="283899183"/>
        <c:scaling>
          <c:orientation val="minMax"/>
          <c:max val="3.1"/>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nb-NO" b="1">
                    <a:solidFill>
                      <a:srgbClr val="000000"/>
                    </a:solidFill>
                  </a:rPr>
                  <a:t>Indeksert utvikling (baseår 2003)</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901103"/>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Driftsutgifter!$M$968</c:f>
              <c:numCache>
                <c:formatCode>0</c:formatCode>
                <c:ptCount val="1"/>
                <c:pt idx="0">
                  <c:v>3.268545</c:v>
                </c:pt>
              </c:numCache>
            </c:numRef>
          </c:yVal>
          <c:smooth val="0"/>
          <c:extLst>
            <c:ext xmlns:c16="http://schemas.microsoft.com/office/drawing/2014/chart" uri="{C3380CC4-5D6E-409C-BE32-E72D297353CC}">
              <c16:uniqueId val="{00000000-E265-4913-AD8D-A7FA1660F85E}"/>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Driftsutgifter!$M$969</c:f>
              <c:numCache>
                <c:formatCode>0</c:formatCode>
                <c:ptCount val="1"/>
                <c:pt idx="0">
                  <c:v>3.5856659999999998</c:v>
                </c:pt>
              </c:numCache>
            </c:numRef>
          </c:yVal>
          <c:smooth val="0"/>
          <c:extLst>
            <c:ext xmlns:c16="http://schemas.microsoft.com/office/drawing/2014/chart" uri="{C3380CC4-5D6E-409C-BE32-E72D297353CC}">
              <c16:uniqueId val="{00000001-E265-4913-AD8D-A7FA1660F85E}"/>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Driftsutgifter!$M$970</c:f>
              <c:numCache>
                <c:formatCode>0</c:formatCode>
                <c:ptCount val="1"/>
                <c:pt idx="0">
                  <c:v>3.1484169999999998</c:v>
                </c:pt>
              </c:numCache>
            </c:numRef>
          </c:yVal>
          <c:smooth val="0"/>
          <c:extLst>
            <c:ext xmlns:c16="http://schemas.microsoft.com/office/drawing/2014/chart" uri="{C3380CC4-5D6E-409C-BE32-E72D297353CC}">
              <c16:uniqueId val="{00000002-E265-4913-AD8D-A7FA1660F85E}"/>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Driftsutgifter!$M$971</c:f>
              <c:numCache>
                <c:formatCode>0</c:formatCode>
                <c:ptCount val="1"/>
                <c:pt idx="0">
                  <c:v>2.578119</c:v>
                </c:pt>
              </c:numCache>
            </c:numRef>
          </c:yVal>
          <c:smooth val="0"/>
          <c:extLst>
            <c:ext xmlns:c16="http://schemas.microsoft.com/office/drawing/2014/chart" uri="{C3380CC4-5D6E-409C-BE32-E72D297353CC}">
              <c16:uniqueId val="{00000003-E265-4913-AD8D-A7FA1660F85E}"/>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Driftsutgifter!$M$972</c:f>
              <c:numCache>
                <c:formatCode>0</c:formatCode>
                <c:ptCount val="1"/>
                <c:pt idx="0">
                  <c:v>4.8887720000000003</c:v>
                </c:pt>
              </c:numCache>
            </c:numRef>
          </c:yVal>
          <c:smooth val="0"/>
          <c:extLst>
            <c:ext xmlns:c16="http://schemas.microsoft.com/office/drawing/2014/chart" uri="{C3380CC4-5D6E-409C-BE32-E72D297353CC}">
              <c16:uniqueId val="{00000004-E265-4913-AD8D-A7FA1660F85E}"/>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Driftsutgifter!$M$973</c:f>
              <c:numCache>
                <c:formatCode>0</c:formatCode>
                <c:ptCount val="1"/>
                <c:pt idx="0">
                  <c:v>3.5905360000000002</c:v>
                </c:pt>
              </c:numCache>
            </c:numRef>
          </c:yVal>
          <c:smooth val="0"/>
          <c:extLst>
            <c:ext xmlns:c16="http://schemas.microsoft.com/office/drawing/2014/chart" uri="{C3380CC4-5D6E-409C-BE32-E72D297353CC}">
              <c16:uniqueId val="{00000005-E265-4913-AD8D-A7FA1660F85E}"/>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Driftsutgifter!$M$974</c:f>
              <c:numCache>
                <c:formatCode>0</c:formatCode>
                <c:ptCount val="1"/>
                <c:pt idx="0">
                  <c:v>1.834948</c:v>
                </c:pt>
              </c:numCache>
            </c:numRef>
          </c:yVal>
          <c:smooth val="0"/>
          <c:extLst>
            <c:ext xmlns:c16="http://schemas.microsoft.com/office/drawing/2014/chart" uri="{C3380CC4-5D6E-409C-BE32-E72D297353CC}">
              <c16:uniqueId val="{00000006-E265-4913-AD8D-A7FA1660F85E}"/>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Driftsutgifter!$M$975</c:f>
              <c:numCache>
                <c:formatCode>0</c:formatCode>
                <c:ptCount val="1"/>
                <c:pt idx="0">
                  <c:v>1.45218</c:v>
                </c:pt>
              </c:numCache>
            </c:numRef>
          </c:yVal>
          <c:smooth val="0"/>
          <c:extLst>
            <c:ext xmlns:c16="http://schemas.microsoft.com/office/drawing/2014/chart" uri="{C3380CC4-5D6E-409C-BE32-E72D297353CC}">
              <c16:uniqueId val="{00000007-E265-4913-AD8D-A7FA1660F85E}"/>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Driftsutgifter!$M$976</c:f>
              <c:numCache>
                <c:formatCode>0</c:formatCode>
                <c:ptCount val="1"/>
                <c:pt idx="0">
                  <c:v>2.027291</c:v>
                </c:pt>
              </c:numCache>
            </c:numRef>
          </c:yVal>
          <c:smooth val="0"/>
          <c:extLst>
            <c:ext xmlns:c16="http://schemas.microsoft.com/office/drawing/2014/chart" uri="{C3380CC4-5D6E-409C-BE32-E72D297353CC}">
              <c16:uniqueId val="{00000008-E265-4913-AD8D-A7FA1660F85E}"/>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Driftsutgifter!$M$977</c:f>
              <c:numCache>
                <c:formatCode>0</c:formatCode>
                <c:ptCount val="1"/>
                <c:pt idx="0">
                  <c:v>1.4871270000000001</c:v>
                </c:pt>
              </c:numCache>
            </c:numRef>
          </c:yVal>
          <c:smooth val="0"/>
          <c:extLst>
            <c:ext xmlns:c16="http://schemas.microsoft.com/office/drawing/2014/chart" uri="{C3380CC4-5D6E-409C-BE32-E72D297353CC}">
              <c16:uniqueId val="{00000009-E265-4913-AD8D-A7FA1660F85E}"/>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Driftsutgifter!$M$978</c:f>
              <c:numCache>
                <c:formatCode>0</c:formatCode>
                <c:ptCount val="1"/>
                <c:pt idx="0">
                  <c:v>0.81882750000000004</c:v>
                </c:pt>
              </c:numCache>
            </c:numRef>
          </c:yVal>
          <c:smooth val="0"/>
          <c:extLst>
            <c:ext xmlns:c16="http://schemas.microsoft.com/office/drawing/2014/chart" uri="{C3380CC4-5D6E-409C-BE32-E72D297353CC}">
              <c16:uniqueId val="{0000000A-E265-4913-AD8D-A7FA1660F85E}"/>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(5) Kapitalslit, PIM-dd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Driftsutgifter!$N$968</c:f>
              <c:numCache>
                <c:formatCode>0</c:formatCode>
                <c:ptCount val="1"/>
                <c:pt idx="0">
                  <c:v>3.412115</c:v>
                </c:pt>
              </c:numCache>
            </c:numRef>
          </c:yVal>
          <c:smooth val="0"/>
          <c:extLst>
            <c:ext xmlns:c16="http://schemas.microsoft.com/office/drawing/2014/chart" uri="{C3380CC4-5D6E-409C-BE32-E72D297353CC}">
              <c16:uniqueId val="{00000000-23D4-4AA1-8136-DC18A792FC62}"/>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Driftsutgifter!$N$969</c:f>
              <c:numCache>
                <c:formatCode>0</c:formatCode>
                <c:ptCount val="1"/>
                <c:pt idx="0">
                  <c:v>3.784567</c:v>
                </c:pt>
              </c:numCache>
            </c:numRef>
          </c:yVal>
          <c:smooth val="0"/>
          <c:extLst>
            <c:ext xmlns:c16="http://schemas.microsoft.com/office/drawing/2014/chart" uri="{C3380CC4-5D6E-409C-BE32-E72D297353CC}">
              <c16:uniqueId val="{00000001-23D4-4AA1-8136-DC18A792FC62}"/>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Driftsutgifter!$N$970</c:f>
              <c:numCache>
                <c:formatCode>0</c:formatCode>
                <c:ptCount val="1"/>
                <c:pt idx="0">
                  <c:v>3.2485279999999999</c:v>
                </c:pt>
              </c:numCache>
            </c:numRef>
          </c:yVal>
          <c:smooth val="0"/>
          <c:extLst>
            <c:ext xmlns:c16="http://schemas.microsoft.com/office/drawing/2014/chart" uri="{C3380CC4-5D6E-409C-BE32-E72D297353CC}">
              <c16:uniqueId val="{00000002-23D4-4AA1-8136-DC18A792FC62}"/>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Driftsutgifter!$N$971</c:f>
              <c:numCache>
                <c:formatCode>0</c:formatCode>
                <c:ptCount val="1"/>
                <c:pt idx="0">
                  <c:v>2.8849239999999998</c:v>
                </c:pt>
              </c:numCache>
            </c:numRef>
          </c:yVal>
          <c:smooth val="0"/>
          <c:extLst>
            <c:ext xmlns:c16="http://schemas.microsoft.com/office/drawing/2014/chart" uri="{C3380CC4-5D6E-409C-BE32-E72D297353CC}">
              <c16:uniqueId val="{00000003-23D4-4AA1-8136-DC18A792FC62}"/>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Driftsutgifter!$N$972</c:f>
              <c:numCache>
                <c:formatCode>0</c:formatCode>
                <c:ptCount val="1"/>
                <c:pt idx="0">
                  <c:v>5.1186759999999998</c:v>
                </c:pt>
              </c:numCache>
            </c:numRef>
          </c:yVal>
          <c:smooth val="0"/>
          <c:extLst>
            <c:ext xmlns:c16="http://schemas.microsoft.com/office/drawing/2014/chart" uri="{C3380CC4-5D6E-409C-BE32-E72D297353CC}">
              <c16:uniqueId val="{00000004-23D4-4AA1-8136-DC18A792FC62}"/>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Driftsutgifter!$N$973</c:f>
              <c:numCache>
                <c:formatCode>0</c:formatCode>
                <c:ptCount val="1"/>
                <c:pt idx="0">
                  <c:v>3.7683930000000001</c:v>
                </c:pt>
              </c:numCache>
            </c:numRef>
          </c:yVal>
          <c:smooth val="0"/>
          <c:extLst>
            <c:ext xmlns:c16="http://schemas.microsoft.com/office/drawing/2014/chart" uri="{C3380CC4-5D6E-409C-BE32-E72D297353CC}">
              <c16:uniqueId val="{00000005-23D4-4AA1-8136-DC18A792FC62}"/>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Driftsutgifter!$N$974</c:f>
              <c:numCache>
                <c:formatCode>0</c:formatCode>
                <c:ptCount val="1"/>
                <c:pt idx="0">
                  <c:v>2.0244219999999999</c:v>
                </c:pt>
              </c:numCache>
            </c:numRef>
          </c:yVal>
          <c:smooth val="0"/>
          <c:extLst>
            <c:ext xmlns:c16="http://schemas.microsoft.com/office/drawing/2014/chart" uri="{C3380CC4-5D6E-409C-BE32-E72D297353CC}">
              <c16:uniqueId val="{00000006-23D4-4AA1-8136-DC18A792FC62}"/>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Driftsutgifter!$N$975</c:f>
              <c:numCache>
                <c:formatCode>0</c:formatCode>
                <c:ptCount val="1"/>
                <c:pt idx="0">
                  <c:v>1.470132</c:v>
                </c:pt>
              </c:numCache>
            </c:numRef>
          </c:yVal>
          <c:smooth val="0"/>
          <c:extLst>
            <c:ext xmlns:c16="http://schemas.microsoft.com/office/drawing/2014/chart" uri="{C3380CC4-5D6E-409C-BE32-E72D297353CC}">
              <c16:uniqueId val="{00000007-23D4-4AA1-8136-DC18A792FC62}"/>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23D4-4AA1-8136-DC18A792FC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Driftsutgifter!$N$976</c:f>
              <c:numCache>
                <c:formatCode>0</c:formatCode>
                <c:ptCount val="1"/>
                <c:pt idx="0">
                  <c:v>2.1325029999999998</c:v>
                </c:pt>
              </c:numCache>
            </c:numRef>
          </c:yVal>
          <c:smooth val="0"/>
          <c:extLst>
            <c:ext xmlns:c16="http://schemas.microsoft.com/office/drawing/2014/chart" uri="{C3380CC4-5D6E-409C-BE32-E72D297353CC}">
              <c16:uniqueId val="{00000009-23D4-4AA1-8136-DC18A792FC62}"/>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Driftsutgifter!$N$977</c:f>
              <c:numCache>
                <c:formatCode>0</c:formatCode>
                <c:ptCount val="1"/>
                <c:pt idx="0">
                  <c:v>1.49959</c:v>
                </c:pt>
              </c:numCache>
            </c:numRef>
          </c:yVal>
          <c:smooth val="0"/>
          <c:extLst>
            <c:ext xmlns:c16="http://schemas.microsoft.com/office/drawing/2014/chart" uri="{C3380CC4-5D6E-409C-BE32-E72D297353CC}">
              <c16:uniqueId val="{0000000A-23D4-4AA1-8136-DC18A792FC62}"/>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Driftsutgifter!$N$978</c:f>
              <c:numCache>
                <c:formatCode>0</c:formatCode>
                <c:ptCount val="1"/>
                <c:pt idx="0">
                  <c:v>0.86715660000000006</c:v>
                </c:pt>
              </c:numCache>
            </c:numRef>
          </c:yVal>
          <c:smooth val="0"/>
          <c:extLst>
            <c:ext xmlns:c16="http://schemas.microsoft.com/office/drawing/2014/chart" uri="{C3380CC4-5D6E-409C-BE32-E72D297353CC}">
              <c16:uniqueId val="{0000000B-23D4-4AA1-8136-DC18A792FC62}"/>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(6) Kapitalslit, PIM-ad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Driftsutgifter!$O$968</c:f>
              <c:numCache>
                <c:formatCode>0</c:formatCode>
                <c:ptCount val="1"/>
                <c:pt idx="0">
                  <c:v>2.3866429999999998</c:v>
                </c:pt>
              </c:numCache>
            </c:numRef>
          </c:yVal>
          <c:smooth val="0"/>
          <c:extLst>
            <c:ext xmlns:c16="http://schemas.microsoft.com/office/drawing/2014/chart" uri="{C3380CC4-5D6E-409C-BE32-E72D297353CC}">
              <c16:uniqueId val="{00000000-6F0F-4D65-B45B-B48E21F31985}"/>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Driftsutgifter!$O$969</c:f>
              <c:numCache>
                <c:formatCode>0</c:formatCode>
                <c:ptCount val="1"/>
                <c:pt idx="0">
                  <c:v>2.7747579999999998</c:v>
                </c:pt>
              </c:numCache>
            </c:numRef>
          </c:yVal>
          <c:smooth val="0"/>
          <c:extLst>
            <c:ext xmlns:c16="http://schemas.microsoft.com/office/drawing/2014/chart" uri="{C3380CC4-5D6E-409C-BE32-E72D297353CC}">
              <c16:uniqueId val="{00000001-6F0F-4D65-B45B-B48E21F31985}"/>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Driftsutgifter!$O$970</c:f>
              <c:numCache>
                <c:formatCode>0</c:formatCode>
                <c:ptCount val="1"/>
                <c:pt idx="0">
                  <c:v>2.2881619999999998</c:v>
                </c:pt>
              </c:numCache>
            </c:numRef>
          </c:yVal>
          <c:smooth val="0"/>
          <c:extLst>
            <c:ext xmlns:c16="http://schemas.microsoft.com/office/drawing/2014/chart" uri="{C3380CC4-5D6E-409C-BE32-E72D297353CC}">
              <c16:uniqueId val="{00000002-6F0F-4D65-B45B-B48E21F31985}"/>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Driftsutgifter!$O$971</c:f>
              <c:numCache>
                <c:formatCode>0</c:formatCode>
                <c:ptCount val="1"/>
                <c:pt idx="0">
                  <c:v>2.0891950000000001</c:v>
                </c:pt>
              </c:numCache>
            </c:numRef>
          </c:yVal>
          <c:smooth val="0"/>
          <c:extLst>
            <c:ext xmlns:c16="http://schemas.microsoft.com/office/drawing/2014/chart" uri="{C3380CC4-5D6E-409C-BE32-E72D297353CC}">
              <c16:uniqueId val="{00000003-6F0F-4D65-B45B-B48E21F31985}"/>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Driftsutgifter!$O$972</c:f>
              <c:numCache>
                <c:formatCode>0</c:formatCode>
                <c:ptCount val="1"/>
                <c:pt idx="0">
                  <c:v>3.2315839999999998</c:v>
                </c:pt>
              </c:numCache>
            </c:numRef>
          </c:yVal>
          <c:smooth val="0"/>
          <c:extLst>
            <c:ext xmlns:c16="http://schemas.microsoft.com/office/drawing/2014/chart" uri="{C3380CC4-5D6E-409C-BE32-E72D297353CC}">
              <c16:uniqueId val="{00000004-6F0F-4D65-B45B-B48E21F31985}"/>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Driftsutgifter!$O$973</c:f>
              <c:numCache>
                <c:formatCode>0</c:formatCode>
                <c:ptCount val="1"/>
                <c:pt idx="0">
                  <c:v>2.2631239999999999</c:v>
                </c:pt>
              </c:numCache>
            </c:numRef>
          </c:yVal>
          <c:smooth val="0"/>
          <c:extLst>
            <c:ext xmlns:c16="http://schemas.microsoft.com/office/drawing/2014/chart" uri="{C3380CC4-5D6E-409C-BE32-E72D297353CC}">
              <c16:uniqueId val="{00000005-6F0F-4D65-B45B-B48E21F31985}"/>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Driftsutgifter!$O$974</c:f>
              <c:numCache>
                <c:formatCode>0</c:formatCode>
                <c:ptCount val="1"/>
                <c:pt idx="0">
                  <c:v>1.4850410000000001</c:v>
                </c:pt>
              </c:numCache>
            </c:numRef>
          </c:yVal>
          <c:smooth val="0"/>
          <c:extLst>
            <c:ext xmlns:c16="http://schemas.microsoft.com/office/drawing/2014/chart" uri="{C3380CC4-5D6E-409C-BE32-E72D297353CC}">
              <c16:uniqueId val="{00000006-6F0F-4D65-B45B-B48E21F31985}"/>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Driftsutgifter!$O$975</c:f>
              <c:numCache>
                <c:formatCode>0</c:formatCode>
                <c:ptCount val="1"/>
                <c:pt idx="0">
                  <c:v>1.241727</c:v>
                </c:pt>
              </c:numCache>
            </c:numRef>
          </c:yVal>
          <c:smooth val="0"/>
          <c:extLst>
            <c:ext xmlns:c16="http://schemas.microsoft.com/office/drawing/2014/chart" uri="{C3380CC4-5D6E-409C-BE32-E72D297353CC}">
              <c16:uniqueId val="{00000007-6F0F-4D65-B45B-B48E21F31985}"/>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Driftsutgifter!$O$976</c:f>
              <c:numCache>
                <c:formatCode>0</c:formatCode>
                <c:ptCount val="1"/>
                <c:pt idx="0">
                  <c:v>1.621764</c:v>
                </c:pt>
              </c:numCache>
            </c:numRef>
          </c:yVal>
          <c:smooth val="0"/>
          <c:extLst>
            <c:ext xmlns:c16="http://schemas.microsoft.com/office/drawing/2014/chart" uri="{C3380CC4-5D6E-409C-BE32-E72D297353CC}">
              <c16:uniqueId val="{00000008-6F0F-4D65-B45B-B48E21F31985}"/>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Driftsutgifter!$O$977</c:f>
              <c:numCache>
                <c:formatCode>0</c:formatCode>
                <c:ptCount val="1"/>
                <c:pt idx="0">
                  <c:v>1.1906890000000001</c:v>
                </c:pt>
              </c:numCache>
            </c:numRef>
          </c:yVal>
          <c:smooth val="0"/>
          <c:extLst>
            <c:ext xmlns:c16="http://schemas.microsoft.com/office/drawing/2014/chart" uri="{C3380CC4-5D6E-409C-BE32-E72D297353CC}">
              <c16:uniqueId val="{00000009-6F0F-4D65-B45B-B48E21F31985}"/>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Driftsutgifter!$O$978</c:f>
              <c:numCache>
                <c:formatCode>0</c:formatCode>
                <c:ptCount val="1"/>
                <c:pt idx="0">
                  <c:v>0.61708229999999997</c:v>
                </c:pt>
              </c:numCache>
            </c:numRef>
          </c:yVal>
          <c:smooth val="0"/>
          <c:extLst>
            <c:ext xmlns:c16="http://schemas.microsoft.com/office/drawing/2014/chart" uri="{C3380CC4-5D6E-409C-BE32-E72D297353CC}">
              <c16:uniqueId val="{0000000A-6F0F-4D65-B45B-B48E21F31985}"/>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(7) Kapitalslit, PIM-da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Driftsutgifter!$P$968</c:f>
              <c:numCache>
                <c:formatCode>0</c:formatCode>
                <c:ptCount val="1"/>
                <c:pt idx="0">
                  <c:v>2.5264799999999998</c:v>
                </c:pt>
              </c:numCache>
            </c:numRef>
          </c:yVal>
          <c:smooth val="0"/>
          <c:extLst>
            <c:ext xmlns:c16="http://schemas.microsoft.com/office/drawing/2014/chart" uri="{C3380CC4-5D6E-409C-BE32-E72D297353CC}">
              <c16:uniqueId val="{00000000-DF78-4C22-91A5-9C3A90CBF74D}"/>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Driftsutgifter!$P$969</c:f>
              <c:numCache>
                <c:formatCode>0</c:formatCode>
                <c:ptCount val="1"/>
                <c:pt idx="0">
                  <c:v>2.9669370000000002</c:v>
                </c:pt>
              </c:numCache>
            </c:numRef>
          </c:yVal>
          <c:smooth val="0"/>
          <c:extLst>
            <c:ext xmlns:c16="http://schemas.microsoft.com/office/drawing/2014/chart" uri="{C3380CC4-5D6E-409C-BE32-E72D297353CC}">
              <c16:uniqueId val="{00000001-DF78-4C22-91A5-9C3A90CBF74D}"/>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Driftsutgifter!$P$970</c:f>
              <c:numCache>
                <c:formatCode>0</c:formatCode>
                <c:ptCount val="1"/>
                <c:pt idx="0">
                  <c:v>2.39229</c:v>
                </c:pt>
              </c:numCache>
            </c:numRef>
          </c:yVal>
          <c:smooth val="0"/>
          <c:extLst>
            <c:ext xmlns:c16="http://schemas.microsoft.com/office/drawing/2014/chart" uri="{C3380CC4-5D6E-409C-BE32-E72D297353CC}">
              <c16:uniqueId val="{00000002-DF78-4C22-91A5-9C3A90CBF74D}"/>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dLbl>
              <c:idx val="0"/>
              <c:dLblPos val="l"/>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DF78-4C22-91A5-9C3A90CBF7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Driftsutgifter!$P$971</c:f>
              <c:numCache>
                <c:formatCode>0</c:formatCode>
                <c:ptCount val="1"/>
                <c:pt idx="0">
                  <c:v>2.3981309999999998</c:v>
                </c:pt>
              </c:numCache>
            </c:numRef>
          </c:yVal>
          <c:smooth val="0"/>
          <c:extLst>
            <c:ext xmlns:c16="http://schemas.microsoft.com/office/drawing/2014/chart" uri="{C3380CC4-5D6E-409C-BE32-E72D297353CC}">
              <c16:uniqueId val="{00000004-DF78-4C22-91A5-9C3A90CBF74D}"/>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Driftsutgifter!$P$972</c:f>
              <c:numCache>
                <c:formatCode>0</c:formatCode>
                <c:ptCount val="1"/>
                <c:pt idx="0">
                  <c:v>3.4463810000000001</c:v>
                </c:pt>
              </c:numCache>
            </c:numRef>
          </c:yVal>
          <c:smooth val="0"/>
          <c:extLst>
            <c:ext xmlns:c16="http://schemas.microsoft.com/office/drawing/2014/chart" uri="{C3380CC4-5D6E-409C-BE32-E72D297353CC}">
              <c16:uniqueId val="{00000005-DF78-4C22-91A5-9C3A90CBF74D}"/>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Driftsutgifter!$P$973</c:f>
              <c:numCache>
                <c:formatCode>0</c:formatCode>
                <c:ptCount val="1"/>
                <c:pt idx="0">
                  <c:v>2.44651</c:v>
                </c:pt>
              </c:numCache>
            </c:numRef>
          </c:yVal>
          <c:smooth val="0"/>
          <c:extLst>
            <c:ext xmlns:c16="http://schemas.microsoft.com/office/drawing/2014/chart" uri="{C3380CC4-5D6E-409C-BE32-E72D297353CC}">
              <c16:uniqueId val="{00000006-DF78-4C22-91A5-9C3A90CBF74D}"/>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Driftsutgifter!$P$974</c:f>
              <c:numCache>
                <c:formatCode>0</c:formatCode>
                <c:ptCount val="1"/>
                <c:pt idx="0">
                  <c:v>1.6686650000000001</c:v>
                </c:pt>
              </c:numCache>
            </c:numRef>
          </c:yVal>
          <c:smooth val="0"/>
          <c:extLst>
            <c:ext xmlns:c16="http://schemas.microsoft.com/office/drawing/2014/chart" uri="{C3380CC4-5D6E-409C-BE32-E72D297353CC}">
              <c16:uniqueId val="{00000007-DF78-4C22-91A5-9C3A90CBF74D}"/>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Driftsutgifter!$P$975</c:f>
              <c:numCache>
                <c:formatCode>0</c:formatCode>
                <c:ptCount val="1"/>
                <c:pt idx="0">
                  <c:v>1.262141</c:v>
                </c:pt>
              </c:numCache>
            </c:numRef>
          </c:yVal>
          <c:smooth val="0"/>
          <c:extLst>
            <c:ext xmlns:c16="http://schemas.microsoft.com/office/drawing/2014/chart" uri="{C3380CC4-5D6E-409C-BE32-E72D297353CC}">
              <c16:uniqueId val="{00000008-DF78-4C22-91A5-9C3A90CBF74D}"/>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Driftsutgifter!$P$976</c:f>
              <c:numCache>
                <c:formatCode>0</c:formatCode>
                <c:ptCount val="1"/>
                <c:pt idx="0">
                  <c:v>1.7316469999999999</c:v>
                </c:pt>
              </c:numCache>
            </c:numRef>
          </c:yVal>
          <c:smooth val="0"/>
          <c:extLst>
            <c:ext xmlns:c16="http://schemas.microsoft.com/office/drawing/2014/chart" uri="{C3380CC4-5D6E-409C-BE32-E72D297353CC}">
              <c16:uniqueId val="{00000009-DF78-4C22-91A5-9C3A90CBF74D}"/>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Driftsutgifter!$P$977</c:f>
              <c:numCache>
                <c:formatCode>0</c:formatCode>
                <c:ptCount val="1"/>
                <c:pt idx="0">
                  <c:v>1.2040599999999999</c:v>
                </c:pt>
              </c:numCache>
            </c:numRef>
          </c:yVal>
          <c:smooth val="0"/>
          <c:extLst>
            <c:ext xmlns:c16="http://schemas.microsoft.com/office/drawing/2014/chart" uri="{C3380CC4-5D6E-409C-BE32-E72D297353CC}">
              <c16:uniqueId val="{0000000A-DF78-4C22-91A5-9C3A90CBF74D}"/>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Driftsutgifter!$P$978</c:f>
              <c:numCache>
                <c:formatCode>0</c:formatCode>
                <c:ptCount val="1"/>
                <c:pt idx="0">
                  <c:v>0.65876040000000002</c:v>
                </c:pt>
              </c:numCache>
            </c:numRef>
          </c:yVal>
          <c:smooth val="0"/>
          <c:extLst>
            <c:ext xmlns:c16="http://schemas.microsoft.com/office/drawing/2014/chart" uri="{C3380CC4-5D6E-409C-BE32-E72D297353CC}">
              <c16:uniqueId val="{0000000B-DF78-4C22-91A5-9C3A90CBF74D}"/>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(8) Kapitalslit, PIM-aa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Driftsutgifter!$Q$968</c:f>
              <c:numCache>
                <c:formatCode>0</c:formatCode>
                <c:ptCount val="1"/>
                <c:pt idx="0">
                  <c:v>6.2009340000000002</c:v>
                </c:pt>
              </c:numCache>
            </c:numRef>
          </c:yVal>
          <c:smooth val="0"/>
          <c:extLst>
            <c:ext xmlns:c16="http://schemas.microsoft.com/office/drawing/2014/chart" uri="{C3380CC4-5D6E-409C-BE32-E72D297353CC}">
              <c16:uniqueId val="{00000000-7110-4FC2-9C56-B84AAB913D91}"/>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Driftsutgifter!$Q$969</c:f>
              <c:numCache>
                <c:formatCode>0</c:formatCode>
                <c:ptCount val="1"/>
                <c:pt idx="0">
                  <c:v>7.0977649999999999</c:v>
                </c:pt>
              </c:numCache>
            </c:numRef>
          </c:yVal>
          <c:smooth val="0"/>
          <c:extLst>
            <c:ext xmlns:c16="http://schemas.microsoft.com/office/drawing/2014/chart" uri="{C3380CC4-5D6E-409C-BE32-E72D297353CC}">
              <c16:uniqueId val="{00000001-7110-4FC2-9C56-B84AAB913D91}"/>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Driftsutgifter!$Q$970</c:f>
              <c:numCache>
                <c:formatCode>0</c:formatCode>
                <c:ptCount val="1"/>
                <c:pt idx="0">
                  <c:v>5.538977</c:v>
                </c:pt>
              </c:numCache>
            </c:numRef>
          </c:yVal>
          <c:smooth val="0"/>
          <c:extLst>
            <c:ext xmlns:c16="http://schemas.microsoft.com/office/drawing/2014/chart" uri="{C3380CC4-5D6E-409C-BE32-E72D297353CC}">
              <c16:uniqueId val="{00000002-7110-4FC2-9C56-B84AAB913D91}"/>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Driftsutgifter!$Q$971</c:f>
              <c:numCache>
                <c:formatCode>0</c:formatCode>
                <c:ptCount val="1"/>
                <c:pt idx="0">
                  <c:v>4.6623080000000003</c:v>
                </c:pt>
              </c:numCache>
            </c:numRef>
          </c:yVal>
          <c:smooth val="0"/>
          <c:extLst>
            <c:ext xmlns:c16="http://schemas.microsoft.com/office/drawing/2014/chart" uri="{C3380CC4-5D6E-409C-BE32-E72D297353CC}">
              <c16:uniqueId val="{00000003-7110-4FC2-9C56-B84AAB913D91}"/>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Driftsutgifter!$Q$972</c:f>
              <c:numCache>
                <c:formatCode>0</c:formatCode>
                <c:ptCount val="1"/>
                <c:pt idx="0">
                  <c:v>7.1558700000000002</c:v>
                </c:pt>
              </c:numCache>
            </c:numRef>
          </c:yVal>
          <c:smooth val="0"/>
          <c:extLst>
            <c:ext xmlns:c16="http://schemas.microsoft.com/office/drawing/2014/chart" uri="{C3380CC4-5D6E-409C-BE32-E72D297353CC}">
              <c16:uniqueId val="{00000004-7110-4FC2-9C56-B84AAB913D91}"/>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Driftsutgifter!$Q$973</c:f>
              <c:numCache>
                <c:formatCode>0</c:formatCode>
                <c:ptCount val="1"/>
                <c:pt idx="0">
                  <c:v>5.2968789999999997</c:v>
                </c:pt>
              </c:numCache>
            </c:numRef>
          </c:yVal>
          <c:smooth val="0"/>
          <c:extLst>
            <c:ext xmlns:c16="http://schemas.microsoft.com/office/drawing/2014/chart" uri="{C3380CC4-5D6E-409C-BE32-E72D297353CC}">
              <c16:uniqueId val="{00000005-7110-4FC2-9C56-B84AAB913D91}"/>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Driftsutgifter!$Q$974</c:f>
              <c:numCache>
                <c:formatCode>0</c:formatCode>
                <c:ptCount val="1"/>
                <c:pt idx="0">
                  <c:v>3.6491509999999998</c:v>
                </c:pt>
              </c:numCache>
            </c:numRef>
          </c:yVal>
          <c:smooth val="0"/>
          <c:extLst>
            <c:ext xmlns:c16="http://schemas.microsoft.com/office/drawing/2014/chart" uri="{C3380CC4-5D6E-409C-BE32-E72D297353CC}">
              <c16:uniqueId val="{00000006-7110-4FC2-9C56-B84AAB913D91}"/>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Driftsutgifter!$Q$975</c:f>
              <c:numCache>
                <c:formatCode>0</c:formatCode>
                <c:ptCount val="1"/>
                <c:pt idx="0">
                  <c:v>3.1737350000000002</c:v>
                </c:pt>
              </c:numCache>
            </c:numRef>
          </c:yVal>
          <c:smooth val="0"/>
          <c:extLst>
            <c:ext xmlns:c16="http://schemas.microsoft.com/office/drawing/2014/chart" uri="{C3380CC4-5D6E-409C-BE32-E72D297353CC}">
              <c16:uniqueId val="{00000007-7110-4FC2-9C56-B84AAB913D91}"/>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Driftsutgifter!$Q$976</c:f>
              <c:numCache>
                <c:formatCode>0</c:formatCode>
                <c:ptCount val="1"/>
                <c:pt idx="0">
                  <c:v>4.0298040000000004</c:v>
                </c:pt>
              </c:numCache>
            </c:numRef>
          </c:yVal>
          <c:smooth val="0"/>
          <c:extLst>
            <c:ext xmlns:c16="http://schemas.microsoft.com/office/drawing/2014/chart" uri="{C3380CC4-5D6E-409C-BE32-E72D297353CC}">
              <c16:uniqueId val="{00000008-7110-4FC2-9C56-B84AAB913D91}"/>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Driftsutgifter!$Q$977</c:f>
              <c:numCache>
                <c:formatCode>0</c:formatCode>
                <c:ptCount val="1"/>
                <c:pt idx="0">
                  <c:v>3.0400839999999998</c:v>
                </c:pt>
              </c:numCache>
            </c:numRef>
          </c:yVal>
          <c:smooth val="0"/>
          <c:extLst>
            <c:ext xmlns:c16="http://schemas.microsoft.com/office/drawing/2014/chart" uri="{C3380CC4-5D6E-409C-BE32-E72D297353CC}">
              <c16:uniqueId val="{00000009-7110-4FC2-9C56-B84AAB913D91}"/>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Driftsutgifter!$Q$978</c:f>
              <c:numCache>
                <c:formatCode>0</c:formatCode>
                <c:ptCount val="1"/>
                <c:pt idx="0">
                  <c:v>1.0165280000000001</c:v>
                </c:pt>
              </c:numCache>
            </c:numRef>
          </c:yVal>
          <c:smooth val="0"/>
          <c:extLst>
            <c:ext xmlns:c16="http://schemas.microsoft.com/office/drawing/2014/chart" uri="{C3380CC4-5D6E-409C-BE32-E72D297353CC}">
              <c16:uniqueId val="{0000000A-7110-4FC2-9C56-B84AAB913D91}"/>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(9) Kapsl. og rk., PIM-ddl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Driftsutgifter!$R$968</c:f>
              <c:numCache>
                <c:formatCode>0</c:formatCode>
                <c:ptCount val="1"/>
                <c:pt idx="0">
                  <c:v>6.7817439999999998</c:v>
                </c:pt>
              </c:numCache>
            </c:numRef>
          </c:yVal>
          <c:smooth val="0"/>
          <c:extLst>
            <c:ext xmlns:c16="http://schemas.microsoft.com/office/drawing/2014/chart" uri="{C3380CC4-5D6E-409C-BE32-E72D297353CC}">
              <c16:uniqueId val="{00000000-6182-40D4-A922-09366CEF4B68}"/>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Driftsutgifter!$R$969</c:f>
              <c:numCache>
                <c:formatCode>0</c:formatCode>
                <c:ptCount val="1"/>
                <c:pt idx="0">
                  <c:v>7.6233269999999997</c:v>
                </c:pt>
              </c:numCache>
            </c:numRef>
          </c:yVal>
          <c:smooth val="0"/>
          <c:extLst>
            <c:ext xmlns:c16="http://schemas.microsoft.com/office/drawing/2014/chart" uri="{C3380CC4-5D6E-409C-BE32-E72D297353CC}">
              <c16:uniqueId val="{00000001-6182-40D4-A922-09366CEF4B68}"/>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Driftsutgifter!$R$970</c:f>
              <c:numCache>
                <c:formatCode>0</c:formatCode>
                <c:ptCount val="1"/>
                <c:pt idx="0">
                  <c:v>6.7446190000000001</c:v>
                </c:pt>
              </c:numCache>
            </c:numRef>
          </c:yVal>
          <c:smooth val="0"/>
          <c:extLst>
            <c:ext xmlns:c16="http://schemas.microsoft.com/office/drawing/2014/chart" uri="{C3380CC4-5D6E-409C-BE32-E72D297353CC}">
              <c16:uniqueId val="{00000002-6182-40D4-A922-09366CEF4B68}"/>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Driftsutgifter!$R$971</c:f>
              <c:numCache>
                <c:formatCode>0</c:formatCode>
                <c:ptCount val="1"/>
                <c:pt idx="0">
                  <c:v>6.0934699999999999</c:v>
                </c:pt>
              </c:numCache>
            </c:numRef>
          </c:yVal>
          <c:smooth val="0"/>
          <c:extLst>
            <c:ext xmlns:c16="http://schemas.microsoft.com/office/drawing/2014/chart" uri="{C3380CC4-5D6E-409C-BE32-E72D297353CC}">
              <c16:uniqueId val="{00000003-6182-40D4-A922-09366CEF4B68}"/>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Driftsutgifter!$R$972</c:f>
              <c:numCache>
                <c:formatCode>0</c:formatCode>
                <c:ptCount val="1"/>
                <c:pt idx="0">
                  <c:v>9.7493169999999996</c:v>
                </c:pt>
              </c:numCache>
            </c:numRef>
          </c:yVal>
          <c:smooth val="0"/>
          <c:extLst>
            <c:ext xmlns:c16="http://schemas.microsoft.com/office/drawing/2014/chart" uri="{C3380CC4-5D6E-409C-BE32-E72D297353CC}">
              <c16:uniqueId val="{00000004-6182-40D4-A922-09366CEF4B68}"/>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Driftsutgifter!$R$973</c:f>
              <c:numCache>
                <c:formatCode>0</c:formatCode>
                <c:ptCount val="1"/>
                <c:pt idx="0">
                  <c:v>7.1045829999999999</c:v>
                </c:pt>
              </c:numCache>
            </c:numRef>
          </c:yVal>
          <c:smooth val="0"/>
          <c:extLst>
            <c:ext xmlns:c16="http://schemas.microsoft.com/office/drawing/2014/chart" uri="{C3380CC4-5D6E-409C-BE32-E72D297353CC}">
              <c16:uniqueId val="{00000005-6182-40D4-A922-09366CEF4B68}"/>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Driftsutgifter!$R$974</c:f>
              <c:numCache>
                <c:formatCode>0</c:formatCode>
                <c:ptCount val="1"/>
                <c:pt idx="0">
                  <c:v>4.1910369999999997</c:v>
                </c:pt>
              </c:numCache>
            </c:numRef>
          </c:yVal>
          <c:smooth val="0"/>
          <c:extLst>
            <c:ext xmlns:c16="http://schemas.microsoft.com/office/drawing/2014/chart" uri="{C3380CC4-5D6E-409C-BE32-E72D297353CC}">
              <c16:uniqueId val="{00000006-6182-40D4-A922-09366CEF4B68}"/>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Driftsutgifter!$R$975</c:f>
              <c:numCache>
                <c:formatCode>0</c:formatCode>
                <c:ptCount val="1"/>
                <c:pt idx="0">
                  <c:v>3.5195289999999999</c:v>
                </c:pt>
              </c:numCache>
            </c:numRef>
          </c:yVal>
          <c:smooth val="0"/>
          <c:extLst>
            <c:ext xmlns:c16="http://schemas.microsoft.com/office/drawing/2014/chart" uri="{C3380CC4-5D6E-409C-BE32-E72D297353CC}">
              <c16:uniqueId val="{00000007-6182-40D4-A922-09366CEF4B68}"/>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Driftsutgifter!$R$976</c:f>
              <c:numCache>
                <c:formatCode>0</c:formatCode>
                <c:ptCount val="1"/>
                <c:pt idx="0">
                  <c:v>4.6397830000000004</c:v>
                </c:pt>
              </c:numCache>
            </c:numRef>
          </c:yVal>
          <c:smooth val="0"/>
          <c:extLst>
            <c:ext xmlns:c16="http://schemas.microsoft.com/office/drawing/2014/chart" uri="{C3380CC4-5D6E-409C-BE32-E72D297353CC}">
              <c16:uniqueId val="{00000008-6182-40D4-A922-09366CEF4B68}"/>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Driftsutgifter!$R$977</c:f>
              <c:numCache>
                <c:formatCode>0</c:formatCode>
                <c:ptCount val="1"/>
                <c:pt idx="0">
                  <c:v>3.4003160000000001</c:v>
                </c:pt>
              </c:numCache>
            </c:numRef>
          </c:yVal>
          <c:smooth val="0"/>
          <c:extLst>
            <c:ext xmlns:c16="http://schemas.microsoft.com/office/drawing/2014/chart" uri="{C3380CC4-5D6E-409C-BE32-E72D297353CC}">
              <c16:uniqueId val="{00000009-6182-40D4-A922-09366CEF4B68}"/>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Driftsutgifter!$R$978</c:f>
              <c:numCache>
                <c:formatCode>0</c:formatCode>
                <c:ptCount val="1"/>
                <c:pt idx="0">
                  <c:v>1.6895739999999999</c:v>
                </c:pt>
              </c:numCache>
            </c:numRef>
          </c:yVal>
          <c:smooth val="0"/>
          <c:extLst>
            <c:ext xmlns:c16="http://schemas.microsoft.com/office/drawing/2014/chart" uri="{C3380CC4-5D6E-409C-BE32-E72D297353CC}">
              <c16:uniqueId val="{0000000A-6182-40D4-A922-09366CEF4B68}"/>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(10) Kapsl. og rk., PIM-ddf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Driftsutgifter!$S$968</c:f>
              <c:numCache>
                <c:formatCode>0</c:formatCode>
                <c:ptCount val="1"/>
                <c:pt idx="0">
                  <c:v>6.1803600000000003</c:v>
                </c:pt>
              </c:numCache>
            </c:numRef>
          </c:yVal>
          <c:smooth val="0"/>
          <c:extLst>
            <c:ext xmlns:c16="http://schemas.microsoft.com/office/drawing/2014/chart" uri="{C3380CC4-5D6E-409C-BE32-E72D297353CC}">
              <c16:uniqueId val="{00000000-7CD5-4E5B-864B-9D41C1FDF83C}"/>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Driftsutgifter!$S$969</c:f>
              <c:numCache>
                <c:formatCode>0</c:formatCode>
                <c:ptCount val="1"/>
                <c:pt idx="0">
                  <c:v>6.9322939999999997</c:v>
                </c:pt>
              </c:numCache>
            </c:numRef>
          </c:yVal>
          <c:smooth val="0"/>
          <c:extLst>
            <c:ext xmlns:c16="http://schemas.microsoft.com/office/drawing/2014/chart" uri="{C3380CC4-5D6E-409C-BE32-E72D297353CC}">
              <c16:uniqueId val="{00000001-7CD5-4E5B-864B-9D41C1FDF83C}"/>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Driftsutgifter!$S$970</c:f>
              <c:numCache>
                <c:formatCode>0</c:formatCode>
                <c:ptCount val="1"/>
                <c:pt idx="0">
                  <c:v>6.1292</c:v>
                </c:pt>
              </c:numCache>
            </c:numRef>
          </c:yVal>
          <c:smooth val="0"/>
          <c:extLst>
            <c:ext xmlns:c16="http://schemas.microsoft.com/office/drawing/2014/chart" uri="{C3380CC4-5D6E-409C-BE32-E72D297353CC}">
              <c16:uniqueId val="{00000002-7CD5-4E5B-864B-9D41C1FDF83C}"/>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Driftsutgifter!$S$971</c:f>
              <c:numCache>
                <c:formatCode>0</c:formatCode>
                <c:ptCount val="1"/>
                <c:pt idx="0">
                  <c:v>5.4918180000000003</c:v>
                </c:pt>
              </c:numCache>
            </c:numRef>
          </c:yVal>
          <c:smooth val="0"/>
          <c:extLst>
            <c:ext xmlns:c16="http://schemas.microsoft.com/office/drawing/2014/chart" uri="{C3380CC4-5D6E-409C-BE32-E72D297353CC}">
              <c16:uniqueId val="{00000003-7CD5-4E5B-864B-9D41C1FDF83C}"/>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Driftsutgifter!$S$972</c:f>
              <c:numCache>
                <c:formatCode>0</c:formatCode>
                <c:ptCount val="1"/>
                <c:pt idx="0">
                  <c:v>8.9173810000000007</c:v>
                </c:pt>
              </c:numCache>
            </c:numRef>
          </c:yVal>
          <c:smooth val="0"/>
          <c:extLst>
            <c:ext xmlns:c16="http://schemas.microsoft.com/office/drawing/2014/chart" uri="{C3380CC4-5D6E-409C-BE32-E72D297353CC}">
              <c16:uniqueId val="{00000004-7CD5-4E5B-864B-9D41C1FDF83C}"/>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Driftsutgifter!$S$973</c:f>
              <c:numCache>
                <c:formatCode>0</c:formatCode>
                <c:ptCount val="1"/>
                <c:pt idx="0">
                  <c:v>6.50291</c:v>
                </c:pt>
              </c:numCache>
            </c:numRef>
          </c:yVal>
          <c:smooth val="0"/>
          <c:extLst>
            <c:ext xmlns:c16="http://schemas.microsoft.com/office/drawing/2014/chart" uri="{C3380CC4-5D6E-409C-BE32-E72D297353CC}">
              <c16:uniqueId val="{00000005-7CD5-4E5B-864B-9D41C1FDF83C}"/>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Driftsutgifter!$S$974</c:f>
              <c:numCache>
                <c:formatCode>0</c:formatCode>
                <c:ptCount val="1"/>
                <c:pt idx="0">
                  <c:v>3.787792</c:v>
                </c:pt>
              </c:numCache>
            </c:numRef>
          </c:yVal>
          <c:smooth val="0"/>
          <c:extLst>
            <c:ext xmlns:c16="http://schemas.microsoft.com/office/drawing/2014/chart" uri="{C3380CC4-5D6E-409C-BE32-E72D297353CC}">
              <c16:uniqueId val="{00000006-7CD5-4E5B-864B-9D41C1FDF83C}"/>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Driftsutgifter!$S$975</c:f>
              <c:numCache>
                <c:formatCode>0</c:formatCode>
                <c:ptCount val="1"/>
                <c:pt idx="0">
                  <c:v>3.1657350000000002</c:v>
                </c:pt>
              </c:numCache>
            </c:numRef>
          </c:yVal>
          <c:smooth val="0"/>
          <c:extLst>
            <c:ext xmlns:c16="http://schemas.microsoft.com/office/drawing/2014/chart" uri="{C3380CC4-5D6E-409C-BE32-E72D297353CC}">
              <c16:uniqueId val="{00000007-7CD5-4E5B-864B-9D41C1FDF83C}"/>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Driftsutgifter!$S$976</c:f>
              <c:numCache>
                <c:formatCode>0</c:formatCode>
                <c:ptCount val="1"/>
                <c:pt idx="0">
                  <c:v>4.192723</c:v>
                </c:pt>
              </c:numCache>
            </c:numRef>
          </c:yVal>
          <c:smooth val="0"/>
          <c:extLst>
            <c:ext xmlns:c16="http://schemas.microsoft.com/office/drawing/2014/chart" uri="{C3380CC4-5D6E-409C-BE32-E72D297353CC}">
              <c16:uniqueId val="{00000008-7CD5-4E5B-864B-9D41C1FDF83C}"/>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Driftsutgifter!$S$977</c:f>
              <c:numCache>
                <c:formatCode>0</c:formatCode>
                <c:ptCount val="1"/>
                <c:pt idx="0">
                  <c:v>3.0728840000000002</c:v>
                </c:pt>
              </c:numCache>
            </c:numRef>
          </c:yVal>
          <c:smooth val="0"/>
          <c:extLst>
            <c:ext xmlns:c16="http://schemas.microsoft.com/office/drawing/2014/chart" uri="{C3380CC4-5D6E-409C-BE32-E72D297353CC}">
              <c16:uniqueId val="{00000009-7CD5-4E5B-864B-9D41C1FDF83C}"/>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Driftsutgifter!$S$978</c:f>
              <c:numCache>
                <c:formatCode>0</c:formatCode>
                <c:ptCount val="1"/>
                <c:pt idx="0">
                  <c:v>1.540389</c:v>
                </c:pt>
              </c:numCache>
            </c:numRef>
          </c:yVal>
          <c:smooth val="0"/>
          <c:extLst>
            <c:ext xmlns:c16="http://schemas.microsoft.com/office/drawing/2014/chart" uri="{C3380CC4-5D6E-409C-BE32-E72D297353CC}">
              <c16:uniqueId val="{0000000A-7CD5-4E5B-864B-9D41C1FDF83C}"/>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(11) Kapsl. og rk.,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Driftsutgifter!$T$968</c:f>
              <c:numCache>
                <c:formatCode>0</c:formatCode>
                <c:ptCount val="1"/>
                <c:pt idx="0">
                  <c:v>5.0894849999999998</c:v>
                </c:pt>
              </c:numCache>
            </c:numRef>
          </c:yVal>
          <c:smooth val="0"/>
          <c:extLst>
            <c:ext xmlns:c16="http://schemas.microsoft.com/office/drawing/2014/chart" uri="{C3380CC4-5D6E-409C-BE32-E72D297353CC}">
              <c16:uniqueId val="{00000000-775F-4602-9138-30C4CDFFE107}"/>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Driftsutgifter!$T$969</c:f>
              <c:numCache>
                <c:formatCode>0</c:formatCode>
                <c:ptCount val="1"/>
                <c:pt idx="0">
                  <c:v>5.6779409999999997</c:v>
                </c:pt>
              </c:numCache>
            </c:numRef>
          </c:yVal>
          <c:smooth val="0"/>
          <c:extLst>
            <c:ext xmlns:c16="http://schemas.microsoft.com/office/drawing/2014/chart" uri="{C3380CC4-5D6E-409C-BE32-E72D297353CC}">
              <c16:uniqueId val="{00000001-775F-4602-9138-30C4CDFFE107}"/>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Driftsutgifter!$T$970</c:f>
              <c:numCache>
                <c:formatCode>0</c:formatCode>
                <c:ptCount val="1"/>
                <c:pt idx="0">
                  <c:v>4.9983680000000001</c:v>
                </c:pt>
              </c:numCache>
            </c:numRef>
          </c:yVal>
          <c:smooth val="0"/>
          <c:extLst>
            <c:ext xmlns:c16="http://schemas.microsoft.com/office/drawing/2014/chart" uri="{C3380CC4-5D6E-409C-BE32-E72D297353CC}">
              <c16:uniqueId val="{00000002-775F-4602-9138-30C4CDFFE107}"/>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Driftsutgifter!$T$971</c:f>
              <c:numCache>
                <c:formatCode>0</c:formatCode>
                <c:ptCount val="1"/>
                <c:pt idx="0">
                  <c:v>4.2978560000000003</c:v>
                </c:pt>
              </c:numCache>
            </c:numRef>
          </c:yVal>
          <c:smooth val="0"/>
          <c:extLst>
            <c:ext xmlns:c16="http://schemas.microsoft.com/office/drawing/2014/chart" uri="{C3380CC4-5D6E-409C-BE32-E72D297353CC}">
              <c16:uniqueId val="{00000003-775F-4602-9138-30C4CDFFE107}"/>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Driftsutgifter!$T$972</c:f>
              <c:numCache>
                <c:formatCode>0</c:formatCode>
                <c:ptCount val="1"/>
                <c:pt idx="0">
                  <c:v>7.6733659999999997</c:v>
                </c:pt>
              </c:numCache>
            </c:numRef>
          </c:yVal>
          <c:smooth val="0"/>
          <c:extLst>
            <c:ext xmlns:c16="http://schemas.microsoft.com/office/drawing/2014/chart" uri="{C3380CC4-5D6E-409C-BE32-E72D297353CC}">
              <c16:uniqueId val="{00000004-775F-4602-9138-30C4CDFFE107}"/>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Driftsutgifter!$T$973</c:f>
              <c:numCache>
                <c:formatCode>0</c:formatCode>
                <c:ptCount val="1"/>
                <c:pt idx="0">
                  <c:v>5.7428239999999997</c:v>
                </c:pt>
              </c:numCache>
            </c:numRef>
          </c:yVal>
          <c:smooth val="0"/>
          <c:extLst>
            <c:ext xmlns:c16="http://schemas.microsoft.com/office/drawing/2014/chart" uri="{C3380CC4-5D6E-409C-BE32-E72D297353CC}">
              <c16:uniqueId val="{00000005-775F-4602-9138-30C4CDFFE107}"/>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Driftsutgifter!$T$974</c:f>
              <c:numCache>
                <c:formatCode>0</c:formatCode>
                <c:ptCount val="1"/>
                <c:pt idx="0">
                  <c:v>3.1372499999999999</c:v>
                </c:pt>
              </c:numCache>
            </c:numRef>
          </c:yVal>
          <c:smooth val="0"/>
          <c:extLst>
            <c:ext xmlns:c16="http://schemas.microsoft.com/office/drawing/2014/chart" uri="{C3380CC4-5D6E-409C-BE32-E72D297353CC}">
              <c16:uniqueId val="{00000006-775F-4602-9138-30C4CDFFE107}"/>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Driftsutgifter!$T$975</c:f>
              <c:numCache>
                <c:formatCode>0</c:formatCode>
                <c:ptCount val="1"/>
                <c:pt idx="0">
                  <c:v>2.43146</c:v>
                </c:pt>
              </c:numCache>
            </c:numRef>
          </c:yVal>
          <c:smooth val="0"/>
          <c:extLst>
            <c:ext xmlns:c16="http://schemas.microsoft.com/office/drawing/2014/chart" uri="{C3380CC4-5D6E-409C-BE32-E72D297353CC}">
              <c16:uniqueId val="{00000007-775F-4602-9138-30C4CDFFE107}"/>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Driftsutgifter!$T$976</c:f>
              <c:numCache>
                <c:formatCode>0</c:formatCode>
                <c:ptCount val="1"/>
                <c:pt idx="0">
                  <c:v>3.448979</c:v>
                </c:pt>
              </c:numCache>
            </c:numRef>
          </c:yVal>
          <c:smooth val="0"/>
          <c:extLst>
            <c:ext xmlns:c16="http://schemas.microsoft.com/office/drawing/2014/chart" uri="{C3380CC4-5D6E-409C-BE32-E72D297353CC}">
              <c16:uniqueId val="{00000008-775F-4602-9138-30C4CDFFE107}"/>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Driftsutgifter!$T$977</c:f>
              <c:numCache>
                <c:formatCode>0</c:formatCode>
                <c:ptCount val="1"/>
                <c:pt idx="0">
                  <c:v>2.3524349999999998</c:v>
                </c:pt>
              </c:numCache>
            </c:numRef>
          </c:yVal>
          <c:smooth val="0"/>
          <c:extLst>
            <c:ext xmlns:c16="http://schemas.microsoft.com/office/drawing/2014/chart" uri="{C3380CC4-5D6E-409C-BE32-E72D297353CC}">
              <c16:uniqueId val="{00000009-775F-4602-9138-30C4CDFFE107}"/>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Driftsutgifter!$T$978</c:f>
              <c:numCache>
                <c:formatCode>0</c:formatCode>
                <c:ptCount val="1"/>
                <c:pt idx="0">
                  <c:v>1.203587</c:v>
                </c:pt>
              </c:numCache>
            </c:numRef>
          </c:yVal>
          <c:smooth val="0"/>
          <c:extLst>
            <c:ext xmlns:c16="http://schemas.microsoft.com/office/drawing/2014/chart" uri="{C3380CC4-5D6E-409C-BE32-E72D297353CC}">
              <c16:uniqueId val="{0000000A-775F-4602-9138-30C4CDFFE107}"/>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(12) Kapitaltjen.,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b="1"/>
              <a:t>Korrelasjoner</a:t>
            </a:r>
            <a:r>
              <a:rPr lang="nb-NO" b="1" baseline="0"/>
              <a:t> med bruttodriftsutgifter</a:t>
            </a:r>
            <a:endParaRPr lang="nb-NO"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clustered"/>
        <c:varyColors val="0"/>
        <c:ser>
          <c:idx val="0"/>
          <c:order val="0"/>
          <c:tx>
            <c:strRef>
              <c:f>'Sektor drift'!$B$14</c:f>
              <c:strCache>
                <c:ptCount val="1"/>
                <c:pt idx="0">
                  <c:v>Kapitalslit, DM</c:v>
                </c:pt>
              </c:strCache>
            </c:strRef>
          </c:tx>
          <c:spPr>
            <a:solidFill>
              <a:schemeClr val="accent1"/>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drift'!$C$14:$I$14</c:f>
              <c:numCache>
                <c:formatCode>General</c:formatCode>
                <c:ptCount val="7"/>
                <c:pt idx="0">
                  <c:v>0.55449999999999999</c:v>
                </c:pt>
                <c:pt idx="1">
                  <c:v>7.9000000000000001E-2</c:v>
                </c:pt>
                <c:pt idx="2">
                  <c:v>0.50639999999999996</c:v>
                </c:pt>
                <c:pt idx="3">
                  <c:v>0.69799999999999995</c:v>
                </c:pt>
                <c:pt idx="4">
                  <c:v>0.498</c:v>
                </c:pt>
                <c:pt idx="5">
                  <c:v>0.80769999999999997</c:v>
                </c:pt>
                <c:pt idx="6">
                  <c:v>0.88170000000000004</c:v>
                </c:pt>
              </c:numCache>
            </c:numRef>
          </c:val>
          <c:extLst>
            <c:ext xmlns:c16="http://schemas.microsoft.com/office/drawing/2014/chart" uri="{C3380CC4-5D6E-409C-BE32-E72D297353CC}">
              <c16:uniqueId val="{00000000-8620-47FB-9AE1-2D8CE5060E64}"/>
            </c:ext>
          </c:extLst>
        </c:ser>
        <c:ser>
          <c:idx val="1"/>
          <c:order val="1"/>
          <c:tx>
            <c:strRef>
              <c:f>'Sektor drift'!$B$15</c:f>
              <c:strCache>
                <c:ptCount val="1"/>
                <c:pt idx="0">
                  <c:v>Løpende rentekostnader, PIM-dd funk.</c:v>
                </c:pt>
              </c:strCache>
            </c:strRef>
          </c:tx>
          <c:spPr>
            <a:solidFill>
              <a:schemeClr val="accent2"/>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drift'!$C$15:$I$15</c:f>
              <c:numCache>
                <c:formatCode>General</c:formatCode>
                <c:ptCount val="7"/>
                <c:pt idx="0">
                  <c:v>-4.6800000000000001E-2</c:v>
                </c:pt>
                <c:pt idx="1">
                  <c:v>0.33879999999999999</c:v>
                </c:pt>
                <c:pt idx="2">
                  <c:v>0.45290000000000002</c:v>
                </c:pt>
                <c:pt idx="3">
                  <c:v>0.55659999999999998</c:v>
                </c:pt>
                <c:pt idx="4">
                  <c:v>0.71819999999999995</c:v>
                </c:pt>
                <c:pt idx="5">
                  <c:v>0.84199999999999997</c:v>
                </c:pt>
                <c:pt idx="6">
                  <c:v>0.89510000000000001</c:v>
                </c:pt>
              </c:numCache>
            </c:numRef>
          </c:val>
          <c:extLst>
            <c:ext xmlns:c16="http://schemas.microsoft.com/office/drawing/2014/chart" uri="{C3380CC4-5D6E-409C-BE32-E72D297353CC}">
              <c16:uniqueId val="{00000001-8620-47FB-9AE1-2D8CE5060E64}"/>
            </c:ext>
          </c:extLst>
        </c:ser>
        <c:ser>
          <c:idx val="2"/>
          <c:order val="2"/>
          <c:tx>
            <c:strRef>
              <c:f>'Sektor drift'!$B$16</c:f>
              <c:strCache>
                <c:ptCount val="1"/>
                <c:pt idx="0">
                  <c:v>Kapitalslit og løpende rentekostnad, PIM-dd funk.</c:v>
                </c:pt>
              </c:strCache>
            </c:strRef>
          </c:tx>
          <c:spPr>
            <a:solidFill>
              <a:schemeClr val="accent3"/>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drift'!$C$16:$I$16</c:f>
              <c:numCache>
                <c:formatCode>General</c:formatCode>
                <c:ptCount val="7"/>
                <c:pt idx="0">
                  <c:v>-4.6800000000000001E-2</c:v>
                </c:pt>
                <c:pt idx="1">
                  <c:v>0.33829999999999999</c:v>
                </c:pt>
                <c:pt idx="2">
                  <c:v>0.45350000000000001</c:v>
                </c:pt>
                <c:pt idx="3">
                  <c:v>0.55669999999999997</c:v>
                </c:pt>
                <c:pt idx="4">
                  <c:v>0.71889999999999998</c:v>
                </c:pt>
                <c:pt idx="5">
                  <c:v>0.84189999999999998</c:v>
                </c:pt>
                <c:pt idx="6">
                  <c:v>0.89529999999999998</c:v>
                </c:pt>
              </c:numCache>
            </c:numRef>
          </c:val>
          <c:extLst>
            <c:ext xmlns:c16="http://schemas.microsoft.com/office/drawing/2014/chart" uri="{C3380CC4-5D6E-409C-BE32-E72D297353CC}">
              <c16:uniqueId val="{00000002-8620-47FB-9AE1-2D8CE5060E64}"/>
            </c:ext>
          </c:extLst>
        </c:ser>
        <c:ser>
          <c:idx val="3"/>
          <c:order val="3"/>
          <c:tx>
            <c:strRef>
              <c:f>'Sektor drift'!$B$17</c:f>
              <c:strCache>
                <c:ptCount val="1"/>
                <c:pt idx="0">
                  <c:v>Kapitalslit, PIM-dd funk.</c:v>
                </c:pt>
              </c:strCache>
            </c:strRef>
          </c:tx>
          <c:spPr>
            <a:solidFill>
              <a:schemeClr val="accent4"/>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drift'!$C$17:$I$17</c:f>
              <c:numCache>
                <c:formatCode>General</c:formatCode>
                <c:ptCount val="7"/>
                <c:pt idx="0">
                  <c:v>-4.6899999999999997E-2</c:v>
                </c:pt>
                <c:pt idx="1">
                  <c:v>0.33739999999999998</c:v>
                </c:pt>
                <c:pt idx="2">
                  <c:v>0.45440000000000003</c:v>
                </c:pt>
                <c:pt idx="3">
                  <c:v>0.55679999999999996</c:v>
                </c:pt>
                <c:pt idx="4">
                  <c:v>0.72050000000000003</c:v>
                </c:pt>
                <c:pt idx="5">
                  <c:v>0.84179999999999999</c:v>
                </c:pt>
                <c:pt idx="6">
                  <c:v>0.89570000000000005</c:v>
                </c:pt>
              </c:numCache>
            </c:numRef>
          </c:val>
          <c:extLst>
            <c:ext xmlns:c16="http://schemas.microsoft.com/office/drawing/2014/chart" uri="{C3380CC4-5D6E-409C-BE32-E72D297353CC}">
              <c16:uniqueId val="{00000003-8620-47FB-9AE1-2D8CE5060E64}"/>
            </c:ext>
          </c:extLst>
        </c:ser>
        <c:dLbls>
          <c:showLegendKey val="0"/>
          <c:showVal val="0"/>
          <c:showCatName val="0"/>
          <c:showSerName val="0"/>
          <c:showPercent val="0"/>
          <c:showBubbleSize val="0"/>
        </c:dLbls>
        <c:gapWidth val="219"/>
        <c:axId val="569689983"/>
        <c:axId val="569691423"/>
      </c:barChart>
      <c:catAx>
        <c:axId val="5696899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91423"/>
        <c:crosses val="autoZero"/>
        <c:auto val="1"/>
        <c:lblAlgn val="ctr"/>
        <c:lblOffset val="100"/>
        <c:noMultiLvlLbl val="0"/>
      </c:catAx>
      <c:valAx>
        <c:axId val="5696914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89983"/>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Samferdsel</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Inntektssystemet!$C$3</c:f>
              <c:strCache>
                <c:ptCount val="1"/>
                <c:pt idx="0">
                  <c:v>Bruttodriftsutgifter</c:v>
                </c:pt>
              </c:strCache>
            </c:strRef>
          </c:tx>
          <c:spPr>
            <a:solidFill>
              <a:schemeClr val="accent1"/>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Inntektssystemet!$C$4:$C$10</c:f>
              <c:numCache>
                <c:formatCode>General</c:formatCode>
                <c:ptCount val="7"/>
                <c:pt idx="0">
                  <c:v>0.93120000000000003</c:v>
                </c:pt>
                <c:pt idx="1">
                  <c:v>0.86670000000000003</c:v>
                </c:pt>
                <c:pt idx="2">
                  <c:v>0.83450000000000002</c:v>
                </c:pt>
                <c:pt idx="3">
                  <c:v>0.80989999999999995</c:v>
                </c:pt>
                <c:pt idx="4">
                  <c:v>0.77229999999999999</c:v>
                </c:pt>
                <c:pt idx="5">
                  <c:v>0.47149999999999997</c:v>
                </c:pt>
                <c:pt idx="6">
                  <c:v>-2.7000000000000001E-3</c:v>
                </c:pt>
              </c:numCache>
            </c:numRef>
          </c:val>
          <c:extLst>
            <c:ext xmlns:c16="http://schemas.microsoft.com/office/drawing/2014/chart" uri="{C3380CC4-5D6E-409C-BE32-E72D297353CC}">
              <c16:uniqueId val="{00000000-D04F-4966-9863-C412C4D817B4}"/>
            </c:ext>
          </c:extLst>
        </c:ser>
        <c:ser>
          <c:idx val="1"/>
          <c:order val="1"/>
          <c:tx>
            <c:strRef>
              <c:f>Inntektssystemet!$D$3</c:f>
              <c:strCache>
                <c:ptCount val="1"/>
                <c:pt idx="0">
                  <c:v>Lønnsutgifter</c:v>
                </c:pt>
              </c:strCache>
            </c:strRef>
          </c:tx>
          <c:spPr>
            <a:solidFill>
              <a:schemeClr val="accent2"/>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Inntektssystemet!$D$4:$D$10</c:f>
              <c:numCache>
                <c:formatCode>General</c:formatCode>
                <c:ptCount val="7"/>
                <c:pt idx="0">
                  <c:v>0.35870000000000002</c:v>
                </c:pt>
                <c:pt idx="1">
                  <c:v>0.26469999999999999</c:v>
                </c:pt>
                <c:pt idx="2">
                  <c:v>0.60589999999999999</c:v>
                </c:pt>
                <c:pt idx="3">
                  <c:v>0.30230000000000001</c:v>
                </c:pt>
                <c:pt idx="4">
                  <c:v>0.74209999999999998</c:v>
                </c:pt>
                <c:pt idx="5">
                  <c:v>0.75529999999999997</c:v>
                </c:pt>
                <c:pt idx="6">
                  <c:v>-0.57509999999999994</c:v>
                </c:pt>
              </c:numCache>
            </c:numRef>
          </c:val>
          <c:extLst>
            <c:ext xmlns:c16="http://schemas.microsoft.com/office/drawing/2014/chart" uri="{C3380CC4-5D6E-409C-BE32-E72D297353CC}">
              <c16:uniqueId val="{00000001-D04F-4966-9863-C412C4D817B4}"/>
            </c:ext>
          </c:extLst>
        </c:ser>
        <c:ser>
          <c:idx val="2"/>
          <c:order val="2"/>
          <c:tx>
            <c:strRef>
              <c:f>Inntektssystemet!$E$3</c:f>
              <c:strCache>
                <c:ptCount val="1"/>
                <c:pt idx="0">
                  <c:v>Produktinnsatsutgifter og fordringstap</c:v>
                </c:pt>
              </c:strCache>
            </c:strRef>
          </c:tx>
          <c:spPr>
            <a:solidFill>
              <a:schemeClr val="accent3"/>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Inntektssystemet!$E$4:$E$10</c:f>
              <c:numCache>
                <c:formatCode>General</c:formatCode>
                <c:ptCount val="7"/>
                <c:pt idx="0">
                  <c:v>0.93210000000000004</c:v>
                </c:pt>
                <c:pt idx="1">
                  <c:v>0.87050000000000005</c:v>
                </c:pt>
                <c:pt idx="2">
                  <c:v>0.82320000000000004</c:v>
                </c:pt>
                <c:pt idx="3">
                  <c:v>0.81100000000000005</c:v>
                </c:pt>
                <c:pt idx="4">
                  <c:v>0.75419999999999998</c:v>
                </c:pt>
                <c:pt idx="5">
                  <c:v>0.44769999999999999</c:v>
                </c:pt>
                <c:pt idx="6">
                  <c:v>2.1600000000000001E-2</c:v>
                </c:pt>
              </c:numCache>
            </c:numRef>
          </c:val>
          <c:extLst>
            <c:ext xmlns:c16="http://schemas.microsoft.com/office/drawing/2014/chart" uri="{C3380CC4-5D6E-409C-BE32-E72D297353CC}">
              <c16:uniqueId val="{00000002-D04F-4966-9863-C412C4D817B4}"/>
            </c:ext>
          </c:extLst>
        </c:ser>
        <c:ser>
          <c:idx val="3"/>
          <c:order val="3"/>
          <c:tx>
            <c:strRef>
              <c:f>Inntektssystemet!$F$3</c:f>
              <c:strCache>
                <c:ptCount val="1"/>
                <c:pt idx="0">
                  <c:v>Kapitalslit, DM</c:v>
                </c:pt>
              </c:strCache>
            </c:strRef>
          </c:tx>
          <c:spPr>
            <a:solidFill>
              <a:schemeClr val="accent4"/>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Inntektssystemet!$F$4:$F$10</c:f>
              <c:numCache>
                <c:formatCode>General</c:formatCode>
                <c:ptCount val="7"/>
                <c:pt idx="0">
                  <c:v>0.7077</c:v>
                </c:pt>
                <c:pt idx="1">
                  <c:v>0.65910000000000002</c:v>
                </c:pt>
                <c:pt idx="2">
                  <c:v>0.56359999999999999</c:v>
                </c:pt>
                <c:pt idx="3">
                  <c:v>0.58130000000000004</c:v>
                </c:pt>
                <c:pt idx="4">
                  <c:v>0.64170000000000005</c:v>
                </c:pt>
                <c:pt idx="5">
                  <c:v>0.46689999999999998</c:v>
                </c:pt>
                <c:pt idx="6">
                  <c:v>-0.30769999999999997</c:v>
                </c:pt>
              </c:numCache>
            </c:numRef>
          </c:val>
          <c:extLst>
            <c:ext xmlns:c16="http://schemas.microsoft.com/office/drawing/2014/chart" uri="{C3380CC4-5D6E-409C-BE32-E72D297353CC}">
              <c16:uniqueId val="{00000003-D04F-4966-9863-C412C4D817B4}"/>
            </c:ext>
          </c:extLst>
        </c:ser>
        <c:ser>
          <c:idx val="4"/>
          <c:order val="4"/>
          <c:tx>
            <c:strRef>
              <c:f>Inntektssystemet!$G$3</c:f>
              <c:strCache>
                <c:ptCount val="1"/>
                <c:pt idx="0">
                  <c:v>Kapitalslit, PIM-dd funk.</c:v>
                </c:pt>
              </c:strCache>
            </c:strRef>
          </c:tx>
          <c:spPr>
            <a:solidFill>
              <a:schemeClr val="accent5"/>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Inntektssystemet!$G$4:$G$10</c:f>
              <c:numCache>
                <c:formatCode>General</c:formatCode>
                <c:ptCount val="7"/>
                <c:pt idx="0">
                  <c:v>0.71409999999999996</c:v>
                </c:pt>
                <c:pt idx="1">
                  <c:v>0.6694</c:v>
                </c:pt>
                <c:pt idx="2">
                  <c:v>0.56769999999999998</c:v>
                </c:pt>
                <c:pt idx="3">
                  <c:v>0.60260000000000002</c:v>
                </c:pt>
                <c:pt idx="4">
                  <c:v>0.59289999999999998</c:v>
                </c:pt>
                <c:pt idx="5">
                  <c:v>0.40770000000000001</c:v>
                </c:pt>
                <c:pt idx="6">
                  <c:v>-0.13100000000000001</c:v>
                </c:pt>
              </c:numCache>
            </c:numRef>
          </c:val>
          <c:extLst>
            <c:ext xmlns:c16="http://schemas.microsoft.com/office/drawing/2014/chart" uri="{C3380CC4-5D6E-409C-BE32-E72D297353CC}">
              <c16:uniqueId val="{00000004-D04F-4966-9863-C412C4D817B4}"/>
            </c:ext>
          </c:extLst>
        </c:ser>
        <c:ser>
          <c:idx val="5"/>
          <c:order val="5"/>
          <c:tx>
            <c:strRef>
              <c:f>Inntektssystemet!$H$3</c:f>
              <c:strCache>
                <c:ptCount val="1"/>
                <c:pt idx="0">
                  <c:v>Rentekostnader, PIM-ddl funk.</c:v>
                </c:pt>
              </c:strCache>
            </c:strRef>
          </c:tx>
          <c:spPr>
            <a:solidFill>
              <a:schemeClr val="accent6"/>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Inntektssystemet!$H$4:$H$10</c:f>
              <c:numCache>
                <c:formatCode>General</c:formatCode>
                <c:ptCount val="7"/>
                <c:pt idx="0">
                  <c:v>0.71430000000000005</c:v>
                </c:pt>
                <c:pt idx="1">
                  <c:v>0.67</c:v>
                </c:pt>
                <c:pt idx="2">
                  <c:v>0.56840000000000002</c:v>
                </c:pt>
                <c:pt idx="3">
                  <c:v>0.60299999999999998</c:v>
                </c:pt>
                <c:pt idx="4">
                  <c:v>0.59299999999999997</c:v>
                </c:pt>
                <c:pt idx="5">
                  <c:v>0.4078</c:v>
                </c:pt>
                <c:pt idx="6">
                  <c:v>-0.13039999999999999</c:v>
                </c:pt>
              </c:numCache>
            </c:numRef>
          </c:val>
          <c:extLst>
            <c:ext xmlns:c16="http://schemas.microsoft.com/office/drawing/2014/chart" uri="{C3380CC4-5D6E-409C-BE32-E72D297353CC}">
              <c16:uniqueId val="{00000005-D04F-4966-9863-C412C4D817B4}"/>
            </c:ext>
          </c:extLst>
        </c:ser>
        <c:ser>
          <c:idx val="6"/>
          <c:order val="6"/>
          <c:tx>
            <c:strRef>
              <c:f>Inntektssystemet!$I$3</c:f>
              <c:strCache>
                <c:ptCount val="1"/>
                <c:pt idx="0">
                  <c:v>Kapitalslit og rentekostnader, PIM-ddl funk.</c:v>
                </c:pt>
              </c:strCache>
            </c:strRef>
          </c:tx>
          <c:spPr>
            <a:solidFill>
              <a:schemeClr val="accent1">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Inntektssystemet!$I$4:$I$10</c:f>
              <c:numCache>
                <c:formatCode>General</c:formatCode>
                <c:ptCount val="7"/>
                <c:pt idx="0">
                  <c:v>0.71419999999999995</c:v>
                </c:pt>
                <c:pt idx="1">
                  <c:v>0.66959999999999997</c:v>
                </c:pt>
                <c:pt idx="2">
                  <c:v>0.56799999999999995</c:v>
                </c:pt>
                <c:pt idx="3">
                  <c:v>0.6028</c:v>
                </c:pt>
                <c:pt idx="4">
                  <c:v>0.59289999999999998</c:v>
                </c:pt>
                <c:pt idx="5">
                  <c:v>0.40770000000000001</c:v>
                </c:pt>
                <c:pt idx="6">
                  <c:v>-0.13070000000000001</c:v>
                </c:pt>
              </c:numCache>
            </c:numRef>
          </c:val>
          <c:extLst>
            <c:ext xmlns:c16="http://schemas.microsoft.com/office/drawing/2014/chart" uri="{C3380CC4-5D6E-409C-BE32-E72D297353CC}">
              <c16:uniqueId val="{00000006-D04F-4966-9863-C412C4D817B4}"/>
            </c:ext>
          </c:extLst>
        </c:ser>
        <c:ser>
          <c:idx val="7"/>
          <c:order val="7"/>
          <c:tx>
            <c:strRef>
              <c:f>Inntektssystemet!$J$3</c:f>
              <c:strCache>
                <c:ptCount val="1"/>
                <c:pt idx="0">
                  <c:v>Bruttodriftsutgifter og kapitalslit, DM</c:v>
                </c:pt>
              </c:strCache>
            </c:strRef>
          </c:tx>
          <c:spPr>
            <a:solidFill>
              <a:schemeClr val="accent2">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Inntektssystemet!$J$4:$J$10</c:f>
              <c:numCache>
                <c:formatCode>General</c:formatCode>
                <c:ptCount val="7"/>
                <c:pt idx="0">
                  <c:v>0.9244</c:v>
                </c:pt>
                <c:pt idx="1">
                  <c:v>0.86050000000000004</c:v>
                </c:pt>
                <c:pt idx="2">
                  <c:v>0.82069999999999999</c:v>
                </c:pt>
                <c:pt idx="3">
                  <c:v>0.80020000000000002</c:v>
                </c:pt>
                <c:pt idx="4">
                  <c:v>0.77270000000000005</c:v>
                </c:pt>
                <c:pt idx="5">
                  <c:v>0.48</c:v>
                </c:pt>
                <c:pt idx="6">
                  <c:v>-3.61E-2</c:v>
                </c:pt>
              </c:numCache>
            </c:numRef>
          </c:val>
          <c:extLst>
            <c:ext xmlns:c16="http://schemas.microsoft.com/office/drawing/2014/chart" uri="{C3380CC4-5D6E-409C-BE32-E72D297353CC}">
              <c16:uniqueId val="{00000007-D04F-4966-9863-C412C4D817B4}"/>
            </c:ext>
          </c:extLst>
        </c:ser>
        <c:ser>
          <c:idx val="8"/>
          <c:order val="8"/>
          <c:tx>
            <c:strRef>
              <c:f>Inntektssystemet!$K$3</c:f>
              <c:strCache>
                <c:ptCount val="1"/>
                <c:pt idx="0">
                  <c:v>Bruttodriftsutgifter og kapitalslit, PIM-dd funk.</c:v>
                </c:pt>
              </c:strCache>
            </c:strRef>
          </c:tx>
          <c:spPr>
            <a:solidFill>
              <a:schemeClr val="accent3">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Inntektssystemet!$K$4:$K$10</c:f>
              <c:numCache>
                <c:formatCode>General</c:formatCode>
                <c:ptCount val="7"/>
                <c:pt idx="0">
                  <c:v>0.90490000000000004</c:v>
                </c:pt>
                <c:pt idx="1">
                  <c:v>0.84350000000000003</c:v>
                </c:pt>
                <c:pt idx="2">
                  <c:v>0.79269999999999996</c:v>
                </c:pt>
                <c:pt idx="3">
                  <c:v>0.7823</c:v>
                </c:pt>
                <c:pt idx="4">
                  <c:v>0.75070000000000003</c:v>
                </c:pt>
                <c:pt idx="5">
                  <c:v>0.46989999999999998</c:v>
                </c:pt>
                <c:pt idx="6">
                  <c:v>-3.5200000000000002E-2</c:v>
                </c:pt>
              </c:numCache>
            </c:numRef>
          </c:val>
          <c:extLst>
            <c:ext xmlns:c16="http://schemas.microsoft.com/office/drawing/2014/chart" uri="{C3380CC4-5D6E-409C-BE32-E72D297353CC}">
              <c16:uniqueId val="{00000008-D04F-4966-9863-C412C4D817B4}"/>
            </c:ext>
          </c:extLst>
        </c:ser>
        <c:ser>
          <c:idx val="9"/>
          <c:order val="9"/>
          <c:tx>
            <c:strRef>
              <c:f>Inntektssystemet!$L$3</c:f>
              <c:strCache>
                <c:ptCount val="1"/>
                <c:pt idx="0">
                  <c:v>Bruttodriftsutg., kapitalslit og rentekost,, PIM-ddl funk.</c:v>
                </c:pt>
              </c:strCache>
            </c:strRef>
          </c:tx>
          <c:spPr>
            <a:solidFill>
              <a:schemeClr val="accent4">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Inntektssystemet!$L$4:$L$10</c:f>
              <c:numCache>
                <c:formatCode>General</c:formatCode>
                <c:ptCount val="7"/>
                <c:pt idx="0">
                  <c:v>0.88800000000000001</c:v>
                </c:pt>
                <c:pt idx="1">
                  <c:v>0.82830000000000004</c:v>
                </c:pt>
                <c:pt idx="2">
                  <c:v>0.76970000000000005</c:v>
                </c:pt>
                <c:pt idx="3">
                  <c:v>0.76570000000000005</c:v>
                </c:pt>
                <c:pt idx="4">
                  <c:v>0.73670000000000002</c:v>
                </c:pt>
                <c:pt idx="5">
                  <c:v>0.46629999999999999</c:v>
                </c:pt>
                <c:pt idx="6">
                  <c:v>-4.9200000000000001E-2</c:v>
                </c:pt>
              </c:numCache>
            </c:numRef>
          </c:val>
          <c:extLst>
            <c:ext xmlns:c16="http://schemas.microsoft.com/office/drawing/2014/chart" uri="{C3380CC4-5D6E-409C-BE32-E72D297353CC}">
              <c16:uniqueId val="{00000009-D04F-4966-9863-C412C4D817B4}"/>
            </c:ext>
          </c:extLst>
        </c:ser>
        <c:dLbls>
          <c:showLegendKey val="0"/>
          <c:showVal val="0"/>
          <c:showCatName val="0"/>
          <c:showSerName val="0"/>
          <c:showPercent val="0"/>
          <c:showBubbleSize val="0"/>
        </c:dLbls>
        <c:gapWidth val="219"/>
        <c:overlap val="-27"/>
        <c:axId val="1181545103"/>
        <c:axId val="571010975"/>
      </c:barChart>
      <c:catAx>
        <c:axId val="118154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71010975"/>
        <c:crosses val="autoZero"/>
        <c:auto val="1"/>
        <c:lblAlgn val="ctr"/>
        <c:lblOffset val="100"/>
        <c:noMultiLvlLbl val="0"/>
      </c:catAx>
      <c:valAx>
        <c:axId val="57101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t>Korrelasjonskoefisient</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81545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nb-NO" sz="1200" b="1"/>
              <a:t>b) Realkapitalprisutvikling over funksjoner</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[Kapitalanalyse.xlsx]Parametere!$E$129</c:f>
              <c:strCache>
                <c:ptCount val="1"/>
                <c:pt idx="0">
                  <c:v>Kommunal sektor, samlet</c:v>
                </c:pt>
              </c:strCache>
            </c:strRef>
          </c:tx>
          <c:spPr>
            <a:ln w="28575" cap="rnd">
              <a:solidFill>
                <a:srgbClr val="3672B0"/>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[Kapitalanalyse.xlsx]Parametere!$F$129:$AD$129</c:f>
              <c:numCache>
                <c:formatCode>General</c:formatCode>
                <c:ptCount val="25"/>
                <c:pt idx="0">
                  <c:v>0.75272089817111021</c:v>
                </c:pt>
                <c:pt idx="1">
                  <c:v>0.80131602081299802</c:v>
                </c:pt>
                <c:pt idx="2">
                  <c:v>0.89981501642076334</c:v>
                </c:pt>
                <c:pt idx="3">
                  <c:v>0.96445731942615376</c:v>
                </c:pt>
                <c:pt idx="4">
                  <c:v>0.99365467623486836</c:v>
                </c:pt>
                <c:pt idx="5">
                  <c:v>1</c:v>
                </c:pt>
                <c:pt idx="6">
                  <c:v>1.074499392525661</c:v>
                </c:pt>
                <c:pt idx="7">
                  <c:v>1.1334582589584434</c:v>
                </c:pt>
                <c:pt idx="8">
                  <c:v>1.2660787344216888</c:v>
                </c:pt>
                <c:pt idx="9">
                  <c:v>1.4002707775546446</c:v>
                </c:pt>
                <c:pt idx="10">
                  <c:v>1.3932289139742537</c:v>
                </c:pt>
                <c:pt idx="11">
                  <c:v>1.4068832006281684</c:v>
                </c:pt>
                <c:pt idx="12">
                  <c:v>1.5082570953398771</c:v>
                </c:pt>
                <c:pt idx="13">
                  <c:v>1.6136322674886214</c:v>
                </c:pt>
                <c:pt idx="14">
                  <c:v>1.715798568266635</c:v>
                </c:pt>
                <c:pt idx="15">
                  <c:v>1.7778424104361441</c:v>
                </c:pt>
                <c:pt idx="16">
                  <c:v>1.8348206115538195</c:v>
                </c:pt>
                <c:pt idx="17">
                  <c:v>1.9522119532039963</c:v>
                </c:pt>
                <c:pt idx="18">
                  <c:v>2.0805132992777717</c:v>
                </c:pt>
                <c:pt idx="19">
                  <c:v>2.1850369739011777</c:v>
                </c:pt>
                <c:pt idx="20">
                  <c:v>2.2190208756877023</c:v>
                </c:pt>
                <c:pt idx="21">
                  <c:v>2.2704643612335689</c:v>
                </c:pt>
                <c:pt idx="22">
                  <c:v>2.3663374924568865</c:v>
                </c:pt>
                <c:pt idx="23">
                  <c:v>2.5929059202092821</c:v>
                </c:pt>
                <c:pt idx="24">
                  <c:v>2.7425496402910214</c:v>
                </c:pt>
              </c:numCache>
            </c:numRef>
          </c:val>
          <c:smooth val="1"/>
          <c:extLst>
            <c:ext xmlns:c16="http://schemas.microsoft.com/office/drawing/2014/chart" uri="{C3380CC4-5D6E-409C-BE32-E72D297353CC}">
              <c16:uniqueId val="{00000000-9999-4FA6-A84A-55489B304768}"/>
            </c:ext>
          </c:extLst>
        </c:ser>
        <c:ser>
          <c:idx val="1"/>
          <c:order val="1"/>
          <c:tx>
            <c:strRef>
              <c:f>[Kapitalanalyse.xlsx]Parametere!$E$130</c:f>
              <c:strCache>
                <c:ptCount val="1"/>
                <c:pt idx="0">
                  <c:v>Kirke</c:v>
                </c:pt>
              </c:strCache>
            </c:strRef>
          </c:tx>
          <c:spPr>
            <a:ln w="28575" cap="rnd">
              <a:solidFill>
                <a:srgbClr val="468C5C"/>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[Kapitalanalyse.xlsx]Parametere!$F$130:$AD$130</c:f>
              <c:numCache>
                <c:formatCode>General</c:formatCode>
                <c:ptCount val="25"/>
                <c:pt idx="0">
                  <c:v>0.94903564571069199</c:v>
                </c:pt>
                <c:pt idx="1">
                  <c:v>0.96051061265904925</c:v>
                </c:pt>
                <c:pt idx="2">
                  <c:v>0.99557428598372144</c:v>
                </c:pt>
                <c:pt idx="3">
                  <c:v>1.0121298473785496</c:v>
                </c:pt>
                <c:pt idx="4">
                  <c:v>0.98739940373567692</c:v>
                </c:pt>
                <c:pt idx="5">
                  <c:v>1</c:v>
                </c:pt>
                <c:pt idx="6">
                  <c:v>1.0360820335874541</c:v>
                </c:pt>
                <c:pt idx="7">
                  <c:v>1.0651158281271778</c:v>
                </c:pt>
                <c:pt idx="8">
                  <c:v>1.0324912962220851</c:v>
                </c:pt>
                <c:pt idx="9">
                  <c:v>1.0614529581541055</c:v>
                </c:pt>
                <c:pt idx="10">
                  <c:v>1.081043816252097</c:v>
                </c:pt>
                <c:pt idx="11">
                  <c:v>1.0892807713109134</c:v>
                </c:pt>
                <c:pt idx="12">
                  <c:v>1.0892775266915569</c:v>
                </c:pt>
                <c:pt idx="13">
                  <c:v>1.1120249704177441</c:v>
                </c:pt>
                <c:pt idx="14">
                  <c:v>1.1615275268455556</c:v>
                </c:pt>
                <c:pt idx="15">
                  <c:v>1.1663180634169485</c:v>
                </c:pt>
                <c:pt idx="16">
                  <c:v>1.1896702642801396</c:v>
                </c:pt>
                <c:pt idx="17">
                  <c:v>1.2242090784044017</c:v>
                </c:pt>
                <c:pt idx="18">
                  <c:v>1.2543655483709617</c:v>
                </c:pt>
                <c:pt idx="19">
                  <c:v>1.2858550746896809</c:v>
                </c:pt>
                <c:pt idx="20">
                  <c:v>1.3117495280242286</c:v>
                </c:pt>
                <c:pt idx="21">
                  <c:v>1.3376756931532183</c:v>
                </c:pt>
                <c:pt idx="22">
                  <c:v>1.3889732178978882</c:v>
                </c:pt>
                <c:pt idx="23">
                  <c:v>1.4168412639480192</c:v>
                </c:pt>
                <c:pt idx="24">
                  <c:v>1.5345847181405297</c:v>
                </c:pt>
              </c:numCache>
            </c:numRef>
          </c:val>
          <c:smooth val="1"/>
          <c:extLst>
            <c:ext xmlns:c16="http://schemas.microsoft.com/office/drawing/2014/chart" uri="{C3380CC4-5D6E-409C-BE32-E72D297353CC}">
              <c16:uniqueId val="{00000001-9999-4FA6-A84A-55489B304768}"/>
            </c:ext>
          </c:extLst>
        </c:ser>
        <c:ser>
          <c:idx val="2"/>
          <c:order val="2"/>
          <c:tx>
            <c:strRef>
              <c:f>[Kapitalanalyse.xlsx]Parametere!$E$131</c:f>
              <c:strCache>
                <c:ptCount val="1"/>
                <c:pt idx="0">
                  <c:v>Barneomsorg og sosial</c:v>
                </c:pt>
              </c:strCache>
            </c:strRef>
          </c:tx>
          <c:spPr>
            <a:ln w="28575" cap="rnd">
              <a:solidFill>
                <a:srgbClr val="87C399"/>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[Kapitalanalyse.xlsx]Parametere!$F$131:$AD$131</c:f>
              <c:numCache>
                <c:formatCode>General</c:formatCode>
                <c:ptCount val="25"/>
                <c:pt idx="0">
                  <c:v>0.76969921614766612</c:v>
                </c:pt>
                <c:pt idx="1">
                  <c:v>0.80946041793626244</c:v>
                </c:pt>
                <c:pt idx="2">
                  <c:v>0.8957298253937136</c:v>
                </c:pt>
                <c:pt idx="3">
                  <c:v>0.95875236019518351</c:v>
                </c:pt>
                <c:pt idx="4">
                  <c:v>0.99583579755240692</c:v>
                </c:pt>
                <c:pt idx="5">
                  <c:v>1</c:v>
                </c:pt>
                <c:pt idx="6">
                  <c:v>1.0712443380359544</c:v>
                </c:pt>
                <c:pt idx="7">
                  <c:v>1.1265402228594026</c:v>
                </c:pt>
                <c:pt idx="8">
                  <c:v>1.2504734020944124</c:v>
                </c:pt>
                <c:pt idx="9">
                  <c:v>1.3799996132155763</c:v>
                </c:pt>
                <c:pt idx="10">
                  <c:v>1.3720579115488394</c:v>
                </c:pt>
                <c:pt idx="11">
                  <c:v>1.3848386798359658</c:v>
                </c:pt>
                <c:pt idx="12">
                  <c:v>1.4729430953516502</c:v>
                </c:pt>
                <c:pt idx="13">
                  <c:v>1.5689267526250454</c:v>
                </c:pt>
                <c:pt idx="14">
                  <c:v>1.6647502840000676</c:v>
                </c:pt>
                <c:pt idx="15">
                  <c:v>1.7233091117023411</c:v>
                </c:pt>
                <c:pt idx="16">
                  <c:v>1.7542851955208001</c:v>
                </c:pt>
                <c:pt idx="17">
                  <c:v>1.8440806630848532</c:v>
                </c:pt>
                <c:pt idx="18">
                  <c:v>1.9642251844571121</c:v>
                </c:pt>
                <c:pt idx="19">
                  <c:v>2.059164519433117</c:v>
                </c:pt>
                <c:pt idx="20">
                  <c:v>2.0877916436373511</c:v>
                </c:pt>
                <c:pt idx="21">
                  <c:v>2.1373358540707681</c:v>
                </c:pt>
                <c:pt idx="22">
                  <c:v>2.23162455752643</c:v>
                </c:pt>
                <c:pt idx="23">
                  <c:v>2.4338362970839733</c:v>
                </c:pt>
                <c:pt idx="24">
                  <c:v>2.5751294117475854</c:v>
                </c:pt>
              </c:numCache>
            </c:numRef>
          </c:val>
          <c:smooth val="1"/>
          <c:extLst>
            <c:ext xmlns:c16="http://schemas.microsoft.com/office/drawing/2014/chart" uri="{C3380CC4-5D6E-409C-BE32-E72D297353CC}">
              <c16:uniqueId val="{00000002-9999-4FA6-A84A-55489B304768}"/>
            </c:ext>
          </c:extLst>
        </c:ser>
        <c:ser>
          <c:idx val="3"/>
          <c:order val="3"/>
          <c:tx>
            <c:strRef>
              <c:f>[Kapitalanalyse.xlsx]Parametere!$E$132</c:f>
              <c:strCache>
                <c:ptCount val="1"/>
                <c:pt idx="0">
                  <c:v>Kultur</c:v>
                </c:pt>
              </c:strCache>
            </c:strRef>
          </c:tx>
          <c:spPr>
            <a:ln w="28575" cap="rnd">
              <a:solidFill>
                <a:srgbClr val="AFD7BB"/>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[Kapitalanalyse.xlsx]Parametere!$F$132:$AD$132</c:f>
              <c:numCache>
                <c:formatCode>General</c:formatCode>
                <c:ptCount val="25"/>
                <c:pt idx="0">
                  <c:v>0.83900829932167931</c:v>
                </c:pt>
                <c:pt idx="1">
                  <c:v>0.87271720097408134</c:v>
                </c:pt>
                <c:pt idx="2">
                  <c:v>0.95752955387101335</c:v>
                </c:pt>
                <c:pt idx="3">
                  <c:v>0.99625493220672723</c:v>
                </c:pt>
                <c:pt idx="4">
                  <c:v>1.0095662668745899</c:v>
                </c:pt>
                <c:pt idx="5">
                  <c:v>1</c:v>
                </c:pt>
                <c:pt idx="6">
                  <c:v>1.0598902936561447</c:v>
                </c:pt>
                <c:pt idx="7">
                  <c:v>1.104930798258166</c:v>
                </c:pt>
                <c:pt idx="8">
                  <c:v>1.208448077233383</c:v>
                </c:pt>
                <c:pt idx="9">
                  <c:v>1.3271096247820955</c:v>
                </c:pt>
                <c:pt idx="10">
                  <c:v>1.3159648760144538</c:v>
                </c:pt>
                <c:pt idx="11">
                  <c:v>1.3266255852120621</c:v>
                </c:pt>
                <c:pt idx="12">
                  <c:v>1.3905367242853603</c:v>
                </c:pt>
                <c:pt idx="13">
                  <c:v>1.4719140862501017</c:v>
                </c:pt>
                <c:pt idx="14">
                  <c:v>1.556987833331362</c:v>
                </c:pt>
                <c:pt idx="15">
                  <c:v>1.6048836952990428</c:v>
                </c:pt>
                <c:pt idx="16">
                  <c:v>1.6374559172603234</c:v>
                </c:pt>
                <c:pt idx="17">
                  <c:v>1.7149024713162895</c:v>
                </c:pt>
                <c:pt idx="18">
                  <c:v>1.8234781039243566</c:v>
                </c:pt>
                <c:pt idx="19">
                  <c:v>1.9081868314317287</c:v>
                </c:pt>
                <c:pt idx="20">
                  <c:v>1.9400667241552023</c:v>
                </c:pt>
                <c:pt idx="21">
                  <c:v>1.9849967605178109</c:v>
                </c:pt>
                <c:pt idx="22">
                  <c:v>2.0723122153243447</c:v>
                </c:pt>
                <c:pt idx="23">
                  <c:v>2.2133318679675247</c:v>
                </c:pt>
                <c:pt idx="24">
                  <c:v>2.3480013885843203</c:v>
                </c:pt>
              </c:numCache>
            </c:numRef>
          </c:val>
          <c:smooth val="1"/>
          <c:extLst>
            <c:ext xmlns:c16="http://schemas.microsoft.com/office/drawing/2014/chart" uri="{C3380CC4-5D6E-409C-BE32-E72D297353CC}">
              <c16:uniqueId val="{00000003-9999-4FA6-A84A-55489B304768}"/>
            </c:ext>
          </c:extLst>
        </c:ser>
        <c:ser>
          <c:idx val="4"/>
          <c:order val="4"/>
          <c:tx>
            <c:strRef>
              <c:f>[Kapitalanalyse.xlsx]Parametere!$E$133</c:f>
              <c:strCache>
                <c:ptCount val="1"/>
                <c:pt idx="0">
                  <c:v>Skole</c:v>
                </c:pt>
              </c:strCache>
            </c:strRef>
          </c:tx>
          <c:spPr>
            <a:ln w="28575" cap="rnd">
              <a:solidFill>
                <a:srgbClr val="FFFF99"/>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[Kapitalanalyse.xlsx]Parametere!$F$133:$AD$133</c:f>
              <c:numCache>
                <c:formatCode>General</c:formatCode>
                <c:ptCount val="25"/>
                <c:pt idx="0">
                  <c:v>0.80152913715618501</c:v>
                </c:pt>
                <c:pt idx="1">
                  <c:v>0.83782869669605475</c:v>
                </c:pt>
                <c:pt idx="2">
                  <c:v>0.92484664056076049</c:v>
                </c:pt>
                <c:pt idx="3">
                  <c:v>0.96950076517518757</c:v>
                </c:pt>
                <c:pt idx="4">
                  <c:v>1.0008737795519795</c:v>
                </c:pt>
                <c:pt idx="5">
                  <c:v>1</c:v>
                </c:pt>
                <c:pt idx="6">
                  <c:v>1.0650987006752612</c:v>
                </c:pt>
                <c:pt idx="7">
                  <c:v>1.1145880143364326</c:v>
                </c:pt>
                <c:pt idx="8">
                  <c:v>1.2324430604044372</c:v>
                </c:pt>
                <c:pt idx="9">
                  <c:v>1.3516395011375948</c:v>
                </c:pt>
                <c:pt idx="10">
                  <c:v>1.3375426321325725</c:v>
                </c:pt>
                <c:pt idx="11">
                  <c:v>1.3593329060447061</c:v>
                </c:pt>
                <c:pt idx="12">
                  <c:v>1.4415476247570469</c:v>
                </c:pt>
                <c:pt idx="13">
                  <c:v>1.5320524622315939</c:v>
                </c:pt>
                <c:pt idx="14">
                  <c:v>1.6244044438595679</c:v>
                </c:pt>
                <c:pt idx="15">
                  <c:v>1.6790038155179232</c:v>
                </c:pt>
                <c:pt idx="16">
                  <c:v>1.70891116698457</c:v>
                </c:pt>
                <c:pt idx="17">
                  <c:v>1.7930062320662397</c:v>
                </c:pt>
                <c:pt idx="18">
                  <c:v>1.9074754821650961</c:v>
                </c:pt>
                <c:pt idx="19">
                  <c:v>1.9962064929663503</c:v>
                </c:pt>
                <c:pt idx="20">
                  <c:v>2.0231766948760752</c:v>
                </c:pt>
                <c:pt idx="21">
                  <c:v>2.072050227934648</c:v>
                </c:pt>
                <c:pt idx="22">
                  <c:v>2.1615978662532056</c:v>
                </c:pt>
                <c:pt idx="23">
                  <c:v>2.3479086952311823</c:v>
                </c:pt>
                <c:pt idx="24">
                  <c:v>2.4858675732341569</c:v>
                </c:pt>
              </c:numCache>
            </c:numRef>
          </c:val>
          <c:smooth val="1"/>
          <c:extLst>
            <c:ext xmlns:c16="http://schemas.microsoft.com/office/drawing/2014/chart" uri="{C3380CC4-5D6E-409C-BE32-E72D297353CC}">
              <c16:uniqueId val="{00000004-9999-4FA6-A84A-55489B304768}"/>
            </c:ext>
          </c:extLst>
        </c:ser>
        <c:ser>
          <c:idx val="5"/>
          <c:order val="5"/>
          <c:tx>
            <c:strRef>
              <c:f>[Kapitalanalyse.xlsx]Parametere!$E$134</c:f>
              <c:strCache>
                <c:ptCount val="1"/>
                <c:pt idx="0">
                  <c:v>Kommunale boliger</c:v>
                </c:pt>
              </c:strCache>
            </c:strRef>
          </c:tx>
          <c:spPr>
            <a:ln w="28575" cap="rnd">
              <a:solidFill>
                <a:srgbClr val="CCCC00"/>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[Kapitalanalyse.xlsx]Parametere!$F$134:$AD$134</c:f>
              <c:numCache>
                <c:formatCode>General</c:formatCode>
                <c:ptCount val="25"/>
                <c:pt idx="0">
                  <c:v>0.75757585790269655</c:v>
                </c:pt>
                <c:pt idx="1">
                  <c:v>0.79535217175138018</c:v>
                </c:pt>
                <c:pt idx="2">
                  <c:v>0.91301854811318361</c:v>
                </c:pt>
                <c:pt idx="3">
                  <c:v>0.96544155992993874</c:v>
                </c:pt>
                <c:pt idx="4">
                  <c:v>0.98356747754857143</c:v>
                </c:pt>
                <c:pt idx="5">
                  <c:v>1</c:v>
                </c:pt>
                <c:pt idx="6">
                  <c:v>1.0748322140400548</c:v>
                </c:pt>
                <c:pt idx="7">
                  <c:v>1.1605816349388025</c:v>
                </c:pt>
                <c:pt idx="8">
                  <c:v>1.3258829086898021</c:v>
                </c:pt>
                <c:pt idx="9">
                  <c:v>1.476527768541207</c:v>
                </c:pt>
                <c:pt idx="10">
                  <c:v>1.4811541251271056</c:v>
                </c:pt>
                <c:pt idx="11">
                  <c:v>1.5075480863553223</c:v>
                </c:pt>
                <c:pt idx="12">
                  <c:v>1.622353646369769</c:v>
                </c:pt>
                <c:pt idx="13">
                  <c:v>1.7400777653402286</c:v>
                </c:pt>
                <c:pt idx="14">
                  <c:v>1.8530624574982804</c:v>
                </c:pt>
                <c:pt idx="15">
                  <c:v>1.9261735243670863</c:v>
                </c:pt>
                <c:pt idx="16">
                  <c:v>1.963871986169675</c:v>
                </c:pt>
                <c:pt idx="17">
                  <c:v>2.0669734855422175</c:v>
                </c:pt>
                <c:pt idx="18">
                  <c:v>2.2077707351266702</c:v>
                </c:pt>
                <c:pt idx="19">
                  <c:v>2.3184155590012083</c:v>
                </c:pt>
                <c:pt idx="20">
                  <c:v>2.3522056274180234</c:v>
                </c:pt>
                <c:pt idx="21">
                  <c:v>2.4103886426753611</c:v>
                </c:pt>
                <c:pt idx="22">
                  <c:v>2.5159224943027056</c:v>
                </c:pt>
                <c:pt idx="23">
                  <c:v>2.7635527552596217</c:v>
                </c:pt>
                <c:pt idx="24">
                  <c:v>2.8824335270496197</c:v>
                </c:pt>
              </c:numCache>
            </c:numRef>
          </c:val>
          <c:smooth val="1"/>
          <c:extLst>
            <c:ext xmlns:c16="http://schemas.microsoft.com/office/drawing/2014/chart" uri="{C3380CC4-5D6E-409C-BE32-E72D297353CC}">
              <c16:uniqueId val="{00000005-9999-4FA6-A84A-55489B304768}"/>
            </c:ext>
          </c:extLst>
        </c:ser>
        <c:ser>
          <c:idx val="6"/>
          <c:order val="6"/>
          <c:tx>
            <c:strRef>
              <c:f>[Kapitalanalyse.xlsx]Parametere!$E$135</c:f>
              <c:strCache>
                <c:ptCount val="1"/>
                <c:pt idx="0">
                  <c:v>Tannhelse</c:v>
                </c:pt>
              </c:strCache>
            </c:strRef>
          </c:tx>
          <c:spPr>
            <a:ln w="28575" cap="rnd">
              <a:solidFill>
                <a:srgbClr val="FBD4B4"/>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[Kapitalanalyse.xlsx]Parametere!$F$135:$AD$135</c:f>
              <c:numCache>
                <c:formatCode>General</c:formatCode>
                <c:ptCount val="25"/>
                <c:pt idx="0">
                  <c:v>0.8558675553209556</c:v>
                </c:pt>
                <c:pt idx="1">
                  <c:v>0.8721163226295241</c:v>
                </c:pt>
                <c:pt idx="2">
                  <c:v>0.93959913658597038</c:v>
                </c:pt>
                <c:pt idx="3">
                  <c:v>0.97130505230777786</c:v>
                </c:pt>
                <c:pt idx="4">
                  <c:v>0.99605278226639848</c:v>
                </c:pt>
                <c:pt idx="5">
                  <c:v>1</c:v>
                </c:pt>
                <c:pt idx="6">
                  <c:v>1.0612202758292024</c:v>
                </c:pt>
                <c:pt idx="7">
                  <c:v>1.1053663813749643</c:v>
                </c:pt>
                <c:pt idx="8">
                  <c:v>1.2131704743203839</c:v>
                </c:pt>
                <c:pt idx="9">
                  <c:v>1.3210767198994415</c:v>
                </c:pt>
                <c:pt idx="10">
                  <c:v>1.3260759028111742</c:v>
                </c:pt>
                <c:pt idx="11">
                  <c:v>1.3282451371882227</c:v>
                </c:pt>
                <c:pt idx="12">
                  <c:v>1.386791717177952</c:v>
                </c:pt>
                <c:pt idx="13">
                  <c:v>1.4624074321074731</c:v>
                </c:pt>
                <c:pt idx="14">
                  <c:v>1.5427563705552021</c:v>
                </c:pt>
                <c:pt idx="15">
                  <c:v>1.5851018251775089</c:v>
                </c:pt>
                <c:pt idx="16">
                  <c:v>1.6121291892703402</c:v>
                </c:pt>
                <c:pt idx="17">
                  <c:v>1.6887954505751233</c:v>
                </c:pt>
                <c:pt idx="18">
                  <c:v>1.7923892212325712</c:v>
                </c:pt>
                <c:pt idx="19">
                  <c:v>1.8679688190257451</c:v>
                </c:pt>
                <c:pt idx="20">
                  <c:v>1.8926072934243949</c:v>
                </c:pt>
                <c:pt idx="21">
                  <c:v>1.939058790210215</c:v>
                </c:pt>
                <c:pt idx="22">
                  <c:v>2.0257705791628431</c:v>
                </c:pt>
                <c:pt idx="23">
                  <c:v>2.1749828302333722</c:v>
                </c:pt>
                <c:pt idx="24">
                  <c:v>2.3078258604704676</c:v>
                </c:pt>
              </c:numCache>
            </c:numRef>
          </c:val>
          <c:smooth val="1"/>
          <c:extLst>
            <c:ext xmlns:c16="http://schemas.microsoft.com/office/drawing/2014/chart" uri="{C3380CC4-5D6E-409C-BE32-E72D297353CC}">
              <c16:uniqueId val="{00000006-9999-4FA6-A84A-55489B304768}"/>
            </c:ext>
          </c:extLst>
        </c:ser>
        <c:ser>
          <c:idx val="7"/>
          <c:order val="7"/>
          <c:tx>
            <c:strRef>
              <c:f>[Kapitalanalyse.xlsx]Parametere!$E$136</c:f>
              <c:strCache>
                <c:ptCount val="1"/>
                <c:pt idx="0">
                  <c:v>Admin. og beredskap</c:v>
                </c:pt>
              </c:strCache>
            </c:strRef>
          </c:tx>
          <c:spPr>
            <a:ln w="28575" cap="rnd">
              <a:solidFill>
                <a:srgbClr val="FAC2C9"/>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[Kapitalanalyse.xlsx]Parametere!$F$136:$AD$136</c:f>
              <c:numCache>
                <c:formatCode>General</c:formatCode>
                <c:ptCount val="25"/>
                <c:pt idx="0">
                  <c:v>0.7195521995357419</c:v>
                </c:pt>
                <c:pt idx="1">
                  <c:v>0.78493402327016037</c:v>
                </c:pt>
                <c:pt idx="2">
                  <c:v>0.896360879573181</c:v>
                </c:pt>
                <c:pt idx="3">
                  <c:v>0.94314540201789887</c:v>
                </c:pt>
                <c:pt idx="4">
                  <c:v>0.98672544708540999</c:v>
                </c:pt>
                <c:pt idx="5">
                  <c:v>1</c:v>
                </c:pt>
                <c:pt idx="6">
                  <c:v>1.0836801542329846</c:v>
                </c:pt>
                <c:pt idx="7">
                  <c:v>1.1447919814172836</c:v>
                </c:pt>
                <c:pt idx="8">
                  <c:v>1.2700754000815273</c:v>
                </c:pt>
                <c:pt idx="9">
                  <c:v>1.405693013052048</c:v>
                </c:pt>
                <c:pt idx="10">
                  <c:v>1.404024482712743</c:v>
                </c:pt>
                <c:pt idx="11">
                  <c:v>1.4198976252874207</c:v>
                </c:pt>
                <c:pt idx="12">
                  <c:v>1.5151094433724892</c:v>
                </c:pt>
                <c:pt idx="13">
                  <c:v>1.6273991088773792</c:v>
                </c:pt>
                <c:pt idx="14">
                  <c:v>1.7273394567020759</c:v>
                </c:pt>
                <c:pt idx="15">
                  <c:v>1.78706067316176</c:v>
                </c:pt>
                <c:pt idx="16">
                  <c:v>1.8874562568291664</c:v>
                </c:pt>
                <c:pt idx="17">
                  <c:v>2.0425564422006866</c:v>
                </c:pt>
                <c:pt idx="18">
                  <c:v>2.1737885881048404</c:v>
                </c:pt>
                <c:pt idx="19">
                  <c:v>2.281248799895597</c:v>
                </c:pt>
                <c:pt idx="20">
                  <c:v>2.32214782816876</c:v>
                </c:pt>
                <c:pt idx="21">
                  <c:v>2.3767530938018369</c:v>
                </c:pt>
                <c:pt idx="22">
                  <c:v>2.4707835768849642</c:v>
                </c:pt>
                <c:pt idx="23">
                  <c:v>2.7049292213249685</c:v>
                </c:pt>
                <c:pt idx="24">
                  <c:v>2.8581361057011967</c:v>
                </c:pt>
              </c:numCache>
            </c:numRef>
          </c:val>
          <c:smooth val="1"/>
          <c:extLst>
            <c:ext xmlns:c16="http://schemas.microsoft.com/office/drawing/2014/chart" uri="{C3380CC4-5D6E-409C-BE32-E72D297353CC}">
              <c16:uniqueId val="{00000007-9999-4FA6-A84A-55489B304768}"/>
            </c:ext>
          </c:extLst>
        </c:ser>
        <c:ser>
          <c:idx val="8"/>
          <c:order val="8"/>
          <c:tx>
            <c:strRef>
              <c:f>[Kapitalanalyse.xlsx]Parametere!$E$137</c:f>
              <c:strCache>
                <c:ptCount val="1"/>
                <c:pt idx="0">
                  <c:v>VAR-tjenester</c:v>
                </c:pt>
              </c:strCache>
            </c:strRef>
          </c:tx>
          <c:spPr>
            <a:ln w="28575" cap="rnd">
              <a:solidFill>
                <a:srgbClr val="F48594"/>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[Kapitalanalyse.xlsx]Parametere!$F$137:$AD$137</c:f>
              <c:numCache>
                <c:formatCode>General</c:formatCode>
                <c:ptCount val="25"/>
                <c:pt idx="0">
                  <c:v>0.72059667071246847</c:v>
                </c:pt>
                <c:pt idx="1">
                  <c:v>0.78173681078744672</c:v>
                </c:pt>
                <c:pt idx="2">
                  <c:v>0.88370563029705118</c:v>
                </c:pt>
                <c:pt idx="3">
                  <c:v>0.94900764615549094</c:v>
                </c:pt>
                <c:pt idx="4">
                  <c:v>0.98748636166052328</c:v>
                </c:pt>
                <c:pt idx="5">
                  <c:v>1</c:v>
                </c:pt>
                <c:pt idx="6">
                  <c:v>1.0965879139024086</c:v>
                </c:pt>
                <c:pt idx="7">
                  <c:v>1.1574008278888914</c:v>
                </c:pt>
                <c:pt idx="8">
                  <c:v>1.2937226503811146</c:v>
                </c:pt>
                <c:pt idx="9">
                  <c:v>1.4282023196095772</c:v>
                </c:pt>
                <c:pt idx="10">
                  <c:v>1.425284080527802</c:v>
                </c:pt>
                <c:pt idx="11">
                  <c:v>1.448863501712421</c:v>
                </c:pt>
                <c:pt idx="12">
                  <c:v>1.5531159306916766</c:v>
                </c:pt>
                <c:pt idx="13">
                  <c:v>1.6643339424239616</c:v>
                </c:pt>
                <c:pt idx="14">
                  <c:v>1.7691582469882812</c:v>
                </c:pt>
                <c:pt idx="15">
                  <c:v>1.8356686316780955</c:v>
                </c:pt>
                <c:pt idx="16">
                  <c:v>1.8704945157416279</c:v>
                </c:pt>
                <c:pt idx="17">
                  <c:v>1.9665898211850801</c:v>
                </c:pt>
                <c:pt idx="18">
                  <c:v>2.0928538259994687</c:v>
                </c:pt>
                <c:pt idx="19">
                  <c:v>2.197701112948407</c:v>
                </c:pt>
                <c:pt idx="20">
                  <c:v>2.2344066964440574</c:v>
                </c:pt>
                <c:pt idx="21">
                  <c:v>2.2837835216884868</c:v>
                </c:pt>
                <c:pt idx="22">
                  <c:v>2.3786756775186975</c:v>
                </c:pt>
                <c:pt idx="23">
                  <c:v>2.5999965488585763</c:v>
                </c:pt>
                <c:pt idx="24">
                  <c:v>2.7524388548033762</c:v>
                </c:pt>
              </c:numCache>
            </c:numRef>
          </c:val>
          <c:smooth val="1"/>
          <c:extLst>
            <c:ext xmlns:c16="http://schemas.microsoft.com/office/drawing/2014/chart" uri="{C3380CC4-5D6E-409C-BE32-E72D297353CC}">
              <c16:uniqueId val="{00000008-9999-4FA6-A84A-55489B304768}"/>
            </c:ext>
          </c:extLst>
        </c:ser>
        <c:ser>
          <c:idx val="9"/>
          <c:order val="9"/>
          <c:tx>
            <c:strRef>
              <c:f>[Kapitalanalyse.xlsx]Parametere!$E$138</c:f>
              <c:strCache>
                <c:ptCount val="1"/>
                <c:pt idx="0">
                  <c:v>Helse og eldreomsorg</c:v>
                </c:pt>
              </c:strCache>
            </c:strRef>
          </c:tx>
          <c:spPr>
            <a:ln w="28575" cap="rnd">
              <a:solidFill>
                <a:srgbClr val="EF485F"/>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[Kapitalanalyse.xlsx]Parametere!$F$138:$AD$138</c:f>
              <c:numCache>
                <c:formatCode>General</c:formatCode>
                <c:ptCount val="25"/>
                <c:pt idx="0">
                  <c:v>0.80658027014187494</c:v>
                </c:pt>
                <c:pt idx="1">
                  <c:v>0.83505654381007177</c:v>
                </c:pt>
                <c:pt idx="2">
                  <c:v>0.91219352783181928</c:v>
                </c:pt>
                <c:pt idx="3">
                  <c:v>0.96319877286419753</c:v>
                </c:pt>
                <c:pt idx="4">
                  <c:v>0.99285882580594831</c:v>
                </c:pt>
                <c:pt idx="5">
                  <c:v>1</c:v>
                </c:pt>
                <c:pt idx="6">
                  <c:v>1.0656588626347752</c:v>
                </c:pt>
                <c:pt idx="7">
                  <c:v>1.1152997296670701</c:v>
                </c:pt>
                <c:pt idx="8">
                  <c:v>1.2309313166943561</c:v>
                </c:pt>
                <c:pt idx="9">
                  <c:v>1.3488536448627733</c:v>
                </c:pt>
                <c:pt idx="10">
                  <c:v>1.3459424668757758</c:v>
                </c:pt>
                <c:pt idx="11">
                  <c:v>1.3527718763546144</c:v>
                </c:pt>
                <c:pt idx="12">
                  <c:v>1.4263763027156877</c:v>
                </c:pt>
                <c:pt idx="13">
                  <c:v>1.5120794261568509</c:v>
                </c:pt>
                <c:pt idx="14">
                  <c:v>1.6003973289343705</c:v>
                </c:pt>
                <c:pt idx="15">
                  <c:v>1.6509435984140941</c:v>
                </c:pt>
                <c:pt idx="16">
                  <c:v>1.6799691122732086</c:v>
                </c:pt>
                <c:pt idx="17">
                  <c:v>1.7629961707072985</c:v>
                </c:pt>
                <c:pt idx="18">
                  <c:v>1.8749303886722477</c:v>
                </c:pt>
                <c:pt idx="19">
                  <c:v>1.9599243811542801</c:v>
                </c:pt>
                <c:pt idx="20">
                  <c:v>1.9863378409177155</c:v>
                </c:pt>
                <c:pt idx="21">
                  <c:v>2.0343826033548003</c:v>
                </c:pt>
                <c:pt idx="22">
                  <c:v>2.1247767692639394</c:v>
                </c:pt>
                <c:pt idx="23">
                  <c:v>2.3005040164451556</c:v>
                </c:pt>
                <c:pt idx="24">
                  <c:v>2.437383760206822</c:v>
                </c:pt>
              </c:numCache>
            </c:numRef>
          </c:val>
          <c:smooth val="1"/>
          <c:extLst>
            <c:ext xmlns:c16="http://schemas.microsoft.com/office/drawing/2014/chart" uri="{C3380CC4-5D6E-409C-BE32-E72D297353CC}">
              <c16:uniqueId val="{00000009-9999-4FA6-A84A-55489B304768}"/>
            </c:ext>
          </c:extLst>
        </c:ser>
        <c:ser>
          <c:idx val="10"/>
          <c:order val="10"/>
          <c:tx>
            <c:strRef>
              <c:f>[Kapitalanalyse.xlsx]Parametere!$E$139</c:f>
              <c:strCache>
                <c:ptCount val="1"/>
                <c:pt idx="0">
                  <c:v>Samferdsel</c:v>
                </c:pt>
              </c:strCache>
            </c:strRef>
          </c:tx>
          <c:spPr>
            <a:ln w="28575" cap="rnd">
              <a:solidFill>
                <a:srgbClr val="740E24"/>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[Kapitalanalyse.xlsx]Parametere!$F$139:$AD$139</c:f>
              <c:numCache>
                <c:formatCode>General</c:formatCode>
                <c:ptCount val="25"/>
                <c:pt idx="0">
                  <c:v>0.86489677139687127</c:v>
                </c:pt>
                <c:pt idx="1">
                  <c:v>0.87516841241986221</c:v>
                </c:pt>
                <c:pt idx="2">
                  <c:v>0.94419991257316327</c:v>
                </c:pt>
                <c:pt idx="3">
                  <c:v>0.97125508240900094</c:v>
                </c:pt>
                <c:pt idx="4">
                  <c:v>0.94703237815914598</c:v>
                </c:pt>
                <c:pt idx="5">
                  <c:v>1</c:v>
                </c:pt>
                <c:pt idx="6">
                  <c:v>0.97029327539102872</c:v>
                </c:pt>
                <c:pt idx="7">
                  <c:v>0.94578412569598036</c:v>
                </c:pt>
                <c:pt idx="8">
                  <c:v>1.026578665551299</c:v>
                </c:pt>
                <c:pt idx="9">
                  <c:v>1.1020318191742926</c:v>
                </c:pt>
                <c:pt idx="10">
                  <c:v>1.1253759234633158</c:v>
                </c:pt>
                <c:pt idx="11">
                  <c:v>1.1345632824773177</c:v>
                </c:pt>
                <c:pt idx="12">
                  <c:v>1.160691906595138</c:v>
                </c:pt>
                <c:pt idx="13">
                  <c:v>1.2017096596923709</c:v>
                </c:pt>
                <c:pt idx="14">
                  <c:v>1.2412504152065786</c:v>
                </c:pt>
                <c:pt idx="15">
                  <c:v>1.2922394166237945</c:v>
                </c:pt>
                <c:pt idx="16">
                  <c:v>1.3220578888638213</c:v>
                </c:pt>
                <c:pt idx="17">
                  <c:v>1.4075149734179586</c:v>
                </c:pt>
                <c:pt idx="18">
                  <c:v>1.4619275043480746</c:v>
                </c:pt>
                <c:pt idx="19">
                  <c:v>1.5163034059381499</c:v>
                </c:pt>
                <c:pt idx="20">
                  <c:v>1.5614842513518936</c:v>
                </c:pt>
                <c:pt idx="21">
                  <c:v>1.6207334190306473</c:v>
                </c:pt>
                <c:pt idx="22">
                  <c:v>1.6985726600885589</c:v>
                </c:pt>
                <c:pt idx="23">
                  <c:v>1.8531179587759528</c:v>
                </c:pt>
                <c:pt idx="24">
                  <c:v>1.9895581701891003</c:v>
                </c:pt>
              </c:numCache>
            </c:numRef>
          </c:val>
          <c:smooth val="1"/>
          <c:extLst>
            <c:ext xmlns:c16="http://schemas.microsoft.com/office/drawing/2014/chart" uri="{C3380CC4-5D6E-409C-BE32-E72D297353CC}">
              <c16:uniqueId val="{0000000A-9999-4FA6-A84A-55489B304768}"/>
            </c:ext>
          </c:extLst>
        </c:ser>
        <c:dLbls>
          <c:showLegendKey val="0"/>
          <c:showVal val="0"/>
          <c:showCatName val="0"/>
          <c:showSerName val="0"/>
          <c:showPercent val="0"/>
          <c:showBubbleSize val="0"/>
        </c:dLbls>
        <c:smooth val="0"/>
        <c:axId val="283901103"/>
        <c:axId val="283899183"/>
      </c:lineChart>
      <c:catAx>
        <c:axId val="28390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899183"/>
        <c:crosses val="autoZero"/>
        <c:auto val="1"/>
        <c:lblAlgn val="ctr"/>
        <c:lblOffset val="100"/>
        <c:noMultiLvlLbl val="0"/>
      </c:catAx>
      <c:valAx>
        <c:axId val="283899183"/>
        <c:scaling>
          <c:orientation val="minMax"/>
          <c:max val="2.9"/>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r>
                  <a:rPr lang="nb-NO" sz="1000" b="1" i="0" u="none" strike="noStrike" kern="1200" baseline="0">
                    <a:solidFill>
                      <a:srgbClr val="000000"/>
                    </a:solidFill>
                  </a:rPr>
                  <a:t>Indeksert utvikling (baseår 2003)</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901103"/>
        <c:crosses val="autoZero"/>
        <c:crossBetween val="midCat"/>
      </c:valAx>
      <c:spPr>
        <a:noFill/>
        <a:ln>
          <a:noFill/>
        </a:ln>
        <a:effectLst/>
      </c:spPr>
    </c:plotArea>
    <c:legend>
      <c:legendPos val="r"/>
      <c:layout>
        <c:manualLayout>
          <c:xMode val="edge"/>
          <c:yMode val="edge"/>
          <c:x val="0.69736763609246832"/>
          <c:y val="0.19782948717948717"/>
          <c:w val="0.29552945563012678"/>
          <c:h val="0.732697435897435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b) Videregående skole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Inntektssystemet!$C$14</c:f>
              <c:strCache>
                <c:ptCount val="1"/>
                <c:pt idx="0">
                  <c:v>Bruttodriftsutgifter</c:v>
                </c:pt>
              </c:strCache>
            </c:strRef>
          </c:tx>
          <c:spPr>
            <a:solidFill>
              <a:schemeClr val="accent1"/>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Inntektssystemet!$C$15:$C$18</c:f>
              <c:numCache>
                <c:formatCode>General</c:formatCode>
                <c:ptCount val="4"/>
                <c:pt idx="0">
                  <c:v>0.81</c:v>
                </c:pt>
                <c:pt idx="1">
                  <c:v>0.84419999999999995</c:v>
                </c:pt>
                <c:pt idx="2">
                  <c:v>0.7268</c:v>
                </c:pt>
                <c:pt idx="3">
                  <c:v>0.46550000000000002</c:v>
                </c:pt>
              </c:numCache>
            </c:numRef>
          </c:val>
          <c:extLst>
            <c:ext xmlns:c16="http://schemas.microsoft.com/office/drawing/2014/chart" uri="{C3380CC4-5D6E-409C-BE32-E72D297353CC}">
              <c16:uniqueId val="{00000000-B9E1-4179-9CAD-D5CBB5A266AA}"/>
            </c:ext>
          </c:extLst>
        </c:ser>
        <c:ser>
          <c:idx val="1"/>
          <c:order val="1"/>
          <c:tx>
            <c:strRef>
              <c:f>Inntektssystemet!$D$14</c:f>
              <c:strCache>
                <c:ptCount val="1"/>
                <c:pt idx="0">
                  <c:v>Lønnsutgifter</c:v>
                </c:pt>
              </c:strCache>
            </c:strRef>
          </c:tx>
          <c:spPr>
            <a:solidFill>
              <a:schemeClr val="accent2"/>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Inntektssystemet!$D$15:$D$18</c:f>
              <c:numCache>
                <c:formatCode>General</c:formatCode>
                <c:ptCount val="4"/>
                <c:pt idx="0">
                  <c:v>0.76060000000000005</c:v>
                </c:pt>
                <c:pt idx="1">
                  <c:v>0.85499999999999998</c:v>
                </c:pt>
                <c:pt idx="2">
                  <c:v>0.73929999999999996</c:v>
                </c:pt>
                <c:pt idx="3">
                  <c:v>0.5353</c:v>
                </c:pt>
              </c:numCache>
            </c:numRef>
          </c:val>
          <c:extLst>
            <c:ext xmlns:c16="http://schemas.microsoft.com/office/drawing/2014/chart" uri="{C3380CC4-5D6E-409C-BE32-E72D297353CC}">
              <c16:uniqueId val="{00000001-B9E1-4179-9CAD-D5CBB5A266AA}"/>
            </c:ext>
          </c:extLst>
        </c:ser>
        <c:ser>
          <c:idx val="2"/>
          <c:order val="2"/>
          <c:tx>
            <c:strRef>
              <c:f>Inntektssystemet!$E$14</c:f>
              <c:strCache>
                <c:ptCount val="1"/>
                <c:pt idx="0">
                  <c:v>Produktinnsatsutgifter og fordringstap</c:v>
                </c:pt>
              </c:strCache>
            </c:strRef>
          </c:tx>
          <c:spPr>
            <a:solidFill>
              <a:schemeClr val="accent3"/>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Inntektssystemet!$E$15:$E$18</c:f>
              <c:numCache>
                <c:formatCode>General</c:formatCode>
                <c:ptCount val="4"/>
                <c:pt idx="0">
                  <c:v>0.78159999999999996</c:v>
                </c:pt>
                <c:pt idx="1">
                  <c:v>0.66</c:v>
                </c:pt>
                <c:pt idx="2">
                  <c:v>0.5605</c:v>
                </c:pt>
                <c:pt idx="3">
                  <c:v>0.2054</c:v>
                </c:pt>
              </c:numCache>
            </c:numRef>
          </c:val>
          <c:extLst>
            <c:ext xmlns:c16="http://schemas.microsoft.com/office/drawing/2014/chart" uri="{C3380CC4-5D6E-409C-BE32-E72D297353CC}">
              <c16:uniqueId val="{00000002-B9E1-4179-9CAD-D5CBB5A266AA}"/>
            </c:ext>
          </c:extLst>
        </c:ser>
        <c:ser>
          <c:idx val="3"/>
          <c:order val="3"/>
          <c:tx>
            <c:strRef>
              <c:f>Inntektssystemet!$F$14</c:f>
              <c:strCache>
                <c:ptCount val="1"/>
                <c:pt idx="0">
                  <c:v>Kapitalslit, DM</c:v>
                </c:pt>
              </c:strCache>
            </c:strRef>
          </c:tx>
          <c:spPr>
            <a:solidFill>
              <a:schemeClr val="accent4"/>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Inntektssystemet!$F$15:$F$18</c:f>
              <c:numCache>
                <c:formatCode>General</c:formatCode>
                <c:ptCount val="4"/>
                <c:pt idx="0">
                  <c:v>0.37080000000000002</c:v>
                </c:pt>
                <c:pt idx="1">
                  <c:v>0.31830000000000003</c:v>
                </c:pt>
                <c:pt idx="2">
                  <c:v>0.32579999999999998</c:v>
                </c:pt>
                <c:pt idx="3">
                  <c:v>-3.49E-2</c:v>
                </c:pt>
              </c:numCache>
            </c:numRef>
          </c:val>
          <c:extLst>
            <c:ext xmlns:c16="http://schemas.microsoft.com/office/drawing/2014/chart" uri="{C3380CC4-5D6E-409C-BE32-E72D297353CC}">
              <c16:uniqueId val="{00000003-B9E1-4179-9CAD-D5CBB5A266AA}"/>
            </c:ext>
          </c:extLst>
        </c:ser>
        <c:ser>
          <c:idx val="4"/>
          <c:order val="4"/>
          <c:tx>
            <c:strRef>
              <c:f>Inntektssystemet!$G$14</c:f>
              <c:strCache>
                <c:ptCount val="1"/>
                <c:pt idx="0">
                  <c:v>Kapitalslit, PIM-dd funk.</c:v>
                </c:pt>
              </c:strCache>
            </c:strRef>
          </c:tx>
          <c:spPr>
            <a:solidFill>
              <a:schemeClr val="accent5"/>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Inntektssystemet!$G$15:$G$18</c:f>
              <c:numCache>
                <c:formatCode>General</c:formatCode>
                <c:ptCount val="4"/>
                <c:pt idx="0">
                  <c:v>0.50149999999999995</c:v>
                </c:pt>
                <c:pt idx="1">
                  <c:v>0.76129999999999998</c:v>
                </c:pt>
                <c:pt idx="2">
                  <c:v>0.76910000000000001</c:v>
                </c:pt>
                <c:pt idx="3">
                  <c:v>0.44900000000000001</c:v>
                </c:pt>
              </c:numCache>
            </c:numRef>
          </c:val>
          <c:extLst>
            <c:ext xmlns:c16="http://schemas.microsoft.com/office/drawing/2014/chart" uri="{C3380CC4-5D6E-409C-BE32-E72D297353CC}">
              <c16:uniqueId val="{00000004-B9E1-4179-9CAD-D5CBB5A266AA}"/>
            </c:ext>
          </c:extLst>
        </c:ser>
        <c:ser>
          <c:idx val="5"/>
          <c:order val="5"/>
          <c:tx>
            <c:strRef>
              <c:f>Inntektssystemet!$H$14</c:f>
              <c:strCache>
                <c:ptCount val="1"/>
                <c:pt idx="0">
                  <c:v>Rentekostnader, PIM-ddl funk.</c:v>
                </c:pt>
              </c:strCache>
            </c:strRef>
          </c:tx>
          <c:spPr>
            <a:solidFill>
              <a:schemeClr val="accent6"/>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Inntektssystemet!$H$15:$H$18</c:f>
              <c:numCache>
                <c:formatCode>General</c:formatCode>
                <c:ptCount val="4"/>
                <c:pt idx="0">
                  <c:v>0.49940000000000001</c:v>
                </c:pt>
                <c:pt idx="1">
                  <c:v>0.7571</c:v>
                </c:pt>
                <c:pt idx="2">
                  <c:v>0.76549999999999996</c:v>
                </c:pt>
                <c:pt idx="3">
                  <c:v>0.44579999999999997</c:v>
                </c:pt>
              </c:numCache>
            </c:numRef>
          </c:val>
          <c:extLst>
            <c:ext xmlns:c16="http://schemas.microsoft.com/office/drawing/2014/chart" uri="{C3380CC4-5D6E-409C-BE32-E72D297353CC}">
              <c16:uniqueId val="{00000005-B9E1-4179-9CAD-D5CBB5A266AA}"/>
            </c:ext>
          </c:extLst>
        </c:ser>
        <c:ser>
          <c:idx val="6"/>
          <c:order val="6"/>
          <c:tx>
            <c:strRef>
              <c:f>Inntektssystemet!$I$14</c:f>
              <c:strCache>
                <c:ptCount val="1"/>
                <c:pt idx="0">
                  <c:v>Kapitalslit og rentekostnader, PIM-ddl funk.</c:v>
                </c:pt>
              </c:strCache>
            </c:strRef>
          </c:tx>
          <c:spPr>
            <a:solidFill>
              <a:schemeClr val="accent1">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Inntektssystemet!$I$15:$I$18</c:f>
              <c:numCache>
                <c:formatCode>General</c:formatCode>
                <c:ptCount val="4"/>
                <c:pt idx="0">
                  <c:v>0.5</c:v>
                </c:pt>
                <c:pt idx="1">
                  <c:v>0.75839999999999996</c:v>
                </c:pt>
                <c:pt idx="2">
                  <c:v>0.76659999999999995</c:v>
                </c:pt>
                <c:pt idx="3">
                  <c:v>0.44679999999999997</c:v>
                </c:pt>
              </c:numCache>
            </c:numRef>
          </c:val>
          <c:extLst>
            <c:ext xmlns:c16="http://schemas.microsoft.com/office/drawing/2014/chart" uri="{C3380CC4-5D6E-409C-BE32-E72D297353CC}">
              <c16:uniqueId val="{00000006-B9E1-4179-9CAD-D5CBB5A266AA}"/>
            </c:ext>
          </c:extLst>
        </c:ser>
        <c:ser>
          <c:idx val="7"/>
          <c:order val="7"/>
          <c:tx>
            <c:strRef>
              <c:f>Inntektssystemet!$J$14</c:f>
              <c:strCache>
                <c:ptCount val="1"/>
                <c:pt idx="0">
                  <c:v>Bruttodriftsutgifter og kapitalslit, DM</c:v>
                </c:pt>
              </c:strCache>
            </c:strRef>
          </c:tx>
          <c:spPr>
            <a:solidFill>
              <a:schemeClr val="accent2">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Inntektssystemet!$J$15:$J$18</c:f>
              <c:numCache>
                <c:formatCode>General</c:formatCode>
                <c:ptCount val="4"/>
                <c:pt idx="0">
                  <c:v>0.80469999999999997</c:v>
                </c:pt>
                <c:pt idx="1">
                  <c:v>0.83260000000000001</c:v>
                </c:pt>
                <c:pt idx="2">
                  <c:v>0.72140000000000004</c:v>
                </c:pt>
                <c:pt idx="3">
                  <c:v>0.44030000000000002</c:v>
                </c:pt>
              </c:numCache>
            </c:numRef>
          </c:val>
          <c:extLst>
            <c:ext xmlns:c16="http://schemas.microsoft.com/office/drawing/2014/chart" uri="{C3380CC4-5D6E-409C-BE32-E72D297353CC}">
              <c16:uniqueId val="{00000007-B9E1-4179-9CAD-D5CBB5A266AA}"/>
            </c:ext>
          </c:extLst>
        </c:ser>
        <c:ser>
          <c:idx val="8"/>
          <c:order val="8"/>
          <c:tx>
            <c:strRef>
              <c:f>Inntektssystemet!$K$14</c:f>
              <c:strCache>
                <c:ptCount val="1"/>
                <c:pt idx="0">
                  <c:v>Bruttodriftsutgifter og kapitalslit, PIM-dd funk.</c:v>
                </c:pt>
              </c:strCache>
            </c:strRef>
          </c:tx>
          <c:spPr>
            <a:solidFill>
              <a:schemeClr val="accent3">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Inntektssystemet!$K$15:$K$18</c:f>
              <c:numCache>
                <c:formatCode>General</c:formatCode>
                <c:ptCount val="4"/>
                <c:pt idx="0">
                  <c:v>0.79849999999999999</c:v>
                </c:pt>
                <c:pt idx="1">
                  <c:v>0.85870000000000002</c:v>
                </c:pt>
                <c:pt idx="2">
                  <c:v>0.75180000000000002</c:v>
                </c:pt>
                <c:pt idx="3">
                  <c:v>0.47670000000000001</c:v>
                </c:pt>
              </c:numCache>
            </c:numRef>
          </c:val>
          <c:extLst>
            <c:ext xmlns:c16="http://schemas.microsoft.com/office/drawing/2014/chart" uri="{C3380CC4-5D6E-409C-BE32-E72D297353CC}">
              <c16:uniqueId val="{00000008-B9E1-4179-9CAD-D5CBB5A266AA}"/>
            </c:ext>
          </c:extLst>
        </c:ser>
        <c:ser>
          <c:idx val="9"/>
          <c:order val="9"/>
          <c:tx>
            <c:strRef>
              <c:f>Inntektssystemet!$L$14</c:f>
              <c:strCache>
                <c:ptCount val="1"/>
                <c:pt idx="0">
                  <c:v>Bruttodriftsutg., kapitalslit og rentekost,, PIM-ddl funk.</c:v>
                </c:pt>
              </c:strCache>
            </c:strRef>
          </c:tx>
          <c:spPr>
            <a:solidFill>
              <a:schemeClr val="accent4">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Inntektssystemet!$L$15:$L$18</c:f>
              <c:numCache>
                <c:formatCode>General</c:formatCode>
                <c:ptCount val="4"/>
                <c:pt idx="0">
                  <c:v>0.76800000000000002</c:v>
                </c:pt>
                <c:pt idx="1">
                  <c:v>0.871</c:v>
                </c:pt>
                <c:pt idx="2">
                  <c:v>0.78369999999999995</c:v>
                </c:pt>
                <c:pt idx="3">
                  <c:v>0.48880000000000001</c:v>
                </c:pt>
              </c:numCache>
            </c:numRef>
          </c:val>
          <c:extLst>
            <c:ext xmlns:c16="http://schemas.microsoft.com/office/drawing/2014/chart" uri="{C3380CC4-5D6E-409C-BE32-E72D297353CC}">
              <c16:uniqueId val="{00000009-B9E1-4179-9CAD-D5CBB5A266AA}"/>
            </c:ext>
          </c:extLst>
        </c:ser>
        <c:dLbls>
          <c:showLegendKey val="0"/>
          <c:showVal val="0"/>
          <c:showCatName val="0"/>
          <c:showSerName val="0"/>
          <c:showPercent val="0"/>
          <c:showBubbleSize val="0"/>
        </c:dLbls>
        <c:gapWidth val="219"/>
        <c:overlap val="-27"/>
        <c:axId val="1181545103"/>
        <c:axId val="571010975"/>
      </c:barChart>
      <c:catAx>
        <c:axId val="118154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71010975"/>
        <c:crosses val="autoZero"/>
        <c:auto val="1"/>
        <c:lblAlgn val="ctr"/>
        <c:lblOffset val="100"/>
        <c:noMultiLvlLbl val="0"/>
      </c:catAx>
      <c:valAx>
        <c:axId val="57101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t>Korrelasjonskoefisient</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81545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c) Tannhelse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Inntektssystemet!$C$22</c:f>
              <c:strCache>
                <c:ptCount val="1"/>
                <c:pt idx="0">
                  <c:v>Bruttodriftsutgifter</c:v>
                </c:pt>
              </c:strCache>
            </c:strRef>
          </c:tx>
          <c:spPr>
            <a:solidFill>
              <a:schemeClr val="accent1"/>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Inntektssystemet!$C$23:$C$26</c:f>
              <c:numCache>
                <c:formatCode>General</c:formatCode>
                <c:ptCount val="4"/>
                <c:pt idx="0">
                  <c:v>0.60550000000000004</c:v>
                </c:pt>
                <c:pt idx="1">
                  <c:v>0.48749999999999999</c:v>
                </c:pt>
                <c:pt idx="2">
                  <c:v>0.46400000000000002</c:v>
                </c:pt>
                <c:pt idx="3">
                  <c:v>-0.13450000000000001</c:v>
                </c:pt>
              </c:numCache>
            </c:numRef>
          </c:val>
          <c:extLst>
            <c:ext xmlns:c16="http://schemas.microsoft.com/office/drawing/2014/chart" uri="{C3380CC4-5D6E-409C-BE32-E72D297353CC}">
              <c16:uniqueId val="{00000000-5266-451B-A1E5-38C0F5DECF3E}"/>
            </c:ext>
          </c:extLst>
        </c:ser>
        <c:ser>
          <c:idx val="1"/>
          <c:order val="1"/>
          <c:tx>
            <c:strRef>
              <c:f>Inntektssystemet!$D$22</c:f>
              <c:strCache>
                <c:ptCount val="1"/>
                <c:pt idx="0">
                  <c:v>Lønnsutgifter</c:v>
                </c:pt>
              </c:strCache>
            </c:strRef>
          </c:tx>
          <c:spPr>
            <a:solidFill>
              <a:schemeClr val="accent2"/>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Inntektssystemet!$D$23:$D$26</c:f>
              <c:numCache>
                <c:formatCode>General</c:formatCode>
                <c:ptCount val="4"/>
                <c:pt idx="0">
                  <c:v>0.60470000000000002</c:v>
                </c:pt>
                <c:pt idx="1">
                  <c:v>0.4854</c:v>
                </c:pt>
                <c:pt idx="2">
                  <c:v>0.45150000000000001</c:v>
                </c:pt>
                <c:pt idx="3">
                  <c:v>-0.14799999999999999</c:v>
                </c:pt>
              </c:numCache>
            </c:numRef>
          </c:val>
          <c:extLst>
            <c:ext xmlns:c16="http://schemas.microsoft.com/office/drawing/2014/chart" uri="{C3380CC4-5D6E-409C-BE32-E72D297353CC}">
              <c16:uniqueId val="{00000001-5266-451B-A1E5-38C0F5DECF3E}"/>
            </c:ext>
          </c:extLst>
        </c:ser>
        <c:ser>
          <c:idx val="2"/>
          <c:order val="2"/>
          <c:tx>
            <c:strRef>
              <c:f>Inntektssystemet!$E$22</c:f>
              <c:strCache>
                <c:ptCount val="1"/>
                <c:pt idx="0">
                  <c:v>Produktinnsatsutgifter og fordringstap</c:v>
                </c:pt>
              </c:strCache>
            </c:strRef>
          </c:tx>
          <c:spPr>
            <a:solidFill>
              <a:schemeClr val="accent3"/>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Inntektssystemet!$E$23:$E$26</c:f>
              <c:numCache>
                <c:formatCode>General</c:formatCode>
                <c:ptCount val="4"/>
                <c:pt idx="0">
                  <c:v>0.59970000000000001</c:v>
                </c:pt>
                <c:pt idx="1">
                  <c:v>0.4854</c:v>
                </c:pt>
                <c:pt idx="2">
                  <c:v>0.48270000000000002</c:v>
                </c:pt>
                <c:pt idx="3">
                  <c:v>-0.10680000000000001</c:v>
                </c:pt>
              </c:numCache>
            </c:numRef>
          </c:val>
          <c:extLst>
            <c:ext xmlns:c16="http://schemas.microsoft.com/office/drawing/2014/chart" uri="{C3380CC4-5D6E-409C-BE32-E72D297353CC}">
              <c16:uniqueId val="{00000002-5266-451B-A1E5-38C0F5DECF3E}"/>
            </c:ext>
          </c:extLst>
        </c:ser>
        <c:ser>
          <c:idx val="3"/>
          <c:order val="3"/>
          <c:tx>
            <c:strRef>
              <c:f>Inntektssystemet!$F$22</c:f>
              <c:strCache>
                <c:ptCount val="1"/>
                <c:pt idx="0">
                  <c:v>Kapitalslit, DM</c:v>
                </c:pt>
              </c:strCache>
            </c:strRef>
          </c:tx>
          <c:spPr>
            <a:solidFill>
              <a:schemeClr val="accent4"/>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Inntektssystemet!$F$23:$F$26</c:f>
              <c:numCache>
                <c:formatCode>General</c:formatCode>
                <c:ptCount val="4"/>
                <c:pt idx="0">
                  <c:v>0.37980000000000003</c:v>
                </c:pt>
                <c:pt idx="1">
                  <c:v>0.41789999999999999</c:v>
                </c:pt>
                <c:pt idx="2">
                  <c:v>0.39829999999999999</c:v>
                </c:pt>
                <c:pt idx="3">
                  <c:v>8.2699999999999996E-2</c:v>
                </c:pt>
              </c:numCache>
            </c:numRef>
          </c:val>
          <c:extLst>
            <c:ext xmlns:c16="http://schemas.microsoft.com/office/drawing/2014/chart" uri="{C3380CC4-5D6E-409C-BE32-E72D297353CC}">
              <c16:uniqueId val="{00000003-5266-451B-A1E5-38C0F5DECF3E}"/>
            </c:ext>
          </c:extLst>
        </c:ser>
        <c:ser>
          <c:idx val="4"/>
          <c:order val="4"/>
          <c:tx>
            <c:strRef>
              <c:f>Inntektssystemet!$G$22</c:f>
              <c:strCache>
                <c:ptCount val="1"/>
                <c:pt idx="0">
                  <c:v>Kapitalslit, PIM-dd funk.</c:v>
                </c:pt>
              </c:strCache>
            </c:strRef>
          </c:tx>
          <c:spPr>
            <a:solidFill>
              <a:schemeClr val="accent5"/>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Inntektssystemet!$G$23:$G$26</c:f>
              <c:numCache>
                <c:formatCode>General</c:formatCode>
                <c:ptCount val="4"/>
                <c:pt idx="0">
                  <c:v>0.41410000000000002</c:v>
                </c:pt>
                <c:pt idx="1">
                  <c:v>0.29920000000000002</c:v>
                </c:pt>
                <c:pt idx="2">
                  <c:v>0.25609999999999999</c:v>
                </c:pt>
                <c:pt idx="3">
                  <c:v>-0.23480000000000001</c:v>
                </c:pt>
              </c:numCache>
            </c:numRef>
          </c:val>
          <c:extLst>
            <c:ext xmlns:c16="http://schemas.microsoft.com/office/drawing/2014/chart" uri="{C3380CC4-5D6E-409C-BE32-E72D297353CC}">
              <c16:uniqueId val="{00000004-5266-451B-A1E5-38C0F5DECF3E}"/>
            </c:ext>
          </c:extLst>
        </c:ser>
        <c:ser>
          <c:idx val="5"/>
          <c:order val="5"/>
          <c:tx>
            <c:strRef>
              <c:f>Inntektssystemet!$H$22</c:f>
              <c:strCache>
                <c:ptCount val="1"/>
                <c:pt idx="0">
                  <c:v>Rentekostnader, PIM-ddl funk.</c:v>
                </c:pt>
              </c:strCache>
            </c:strRef>
          </c:tx>
          <c:spPr>
            <a:solidFill>
              <a:schemeClr val="accent6"/>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Inntektssystemet!$H$23:$H$26</c:f>
              <c:numCache>
                <c:formatCode>General</c:formatCode>
                <c:ptCount val="4"/>
                <c:pt idx="0">
                  <c:v>0.41360000000000002</c:v>
                </c:pt>
                <c:pt idx="1">
                  <c:v>0.29780000000000001</c:v>
                </c:pt>
                <c:pt idx="2">
                  <c:v>0.255</c:v>
                </c:pt>
                <c:pt idx="3">
                  <c:v>-0.23549999999999999</c:v>
                </c:pt>
              </c:numCache>
            </c:numRef>
          </c:val>
          <c:extLst>
            <c:ext xmlns:c16="http://schemas.microsoft.com/office/drawing/2014/chart" uri="{C3380CC4-5D6E-409C-BE32-E72D297353CC}">
              <c16:uniqueId val="{00000005-5266-451B-A1E5-38C0F5DECF3E}"/>
            </c:ext>
          </c:extLst>
        </c:ser>
        <c:ser>
          <c:idx val="6"/>
          <c:order val="6"/>
          <c:tx>
            <c:strRef>
              <c:f>Inntektssystemet!$I$22</c:f>
              <c:strCache>
                <c:ptCount val="1"/>
                <c:pt idx="0">
                  <c:v>Kapitalslit og rentekostnader, PIM-ddl funk.</c:v>
                </c:pt>
              </c:strCache>
            </c:strRef>
          </c:tx>
          <c:spPr>
            <a:solidFill>
              <a:schemeClr val="accent1">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Inntektssystemet!$I$23:$I$26</c:f>
              <c:numCache>
                <c:formatCode>General</c:formatCode>
                <c:ptCount val="4"/>
                <c:pt idx="0">
                  <c:v>0.41370000000000001</c:v>
                </c:pt>
                <c:pt idx="1">
                  <c:v>0.29830000000000001</c:v>
                </c:pt>
                <c:pt idx="2">
                  <c:v>0.25540000000000002</c:v>
                </c:pt>
                <c:pt idx="3">
                  <c:v>-0.23530000000000001</c:v>
                </c:pt>
              </c:numCache>
            </c:numRef>
          </c:val>
          <c:extLst>
            <c:ext xmlns:c16="http://schemas.microsoft.com/office/drawing/2014/chart" uri="{C3380CC4-5D6E-409C-BE32-E72D297353CC}">
              <c16:uniqueId val="{00000006-5266-451B-A1E5-38C0F5DECF3E}"/>
            </c:ext>
          </c:extLst>
        </c:ser>
        <c:ser>
          <c:idx val="7"/>
          <c:order val="7"/>
          <c:tx>
            <c:strRef>
              <c:f>Inntektssystemet!$J$22</c:f>
              <c:strCache>
                <c:ptCount val="1"/>
                <c:pt idx="0">
                  <c:v>Bruttodriftsutgifter og kapitalslit, DM</c:v>
                </c:pt>
              </c:strCache>
            </c:strRef>
          </c:tx>
          <c:spPr>
            <a:solidFill>
              <a:schemeClr val="accent2">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Inntektssystemet!$J$23:$J$26</c:f>
              <c:numCache>
                <c:formatCode>General</c:formatCode>
                <c:ptCount val="4"/>
                <c:pt idx="0">
                  <c:v>0.59770000000000001</c:v>
                </c:pt>
                <c:pt idx="1">
                  <c:v>0.48670000000000002</c:v>
                </c:pt>
                <c:pt idx="2">
                  <c:v>0.46339999999999998</c:v>
                </c:pt>
                <c:pt idx="3">
                  <c:v>-0.1245</c:v>
                </c:pt>
              </c:numCache>
            </c:numRef>
          </c:val>
          <c:extLst>
            <c:ext xmlns:c16="http://schemas.microsoft.com/office/drawing/2014/chart" uri="{C3380CC4-5D6E-409C-BE32-E72D297353CC}">
              <c16:uniqueId val="{00000007-5266-451B-A1E5-38C0F5DECF3E}"/>
            </c:ext>
          </c:extLst>
        </c:ser>
        <c:ser>
          <c:idx val="8"/>
          <c:order val="8"/>
          <c:tx>
            <c:strRef>
              <c:f>Inntektssystemet!$K$22</c:f>
              <c:strCache>
                <c:ptCount val="1"/>
                <c:pt idx="0">
                  <c:v>Bruttodriftsutgifter og kapitalslit, PIM-dd funk.</c:v>
                </c:pt>
              </c:strCache>
            </c:strRef>
          </c:tx>
          <c:spPr>
            <a:solidFill>
              <a:schemeClr val="accent3">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Inntektssystemet!$K$23:$K$26</c:f>
              <c:numCache>
                <c:formatCode>General</c:formatCode>
                <c:ptCount val="4"/>
                <c:pt idx="0">
                  <c:v>0.60089999999999999</c:v>
                </c:pt>
                <c:pt idx="1">
                  <c:v>0.48249999999999998</c:v>
                </c:pt>
                <c:pt idx="2">
                  <c:v>0.45829999999999999</c:v>
                </c:pt>
                <c:pt idx="3">
                  <c:v>-0.1386</c:v>
                </c:pt>
              </c:numCache>
            </c:numRef>
          </c:val>
          <c:extLst>
            <c:ext xmlns:c16="http://schemas.microsoft.com/office/drawing/2014/chart" uri="{C3380CC4-5D6E-409C-BE32-E72D297353CC}">
              <c16:uniqueId val="{00000008-5266-451B-A1E5-38C0F5DECF3E}"/>
            </c:ext>
          </c:extLst>
        </c:ser>
        <c:ser>
          <c:idx val="9"/>
          <c:order val="9"/>
          <c:tx>
            <c:strRef>
              <c:f>Inntektssystemet!$L$22</c:f>
              <c:strCache>
                <c:ptCount val="1"/>
                <c:pt idx="0">
                  <c:v>Bruttodriftsutg., kapitalslit og rentekost,, PIM-ddl funk.</c:v>
                </c:pt>
              </c:strCache>
            </c:strRef>
          </c:tx>
          <c:spPr>
            <a:solidFill>
              <a:schemeClr val="accent4">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Inntektssystemet!$L$23:$L$26</c:f>
              <c:numCache>
                <c:formatCode>General</c:formatCode>
                <c:ptCount val="4"/>
                <c:pt idx="0">
                  <c:v>0.59289999999999998</c:v>
                </c:pt>
                <c:pt idx="1">
                  <c:v>0.47399999999999998</c:v>
                </c:pt>
                <c:pt idx="2">
                  <c:v>0.44850000000000001</c:v>
                </c:pt>
                <c:pt idx="3">
                  <c:v>-0.1452</c:v>
                </c:pt>
              </c:numCache>
            </c:numRef>
          </c:val>
          <c:extLst>
            <c:ext xmlns:c16="http://schemas.microsoft.com/office/drawing/2014/chart" uri="{C3380CC4-5D6E-409C-BE32-E72D297353CC}">
              <c16:uniqueId val="{00000009-5266-451B-A1E5-38C0F5DECF3E}"/>
            </c:ext>
          </c:extLst>
        </c:ser>
        <c:dLbls>
          <c:showLegendKey val="0"/>
          <c:showVal val="0"/>
          <c:showCatName val="0"/>
          <c:showSerName val="0"/>
          <c:showPercent val="0"/>
          <c:showBubbleSize val="0"/>
        </c:dLbls>
        <c:gapWidth val="219"/>
        <c:overlap val="-27"/>
        <c:axId val="1181545103"/>
        <c:axId val="571010975"/>
      </c:barChart>
      <c:catAx>
        <c:axId val="118154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71010975"/>
        <c:crosses val="autoZero"/>
        <c:auto val="1"/>
        <c:lblAlgn val="ctr"/>
        <c:lblOffset val="100"/>
        <c:noMultiLvlLbl val="0"/>
      </c:catAx>
      <c:valAx>
        <c:axId val="57101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t>Korrelasjonskoefisient</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81545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0000"/>
                </a:solidFill>
                <a:latin typeface="+mn-lt"/>
                <a:ea typeface="+mn-ea"/>
                <a:cs typeface="+mn-cs"/>
              </a:defRPr>
            </a:pPr>
            <a:r>
              <a:rPr lang="nb-NO" sz="1200" b="1">
                <a:solidFill>
                  <a:srgbClr val="000000"/>
                </a:solidFill>
              </a:rPr>
              <a:t>c) Eiendomsprisutvikling</a:t>
            </a:r>
            <a:r>
              <a:rPr lang="nb-NO" sz="1200" b="1" baseline="0">
                <a:solidFill>
                  <a:srgbClr val="000000"/>
                </a:solidFill>
              </a:rPr>
              <a:t> over eiendomsregioner</a:t>
            </a:r>
            <a:endParaRPr lang="nb-NO" sz="1200" b="1">
              <a:solidFill>
                <a:srgbClr val="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[Kapitalanalyse.xlsx]Parametere!$B$113</c:f>
              <c:strCache>
                <c:ptCount val="1"/>
                <c:pt idx="0">
                  <c:v>Hele landet</c:v>
                </c:pt>
              </c:strCache>
            </c:strRef>
          </c:tx>
          <c:spPr>
            <a:ln w="28575" cap="rnd">
              <a:solidFill>
                <a:srgbClr val="3672B0"/>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[Kapitalanalyse.xlsx]Parametere!$C$113:$AA$113</c:f>
              <c:numCache>
                <c:formatCode>General</c:formatCode>
                <c:ptCount val="25"/>
                <c:pt idx="0">
                  <c:v>0.68191721132897598</c:v>
                </c:pt>
                <c:pt idx="1">
                  <c:v>0.75599128540305016</c:v>
                </c:pt>
                <c:pt idx="2">
                  <c:v>0.87799564270152497</c:v>
                </c:pt>
                <c:pt idx="3">
                  <c:v>0.93681917211328969</c:v>
                </c:pt>
                <c:pt idx="4">
                  <c:v>0.98474945533769076</c:v>
                </c:pt>
                <c:pt idx="5">
                  <c:v>1</c:v>
                </c:pt>
                <c:pt idx="6">
                  <c:v>1.10239651416122</c:v>
                </c:pt>
                <c:pt idx="7">
                  <c:v>1.1938997821350761</c:v>
                </c:pt>
                <c:pt idx="8">
                  <c:v>1.3572984749455337</c:v>
                </c:pt>
                <c:pt idx="9">
                  <c:v>1.5272331154684093</c:v>
                </c:pt>
                <c:pt idx="10">
                  <c:v>1.5119825708061003</c:v>
                </c:pt>
                <c:pt idx="11">
                  <c:v>1.5403050108932461</c:v>
                </c:pt>
                <c:pt idx="12">
                  <c:v>1.6666666666666665</c:v>
                </c:pt>
                <c:pt idx="13">
                  <c:v>1.7995642701525054</c:v>
                </c:pt>
                <c:pt idx="14">
                  <c:v>1.9215686274509802</c:v>
                </c:pt>
                <c:pt idx="15">
                  <c:v>2</c:v>
                </c:pt>
                <c:pt idx="16">
                  <c:v>2.0544662309368191</c:v>
                </c:pt>
                <c:pt idx="17">
                  <c:v>2.1786492374727668</c:v>
                </c:pt>
                <c:pt idx="18">
                  <c:v>2.3311546840958606</c:v>
                </c:pt>
                <c:pt idx="19">
                  <c:v>2.44880174291939</c:v>
                </c:pt>
                <c:pt idx="20">
                  <c:v>2.4836601307189543</c:v>
                </c:pt>
                <c:pt idx="21">
                  <c:v>2.5446623093681917</c:v>
                </c:pt>
                <c:pt idx="22">
                  <c:v>2.65359477124183</c:v>
                </c:pt>
                <c:pt idx="23">
                  <c:v>2.9302832244008714</c:v>
                </c:pt>
                <c:pt idx="24">
                  <c:v>3.0849673202614376</c:v>
                </c:pt>
              </c:numCache>
            </c:numRef>
          </c:val>
          <c:smooth val="1"/>
          <c:extLst>
            <c:ext xmlns:c16="http://schemas.microsoft.com/office/drawing/2014/chart" uri="{C3380CC4-5D6E-409C-BE32-E72D297353CC}">
              <c16:uniqueId val="{00000000-27DF-4DCE-A4B1-4469D156539B}"/>
            </c:ext>
          </c:extLst>
        </c:ser>
        <c:ser>
          <c:idx val="1"/>
          <c:order val="1"/>
          <c:tx>
            <c:strRef>
              <c:f>[Kapitalanalyse.xlsx]Parametere!$B$114</c:f>
              <c:strCache>
                <c:ptCount val="1"/>
                <c:pt idx="0">
                  <c:v>Oslo og Bærum</c:v>
                </c:pt>
              </c:strCache>
            </c:strRef>
          </c:tx>
          <c:spPr>
            <a:ln w="28575" cap="rnd">
              <a:solidFill>
                <a:srgbClr val="468C5C"/>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[Kapitalanalyse.xlsx]Parametere!$C$114:$AA$114</c:f>
              <c:numCache>
                <c:formatCode>General</c:formatCode>
                <c:ptCount val="25"/>
                <c:pt idx="0">
                  <c:v>0.64220183486238525</c:v>
                </c:pt>
                <c:pt idx="1">
                  <c:v>0.74541284403669728</c:v>
                </c:pt>
                <c:pt idx="2">
                  <c:v>0.89220183486238536</c:v>
                </c:pt>
                <c:pt idx="3">
                  <c:v>0.95183486238532111</c:v>
                </c:pt>
                <c:pt idx="4">
                  <c:v>1.0114678899082568</c:v>
                </c:pt>
                <c:pt idx="5">
                  <c:v>1</c:v>
                </c:pt>
                <c:pt idx="6">
                  <c:v>1.1009174311926604</c:v>
                </c:pt>
                <c:pt idx="7">
                  <c:v>1.201834862385321</c:v>
                </c:pt>
                <c:pt idx="8">
                  <c:v>1.3853211009174311</c:v>
                </c:pt>
                <c:pt idx="9">
                  <c:v>1.5412844036697249</c:v>
                </c:pt>
                <c:pt idx="10">
                  <c:v>1.4724770642201834</c:v>
                </c:pt>
                <c:pt idx="11">
                  <c:v>1.5206422018348624</c:v>
                </c:pt>
                <c:pt idx="12">
                  <c:v>1.6513761467889909</c:v>
                </c:pt>
                <c:pt idx="13">
                  <c:v>1.8142201834862384</c:v>
                </c:pt>
                <c:pt idx="14">
                  <c:v>1.9610091743119265</c:v>
                </c:pt>
                <c:pt idx="15">
                  <c:v>2.0229357798165135</c:v>
                </c:pt>
                <c:pt idx="16">
                  <c:v>2.080275229357798</c:v>
                </c:pt>
                <c:pt idx="17">
                  <c:v>2.2935779816513762</c:v>
                </c:pt>
                <c:pt idx="18">
                  <c:v>2.6490825688073394</c:v>
                </c:pt>
                <c:pt idx="19">
                  <c:v>2.8532110091743124</c:v>
                </c:pt>
                <c:pt idx="20">
                  <c:v>2.8784403669724767</c:v>
                </c:pt>
                <c:pt idx="21">
                  <c:v>2.9908256880733943</c:v>
                </c:pt>
                <c:pt idx="22">
                  <c:v>3.1490825688073398</c:v>
                </c:pt>
                <c:pt idx="23">
                  <c:v>3.488532110091743</c:v>
                </c:pt>
                <c:pt idx="24">
                  <c:v>3.6444954128440368</c:v>
                </c:pt>
              </c:numCache>
            </c:numRef>
          </c:val>
          <c:smooth val="1"/>
          <c:extLst>
            <c:ext xmlns:c16="http://schemas.microsoft.com/office/drawing/2014/chart" uri="{C3380CC4-5D6E-409C-BE32-E72D297353CC}">
              <c16:uniqueId val="{00000001-27DF-4DCE-A4B1-4469D156539B}"/>
            </c:ext>
          </c:extLst>
        </c:ser>
        <c:ser>
          <c:idx val="2"/>
          <c:order val="2"/>
          <c:tx>
            <c:strRef>
              <c:f>[Kapitalanalyse.xlsx]Parametere!$B$115</c:f>
              <c:strCache>
                <c:ptCount val="1"/>
                <c:pt idx="0">
                  <c:v>Akershus ellers</c:v>
                </c:pt>
              </c:strCache>
            </c:strRef>
          </c:tx>
          <c:spPr>
            <a:ln w="28575" cap="rnd">
              <a:solidFill>
                <a:srgbClr val="87C39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[Kapitalanalyse.xlsx]Parametere!$C$115:$AA$115</c:f>
              <c:numCache>
                <c:formatCode>General</c:formatCode>
                <c:ptCount val="25"/>
                <c:pt idx="0">
                  <c:v>0.68522483940042811</c:v>
                </c:pt>
                <c:pt idx="1">
                  <c:v>0.77087794432548173</c:v>
                </c:pt>
                <c:pt idx="2">
                  <c:v>0.90364025695931471</c:v>
                </c:pt>
                <c:pt idx="3">
                  <c:v>0.94218415417558876</c:v>
                </c:pt>
                <c:pt idx="4">
                  <c:v>0.98286937901498905</c:v>
                </c:pt>
                <c:pt idx="5">
                  <c:v>1</c:v>
                </c:pt>
                <c:pt idx="6">
                  <c:v>1.0856531049250535</c:v>
                </c:pt>
                <c:pt idx="7">
                  <c:v>1.1627408993576016</c:v>
                </c:pt>
                <c:pt idx="8">
                  <c:v>1.3083511777301926</c:v>
                </c:pt>
                <c:pt idx="9">
                  <c:v>1.4860813704496787</c:v>
                </c:pt>
                <c:pt idx="10">
                  <c:v>1.4689507494646679</c:v>
                </c:pt>
                <c:pt idx="11">
                  <c:v>1.4775160599571733</c:v>
                </c:pt>
                <c:pt idx="12">
                  <c:v>1.5845824411134901</c:v>
                </c:pt>
                <c:pt idx="13">
                  <c:v>1.6937901498929331</c:v>
                </c:pt>
                <c:pt idx="14">
                  <c:v>1.8115631691648817</c:v>
                </c:pt>
                <c:pt idx="15">
                  <c:v>1.9164882226980726</c:v>
                </c:pt>
                <c:pt idx="16">
                  <c:v>1.9657387580299781</c:v>
                </c:pt>
                <c:pt idx="17">
                  <c:v>2.1413276231263381</c:v>
                </c:pt>
                <c:pt idx="18">
                  <c:v>2.3661670235546035</c:v>
                </c:pt>
                <c:pt idx="19">
                  <c:v>2.5931477516059953</c:v>
                </c:pt>
                <c:pt idx="20">
                  <c:v>2.6209850107066379</c:v>
                </c:pt>
                <c:pt idx="21">
                  <c:v>2.6873661670235545</c:v>
                </c:pt>
                <c:pt idx="22">
                  <c:v>2.7944325481798709</c:v>
                </c:pt>
                <c:pt idx="23">
                  <c:v>3.1220556745182013</c:v>
                </c:pt>
                <c:pt idx="24">
                  <c:v>3.2077087794432546</c:v>
                </c:pt>
              </c:numCache>
            </c:numRef>
          </c:val>
          <c:smooth val="1"/>
          <c:extLst>
            <c:ext xmlns:c16="http://schemas.microsoft.com/office/drawing/2014/chart" uri="{C3380CC4-5D6E-409C-BE32-E72D297353CC}">
              <c16:uniqueId val="{00000002-27DF-4DCE-A4B1-4469D156539B}"/>
            </c:ext>
          </c:extLst>
        </c:ser>
        <c:ser>
          <c:idx val="3"/>
          <c:order val="3"/>
          <c:tx>
            <c:strRef>
              <c:f>[Kapitalanalyse.xlsx]Parametere!$B$116</c:f>
              <c:strCache>
                <c:ptCount val="1"/>
                <c:pt idx="0">
                  <c:v>Innlandet</c:v>
                </c:pt>
              </c:strCache>
            </c:strRef>
          </c:tx>
          <c:spPr>
            <a:ln w="28575" cap="rnd">
              <a:solidFill>
                <a:srgbClr val="AFD7BB"/>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[Kapitalanalyse.xlsx]Parametere!$C$116:$AA$116</c:f>
              <c:numCache>
                <c:formatCode>General</c:formatCode>
                <c:ptCount val="25"/>
                <c:pt idx="0">
                  <c:v>0.72879858657243834</c:v>
                </c:pt>
                <c:pt idx="1">
                  <c:v>0.78621908127208495</c:v>
                </c:pt>
                <c:pt idx="2">
                  <c:v>0.88339222614840995</c:v>
                </c:pt>
                <c:pt idx="3">
                  <c:v>0.95141342756183778</c:v>
                </c:pt>
                <c:pt idx="4">
                  <c:v>0.9823321554770319</c:v>
                </c:pt>
                <c:pt idx="5">
                  <c:v>1</c:v>
                </c:pt>
                <c:pt idx="6">
                  <c:v>1.092756183745583</c:v>
                </c:pt>
                <c:pt idx="7">
                  <c:v>1.1731448763250885</c:v>
                </c:pt>
                <c:pt idx="8">
                  <c:v>1.2859846820080987</c:v>
                </c:pt>
                <c:pt idx="9">
                  <c:v>1.404661029364368</c:v>
                </c:pt>
                <c:pt idx="10">
                  <c:v>1.4104975710376271</c:v>
                </c:pt>
                <c:pt idx="11">
                  <c:v>1.4435713071860958</c:v>
                </c:pt>
                <c:pt idx="12">
                  <c:v>1.5389014878493283</c:v>
                </c:pt>
                <c:pt idx="13">
                  <c:v>1.6206130712749565</c:v>
                </c:pt>
                <c:pt idx="14">
                  <c:v>1.7023246547005846</c:v>
                </c:pt>
                <c:pt idx="15">
                  <c:v>1.7626355853242623</c:v>
                </c:pt>
                <c:pt idx="16">
                  <c:v>1.8365651131855449</c:v>
                </c:pt>
                <c:pt idx="17">
                  <c:v>1.9455138910863823</c:v>
                </c:pt>
                <c:pt idx="18">
                  <c:v>2.0583536967693923</c:v>
                </c:pt>
                <c:pt idx="19">
                  <c:v>2.2081582663830437</c:v>
                </c:pt>
                <c:pt idx="20">
                  <c:v>2.2723602247888945</c:v>
                </c:pt>
                <c:pt idx="21">
                  <c:v>2.3112705026106219</c:v>
                </c:pt>
                <c:pt idx="22">
                  <c:v>2.3774179749075595</c:v>
                </c:pt>
                <c:pt idx="23">
                  <c:v>2.6147706696200981</c:v>
                </c:pt>
                <c:pt idx="24">
                  <c:v>2.7334470169763669</c:v>
                </c:pt>
              </c:numCache>
            </c:numRef>
          </c:val>
          <c:smooth val="1"/>
          <c:extLst>
            <c:ext xmlns:c16="http://schemas.microsoft.com/office/drawing/2014/chart" uri="{C3380CC4-5D6E-409C-BE32-E72D297353CC}">
              <c16:uniqueId val="{00000003-27DF-4DCE-A4B1-4469D156539B}"/>
            </c:ext>
          </c:extLst>
        </c:ser>
        <c:ser>
          <c:idx val="4"/>
          <c:order val="4"/>
          <c:tx>
            <c:strRef>
              <c:f>[Kapitalanalyse.xlsx]Parametere!$B$117</c:f>
              <c:strCache>
                <c:ptCount val="1"/>
                <c:pt idx="0">
                  <c:v>Østlandet ellers</c:v>
                </c:pt>
              </c:strCache>
            </c:strRef>
          </c:tx>
          <c:spPr>
            <a:ln w="28575" cap="rnd">
              <a:solidFill>
                <a:srgbClr val="D7EBDD"/>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[Kapitalanalyse.xlsx]Parametere!$C$117:$AA$117</c:f>
              <c:numCache>
                <c:formatCode>General</c:formatCode>
                <c:ptCount val="25"/>
                <c:pt idx="0">
                  <c:v>0.72879858657243823</c:v>
                </c:pt>
                <c:pt idx="1">
                  <c:v>0.78621908127208473</c:v>
                </c:pt>
                <c:pt idx="2">
                  <c:v>0.88339222614840984</c:v>
                </c:pt>
                <c:pt idx="3">
                  <c:v>0.95141342756183733</c:v>
                </c:pt>
                <c:pt idx="4">
                  <c:v>0.98233215547703179</c:v>
                </c:pt>
                <c:pt idx="5">
                  <c:v>1</c:v>
                </c:pt>
                <c:pt idx="6">
                  <c:v>1.092756183745583</c:v>
                </c:pt>
                <c:pt idx="7">
                  <c:v>1.1731448763250885</c:v>
                </c:pt>
                <c:pt idx="8">
                  <c:v>1.2843913732179846</c:v>
                </c:pt>
                <c:pt idx="9">
                  <c:v>1.4340684781284272</c:v>
                </c:pt>
                <c:pt idx="10">
                  <c:v>1.4441817960277814</c:v>
                </c:pt>
                <c:pt idx="11">
                  <c:v>1.4644084318264898</c:v>
                </c:pt>
                <c:pt idx="12">
                  <c:v>1.5635189472401607</c:v>
                </c:pt>
                <c:pt idx="13">
                  <c:v>1.6606067990739612</c:v>
                </c:pt>
                <c:pt idx="14">
                  <c:v>1.765785305227245</c:v>
                </c:pt>
                <c:pt idx="15">
                  <c:v>1.8365785305227247</c:v>
                </c:pt>
                <c:pt idx="16">
                  <c:v>1.8952357743389792</c:v>
                </c:pt>
                <c:pt idx="17">
                  <c:v>2.0226635798708421</c:v>
                </c:pt>
                <c:pt idx="18">
                  <c:v>2.1743633483611551</c:v>
                </c:pt>
                <c:pt idx="19">
                  <c:v>2.277519190934568</c:v>
                </c:pt>
                <c:pt idx="20">
                  <c:v>2.3665163884488853</c:v>
                </c:pt>
                <c:pt idx="21">
                  <c:v>2.4454002680638482</c:v>
                </c:pt>
                <c:pt idx="22">
                  <c:v>2.5869867186548072</c:v>
                </c:pt>
                <c:pt idx="23">
                  <c:v>2.9045449006945292</c:v>
                </c:pt>
                <c:pt idx="24">
                  <c:v>3.0663579870841966</c:v>
                </c:pt>
              </c:numCache>
            </c:numRef>
          </c:val>
          <c:smooth val="1"/>
          <c:extLst>
            <c:ext xmlns:c16="http://schemas.microsoft.com/office/drawing/2014/chart" uri="{C3380CC4-5D6E-409C-BE32-E72D297353CC}">
              <c16:uniqueId val="{00000004-27DF-4DCE-A4B1-4469D156539B}"/>
            </c:ext>
          </c:extLst>
        </c:ser>
        <c:ser>
          <c:idx val="5"/>
          <c:order val="5"/>
          <c:tx>
            <c:strRef>
              <c:f>[Kapitalanalyse.xlsx]Parametere!$B$118</c:f>
              <c:strCache>
                <c:ptCount val="1"/>
                <c:pt idx="0">
                  <c:v>Agder og Rogaland ellers</c:v>
                </c:pt>
              </c:strCache>
            </c:strRef>
          </c:tx>
          <c:spPr>
            <a:ln w="28575" cap="rnd">
              <a:solidFill>
                <a:srgbClr val="FFFF9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[Kapitalanalyse.xlsx]Parametere!$C$118:$AA$118</c:f>
              <c:numCache>
                <c:formatCode>General</c:formatCode>
                <c:ptCount val="25"/>
                <c:pt idx="0">
                  <c:v>0.72879858657243801</c:v>
                </c:pt>
                <c:pt idx="1">
                  <c:v>0.78621908127208473</c:v>
                </c:pt>
                <c:pt idx="2">
                  <c:v>0.88339222614840984</c:v>
                </c:pt>
                <c:pt idx="3">
                  <c:v>0.95141342756183733</c:v>
                </c:pt>
                <c:pt idx="4">
                  <c:v>0.98233215547703179</c:v>
                </c:pt>
                <c:pt idx="5">
                  <c:v>1</c:v>
                </c:pt>
                <c:pt idx="6">
                  <c:v>1.092756183745583</c:v>
                </c:pt>
                <c:pt idx="7">
                  <c:v>1.1731448763250885</c:v>
                </c:pt>
                <c:pt idx="8">
                  <c:v>1.3730628234141953</c:v>
                </c:pt>
                <c:pt idx="9">
                  <c:v>1.6454784875795718</c:v>
                </c:pt>
                <c:pt idx="10">
                  <c:v>1.7179762046558411</c:v>
                </c:pt>
                <c:pt idx="11">
                  <c:v>1.7267638067256921</c:v>
                </c:pt>
                <c:pt idx="12">
                  <c:v>1.8739561413956938</c:v>
                </c:pt>
                <c:pt idx="13">
                  <c:v>2.0255422771006208</c:v>
                </c:pt>
                <c:pt idx="14">
                  <c:v>2.1222058998689803</c:v>
                </c:pt>
                <c:pt idx="15">
                  <c:v>2.1705377112531599</c:v>
                </c:pt>
                <c:pt idx="16">
                  <c:v>2.1859160148753989</c:v>
                </c:pt>
                <c:pt idx="17">
                  <c:v>2.1969005174627125</c:v>
                </c:pt>
                <c:pt idx="18">
                  <c:v>2.1749315122880852</c:v>
                </c:pt>
                <c:pt idx="19">
                  <c:v>2.199097417980175</c:v>
                </c:pt>
                <c:pt idx="20">
                  <c:v>2.2034912190151008</c:v>
                </c:pt>
                <c:pt idx="21">
                  <c:v>2.2320509257421159</c:v>
                </c:pt>
                <c:pt idx="22">
                  <c:v>2.2913672397136091</c:v>
                </c:pt>
                <c:pt idx="23">
                  <c:v>2.5110572914598803</c:v>
                </c:pt>
                <c:pt idx="24">
                  <c:v>2.6868093328568974</c:v>
                </c:pt>
              </c:numCache>
            </c:numRef>
          </c:val>
          <c:smooth val="1"/>
          <c:extLst>
            <c:ext xmlns:c16="http://schemas.microsoft.com/office/drawing/2014/chart" uri="{C3380CC4-5D6E-409C-BE32-E72D297353CC}">
              <c16:uniqueId val="{00000005-27DF-4DCE-A4B1-4469D156539B}"/>
            </c:ext>
          </c:extLst>
        </c:ser>
        <c:ser>
          <c:idx val="6"/>
          <c:order val="6"/>
          <c:tx>
            <c:strRef>
              <c:f>[Kapitalanalyse.xlsx]Parametere!$B$119</c:f>
              <c:strCache>
                <c:ptCount val="1"/>
                <c:pt idx="0">
                  <c:v>Stavanger</c:v>
                </c:pt>
              </c:strCache>
            </c:strRef>
          </c:tx>
          <c:spPr>
            <a:ln w="28575" cap="rnd">
              <a:solidFill>
                <a:srgbClr val="CCCC00"/>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[Kapitalanalyse.xlsx]Parametere!$C$119:$AA$119</c:f>
              <c:numCache>
                <c:formatCode>General</c:formatCode>
                <c:ptCount val="25"/>
                <c:pt idx="0">
                  <c:v>0.61053471667996806</c:v>
                </c:pt>
                <c:pt idx="1">
                  <c:v>0.6823623304070231</c:v>
                </c:pt>
                <c:pt idx="2">
                  <c:v>0.79808459696727851</c:v>
                </c:pt>
                <c:pt idx="3">
                  <c:v>0.85873902633679167</c:v>
                </c:pt>
                <c:pt idx="4">
                  <c:v>0.94014365522745413</c:v>
                </c:pt>
                <c:pt idx="5">
                  <c:v>1</c:v>
                </c:pt>
                <c:pt idx="6">
                  <c:v>1.1508379888268154</c:v>
                </c:pt>
                <c:pt idx="7">
                  <c:v>1.2777334397446127</c:v>
                </c:pt>
                <c:pt idx="8">
                  <c:v>1.6016299404383565</c:v>
                </c:pt>
                <c:pt idx="9">
                  <c:v>1.9204257088377112</c:v>
                </c:pt>
                <c:pt idx="10">
                  <c:v>1.9357279057208805</c:v>
                </c:pt>
                <c:pt idx="11">
                  <c:v>1.956130834898439</c:v>
                </c:pt>
                <c:pt idx="12">
                  <c:v>2.2392214772370655</c:v>
                </c:pt>
                <c:pt idx="13">
                  <c:v>2.4534522336014319</c:v>
                </c:pt>
                <c:pt idx="14">
                  <c:v>2.6396289623466549</c:v>
                </c:pt>
                <c:pt idx="15">
                  <c:v>2.7033881160265256</c:v>
                </c:pt>
                <c:pt idx="16">
                  <c:v>2.6523807930826293</c:v>
                </c:pt>
                <c:pt idx="17">
                  <c:v>2.5503661471948358</c:v>
                </c:pt>
                <c:pt idx="18">
                  <c:v>2.3998945445103401</c:v>
                </c:pt>
                <c:pt idx="19">
                  <c:v>2.5146610211341081</c:v>
                </c:pt>
                <c:pt idx="20">
                  <c:v>2.4942580919565489</c:v>
                </c:pt>
                <c:pt idx="21">
                  <c:v>2.4942580919565489</c:v>
                </c:pt>
                <c:pt idx="22">
                  <c:v>2.5937223716971478</c:v>
                </c:pt>
                <c:pt idx="23">
                  <c:v>2.8283560572390729</c:v>
                </c:pt>
                <c:pt idx="24">
                  <c:v>2.9660758291875937</c:v>
                </c:pt>
              </c:numCache>
            </c:numRef>
          </c:val>
          <c:smooth val="1"/>
          <c:extLst>
            <c:ext xmlns:c16="http://schemas.microsoft.com/office/drawing/2014/chart" uri="{C3380CC4-5D6E-409C-BE32-E72D297353CC}">
              <c16:uniqueId val="{00000006-27DF-4DCE-A4B1-4469D156539B}"/>
            </c:ext>
          </c:extLst>
        </c:ser>
        <c:ser>
          <c:idx val="7"/>
          <c:order val="7"/>
          <c:tx>
            <c:strRef>
              <c:f>[Kapitalanalyse.xlsx]Parametere!$B$120</c:f>
              <c:strCache>
                <c:ptCount val="1"/>
                <c:pt idx="0">
                  <c:v>Bergen</c:v>
                </c:pt>
              </c:strCache>
            </c:strRef>
          </c:tx>
          <c:spPr>
            <a:ln w="28575" cap="rnd">
              <a:solidFill>
                <a:srgbClr val="FDE9D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[Kapitalanalyse.xlsx]Parametere!$C$120:$AA$120</c:f>
              <c:numCache>
                <c:formatCode>General</c:formatCode>
                <c:ptCount val="25"/>
                <c:pt idx="0">
                  <c:v>0.61053471667996817</c:v>
                </c:pt>
                <c:pt idx="1">
                  <c:v>0.68236233040702321</c:v>
                </c:pt>
                <c:pt idx="2">
                  <c:v>0.79808459696727863</c:v>
                </c:pt>
                <c:pt idx="3">
                  <c:v>0.85873902633679167</c:v>
                </c:pt>
                <c:pt idx="4">
                  <c:v>0.94014365522745413</c:v>
                </c:pt>
                <c:pt idx="5">
                  <c:v>1</c:v>
                </c:pt>
                <c:pt idx="6">
                  <c:v>1.1508379888268154</c:v>
                </c:pt>
                <c:pt idx="7">
                  <c:v>1.277733439744613</c:v>
                </c:pt>
                <c:pt idx="8">
                  <c:v>1.5015699547363701</c:v>
                </c:pt>
                <c:pt idx="9">
                  <c:v>1.6321412551482282</c:v>
                </c:pt>
                <c:pt idx="10">
                  <c:v>1.4992383243718725</c:v>
                </c:pt>
                <c:pt idx="11">
                  <c:v>1.5108964761943597</c:v>
                </c:pt>
                <c:pt idx="12">
                  <c:v>1.6857687535316699</c:v>
                </c:pt>
                <c:pt idx="13">
                  <c:v>1.8513145094109904</c:v>
                </c:pt>
                <c:pt idx="14">
                  <c:v>1.970227658000361</c:v>
                </c:pt>
                <c:pt idx="15">
                  <c:v>2.0774826547672447</c:v>
                </c:pt>
                <c:pt idx="16">
                  <c:v>2.1684162389826462</c:v>
                </c:pt>
                <c:pt idx="17">
                  <c:v>2.3316303644974687</c:v>
                </c:pt>
                <c:pt idx="18">
                  <c:v>2.3526150377779462</c:v>
                </c:pt>
                <c:pt idx="19">
                  <c:v>2.3969160147033977</c:v>
                </c:pt>
                <c:pt idx="20">
                  <c:v>2.3992476450678959</c:v>
                </c:pt>
                <c:pt idx="21">
                  <c:v>2.4598700345448297</c:v>
                </c:pt>
                <c:pt idx="22">
                  <c:v>2.5881097045921906</c:v>
                </c:pt>
                <c:pt idx="23">
                  <c:v>2.8072829588549526</c:v>
                </c:pt>
                <c:pt idx="24">
                  <c:v>2.9518440414537954</c:v>
                </c:pt>
              </c:numCache>
            </c:numRef>
          </c:val>
          <c:smooth val="1"/>
          <c:extLst>
            <c:ext xmlns:c16="http://schemas.microsoft.com/office/drawing/2014/chart" uri="{C3380CC4-5D6E-409C-BE32-E72D297353CC}">
              <c16:uniqueId val="{00000007-27DF-4DCE-A4B1-4469D156539B}"/>
            </c:ext>
          </c:extLst>
        </c:ser>
        <c:ser>
          <c:idx val="8"/>
          <c:order val="8"/>
          <c:tx>
            <c:strRef>
              <c:f>[Kapitalanalyse.xlsx]Parametere!$B$121</c:f>
              <c:strCache>
                <c:ptCount val="1"/>
                <c:pt idx="0">
                  <c:v>Vestlandet ellers</c:v>
                </c:pt>
              </c:strCache>
            </c:strRef>
          </c:tx>
          <c:spPr>
            <a:ln w="28575" cap="rnd">
              <a:solidFill>
                <a:srgbClr val="FABF8F"/>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[Kapitalanalyse.xlsx]Parametere!$C$121:$AA$121</c:f>
              <c:numCache>
                <c:formatCode>General</c:formatCode>
                <c:ptCount val="25"/>
                <c:pt idx="0">
                  <c:v>0.72879858657243823</c:v>
                </c:pt>
                <c:pt idx="1">
                  <c:v>0.78621908127208484</c:v>
                </c:pt>
                <c:pt idx="2">
                  <c:v>0.88339222614840995</c:v>
                </c:pt>
                <c:pt idx="3">
                  <c:v>0.95141342756183744</c:v>
                </c:pt>
                <c:pt idx="4">
                  <c:v>0.98233215547703179</c:v>
                </c:pt>
                <c:pt idx="5">
                  <c:v>1</c:v>
                </c:pt>
                <c:pt idx="6">
                  <c:v>1.092756183745583</c:v>
                </c:pt>
                <c:pt idx="7">
                  <c:v>1.1731448763250885</c:v>
                </c:pt>
                <c:pt idx="8">
                  <c:v>1.3154067330323487</c:v>
                </c:pt>
                <c:pt idx="9">
                  <c:v>1.4865333142889081</c:v>
                </c:pt>
                <c:pt idx="10">
                  <c:v>1.5092127407205007</c:v>
                </c:pt>
                <c:pt idx="11">
                  <c:v>1.5793127860545129</c:v>
                </c:pt>
                <c:pt idx="12">
                  <c:v>1.6617834276239392</c:v>
                </c:pt>
                <c:pt idx="13">
                  <c:v>1.7834276239388429</c:v>
                </c:pt>
                <c:pt idx="14">
                  <c:v>1.8679600315475047</c:v>
                </c:pt>
                <c:pt idx="15">
                  <c:v>1.9442453749992239</c:v>
                </c:pt>
                <c:pt idx="16">
                  <c:v>1.9792953976662302</c:v>
                </c:pt>
                <c:pt idx="17">
                  <c:v>2.0617660392356565</c:v>
                </c:pt>
                <c:pt idx="18">
                  <c:v>2.13598961664814</c:v>
                </c:pt>
                <c:pt idx="19">
                  <c:v>2.1627925751582038</c:v>
                </c:pt>
                <c:pt idx="20">
                  <c:v>2.1895955336682671</c:v>
                </c:pt>
                <c:pt idx="21">
                  <c:v>2.2122749600998595</c:v>
                </c:pt>
                <c:pt idx="22">
                  <c:v>2.2555720469238083</c:v>
                </c:pt>
                <c:pt idx="23">
                  <c:v>2.4452545225334883</c:v>
                </c:pt>
                <c:pt idx="24">
                  <c:v>2.6349369981431687</c:v>
                </c:pt>
              </c:numCache>
            </c:numRef>
          </c:val>
          <c:smooth val="1"/>
          <c:extLst>
            <c:ext xmlns:c16="http://schemas.microsoft.com/office/drawing/2014/chart" uri="{C3380CC4-5D6E-409C-BE32-E72D297353CC}">
              <c16:uniqueId val="{00000008-27DF-4DCE-A4B1-4469D156539B}"/>
            </c:ext>
          </c:extLst>
        </c:ser>
        <c:ser>
          <c:idx val="9"/>
          <c:order val="9"/>
          <c:tx>
            <c:strRef>
              <c:f>[Kapitalanalyse.xlsx]Parametere!$B$122</c:f>
              <c:strCache>
                <c:ptCount val="1"/>
                <c:pt idx="0">
                  <c:v>Rindal</c:v>
                </c:pt>
              </c:strCache>
            </c:strRef>
          </c:tx>
          <c:spPr>
            <a:ln w="28575" cap="rnd">
              <a:solidFill>
                <a:srgbClr val="FAC2C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[Kapitalanalyse.xlsx]Parametere!$C$122:$AA$122</c:f>
              <c:numCache>
                <c:formatCode>General</c:formatCode>
                <c:ptCount val="25"/>
                <c:pt idx="0">
                  <c:v>0.72879858657243823</c:v>
                </c:pt>
                <c:pt idx="1">
                  <c:v>0.78621908127208495</c:v>
                </c:pt>
                <c:pt idx="2">
                  <c:v>0.88339222614840995</c:v>
                </c:pt>
                <c:pt idx="3">
                  <c:v>0.95141342756183755</c:v>
                </c:pt>
                <c:pt idx="4">
                  <c:v>0.9823321554770319</c:v>
                </c:pt>
                <c:pt idx="5">
                  <c:v>1</c:v>
                </c:pt>
                <c:pt idx="6">
                  <c:v>1.0927561837455833</c:v>
                </c:pt>
                <c:pt idx="7">
                  <c:v>1.1731448763250885</c:v>
                </c:pt>
                <c:pt idx="8">
                  <c:v>1.3154067330323489</c:v>
                </c:pt>
                <c:pt idx="9">
                  <c:v>1.4865333142889083</c:v>
                </c:pt>
                <c:pt idx="10">
                  <c:v>1.5092127407205005</c:v>
                </c:pt>
                <c:pt idx="11">
                  <c:v>1.5793127860545129</c:v>
                </c:pt>
                <c:pt idx="12">
                  <c:v>1.6617834276239389</c:v>
                </c:pt>
                <c:pt idx="13">
                  <c:v>1.7834276239388429</c:v>
                </c:pt>
                <c:pt idx="14">
                  <c:v>1.8679600315475049</c:v>
                </c:pt>
                <c:pt idx="15">
                  <c:v>1.9442453749992241</c:v>
                </c:pt>
                <c:pt idx="16">
                  <c:v>1.9792953976662302</c:v>
                </c:pt>
                <c:pt idx="17">
                  <c:v>2.0617660392356565</c:v>
                </c:pt>
                <c:pt idx="18">
                  <c:v>2.13598961664814</c:v>
                </c:pt>
                <c:pt idx="19">
                  <c:v>2.1627925751582038</c:v>
                </c:pt>
                <c:pt idx="20">
                  <c:v>2.1895955336682675</c:v>
                </c:pt>
                <c:pt idx="21">
                  <c:v>2.2016705090377617</c:v>
                </c:pt>
                <c:pt idx="22">
                  <c:v>2.2882078325191362</c:v>
                </c:pt>
                <c:pt idx="23">
                  <c:v>2.5055573891700305</c:v>
                </c:pt>
                <c:pt idx="24">
                  <c:v>2.646432101814129</c:v>
                </c:pt>
              </c:numCache>
            </c:numRef>
          </c:val>
          <c:smooth val="1"/>
          <c:extLst>
            <c:ext xmlns:c16="http://schemas.microsoft.com/office/drawing/2014/chart" uri="{C3380CC4-5D6E-409C-BE32-E72D297353CC}">
              <c16:uniqueId val="{00000009-27DF-4DCE-A4B1-4469D156539B}"/>
            </c:ext>
          </c:extLst>
        </c:ser>
        <c:ser>
          <c:idx val="10"/>
          <c:order val="10"/>
          <c:tx>
            <c:strRef>
              <c:f>[Kapitalanalyse.xlsx]Parametere!$B$123</c:f>
              <c:strCache>
                <c:ptCount val="1"/>
                <c:pt idx="0">
                  <c:v>Trondheim</c:v>
                </c:pt>
              </c:strCache>
            </c:strRef>
          </c:tx>
          <c:spPr>
            <a:ln w="28575" cap="rnd">
              <a:solidFill>
                <a:srgbClr val="F48594"/>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[Kapitalanalyse.xlsx]Parametere!$C$123:$AA$123</c:f>
              <c:numCache>
                <c:formatCode>General</c:formatCode>
                <c:ptCount val="25"/>
                <c:pt idx="0">
                  <c:v>0.61053471667996806</c:v>
                </c:pt>
                <c:pt idx="1">
                  <c:v>0.6823623304070231</c:v>
                </c:pt>
                <c:pt idx="2">
                  <c:v>0.79808459696727851</c:v>
                </c:pt>
                <c:pt idx="3">
                  <c:v>0.85873902633679167</c:v>
                </c:pt>
                <c:pt idx="4">
                  <c:v>0.94014365522745402</c:v>
                </c:pt>
                <c:pt idx="5">
                  <c:v>1</c:v>
                </c:pt>
                <c:pt idx="6">
                  <c:v>1.1508379888268154</c:v>
                </c:pt>
                <c:pt idx="7">
                  <c:v>1.2777334397446127</c:v>
                </c:pt>
                <c:pt idx="8">
                  <c:v>1.4230902714219817</c:v>
                </c:pt>
                <c:pt idx="9">
                  <c:v>1.5239022675853182</c:v>
                </c:pt>
                <c:pt idx="10">
                  <c:v>1.474668502017177</c:v>
                </c:pt>
                <c:pt idx="11">
                  <c:v>1.5074910123959375</c:v>
                </c:pt>
                <c:pt idx="12">
                  <c:v>1.6880148194791216</c:v>
                </c:pt>
                <c:pt idx="13">
                  <c:v>1.873227556616414</c:v>
                </c:pt>
                <c:pt idx="14">
                  <c:v>2.0303067134290544</c:v>
                </c:pt>
                <c:pt idx="15">
                  <c:v>2.1498744298088259</c:v>
                </c:pt>
                <c:pt idx="16">
                  <c:v>2.2178639155934015</c:v>
                </c:pt>
                <c:pt idx="17">
                  <c:v>2.3444650270543357</c:v>
                </c:pt>
                <c:pt idx="18">
                  <c:v>2.5062331139210849</c:v>
                </c:pt>
                <c:pt idx="19">
                  <c:v>2.5906338548950409</c:v>
                </c:pt>
                <c:pt idx="20">
                  <c:v>2.6023561800303128</c:v>
                </c:pt>
                <c:pt idx="21">
                  <c:v>2.6117340401385301</c:v>
                </c:pt>
                <c:pt idx="22">
                  <c:v>2.7078571062477574</c:v>
                </c:pt>
                <c:pt idx="23">
                  <c:v>2.9985707696024955</c:v>
                </c:pt>
                <c:pt idx="24">
                  <c:v>3.1955058318750598</c:v>
                </c:pt>
              </c:numCache>
            </c:numRef>
          </c:val>
          <c:smooth val="1"/>
          <c:extLst>
            <c:ext xmlns:c16="http://schemas.microsoft.com/office/drawing/2014/chart" uri="{C3380CC4-5D6E-409C-BE32-E72D297353CC}">
              <c16:uniqueId val="{0000000A-27DF-4DCE-A4B1-4469D156539B}"/>
            </c:ext>
          </c:extLst>
        </c:ser>
        <c:ser>
          <c:idx val="11"/>
          <c:order val="11"/>
          <c:tx>
            <c:strRef>
              <c:f>[Kapitalanalyse.xlsx]Parametere!$B$124</c:f>
              <c:strCache>
                <c:ptCount val="1"/>
                <c:pt idx="0">
                  <c:v>Trøndelag ellers</c:v>
                </c:pt>
              </c:strCache>
            </c:strRef>
          </c:tx>
          <c:spPr>
            <a:ln w="28575" cap="rnd">
              <a:solidFill>
                <a:srgbClr val="EF485F"/>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[Kapitalanalyse.xlsx]Parametere!$C$124:$AA$124</c:f>
              <c:numCache>
                <c:formatCode>General</c:formatCode>
                <c:ptCount val="25"/>
                <c:pt idx="0">
                  <c:v>0.72879858657243823</c:v>
                </c:pt>
                <c:pt idx="1">
                  <c:v>0.78621908127208484</c:v>
                </c:pt>
                <c:pt idx="2">
                  <c:v>0.88339222614840995</c:v>
                </c:pt>
                <c:pt idx="3">
                  <c:v>0.95141342756183733</c:v>
                </c:pt>
                <c:pt idx="4">
                  <c:v>0.98233215547703168</c:v>
                </c:pt>
                <c:pt idx="5">
                  <c:v>1</c:v>
                </c:pt>
                <c:pt idx="6">
                  <c:v>1.092756183745583</c:v>
                </c:pt>
                <c:pt idx="7">
                  <c:v>1.1731448763250882</c:v>
                </c:pt>
                <c:pt idx="8">
                  <c:v>1.3288121772220711</c:v>
                </c:pt>
                <c:pt idx="9">
                  <c:v>1.4709431910845339</c:v>
                </c:pt>
                <c:pt idx="10">
                  <c:v>1.516064147866268</c:v>
                </c:pt>
                <c:pt idx="11">
                  <c:v>1.5183201957053545</c:v>
                </c:pt>
                <c:pt idx="12">
                  <c:v>1.6536830660505573</c:v>
                </c:pt>
                <c:pt idx="13">
                  <c:v>1.8228866539820601</c:v>
                </c:pt>
                <c:pt idx="14">
                  <c:v>1.9785539548790432</c:v>
                </c:pt>
                <c:pt idx="15">
                  <c:v>2.0733079641206849</c:v>
                </c:pt>
                <c:pt idx="16">
                  <c:v>2.1477575428105466</c:v>
                </c:pt>
                <c:pt idx="17">
                  <c:v>2.2560478390867083</c:v>
                </c:pt>
                <c:pt idx="18">
                  <c:v>2.3756183745583037</c:v>
                </c:pt>
                <c:pt idx="19">
                  <c:v>2.452324001087252</c:v>
                </c:pt>
                <c:pt idx="20">
                  <c:v>2.4545800489263385</c:v>
                </c:pt>
                <c:pt idx="21">
                  <c:v>2.4681163359608589</c:v>
                </c:pt>
                <c:pt idx="22">
                  <c:v>2.5651263930415875</c:v>
                </c:pt>
                <c:pt idx="23">
                  <c:v>2.8087795596629519</c:v>
                </c:pt>
                <c:pt idx="24">
                  <c:v>2.9667029083990215</c:v>
                </c:pt>
              </c:numCache>
            </c:numRef>
          </c:val>
          <c:smooth val="1"/>
          <c:extLst>
            <c:ext xmlns:c16="http://schemas.microsoft.com/office/drawing/2014/chart" uri="{C3380CC4-5D6E-409C-BE32-E72D297353CC}">
              <c16:uniqueId val="{0000000B-27DF-4DCE-A4B1-4469D156539B}"/>
            </c:ext>
          </c:extLst>
        </c:ser>
        <c:ser>
          <c:idx val="12"/>
          <c:order val="12"/>
          <c:tx>
            <c:strRef>
              <c:f>[Kapitalanalyse.xlsx]Parametere!$B$125</c:f>
              <c:strCache>
                <c:ptCount val="1"/>
                <c:pt idx="0">
                  <c:v>Nord-Norge</c:v>
                </c:pt>
              </c:strCache>
            </c:strRef>
          </c:tx>
          <c:spPr>
            <a:ln w="28575" cap="rnd">
              <a:solidFill>
                <a:srgbClr val="A60E24"/>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[Kapitalanalyse.xlsx]Parametere!$C$125:$AA$125</c:f>
              <c:numCache>
                <c:formatCode>General</c:formatCode>
                <c:ptCount val="25"/>
                <c:pt idx="0">
                  <c:v>0.72879858657243812</c:v>
                </c:pt>
                <c:pt idx="1">
                  <c:v>0.78621908127208484</c:v>
                </c:pt>
                <c:pt idx="2">
                  <c:v>0.88339222614840984</c:v>
                </c:pt>
                <c:pt idx="3">
                  <c:v>0.95141342756183744</c:v>
                </c:pt>
                <c:pt idx="4">
                  <c:v>0.98233215547703201</c:v>
                </c:pt>
                <c:pt idx="5">
                  <c:v>1</c:v>
                </c:pt>
                <c:pt idx="6">
                  <c:v>1.092756183745583</c:v>
                </c:pt>
                <c:pt idx="7">
                  <c:v>1.1731448763250885</c:v>
                </c:pt>
                <c:pt idx="8">
                  <c:v>1.3309861869579185</c:v>
                </c:pt>
                <c:pt idx="9">
                  <c:v>1.5144233858014777</c:v>
                </c:pt>
                <c:pt idx="10">
                  <c:v>1.4888274975907487</c:v>
                </c:pt>
                <c:pt idx="11">
                  <c:v>1.4973594603276583</c:v>
                </c:pt>
                <c:pt idx="12">
                  <c:v>1.6253389013813044</c:v>
                </c:pt>
                <c:pt idx="13">
                  <c:v>1.7021265660134919</c:v>
                </c:pt>
                <c:pt idx="14">
                  <c:v>1.8386379698040478</c:v>
                </c:pt>
                <c:pt idx="15">
                  <c:v>1.9431545133311918</c:v>
                </c:pt>
                <c:pt idx="16">
                  <c:v>2.0391390941214262</c:v>
                </c:pt>
                <c:pt idx="17">
                  <c:v>2.1329906842274333</c:v>
                </c:pt>
                <c:pt idx="18">
                  <c:v>2.3100289110183105</c:v>
                </c:pt>
                <c:pt idx="19">
                  <c:v>2.4081464824927727</c:v>
                </c:pt>
                <c:pt idx="20">
                  <c:v>2.4550722775457756</c:v>
                </c:pt>
                <c:pt idx="21">
                  <c:v>2.531859942177964</c:v>
                </c:pt>
                <c:pt idx="22">
                  <c:v>2.6086476068101514</c:v>
                </c:pt>
                <c:pt idx="23">
                  <c:v>2.8688724702858983</c:v>
                </c:pt>
                <c:pt idx="24">
                  <c:v>3.0395117250240928</c:v>
                </c:pt>
              </c:numCache>
            </c:numRef>
          </c:val>
          <c:smooth val="1"/>
          <c:extLst>
            <c:ext xmlns:c16="http://schemas.microsoft.com/office/drawing/2014/chart" uri="{C3380CC4-5D6E-409C-BE32-E72D297353CC}">
              <c16:uniqueId val="{0000000C-27DF-4DCE-A4B1-4469D156539B}"/>
            </c:ext>
          </c:extLst>
        </c:ser>
        <c:dLbls>
          <c:showLegendKey val="0"/>
          <c:showVal val="0"/>
          <c:showCatName val="0"/>
          <c:showSerName val="0"/>
          <c:showPercent val="0"/>
          <c:showBubbleSize val="0"/>
        </c:dLbls>
        <c:smooth val="0"/>
        <c:axId val="283901103"/>
        <c:axId val="283899183"/>
      </c:lineChart>
      <c:catAx>
        <c:axId val="28390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899183"/>
        <c:crosses val="autoZero"/>
        <c:auto val="1"/>
        <c:lblAlgn val="ctr"/>
        <c:lblOffset val="100"/>
        <c:noMultiLvlLbl val="0"/>
      </c:catAx>
      <c:valAx>
        <c:axId val="283899183"/>
        <c:scaling>
          <c:orientation val="minMax"/>
          <c:max val="3.7"/>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r>
                  <a:rPr lang="nb-NO" sz="1000" b="1" i="0" u="none" strike="noStrike" kern="1200" baseline="0">
                    <a:solidFill>
                      <a:srgbClr val="000000"/>
                    </a:solidFill>
                  </a:rPr>
                  <a:t>Indeksert utvikling (baseår 2003)</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901103"/>
        <c:crosses val="autoZero"/>
        <c:crossBetween val="midCat"/>
      </c:valAx>
      <c:spPr>
        <a:noFill/>
        <a:ln>
          <a:noFill/>
        </a:ln>
        <a:effectLst/>
      </c:spPr>
    </c:plotArea>
    <c:legend>
      <c:legendPos val="r"/>
      <c:layout>
        <c:manualLayout>
          <c:xMode val="edge"/>
          <c:yMode val="edge"/>
          <c:x val="0.70670749440715885"/>
          <c:y val="0.19782948717948717"/>
          <c:w val="0.28855723340790457"/>
          <c:h val="0.732697435897435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5A4B8C488A246EBBE0AB332EA6284DE"/>
        <w:category>
          <w:name w:val="Generelt"/>
          <w:gallery w:val="placeholder"/>
        </w:category>
        <w:types>
          <w:type w:val="bbPlcHdr"/>
        </w:types>
        <w:behaviors>
          <w:behavior w:val="content"/>
        </w:behaviors>
        <w:guid w:val="{AE597A80-FB54-4A83-82E0-A3CDCD591F3A}"/>
      </w:docPartPr>
      <w:docPartBody>
        <w:p w:rsidR="009325F5" w:rsidRDefault="00416402">
          <w:pPr>
            <w:pStyle w:val="85A4B8C488A246EBBE0AB332EA6284DE"/>
          </w:pPr>
          <w:r w:rsidRPr="003C2FC8">
            <w:rPr>
              <w:rStyle w:val="Plassholdertekst"/>
            </w:rPr>
            <w:t>Click or tap here to enter text.</w:t>
          </w:r>
        </w:p>
      </w:docPartBody>
    </w:docPart>
    <w:docPart>
      <w:docPartPr>
        <w:name w:val="39AEE6E99E564F87BAD2B9979CFFD36D"/>
        <w:category>
          <w:name w:val="Generelt"/>
          <w:gallery w:val="placeholder"/>
        </w:category>
        <w:types>
          <w:type w:val="bbPlcHdr"/>
        </w:types>
        <w:behaviors>
          <w:behavior w:val="content"/>
        </w:behaviors>
        <w:guid w:val="{AC37E238-C016-42AF-A58A-4D47FE256B14}"/>
      </w:docPartPr>
      <w:docPartBody>
        <w:p w:rsidR="009325F5" w:rsidRDefault="00416402">
          <w:pPr>
            <w:pStyle w:val="39AEE6E99E564F87BAD2B9979CFFD36D"/>
          </w:pPr>
          <w:r>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ne)">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F5"/>
    <w:rsid w:val="000254C2"/>
    <w:rsid w:val="00030E57"/>
    <w:rsid w:val="000548B4"/>
    <w:rsid w:val="00054C93"/>
    <w:rsid w:val="000561FE"/>
    <w:rsid w:val="00066C8D"/>
    <w:rsid w:val="00067124"/>
    <w:rsid w:val="0007223D"/>
    <w:rsid w:val="000A46E0"/>
    <w:rsid w:val="000C39EF"/>
    <w:rsid w:val="000C5EF9"/>
    <w:rsid w:val="000C5F67"/>
    <w:rsid w:val="0010284E"/>
    <w:rsid w:val="00106518"/>
    <w:rsid w:val="00113017"/>
    <w:rsid w:val="00130E0B"/>
    <w:rsid w:val="00141457"/>
    <w:rsid w:val="00145D03"/>
    <w:rsid w:val="00196990"/>
    <w:rsid w:val="001E3220"/>
    <w:rsid w:val="00214D9C"/>
    <w:rsid w:val="00251DE2"/>
    <w:rsid w:val="00254604"/>
    <w:rsid w:val="00283ECC"/>
    <w:rsid w:val="00286DBC"/>
    <w:rsid w:val="002A18E3"/>
    <w:rsid w:val="002B6FD2"/>
    <w:rsid w:val="002C4A94"/>
    <w:rsid w:val="002E393D"/>
    <w:rsid w:val="00300A5D"/>
    <w:rsid w:val="00326378"/>
    <w:rsid w:val="00330889"/>
    <w:rsid w:val="00332FC5"/>
    <w:rsid w:val="00342398"/>
    <w:rsid w:val="00345C5E"/>
    <w:rsid w:val="003A4EAF"/>
    <w:rsid w:val="003A6869"/>
    <w:rsid w:val="003C63FB"/>
    <w:rsid w:val="003F4176"/>
    <w:rsid w:val="004016D9"/>
    <w:rsid w:val="004104E5"/>
    <w:rsid w:val="00416402"/>
    <w:rsid w:val="00423A62"/>
    <w:rsid w:val="00441549"/>
    <w:rsid w:val="004441F3"/>
    <w:rsid w:val="00445270"/>
    <w:rsid w:val="004610C4"/>
    <w:rsid w:val="0047740F"/>
    <w:rsid w:val="004B53C3"/>
    <w:rsid w:val="004F38DA"/>
    <w:rsid w:val="005355AC"/>
    <w:rsid w:val="00537CD2"/>
    <w:rsid w:val="005554A0"/>
    <w:rsid w:val="00572A99"/>
    <w:rsid w:val="00584132"/>
    <w:rsid w:val="00586BE5"/>
    <w:rsid w:val="00587641"/>
    <w:rsid w:val="005979C3"/>
    <w:rsid w:val="005C7078"/>
    <w:rsid w:val="005C7F4F"/>
    <w:rsid w:val="005E08F1"/>
    <w:rsid w:val="005E0EB1"/>
    <w:rsid w:val="005F54DA"/>
    <w:rsid w:val="005F5526"/>
    <w:rsid w:val="0060600F"/>
    <w:rsid w:val="00625B6F"/>
    <w:rsid w:val="00627A8A"/>
    <w:rsid w:val="00627EC0"/>
    <w:rsid w:val="006345CB"/>
    <w:rsid w:val="0063754C"/>
    <w:rsid w:val="006602DB"/>
    <w:rsid w:val="00666E7D"/>
    <w:rsid w:val="0067202E"/>
    <w:rsid w:val="00690870"/>
    <w:rsid w:val="006A286D"/>
    <w:rsid w:val="006B7815"/>
    <w:rsid w:val="006D53CD"/>
    <w:rsid w:val="006D76A6"/>
    <w:rsid w:val="006F1920"/>
    <w:rsid w:val="006F2DB1"/>
    <w:rsid w:val="006F7E9E"/>
    <w:rsid w:val="007035DE"/>
    <w:rsid w:val="007057FA"/>
    <w:rsid w:val="00730066"/>
    <w:rsid w:val="00772BC0"/>
    <w:rsid w:val="00785389"/>
    <w:rsid w:val="007B1BAC"/>
    <w:rsid w:val="007E0410"/>
    <w:rsid w:val="007F08C9"/>
    <w:rsid w:val="008121AB"/>
    <w:rsid w:val="008535B5"/>
    <w:rsid w:val="00860443"/>
    <w:rsid w:val="00866018"/>
    <w:rsid w:val="00871A75"/>
    <w:rsid w:val="008A70BB"/>
    <w:rsid w:val="008B1B3B"/>
    <w:rsid w:val="008D155C"/>
    <w:rsid w:val="008D752D"/>
    <w:rsid w:val="008E402D"/>
    <w:rsid w:val="008F0AAA"/>
    <w:rsid w:val="008F582E"/>
    <w:rsid w:val="009047BA"/>
    <w:rsid w:val="009104D1"/>
    <w:rsid w:val="00914582"/>
    <w:rsid w:val="009243E5"/>
    <w:rsid w:val="00925FBF"/>
    <w:rsid w:val="009325F5"/>
    <w:rsid w:val="0093354E"/>
    <w:rsid w:val="00947349"/>
    <w:rsid w:val="009606F4"/>
    <w:rsid w:val="009740F7"/>
    <w:rsid w:val="00976A4B"/>
    <w:rsid w:val="009A2B79"/>
    <w:rsid w:val="009B22D2"/>
    <w:rsid w:val="009E194D"/>
    <w:rsid w:val="009E4E6E"/>
    <w:rsid w:val="009E72FC"/>
    <w:rsid w:val="009F003B"/>
    <w:rsid w:val="00A0556D"/>
    <w:rsid w:val="00A1139F"/>
    <w:rsid w:val="00A119A9"/>
    <w:rsid w:val="00A51C9C"/>
    <w:rsid w:val="00A5347B"/>
    <w:rsid w:val="00A53D1E"/>
    <w:rsid w:val="00A54344"/>
    <w:rsid w:val="00A56E5D"/>
    <w:rsid w:val="00A67181"/>
    <w:rsid w:val="00A82683"/>
    <w:rsid w:val="00A82DFC"/>
    <w:rsid w:val="00A84800"/>
    <w:rsid w:val="00AA08A4"/>
    <w:rsid w:val="00AB4607"/>
    <w:rsid w:val="00AB755A"/>
    <w:rsid w:val="00AC5251"/>
    <w:rsid w:val="00AD71D4"/>
    <w:rsid w:val="00B161E1"/>
    <w:rsid w:val="00B21E90"/>
    <w:rsid w:val="00B4216F"/>
    <w:rsid w:val="00B47DD7"/>
    <w:rsid w:val="00B52311"/>
    <w:rsid w:val="00B74385"/>
    <w:rsid w:val="00B84489"/>
    <w:rsid w:val="00BA6893"/>
    <w:rsid w:val="00BE5A15"/>
    <w:rsid w:val="00BF2ECC"/>
    <w:rsid w:val="00C0200B"/>
    <w:rsid w:val="00C1234D"/>
    <w:rsid w:val="00C15432"/>
    <w:rsid w:val="00C37C95"/>
    <w:rsid w:val="00C50802"/>
    <w:rsid w:val="00C50ADB"/>
    <w:rsid w:val="00C54D15"/>
    <w:rsid w:val="00C56C63"/>
    <w:rsid w:val="00C72515"/>
    <w:rsid w:val="00C81EC4"/>
    <w:rsid w:val="00CB086E"/>
    <w:rsid w:val="00CB1914"/>
    <w:rsid w:val="00CB20D2"/>
    <w:rsid w:val="00CB5F9A"/>
    <w:rsid w:val="00CD470F"/>
    <w:rsid w:val="00CE7D25"/>
    <w:rsid w:val="00CF2F80"/>
    <w:rsid w:val="00CF7A1D"/>
    <w:rsid w:val="00D0398E"/>
    <w:rsid w:val="00D04C6E"/>
    <w:rsid w:val="00D05F7D"/>
    <w:rsid w:val="00D16E81"/>
    <w:rsid w:val="00D40758"/>
    <w:rsid w:val="00D4368F"/>
    <w:rsid w:val="00D5797A"/>
    <w:rsid w:val="00D600FC"/>
    <w:rsid w:val="00D63487"/>
    <w:rsid w:val="00D83DF6"/>
    <w:rsid w:val="00D949B1"/>
    <w:rsid w:val="00DA4762"/>
    <w:rsid w:val="00DF1412"/>
    <w:rsid w:val="00DF54C3"/>
    <w:rsid w:val="00DF69D4"/>
    <w:rsid w:val="00E06F09"/>
    <w:rsid w:val="00E30835"/>
    <w:rsid w:val="00E44710"/>
    <w:rsid w:val="00E5264E"/>
    <w:rsid w:val="00E55E32"/>
    <w:rsid w:val="00E7040D"/>
    <w:rsid w:val="00E72681"/>
    <w:rsid w:val="00E74D7C"/>
    <w:rsid w:val="00E81BC9"/>
    <w:rsid w:val="00E8346C"/>
    <w:rsid w:val="00E8650B"/>
    <w:rsid w:val="00EB40EC"/>
    <w:rsid w:val="00EB65D4"/>
    <w:rsid w:val="00EC66D4"/>
    <w:rsid w:val="00EC7EB6"/>
    <w:rsid w:val="00ED18D5"/>
    <w:rsid w:val="00EE7A25"/>
    <w:rsid w:val="00EF2A80"/>
    <w:rsid w:val="00EF2AAA"/>
    <w:rsid w:val="00F021C5"/>
    <w:rsid w:val="00F05607"/>
    <w:rsid w:val="00F27F15"/>
    <w:rsid w:val="00F7295D"/>
    <w:rsid w:val="00F80C9F"/>
    <w:rsid w:val="00F9667F"/>
    <w:rsid w:val="00F97593"/>
    <w:rsid w:val="00FA1CA0"/>
    <w:rsid w:val="00FA38BB"/>
    <w:rsid w:val="00FC622C"/>
    <w:rsid w:val="00FE364D"/>
    <w:rsid w:val="00FF4A4E"/>
    <w:rsid w:val="00FF59D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3354E"/>
    <w:rPr>
      <w:color w:val="808080"/>
    </w:rPr>
  </w:style>
  <w:style w:type="paragraph" w:customStyle="1" w:styleId="85A4B8C488A246EBBE0AB332EA6284DE">
    <w:name w:val="85A4B8C488A246EBBE0AB332EA6284DE"/>
  </w:style>
  <w:style w:type="paragraph" w:customStyle="1" w:styleId="39AEE6E99E564F87BAD2B9979CFFD36D">
    <w:name w:val="39AEE6E99E564F87BAD2B9979CFFD3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VISTA ANALYSE">
      <a:dk1>
        <a:srgbClr val="1C1C1C"/>
      </a:dk1>
      <a:lt1>
        <a:sysClr val="window" lastClr="FFFFFF"/>
      </a:lt1>
      <a:dk2>
        <a:srgbClr val="555555"/>
      </a:dk2>
      <a:lt2>
        <a:srgbClr val="D4D4D4"/>
      </a:lt2>
      <a:accent1>
        <a:srgbClr val="162F5C"/>
      </a:accent1>
      <a:accent2>
        <a:srgbClr val="3672B0"/>
      </a:accent2>
      <a:accent3>
        <a:srgbClr val="23A5AF"/>
      </a:accent3>
      <a:accent4>
        <a:srgbClr val="F79646"/>
      </a:accent4>
      <a:accent5>
        <a:srgbClr val="A60E24"/>
      </a:accent5>
      <a:accent6>
        <a:srgbClr val="468C5C"/>
      </a:accent6>
      <a:hlink>
        <a:srgbClr val="23A5AF"/>
      </a:hlink>
      <a:folHlink>
        <a:srgbClr val="A60E24"/>
      </a:folHlink>
    </a:clrScheme>
    <a:fontScheme name="Vist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be4d64-33dd-4f78-9da3-d034b995d2dd" xsi:nil="true"/>
    <lcf76f155ced4ddcb4097134ff3c332f xmlns="5001044b-4e24-41fc-88fe-eec1998587f5">
      <Terms xmlns="http://schemas.microsoft.com/office/infopath/2007/PartnerControls"/>
    </lcf76f155ced4ddcb4097134ff3c332f>
    <Kommentar xmlns="5001044b-4e24-41fc-88fe-eec1998587f5" xsi:nil="true"/>
    <orbl xmlns="5001044b-4e24-41fc-88fe-eec1998587f5" xsi:nil="true"/>
    <Dato xmlns="5001044b-4e24-41fc-88fe-eec1998587f5" xsi:nil="true"/>
    <MBH xmlns="5001044b-4e24-41fc-88fe-eec1998587f5" xsi:nil="true"/>
    <SharedWithUsers xmlns="f1be4d64-33dd-4f78-9da3-d034b995d2dd">
      <UserInfo>
        <DisplayName>Rasmus Bøgh Holmen</DisplayName>
        <AccountId>4356</AccountId>
        <AccountType/>
      </UserInfo>
      <UserInfo>
        <DisplayName>Åsmund Sunde Valseth</DisplayName>
        <AccountId>3235</AccountId>
        <AccountType/>
      </UserInfo>
      <UserInfo>
        <DisplayName>Haakon Vennemo</DisplayName>
        <AccountId>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32491D725CA1544B468E7097AEF6E38" ma:contentTypeVersion="26" ma:contentTypeDescription="Opprett et nytt dokument." ma:contentTypeScope="" ma:versionID="41bdcbb4cf47ade1c6dbd86d05644257">
  <xsd:schema xmlns:xsd="http://www.w3.org/2001/XMLSchema" xmlns:xs="http://www.w3.org/2001/XMLSchema" xmlns:p="http://schemas.microsoft.com/office/2006/metadata/properties" xmlns:ns2="5001044b-4e24-41fc-88fe-eec1998587f5" xmlns:ns3="f1be4d64-33dd-4f78-9da3-d034b995d2dd" targetNamespace="http://schemas.microsoft.com/office/2006/metadata/properties" ma:root="true" ma:fieldsID="f941feb3af5554cfcf231efc9c0ce966" ns2:_="" ns3:_="">
    <xsd:import namespace="5001044b-4e24-41fc-88fe-eec1998587f5"/>
    <xsd:import namespace="f1be4d64-33dd-4f78-9da3-d034b995d2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BH" minOccurs="0"/>
                <xsd:element ref="ns2:orbl"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Dato" minOccurs="0"/>
                <xsd:element ref="ns2:MediaServiceLocation" minOccurs="0"/>
                <xsd:element ref="ns2:MediaLengthInSeconds" minOccurs="0"/>
                <xsd:element ref="ns2:Kommenta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1044b-4e24-41fc-88fe-eec199858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BH" ma:index="12" nillable="true" ma:displayName="MBH" ma:format="Dropdown" ma:internalName="MBH">
      <xsd:simpleType>
        <xsd:restriction base="dms:Text">
          <xsd:maxLength value="255"/>
        </xsd:restriction>
      </xsd:simpleType>
    </xsd:element>
    <xsd:element name="orbl" ma:index="13" nillable="true" ma:displayName="Text" ma:internalName="orbl">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Dato" ma:index="21" nillable="true" ma:displayName="Dato" ma:format="DateOnly" ma:internalName="Dato">
      <xsd:simpleType>
        <xsd:restriction base="dms:DateTime"/>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Kommentar" ma:index="24" nillable="true" ma:displayName="Kommentar" ma:description="Moses Mushime påpekte at innføringen av denne acten har begrenset civic space betraktelig. Seksjon 44 trekker han frem spesielt, regjeringen tolker denne fritt. Kan være indirekte indikator på demokratisk innflytelse" ma:format="Dropdown" ma:internalName="Kommentar">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Bildemerkelapper" ma:readOnly="false" ma:fieldId="{5cf76f15-5ced-4ddc-b409-7134ff3c332f}" ma:taxonomyMulti="true" ma:sspId="2cdd8a37-aee0-4812-96f5-a50e34100f42"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be4d64-33dd-4f78-9da3-d034b995d2d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7" nillable="true" ma:displayName="Taxonomy Catch All Column" ma:hidden="true" ma:list="{f7dc800e-992e-4278-ab5c-7f314cfec82e}" ma:internalName="TaxCatchAll" ma:showField="CatchAllData" ma:web="f1be4d64-33dd-4f78-9da3-d034b995d2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holdstype"/>
        <xsd:element ref="dc:title" minOccurs="0" maxOccurs="1" ma:index="3"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b:Source>
    <b:Tag>NOU22</b:Tag>
    <b:SourceType>Report</b:SourceType>
    <b:Guid>{84DCE8A3-D95B-404B-BF9C-D229B898BFFC}</b:Guid>
    <b:Author>
      <b:Author>
        <b:Corporate>NOU 2022: 10 </b:Corporate>
      </b:Author>
    </b:Author>
    <b:Title>Inntektssystemet for kommunene</b:Title>
    <b:Publisher>Kommunal- og distriktsdepartementet</b:Publisher>
    <b:Year>2022</b:Year>
    <b:RefOrder>1</b:RefOrder>
  </b:Source>
  <b:Source>
    <b:Tag>Tho21</b:Tag>
    <b:SourceType>Report</b:SourceType>
    <b:Guid>{149A20B8-7EAE-2241-ACC1-B09297F4C551}</b:Guid>
    <b:Title>Kapitalkostnader i kommunene. Egnet til å ta inn i beregningsgrunnlaget for inntektssystemet?</b:Title>
    <b:Publisher>TF-notat 15/2021. Telemarksforskning.</b:Publisher>
    <b:Year>2021</b:Year>
    <b:Author>
      <b:Author>
        <b:NameList>
          <b:Person>
            <b:Last>Thorstensen</b:Last>
            <b:First>Audun</b:First>
          </b:Person>
          <b:Person>
            <b:Last>Lie</b:Last>
            <b:First>Kjetil</b:First>
          </b:Person>
          <b:Person>
            <b:Last>Lunder</b:Last>
            <b:Middle>Erik</b:Middle>
            <b:First>Trond</b:First>
          </b:Person>
        </b:NameList>
      </b:Author>
    </b:Author>
    <b:RefOrder>6</b:RefOrder>
  </b:Source>
  <b:Source>
    <b:Tag>Kom</b:Tag>
    <b:SourceType>Report</b:SourceType>
    <b:Guid>{F65BD02B-3B34-E34B-B75B-44260217C044}</b:Guid>
    <b:Title>H-3/14 Retningslinjer for beregning av selvkost for kommunale betalingstjenester</b:Title>
    <b:Author>
      <b:Author>
        <b:Corporate>Kommunal- og distriktsdepartementet</b:Corporate>
      </b:Author>
    </b:Author>
    <b:Year>2014</b:Year>
    <b:RefOrder>3</b:RefOrder>
  </b:Source>
  <b:Source>
    <b:Tag>Håk</b:Tag>
    <b:SourceType>Report</b:SourceType>
    <b:Guid>{D4E8BC3B-CBAA-5644-9928-78A77105414E}</b:Guid>
    <b:Title>Befolkningsendringer og kommunale investeringer. Kompenseres kapitalkostnader som følge av befolkningsendringer?</b:Title>
    <b:Publisher>TF-rapport nr. 399. Telemarksforskning</b:Publisher>
    <b:Author>
      <b:Author>
        <b:NameList>
          <b:Person>
            <b:Last>Håkonsen</b:Last>
            <b:First>Lars</b:First>
          </b:Person>
          <b:Person>
            <b:Last>Kallager</b:Last>
            <b:Middle>Roko</b:Middle>
            <b:First>Per Kristian</b:First>
          </b:Person>
          <b:Person>
            <b:Last>Lunder</b:Last>
            <b:Middle>Erik</b:Middle>
            <b:First>Trond</b:First>
          </b:Person>
        </b:NameList>
      </b:Author>
    </b:Author>
    <b:Year>2017</b:Year>
    <b:RefOrder>4</b:RefOrder>
  </b:Source>
  <b:Source>
    <b:Tag>Lan02</b:Tag>
    <b:SourceType>Report</b:SourceType>
    <b:Guid>{00AC8719-1E3C-ED4C-AD42-42FAACEBF269}</b:Guid>
    <b:Title>Kapitalkostnader i kommunene</b:Title>
    <b:Publisher>SSB-rapport 2002/34. Statistisk sentralbyrå</b:Publisher>
    <b:Year>2002</b:Year>
    <b:Author>
      <b:Author>
        <b:NameList>
          <b:Person>
            <b:Last>Langørgen</b:Last>
            <b:First>Audun</b:First>
          </b:Person>
          <b:Person>
            <b:Last>Rønningen</b:Last>
            <b:First>Dag</b:First>
          </b:Person>
        </b:NameList>
      </b:Author>
    </b:Author>
    <b:RefOrder>5</b:RefOrder>
  </b:Source>
  <b:Source>
    <b:Tag>Lun22</b:Tag>
    <b:SourceType>Report</b:SourceType>
    <b:Guid>{89A75F56-582D-EA49-BC4A-6B9598CB4785}</b:Guid>
    <b:Title>Forslag til nytt inntektssystem for fylkeskommunene fra 2024</b:Title>
    <b:Publisher>Ekspertutvalg oppnevnt av Kommunal- og distriktsdepartementet</b:Publisher>
    <b:Year>2022</b:Year>
    <b:Author>
      <b:Author>
        <b:NameList>
          <b:Person>
            <b:Last>Lunder</b:Last>
            <b:Middle>Erik</b:Middle>
            <b:First>Trond</b:First>
          </b:Person>
          <b:Person>
            <b:Last>Hjelle</b:Last>
            <b:First>Grethe</b:First>
          </b:Person>
          <b:Person>
            <b:Last>Moum</b:Last>
            <b:First>Knut</b:First>
          </b:Person>
          <b:Person>
            <b:Last>Nyhus</b:Last>
            <b:Middle>Henning</b:Middle>
            <b:First>Ole</b:First>
          </b:Person>
          <b:Person>
            <b:Last>Olsen</b:Last>
            <b:Middle>Johanne</b:Middle>
            <b:First>Silvia</b:First>
          </b:Person>
          <b:Person>
            <b:Last>Salater</b:Last>
            <b:First>Sveinung</b:First>
          </b:Person>
          <b:Person>
            <b:Last>Seime</b:Last>
            <b:Middle>Randi</b:Middle>
            <b:First>Gunn</b:First>
          </b:Person>
          <b:Person>
            <b:Last>Søyseth</b:Last>
            <b:Middle>Stian</b:Middle>
            <b:First>Ole</b:First>
          </b:Person>
        </b:NameList>
      </b:Author>
    </b:Author>
    <b:RefOrder>2</b:RefOrder>
  </b:Source>
</b:Sources>
</file>

<file path=customXml/itemProps1.xml><?xml version="1.0" encoding="utf-8"?>
<ds:datastoreItem xmlns:ds="http://schemas.openxmlformats.org/officeDocument/2006/customXml" ds:itemID="{2C75D225-10DD-44B2-87C2-657CE72DCDF3}">
  <ds:schemaRefs>
    <ds:schemaRef ds:uri="http://schemas.microsoft.com/office/2006/metadata/properties"/>
    <ds:schemaRef ds:uri="http://schemas.microsoft.com/office/infopath/2007/PartnerControls"/>
    <ds:schemaRef ds:uri="f1be4d64-33dd-4f78-9da3-d034b995d2dd"/>
    <ds:schemaRef ds:uri="5001044b-4e24-41fc-88fe-eec1998587f5"/>
  </ds:schemaRefs>
</ds:datastoreItem>
</file>

<file path=customXml/itemProps2.xml><?xml version="1.0" encoding="utf-8"?>
<ds:datastoreItem xmlns:ds="http://schemas.openxmlformats.org/officeDocument/2006/customXml" ds:itemID="{DFEBE081-4DB2-48A4-A1FB-3436C1A32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1044b-4e24-41fc-88fe-eec1998587f5"/>
    <ds:schemaRef ds:uri="f1be4d64-33dd-4f78-9da3-d034b995d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2BDA2-31BD-4E60-B9FC-9BEE08B22F46}">
  <ds:schemaRefs>
    <ds:schemaRef ds:uri="http://schemas.microsoft.com/sharepoint/v3/contenttype/forms"/>
  </ds:schemaRefs>
</ds:datastoreItem>
</file>

<file path=customXml/itemProps4.xml><?xml version="1.0" encoding="utf-8"?>
<ds:datastoreItem xmlns:ds="http://schemas.openxmlformats.org/officeDocument/2006/customXml" ds:itemID="{82676ACA-2DAD-4A25-BA43-05B7D179F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Rapportmal_norsk 2211</Template>
  <TotalTime>3318</TotalTime>
  <Pages>132</Pages>
  <Words>57375</Words>
  <Characters>304092</Characters>
  <Application>Microsoft Office Word</Application>
  <DocSecurity>0</DocSecurity>
  <Lines>2534</Lines>
  <Paragraphs>721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www.shoeblakhi.com</Company>
  <LinksUpToDate>false</LinksUpToDate>
  <CharactersWithSpaces>360746</CharactersWithSpaces>
  <SharedDoc>false</SharedDoc>
  <HLinks>
    <vt:vector size="168" baseType="variant">
      <vt:variant>
        <vt:i4>4390998</vt:i4>
      </vt:variant>
      <vt:variant>
        <vt:i4>986</vt:i4>
      </vt:variant>
      <vt:variant>
        <vt:i4>0</vt:i4>
      </vt:variant>
      <vt:variant>
        <vt:i4>5</vt:i4>
      </vt:variant>
      <vt:variant>
        <vt:lpwstr>https://www.ssb.no/offentlig-sektor/kostra/statistikk/kostra-kommune-stat-rapportering/om-kostra/dokumentasjon-av-kostra</vt:lpwstr>
      </vt:variant>
      <vt:variant>
        <vt:lpwstr/>
      </vt:variant>
      <vt:variant>
        <vt:i4>3670124</vt:i4>
      </vt:variant>
      <vt:variant>
        <vt:i4>983</vt:i4>
      </vt:variant>
      <vt:variant>
        <vt:i4>0</vt:i4>
      </vt:variant>
      <vt:variant>
        <vt:i4>5</vt:i4>
      </vt:variant>
      <vt:variant>
        <vt:lpwstr>https://www.pwc.no/no/publikasjoner/risikopremien.html</vt:lpwstr>
      </vt:variant>
      <vt:variant>
        <vt:lpwstr/>
      </vt:variant>
      <vt:variant>
        <vt:i4>524368</vt:i4>
      </vt:variant>
      <vt:variant>
        <vt:i4>980</vt:i4>
      </vt:variant>
      <vt:variant>
        <vt:i4>0</vt:i4>
      </vt:variant>
      <vt:variant>
        <vt:i4>5</vt:i4>
      </vt:variant>
      <vt:variant>
        <vt:lpwstr>https://www.ssb.no/offentlig-sektor/artikler-og-publikasjoner/gjelden-oker-raskere-enn-inntektene</vt:lpwstr>
      </vt:variant>
      <vt:variant>
        <vt:lpwstr/>
      </vt:variant>
      <vt:variant>
        <vt:i4>524355</vt:i4>
      </vt:variant>
      <vt:variant>
        <vt:i4>977</vt:i4>
      </vt:variant>
      <vt:variant>
        <vt:i4>0</vt:i4>
      </vt:variant>
      <vt:variant>
        <vt:i4>5</vt:i4>
      </vt:variant>
      <vt:variant>
        <vt:lpwstr>https://pages.stern.nyu.edu/~adamodar/New_Home_Page/datafile/wacc.html</vt:lpwstr>
      </vt:variant>
      <vt:variant>
        <vt:lpwstr/>
      </vt:variant>
      <vt:variant>
        <vt:i4>2359404</vt:i4>
      </vt:variant>
      <vt:variant>
        <vt:i4>974</vt:i4>
      </vt:variant>
      <vt:variant>
        <vt:i4>0</vt:i4>
      </vt:variant>
      <vt:variant>
        <vt:i4>5</vt:i4>
      </vt:variant>
      <vt:variant>
        <vt:lpwstr>https://www.ssb.no/offentlig-sektor/artikler-og-publikasjoner/kraftig-okning-i-kommunenes-investeringsutgifter</vt:lpwstr>
      </vt:variant>
      <vt:variant>
        <vt:lpwstr/>
      </vt:variant>
      <vt:variant>
        <vt:i4>1048628</vt:i4>
      </vt:variant>
      <vt:variant>
        <vt:i4>191</vt:i4>
      </vt:variant>
      <vt:variant>
        <vt:i4>0</vt:i4>
      </vt:variant>
      <vt:variant>
        <vt:i4>5</vt:i4>
      </vt:variant>
      <vt:variant>
        <vt:lpwstr/>
      </vt:variant>
      <vt:variant>
        <vt:lpwstr>_Toc182208755</vt:lpwstr>
      </vt:variant>
      <vt:variant>
        <vt:i4>1048628</vt:i4>
      </vt:variant>
      <vt:variant>
        <vt:i4>185</vt:i4>
      </vt:variant>
      <vt:variant>
        <vt:i4>0</vt:i4>
      </vt:variant>
      <vt:variant>
        <vt:i4>5</vt:i4>
      </vt:variant>
      <vt:variant>
        <vt:lpwstr/>
      </vt:variant>
      <vt:variant>
        <vt:lpwstr>_Toc182208754</vt:lpwstr>
      </vt:variant>
      <vt:variant>
        <vt:i4>1048628</vt:i4>
      </vt:variant>
      <vt:variant>
        <vt:i4>179</vt:i4>
      </vt:variant>
      <vt:variant>
        <vt:i4>0</vt:i4>
      </vt:variant>
      <vt:variant>
        <vt:i4>5</vt:i4>
      </vt:variant>
      <vt:variant>
        <vt:lpwstr/>
      </vt:variant>
      <vt:variant>
        <vt:lpwstr>_Toc182208753</vt:lpwstr>
      </vt:variant>
      <vt:variant>
        <vt:i4>1048628</vt:i4>
      </vt:variant>
      <vt:variant>
        <vt:i4>173</vt:i4>
      </vt:variant>
      <vt:variant>
        <vt:i4>0</vt:i4>
      </vt:variant>
      <vt:variant>
        <vt:i4>5</vt:i4>
      </vt:variant>
      <vt:variant>
        <vt:lpwstr/>
      </vt:variant>
      <vt:variant>
        <vt:lpwstr>_Toc182208752</vt:lpwstr>
      </vt:variant>
      <vt:variant>
        <vt:i4>1048628</vt:i4>
      </vt:variant>
      <vt:variant>
        <vt:i4>167</vt:i4>
      </vt:variant>
      <vt:variant>
        <vt:i4>0</vt:i4>
      </vt:variant>
      <vt:variant>
        <vt:i4>5</vt:i4>
      </vt:variant>
      <vt:variant>
        <vt:lpwstr/>
      </vt:variant>
      <vt:variant>
        <vt:lpwstr>_Toc182208751</vt:lpwstr>
      </vt:variant>
      <vt:variant>
        <vt:i4>1048628</vt:i4>
      </vt:variant>
      <vt:variant>
        <vt:i4>161</vt:i4>
      </vt:variant>
      <vt:variant>
        <vt:i4>0</vt:i4>
      </vt:variant>
      <vt:variant>
        <vt:i4>5</vt:i4>
      </vt:variant>
      <vt:variant>
        <vt:lpwstr/>
      </vt:variant>
      <vt:variant>
        <vt:lpwstr>_Toc182208750</vt:lpwstr>
      </vt:variant>
      <vt:variant>
        <vt:i4>1114164</vt:i4>
      </vt:variant>
      <vt:variant>
        <vt:i4>155</vt:i4>
      </vt:variant>
      <vt:variant>
        <vt:i4>0</vt:i4>
      </vt:variant>
      <vt:variant>
        <vt:i4>5</vt:i4>
      </vt:variant>
      <vt:variant>
        <vt:lpwstr/>
      </vt:variant>
      <vt:variant>
        <vt:lpwstr>_Toc182208749</vt:lpwstr>
      </vt:variant>
      <vt:variant>
        <vt:i4>1114164</vt:i4>
      </vt:variant>
      <vt:variant>
        <vt:i4>149</vt:i4>
      </vt:variant>
      <vt:variant>
        <vt:i4>0</vt:i4>
      </vt:variant>
      <vt:variant>
        <vt:i4>5</vt:i4>
      </vt:variant>
      <vt:variant>
        <vt:lpwstr/>
      </vt:variant>
      <vt:variant>
        <vt:lpwstr>_Toc182208748</vt:lpwstr>
      </vt:variant>
      <vt:variant>
        <vt:i4>1114164</vt:i4>
      </vt:variant>
      <vt:variant>
        <vt:i4>143</vt:i4>
      </vt:variant>
      <vt:variant>
        <vt:i4>0</vt:i4>
      </vt:variant>
      <vt:variant>
        <vt:i4>5</vt:i4>
      </vt:variant>
      <vt:variant>
        <vt:lpwstr/>
      </vt:variant>
      <vt:variant>
        <vt:lpwstr>_Toc182208747</vt:lpwstr>
      </vt:variant>
      <vt:variant>
        <vt:i4>1114164</vt:i4>
      </vt:variant>
      <vt:variant>
        <vt:i4>137</vt:i4>
      </vt:variant>
      <vt:variant>
        <vt:i4>0</vt:i4>
      </vt:variant>
      <vt:variant>
        <vt:i4>5</vt:i4>
      </vt:variant>
      <vt:variant>
        <vt:lpwstr/>
      </vt:variant>
      <vt:variant>
        <vt:lpwstr>_Toc182208746</vt:lpwstr>
      </vt:variant>
      <vt:variant>
        <vt:i4>1114164</vt:i4>
      </vt:variant>
      <vt:variant>
        <vt:i4>131</vt:i4>
      </vt:variant>
      <vt:variant>
        <vt:i4>0</vt:i4>
      </vt:variant>
      <vt:variant>
        <vt:i4>5</vt:i4>
      </vt:variant>
      <vt:variant>
        <vt:lpwstr/>
      </vt:variant>
      <vt:variant>
        <vt:lpwstr>_Toc182208745</vt:lpwstr>
      </vt:variant>
      <vt:variant>
        <vt:i4>1114164</vt:i4>
      </vt:variant>
      <vt:variant>
        <vt:i4>125</vt:i4>
      </vt:variant>
      <vt:variant>
        <vt:i4>0</vt:i4>
      </vt:variant>
      <vt:variant>
        <vt:i4>5</vt:i4>
      </vt:variant>
      <vt:variant>
        <vt:lpwstr/>
      </vt:variant>
      <vt:variant>
        <vt:lpwstr>_Toc182208744</vt:lpwstr>
      </vt:variant>
      <vt:variant>
        <vt:i4>1114164</vt:i4>
      </vt:variant>
      <vt:variant>
        <vt:i4>119</vt:i4>
      </vt:variant>
      <vt:variant>
        <vt:i4>0</vt:i4>
      </vt:variant>
      <vt:variant>
        <vt:i4>5</vt:i4>
      </vt:variant>
      <vt:variant>
        <vt:lpwstr/>
      </vt:variant>
      <vt:variant>
        <vt:lpwstr>_Toc182208743</vt:lpwstr>
      </vt:variant>
      <vt:variant>
        <vt:i4>1114164</vt:i4>
      </vt:variant>
      <vt:variant>
        <vt:i4>113</vt:i4>
      </vt:variant>
      <vt:variant>
        <vt:i4>0</vt:i4>
      </vt:variant>
      <vt:variant>
        <vt:i4>5</vt:i4>
      </vt:variant>
      <vt:variant>
        <vt:lpwstr/>
      </vt:variant>
      <vt:variant>
        <vt:lpwstr>_Toc182208742</vt:lpwstr>
      </vt:variant>
      <vt:variant>
        <vt:i4>1114164</vt:i4>
      </vt:variant>
      <vt:variant>
        <vt:i4>107</vt:i4>
      </vt:variant>
      <vt:variant>
        <vt:i4>0</vt:i4>
      </vt:variant>
      <vt:variant>
        <vt:i4>5</vt:i4>
      </vt:variant>
      <vt:variant>
        <vt:lpwstr/>
      </vt:variant>
      <vt:variant>
        <vt:lpwstr>_Toc182208741</vt:lpwstr>
      </vt:variant>
      <vt:variant>
        <vt:i4>1114164</vt:i4>
      </vt:variant>
      <vt:variant>
        <vt:i4>101</vt:i4>
      </vt:variant>
      <vt:variant>
        <vt:i4>0</vt:i4>
      </vt:variant>
      <vt:variant>
        <vt:i4>5</vt:i4>
      </vt:variant>
      <vt:variant>
        <vt:lpwstr/>
      </vt:variant>
      <vt:variant>
        <vt:lpwstr>_Toc182208740</vt:lpwstr>
      </vt:variant>
      <vt:variant>
        <vt:i4>1441844</vt:i4>
      </vt:variant>
      <vt:variant>
        <vt:i4>95</vt:i4>
      </vt:variant>
      <vt:variant>
        <vt:i4>0</vt:i4>
      </vt:variant>
      <vt:variant>
        <vt:i4>5</vt:i4>
      </vt:variant>
      <vt:variant>
        <vt:lpwstr/>
      </vt:variant>
      <vt:variant>
        <vt:lpwstr>_Toc182208739</vt:lpwstr>
      </vt:variant>
      <vt:variant>
        <vt:i4>1441844</vt:i4>
      </vt:variant>
      <vt:variant>
        <vt:i4>89</vt:i4>
      </vt:variant>
      <vt:variant>
        <vt:i4>0</vt:i4>
      </vt:variant>
      <vt:variant>
        <vt:i4>5</vt:i4>
      </vt:variant>
      <vt:variant>
        <vt:lpwstr/>
      </vt:variant>
      <vt:variant>
        <vt:lpwstr>_Toc182208738</vt:lpwstr>
      </vt:variant>
      <vt:variant>
        <vt:i4>1441844</vt:i4>
      </vt:variant>
      <vt:variant>
        <vt:i4>83</vt:i4>
      </vt:variant>
      <vt:variant>
        <vt:i4>0</vt:i4>
      </vt:variant>
      <vt:variant>
        <vt:i4>5</vt:i4>
      </vt:variant>
      <vt:variant>
        <vt:lpwstr/>
      </vt:variant>
      <vt:variant>
        <vt:lpwstr>_Toc182208737</vt:lpwstr>
      </vt:variant>
      <vt:variant>
        <vt:i4>1441844</vt:i4>
      </vt:variant>
      <vt:variant>
        <vt:i4>77</vt:i4>
      </vt:variant>
      <vt:variant>
        <vt:i4>0</vt:i4>
      </vt:variant>
      <vt:variant>
        <vt:i4>5</vt:i4>
      </vt:variant>
      <vt:variant>
        <vt:lpwstr/>
      </vt:variant>
      <vt:variant>
        <vt:lpwstr>_Toc182208736</vt:lpwstr>
      </vt:variant>
      <vt:variant>
        <vt:i4>1441844</vt:i4>
      </vt:variant>
      <vt:variant>
        <vt:i4>71</vt:i4>
      </vt:variant>
      <vt:variant>
        <vt:i4>0</vt:i4>
      </vt:variant>
      <vt:variant>
        <vt:i4>5</vt:i4>
      </vt:variant>
      <vt:variant>
        <vt:lpwstr/>
      </vt:variant>
      <vt:variant>
        <vt:lpwstr>_Toc182208735</vt:lpwstr>
      </vt:variant>
      <vt:variant>
        <vt:i4>1441844</vt:i4>
      </vt:variant>
      <vt:variant>
        <vt:i4>65</vt:i4>
      </vt:variant>
      <vt:variant>
        <vt:i4>0</vt:i4>
      </vt:variant>
      <vt:variant>
        <vt:i4>5</vt:i4>
      </vt:variant>
      <vt:variant>
        <vt:lpwstr/>
      </vt:variant>
      <vt:variant>
        <vt:lpwstr>_Toc182208734</vt:lpwstr>
      </vt:variant>
      <vt:variant>
        <vt:i4>1441844</vt:i4>
      </vt:variant>
      <vt:variant>
        <vt:i4>59</vt:i4>
      </vt:variant>
      <vt:variant>
        <vt:i4>0</vt:i4>
      </vt:variant>
      <vt:variant>
        <vt:i4>5</vt:i4>
      </vt:variant>
      <vt:variant>
        <vt:lpwstr/>
      </vt:variant>
      <vt:variant>
        <vt:lpwstr>_Toc182208733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Bøgh Holmen</dc:creator>
  <cp:keywords/>
  <dc:description/>
  <cp:lastModifiedBy>Rasmus Bøgh Holmen</cp:lastModifiedBy>
  <cp:revision>1013</cp:revision>
  <cp:lastPrinted>2024-12-19T07:33:00Z</cp:lastPrinted>
  <dcterms:created xsi:type="dcterms:W3CDTF">2024-10-11T07:40:00Z</dcterms:created>
  <dcterms:modified xsi:type="dcterms:W3CDTF">2024-12-19T07:33:00Z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3.00</vt:lpwstr>
  </property>
  <property fmtid="{D5CDD505-2E9C-101B-9397-08002B2CF9AE}" pid="3" name="Date">
    <vt:lpwstr>10.02.2022</vt:lpwstr>
  </property>
  <property fmtid="{D5CDD505-2E9C-101B-9397-08002B2CF9AE}" pid="4" name="ContentTypeId">
    <vt:lpwstr>0x010100632491D725CA1544B468E7097AEF6E38</vt:lpwstr>
  </property>
  <property fmtid="{D5CDD505-2E9C-101B-9397-08002B2CF9AE}" pid="5" name="MediaServiceImageTags">
    <vt:lpwstr/>
  </property>
</Properties>
</file>