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1" w:type="dxa"/>
          <w:right w:w="71" w:type="dxa"/>
        </w:tblCellMar>
        <w:tblLook w:val="0000"/>
      </w:tblPr>
      <w:tblGrid>
        <w:gridCol w:w="3472"/>
        <w:gridCol w:w="2836"/>
        <w:gridCol w:w="2977"/>
      </w:tblGrid>
      <w:tr w:rsidR="00DC5C7B" w:rsidRPr="006F4FD3">
        <w:trPr>
          <w:trHeight w:hRule="exact" w:val="1963"/>
        </w:trPr>
        <w:tc>
          <w:tcPr>
            <w:tcW w:w="6308" w:type="dxa"/>
            <w:gridSpan w:val="2"/>
          </w:tcPr>
          <w:p w:rsidR="006F4FD3" w:rsidRPr="006F4FD3" w:rsidRDefault="006F4FD3">
            <w:pPr>
              <w:pStyle w:val="INNH1"/>
              <w:tabs>
                <w:tab w:val="clear" w:pos="9071"/>
              </w:tabs>
              <w:spacing w:line="240" w:lineRule="exact"/>
            </w:pPr>
            <w:bookmarkStart w:id="0" w:name="Mottaker" w:colFirst="0" w:colLast="0"/>
            <w:r w:rsidRPr="006F4FD3">
              <w:t>Metier AS</w:t>
            </w:r>
          </w:p>
          <w:p w:rsidR="006F4FD3" w:rsidRPr="006F4FD3" w:rsidRDefault="006F4FD3" w:rsidP="006F4FD3">
            <w:r w:rsidRPr="006F4FD3">
              <w:t>Postboks 118 Smestad</w:t>
            </w:r>
          </w:p>
          <w:p w:rsidR="00DC5C7B" w:rsidRPr="006F4FD3" w:rsidRDefault="006F4FD3" w:rsidP="006F4FD3">
            <w:r w:rsidRPr="006F4FD3">
              <w:t>0309 OSLO</w:t>
            </w:r>
          </w:p>
        </w:tc>
        <w:tc>
          <w:tcPr>
            <w:tcW w:w="2976" w:type="dxa"/>
          </w:tcPr>
          <w:p w:rsidR="00DC5C7B" w:rsidRPr="006F4FD3" w:rsidRDefault="00DC5C7B">
            <w:pPr>
              <w:spacing w:line="300" w:lineRule="exact"/>
            </w:pPr>
          </w:p>
          <w:p w:rsidR="00DC5C7B" w:rsidRPr="006F4FD3" w:rsidRDefault="00DC5C7B">
            <w:pPr>
              <w:spacing w:line="300" w:lineRule="exact"/>
            </w:pPr>
          </w:p>
          <w:p w:rsidR="00DC5C7B" w:rsidRPr="006F4FD3" w:rsidRDefault="00DC5C7B">
            <w:pPr>
              <w:spacing w:line="300" w:lineRule="exact"/>
            </w:pPr>
          </w:p>
          <w:p w:rsidR="00DC5C7B" w:rsidRPr="006F4FD3" w:rsidRDefault="00DC5C7B">
            <w:pPr>
              <w:spacing w:line="300" w:lineRule="exact"/>
            </w:pPr>
            <w:bookmarkStart w:id="1" w:name="uoff"/>
            <w:bookmarkEnd w:id="1"/>
          </w:p>
        </w:tc>
      </w:tr>
      <w:tr w:rsidR="00DC5C7B" w:rsidRPr="006F4FD3">
        <w:tc>
          <w:tcPr>
            <w:tcW w:w="3472" w:type="dxa"/>
          </w:tcPr>
          <w:p w:rsidR="00DC5C7B" w:rsidRPr="006F4FD3" w:rsidRDefault="006F4FD3">
            <w:pPr>
              <w:spacing w:before="120"/>
              <w:rPr>
                <w:sz w:val="16"/>
              </w:rPr>
            </w:pPr>
            <w:bookmarkStart w:id="2" w:name="BM1" w:colFirst="0" w:colLast="0"/>
            <w:bookmarkStart w:id="3" w:name="BM2" w:colFirst="1" w:colLast="1"/>
            <w:bookmarkStart w:id="4" w:name="BM3" w:colFirst="2" w:colLast="2"/>
            <w:bookmarkEnd w:id="0"/>
            <w:r w:rsidRPr="006F4FD3">
              <w:rPr>
                <w:sz w:val="16"/>
              </w:rPr>
              <w:t>Deres ref</w:t>
            </w:r>
          </w:p>
        </w:tc>
        <w:tc>
          <w:tcPr>
            <w:tcW w:w="2835" w:type="dxa"/>
          </w:tcPr>
          <w:p w:rsidR="00DC5C7B" w:rsidRPr="006F4FD3" w:rsidRDefault="006F4FD3">
            <w:pPr>
              <w:spacing w:before="120"/>
              <w:rPr>
                <w:sz w:val="16"/>
              </w:rPr>
            </w:pPr>
            <w:r w:rsidRPr="006F4FD3">
              <w:rPr>
                <w:sz w:val="16"/>
              </w:rPr>
              <w:t>Vår ref</w:t>
            </w:r>
          </w:p>
        </w:tc>
        <w:tc>
          <w:tcPr>
            <w:tcW w:w="2977" w:type="dxa"/>
          </w:tcPr>
          <w:p w:rsidR="00DC5C7B" w:rsidRPr="006F4FD3" w:rsidRDefault="006F4FD3">
            <w:pPr>
              <w:spacing w:before="120"/>
            </w:pPr>
            <w:r w:rsidRPr="006F4FD3">
              <w:rPr>
                <w:sz w:val="16"/>
              </w:rPr>
              <w:t>Dato</w:t>
            </w:r>
          </w:p>
        </w:tc>
      </w:tr>
      <w:tr w:rsidR="00DC5C7B" w:rsidRPr="006F4FD3">
        <w:tc>
          <w:tcPr>
            <w:tcW w:w="3472" w:type="dxa"/>
          </w:tcPr>
          <w:p w:rsidR="00DC5C7B" w:rsidRPr="006F4FD3" w:rsidRDefault="00DC5C7B">
            <w:pPr>
              <w:rPr>
                <w:sz w:val="20"/>
              </w:rPr>
            </w:pPr>
            <w:bookmarkStart w:id="5" w:name="Deres_referanse" w:colFirst="0" w:colLast="0"/>
            <w:bookmarkStart w:id="6" w:name="Vår_referanse" w:colFirst="1" w:colLast="1"/>
            <w:bookmarkStart w:id="7" w:name="Vår_dato" w:colFirst="2" w:colLast="2"/>
            <w:bookmarkEnd w:id="2"/>
            <w:bookmarkEnd w:id="3"/>
            <w:bookmarkEnd w:id="4"/>
          </w:p>
        </w:tc>
        <w:tc>
          <w:tcPr>
            <w:tcW w:w="2835" w:type="dxa"/>
          </w:tcPr>
          <w:p w:rsidR="00DC5C7B" w:rsidRPr="006F4FD3" w:rsidRDefault="006F4FD3">
            <w:pPr>
              <w:rPr>
                <w:sz w:val="20"/>
              </w:rPr>
            </w:pPr>
            <w:r w:rsidRPr="006F4FD3">
              <w:rPr>
                <w:sz w:val="20"/>
              </w:rPr>
              <w:t>200607922-/BKR</w:t>
            </w:r>
          </w:p>
        </w:tc>
        <w:tc>
          <w:tcPr>
            <w:tcW w:w="2977" w:type="dxa"/>
          </w:tcPr>
          <w:p w:rsidR="00DC5C7B" w:rsidRPr="006F4FD3" w:rsidRDefault="0000715C" w:rsidP="005A4626">
            <w:pPr>
              <w:rPr>
                <w:sz w:val="20"/>
              </w:rPr>
            </w:pPr>
            <w:proofErr w:type="gramStart"/>
            <w:r>
              <w:rPr>
                <w:sz w:val="20"/>
              </w:rPr>
              <w:t>03</w:t>
            </w:r>
            <w:r w:rsidR="006F4FD3" w:rsidRPr="006F4FD3">
              <w:rPr>
                <w:sz w:val="20"/>
              </w:rPr>
              <w:t>.0</w:t>
            </w:r>
            <w:r w:rsidR="005A4626">
              <w:rPr>
                <w:sz w:val="20"/>
              </w:rPr>
              <w:t>7</w:t>
            </w:r>
            <w:r w:rsidR="006F4FD3" w:rsidRPr="006F4FD3">
              <w:rPr>
                <w:sz w:val="20"/>
              </w:rPr>
              <w:t>.2009</w:t>
            </w:r>
            <w:proofErr w:type="gramEnd"/>
          </w:p>
        </w:tc>
      </w:tr>
      <w:bookmarkEnd w:id="5"/>
      <w:bookmarkEnd w:id="6"/>
      <w:bookmarkEnd w:id="7"/>
      <w:tr w:rsidR="00DC5C7B" w:rsidRPr="006F4FD3">
        <w:trPr>
          <w:trHeight w:hRule="exact" w:val="960"/>
        </w:trPr>
        <w:tc>
          <w:tcPr>
            <w:tcW w:w="9282" w:type="dxa"/>
            <w:gridSpan w:val="3"/>
          </w:tcPr>
          <w:p w:rsidR="00DC5C7B" w:rsidRPr="006F4FD3" w:rsidRDefault="00DC5C7B">
            <w:pPr>
              <w:spacing w:before="120"/>
              <w:rPr>
                <w:sz w:val="16"/>
              </w:rPr>
            </w:pPr>
          </w:p>
        </w:tc>
      </w:tr>
    </w:tbl>
    <w:p w:rsidR="00DC5C7B" w:rsidRPr="006F4FD3" w:rsidRDefault="006F4FD3">
      <w:pPr>
        <w:pStyle w:val="Brevoverskrift"/>
      </w:pPr>
      <w:bookmarkStart w:id="8" w:name="start"/>
      <w:bookmarkStart w:id="9" w:name="Overskriften"/>
      <w:bookmarkEnd w:id="8"/>
      <w:bookmarkEnd w:id="9"/>
      <w:r w:rsidRPr="006F4FD3">
        <w:t>Ved</w:t>
      </w:r>
      <w:r>
        <w:t>r</w:t>
      </w:r>
      <w:r w:rsidRPr="006F4FD3">
        <w:t xml:space="preserve">ørende avgrensning av problemstilling og behovsanalyse </w:t>
      </w:r>
      <w:r w:rsidR="004D7745">
        <w:t xml:space="preserve">for Kulturhistorisk museum </w:t>
      </w:r>
    </w:p>
    <w:p w:rsidR="00B10BBD" w:rsidRDefault="006F4FD3">
      <w:r>
        <w:t xml:space="preserve">Det vises til </w:t>
      </w:r>
      <w:r w:rsidR="003C231E">
        <w:t>Metier AS</w:t>
      </w:r>
      <w:r w:rsidR="002C0BD4">
        <w:t xml:space="preserve"> </w:t>
      </w:r>
      <w:r w:rsidR="00BA0023">
        <w:t xml:space="preserve">og Møreforsknings </w:t>
      </w:r>
      <w:r>
        <w:t xml:space="preserve">brev </w:t>
      </w:r>
      <w:r w:rsidR="002C0BD4">
        <w:t xml:space="preserve">av 16. juni 2009 </w:t>
      </w:r>
      <w:r>
        <w:t xml:space="preserve">vedrørende </w:t>
      </w:r>
      <w:r w:rsidR="002C0BD4">
        <w:t>spørsmål til KS 1</w:t>
      </w:r>
      <w:r w:rsidR="005A4626">
        <w:t>-</w:t>
      </w:r>
      <w:r w:rsidR="002C0BD4">
        <w:t>materialet for Kulturhis</w:t>
      </w:r>
      <w:r w:rsidR="00F770F8">
        <w:t>torisk museum</w:t>
      </w:r>
      <w:r w:rsidR="004D7745">
        <w:t xml:space="preserve"> (KHM)</w:t>
      </w:r>
      <w:r w:rsidR="00E97241">
        <w:t xml:space="preserve">. </w:t>
      </w:r>
      <w:r w:rsidR="00E10683">
        <w:t>Kunnskapsdepa</w:t>
      </w:r>
      <w:r w:rsidR="007B23CE">
        <w:t>rtementet vil her gi en redegjørelse for</w:t>
      </w:r>
      <w:r w:rsidR="00387B5C">
        <w:t xml:space="preserve"> </w:t>
      </w:r>
      <w:r w:rsidR="00BA0023">
        <w:t>de reiste problemstillingene</w:t>
      </w:r>
      <w:r w:rsidR="007B23CE">
        <w:t xml:space="preserve">. </w:t>
      </w:r>
    </w:p>
    <w:p w:rsidR="00B10BBD" w:rsidRDefault="00B10BBD"/>
    <w:p w:rsidR="000269E2" w:rsidRDefault="00FC1BA5">
      <w:pPr>
        <w:rPr>
          <w:b/>
        </w:rPr>
      </w:pPr>
      <w:r>
        <w:rPr>
          <w:b/>
        </w:rPr>
        <w:t xml:space="preserve">2.1 Avgrensning av analysen </w:t>
      </w:r>
      <w:r w:rsidR="00ED0B55" w:rsidRPr="00FC1BA5">
        <w:rPr>
          <w:b/>
        </w:rPr>
        <w:t>- lokalisering utenfor Oslo</w:t>
      </w:r>
    </w:p>
    <w:p w:rsidR="000D4FE7" w:rsidRDefault="000269E2" w:rsidP="0046519E">
      <w:r>
        <w:t xml:space="preserve">Metier viser til </w:t>
      </w:r>
      <w:r w:rsidR="00966505">
        <w:t xml:space="preserve">Frps </w:t>
      </w:r>
      <w:r>
        <w:t xml:space="preserve">merknad i Innst. S. nr 247 (2007-2008) om </w:t>
      </w:r>
      <w:r w:rsidR="00966505">
        <w:t xml:space="preserve">en </w:t>
      </w:r>
      <w:r>
        <w:t>vurdering av flytting av vikingskipene til Vestfold, og har på denne bakgrunn</w:t>
      </w:r>
      <w:r w:rsidR="000D4FE7">
        <w:t xml:space="preserve"> stilt</w:t>
      </w:r>
      <w:r>
        <w:t xml:space="preserve"> følgende spørsmål: </w:t>
      </w:r>
    </w:p>
    <w:p w:rsidR="00902DE2" w:rsidRPr="000269E2" w:rsidRDefault="00ED0B55" w:rsidP="0046519E">
      <w:pPr>
        <w:rPr>
          <w:b/>
        </w:rPr>
      </w:pPr>
      <w:r w:rsidRPr="00FC1BA5">
        <w:rPr>
          <w:b/>
        </w:rPr>
        <w:t xml:space="preserve"> </w:t>
      </w:r>
      <w:r w:rsidR="00220A72">
        <w:rPr>
          <w:b/>
          <w:i/>
        </w:rPr>
        <w:t xml:space="preserve">1. </w:t>
      </w:r>
      <w:r w:rsidRPr="00AB6C7A">
        <w:rPr>
          <w:b/>
          <w:i/>
        </w:rPr>
        <w:t>Hvilke føringer legges til grunn for å lokalisere skipene i Oslo?</w:t>
      </w:r>
      <w:r>
        <w:t xml:space="preserve"> </w:t>
      </w:r>
    </w:p>
    <w:p w:rsidR="000269E2" w:rsidRDefault="00902DE2" w:rsidP="00902DE2">
      <w:pPr>
        <w:rPr>
          <w:b/>
          <w:i/>
        </w:rPr>
      </w:pPr>
      <w:r>
        <w:rPr>
          <w:b/>
          <w:i/>
        </w:rPr>
        <w:t xml:space="preserve">2. </w:t>
      </w:r>
      <w:r w:rsidRPr="00E97241">
        <w:rPr>
          <w:b/>
          <w:i/>
        </w:rPr>
        <w:t>Hva er begrunnelsen for at alternativ i Vestfold ikke er kommentert eller vur</w:t>
      </w:r>
      <w:r w:rsidR="000269E2">
        <w:rPr>
          <w:b/>
          <w:i/>
        </w:rPr>
        <w:t>dert i fors</w:t>
      </w:r>
      <w:r w:rsidRPr="00E97241">
        <w:rPr>
          <w:b/>
          <w:i/>
        </w:rPr>
        <w:t xml:space="preserve">tudien? </w:t>
      </w:r>
    </w:p>
    <w:p w:rsidR="00ED0B55" w:rsidRDefault="000269E2" w:rsidP="0046519E">
      <w:r>
        <w:t xml:space="preserve"> </w:t>
      </w:r>
      <w:r w:rsidR="00E97241">
        <w:t>Universitetet i Oslo</w:t>
      </w:r>
      <w:r w:rsidR="00CA5923">
        <w:t xml:space="preserve"> </w:t>
      </w:r>
      <w:r w:rsidR="00220A72">
        <w:t xml:space="preserve">er </w:t>
      </w:r>
      <w:r w:rsidR="00CA5923">
        <w:t>gjennom universitets- og høyskoleloven gitt et særskilt ansvar for å bygge opp, drive og vedlikeholde museer med vitenskapelige samlinger og publikumsutstillinger.</w:t>
      </w:r>
      <w:r w:rsidR="00220A72">
        <w:t xml:space="preserve"> </w:t>
      </w:r>
      <w:r w:rsidR="00835D41">
        <w:t xml:space="preserve">Universitetets kulturhistoriske museum er i forskrift om faglig ansvarsdeling etter kulturminneloven gitt ansvar for </w:t>
      </w:r>
      <w:r w:rsidR="00220A72">
        <w:t>å forvalte løse kulturminner fra Østlands- og Sørlandsregionen, herunder også Vestfold</w:t>
      </w:r>
      <w:r w:rsidR="00902DE2">
        <w:t>.</w:t>
      </w:r>
      <w:r w:rsidRPr="000269E2">
        <w:t xml:space="preserve"> </w:t>
      </w:r>
      <w:r w:rsidR="00902DE2">
        <w:t>Som det fremgår av brev fra statsråd Øystein Djupedal til Stortinget</w:t>
      </w:r>
      <w:r>
        <w:t xml:space="preserve"> av</w:t>
      </w:r>
      <w:r w:rsidR="00902DE2">
        <w:t xml:space="preserve"> 20.02.07 og 27.03.07 </w:t>
      </w:r>
      <w:r w:rsidR="004665E9">
        <w:t xml:space="preserve">(vedlegg 1 og 2) </w:t>
      </w:r>
      <w:r w:rsidR="00902DE2">
        <w:t xml:space="preserve">vedrørende flytting av vikingskipene, </w:t>
      </w:r>
      <w:r>
        <w:t xml:space="preserve">konkluderer statsråden med at verken flytting av vikingskipene </w:t>
      </w:r>
      <w:r w:rsidR="00966505">
        <w:t>til Vestfold, eller etablering av</w:t>
      </w:r>
      <w:r>
        <w:t xml:space="preserve"> Kulturhistorisk museum i Vestfold er aktuelt. </w:t>
      </w:r>
      <w:r w:rsidR="007446D5">
        <w:t>På denne bakgrunn er det i KS 1-</w:t>
      </w:r>
      <w:r w:rsidR="00966505">
        <w:t>materialet ikke</w:t>
      </w:r>
      <w:r>
        <w:t xml:space="preserve"> vurdert å splitte universitetsmuseets samlinger mht annen lokalisering for vikingskipene, eller lokalisering av </w:t>
      </w:r>
      <w:r w:rsidR="000D4FE7">
        <w:t xml:space="preserve">et </w:t>
      </w:r>
      <w:r>
        <w:t>Kulturhistorisk museum i Vestfold.</w:t>
      </w:r>
      <w:r w:rsidR="000D4FE7">
        <w:t xml:space="preserve"> </w:t>
      </w:r>
      <w:r>
        <w:t xml:space="preserve">  </w:t>
      </w:r>
    </w:p>
    <w:p w:rsidR="005A4626" w:rsidRDefault="005A4626" w:rsidP="0046519E"/>
    <w:p w:rsidR="0020047D" w:rsidRDefault="005A4626" w:rsidP="0046519E">
      <w:r>
        <w:t xml:space="preserve">Vi vil dessuten legge til at vikingskipene er de mest besøkte museumsgjenstandene i </w:t>
      </w:r>
      <w:r>
        <w:lastRenderedPageBreak/>
        <w:t>Norge, og det vil innebære stor risiko for lavere besøkstall, spesielt fra utenlandske turister, om gjenstandene flyttes til Vestfold.</w:t>
      </w:r>
      <w:r w:rsidR="00745F33">
        <w:t xml:space="preserve"> </w:t>
      </w:r>
    </w:p>
    <w:p w:rsidR="0020047D" w:rsidRDefault="0020047D" w:rsidP="0046519E"/>
    <w:p w:rsidR="005A4626" w:rsidRDefault="00745F33" w:rsidP="0046519E">
      <w:r>
        <w:t xml:space="preserve">Kunnskapsdepartementet vil skrive inn en omtale vedrørende Vestfold i </w:t>
      </w:r>
      <w:proofErr w:type="spellStart"/>
      <w:r w:rsidR="0020047D">
        <w:t>kap</w:t>
      </w:r>
      <w:proofErr w:type="spellEnd"/>
      <w:r w:rsidR="0020047D">
        <w:t>. 2.2 Forkastede alternativer</w:t>
      </w:r>
      <w:r w:rsidR="00033ECF">
        <w:t xml:space="preserve"> i </w:t>
      </w:r>
      <w:r>
        <w:t xml:space="preserve">en oppdatert alternativanalyse.    </w:t>
      </w:r>
    </w:p>
    <w:p w:rsidR="003D5FA4" w:rsidRDefault="003D5FA4" w:rsidP="0046519E"/>
    <w:p w:rsidR="003D5FA4" w:rsidRPr="004665E9" w:rsidRDefault="004665E9" w:rsidP="0046519E">
      <w:pPr>
        <w:rPr>
          <w:b/>
        </w:rPr>
      </w:pPr>
      <w:r>
        <w:rPr>
          <w:b/>
        </w:rPr>
        <w:t>2.2</w:t>
      </w:r>
      <w:r w:rsidR="003D5FA4" w:rsidRPr="004665E9">
        <w:rPr>
          <w:b/>
        </w:rPr>
        <w:t xml:space="preserve"> </w:t>
      </w:r>
      <w:r w:rsidRPr="004665E9">
        <w:rPr>
          <w:b/>
        </w:rPr>
        <w:t>Avgrensning av analysen – samarbeid med andre museer i Oslo</w:t>
      </w:r>
      <w:r>
        <w:rPr>
          <w:b/>
        </w:rPr>
        <w:t>området</w:t>
      </w:r>
      <w:r w:rsidRPr="004665E9">
        <w:rPr>
          <w:b/>
        </w:rPr>
        <w:t xml:space="preserve"> </w:t>
      </w:r>
    </w:p>
    <w:p w:rsidR="008D68EE" w:rsidRDefault="008D68EE" w:rsidP="000269E2">
      <w:r>
        <w:t xml:space="preserve">Metier viser til at det ikke er utarbeidet en mer strukturert </w:t>
      </w:r>
      <w:r w:rsidR="000D4FE7">
        <w:t>o</w:t>
      </w:r>
      <w:r w:rsidR="00BF2078">
        <w:t>versikt over</w:t>
      </w:r>
      <w:r>
        <w:t xml:space="preserve"> </w:t>
      </w:r>
      <w:r w:rsidR="00DA659F">
        <w:t xml:space="preserve">museets </w:t>
      </w:r>
      <w:r>
        <w:t xml:space="preserve">behov og </w:t>
      </w:r>
      <w:r w:rsidR="00DA659F">
        <w:t>muligheter for samarbeid,</w:t>
      </w:r>
      <w:r>
        <w:t xml:space="preserve"> og </w:t>
      </w:r>
      <w:r w:rsidR="00BF2078">
        <w:t xml:space="preserve">at også andre museer burde vært vurdert i forstudien. På denne bakgrunn stilles følgende spørsmål:  </w:t>
      </w:r>
      <w:r>
        <w:t xml:space="preserve"> </w:t>
      </w:r>
    </w:p>
    <w:p w:rsidR="000269E2" w:rsidRPr="008F49E4" w:rsidRDefault="004665E9" w:rsidP="000269E2">
      <w:pPr>
        <w:rPr>
          <w:b/>
          <w:i/>
        </w:rPr>
      </w:pPr>
      <w:r w:rsidRPr="008F49E4">
        <w:rPr>
          <w:b/>
          <w:i/>
        </w:rPr>
        <w:t xml:space="preserve">Kan utredningsgruppe belyse og konkretisere samarbeidsbehov og – muligheter (synergier) innen følgende områder:  </w:t>
      </w:r>
    </w:p>
    <w:p w:rsidR="00DC5C7B" w:rsidRPr="008F49E4" w:rsidRDefault="004665E9" w:rsidP="00BF2078">
      <w:pPr>
        <w:numPr>
          <w:ilvl w:val="0"/>
          <w:numId w:val="8"/>
        </w:numPr>
        <w:rPr>
          <w:b/>
          <w:i/>
        </w:rPr>
      </w:pPr>
      <w:r w:rsidRPr="008F49E4">
        <w:rPr>
          <w:b/>
          <w:i/>
        </w:rPr>
        <w:t xml:space="preserve">Forskning </w:t>
      </w:r>
    </w:p>
    <w:p w:rsidR="004665E9" w:rsidRPr="008F49E4" w:rsidRDefault="004665E9" w:rsidP="00BF2078">
      <w:pPr>
        <w:numPr>
          <w:ilvl w:val="0"/>
          <w:numId w:val="8"/>
        </w:numPr>
        <w:rPr>
          <w:b/>
          <w:i/>
        </w:rPr>
      </w:pPr>
      <w:r w:rsidRPr="008F49E4">
        <w:rPr>
          <w:b/>
          <w:i/>
        </w:rPr>
        <w:t xml:space="preserve">Formidling til skole </w:t>
      </w:r>
    </w:p>
    <w:p w:rsidR="004665E9" w:rsidRPr="008F49E4" w:rsidRDefault="004665E9" w:rsidP="00BF2078">
      <w:pPr>
        <w:numPr>
          <w:ilvl w:val="0"/>
          <w:numId w:val="8"/>
        </w:numPr>
        <w:rPr>
          <w:b/>
          <w:i/>
        </w:rPr>
      </w:pPr>
      <w:r w:rsidRPr="008F49E4">
        <w:rPr>
          <w:b/>
          <w:i/>
        </w:rPr>
        <w:t xml:space="preserve">Markedsmessig til turistnæringen </w:t>
      </w:r>
    </w:p>
    <w:p w:rsidR="004665E9" w:rsidRPr="008F49E4" w:rsidRDefault="004665E9" w:rsidP="00BF2078">
      <w:pPr>
        <w:numPr>
          <w:ilvl w:val="0"/>
          <w:numId w:val="8"/>
        </w:numPr>
        <w:rPr>
          <w:b/>
          <w:i/>
        </w:rPr>
      </w:pPr>
      <w:r w:rsidRPr="008F49E4">
        <w:rPr>
          <w:b/>
          <w:i/>
        </w:rPr>
        <w:t xml:space="preserve">Bygningsmessig </w:t>
      </w:r>
    </w:p>
    <w:p w:rsidR="002A7207" w:rsidRPr="005A4626" w:rsidRDefault="002A7207" w:rsidP="004665E9"/>
    <w:p w:rsidR="00387B5C" w:rsidRPr="005A4626" w:rsidRDefault="007F781A" w:rsidP="004665E9">
      <w:r w:rsidRPr="007F781A">
        <w:t xml:space="preserve">Innledningsvis, når det gjelder vurdering av samarbeid med andre museer, som f.eks Frammuseet, Sjøfartsmuseet og </w:t>
      </w:r>
      <w:proofErr w:type="spellStart"/>
      <w:r w:rsidRPr="007F781A">
        <w:t>Kon-Tiki</w:t>
      </w:r>
      <w:r w:rsidR="005A4626">
        <w:t>-</w:t>
      </w:r>
      <w:r w:rsidRPr="007F781A">
        <w:t>museet</w:t>
      </w:r>
      <w:proofErr w:type="spellEnd"/>
      <w:r w:rsidRPr="007F781A">
        <w:t xml:space="preserve">, </w:t>
      </w:r>
      <w:r w:rsidR="00081C78">
        <w:t xml:space="preserve">har ikke KHM og disse museene </w:t>
      </w:r>
      <w:r w:rsidRPr="007F781A">
        <w:t>sammenfallende mål for kulturhistorieformidlin</w:t>
      </w:r>
      <w:r w:rsidR="00081C78">
        <w:t>g eller forskningsvirksomhet tilsvarende konstellasjoner</w:t>
      </w:r>
      <w:r w:rsidRPr="007F781A">
        <w:t xml:space="preserve"> </w:t>
      </w:r>
      <w:r w:rsidR="00081C78">
        <w:t xml:space="preserve">KHM og </w:t>
      </w:r>
      <w:r w:rsidRPr="007F781A">
        <w:t xml:space="preserve">Norsk folkemuseum eller </w:t>
      </w:r>
      <w:r w:rsidR="00081C78">
        <w:t xml:space="preserve">KHM og </w:t>
      </w:r>
      <w:r w:rsidRPr="007F781A">
        <w:t>Naturhistorisk museum</w:t>
      </w:r>
      <w:r w:rsidR="004D7745">
        <w:t xml:space="preserve"> (NHM)</w:t>
      </w:r>
      <w:r w:rsidRPr="007F781A">
        <w:t xml:space="preserve">. Frammuseet, Sjøfartsmuseet og Kon-Tikimuseet vektlegger formidling av utvalgte temaer og historiske hendelser for en begrenset tidsepoke, og forholder seg i mindre grad til forskning og formidling av natur- og kulturhistorie i et lengre historisk tidsperspektiv. KHM har i enkelte sammenhenger hatt forskningssamarbeid med </w:t>
      </w:r>
      <w:proofErr w:type="spellStart"/>
      <w:r w:rsidRPr="007F781A">
        <w:t>Kon-Tiki</w:t>
      </w:r>
      <w:r w:rsidR="005A4626">
        <w:t>-</w:t>
      </w:r>
      <w:r w:rsidRPr="007F781A">
        <w:t>museet</w:t>
      </w:r>
      <w:proofErr w:type="spellEnd"/>
      <w:r w:rsidRPr="007F781A">
        <w:t xml:space="preserve">, og det </w:t>
      </w:r>
      <w:r w:rsidR="004D7745">
        <w:t>er også</w:t>
      </w:r>
      <w:r w:rsidRPr="007F781A">
        <w:t xml:space="preserve"> muligheter </w:t>
      </w:r>
      <w:r w:rsidR="004D7745">
        <w:t xml:space="preserve">for </w:t>
      </w:r>
      <w:r w:rsidRPr="007F781A">
        <w:t xml:space="preserve">forsknings- og formidlingssamarbeid med Norsk sjøfartsmuseum og Frammuseet i fremtiden. Et slikt samarbeid vil imidlertid begrenses til mindre fagområder, og kun være interessant for enkeltprosjekter. Samarbeid med ovennevnte museer </w:t>
      </w:r>
      <w:r w:rsidR="005A4626">
        <w:t>når det gjelder</w:t>
      </w:r>
      <w:r w:rsidRPr="007F781A">
        <w:t xml:space="preserve"> formidling til skole, eller administrativt samarbeid vil være mulig, men dette vil ikke være av en slik interesse at det er grunnlag for utredning av alternativer for samarbeid. </w:t>
      </w:r>
      <w:r w:rsidRPr="007F781A">
        <w:br/>
      </w:r>
    </w:p>
    <w:p w:rsidR="00280CFC" w:rsidRPr="005A4626" w:rsidRDefault="00E8284A" w:rsidP="004665E9">
      <w:r>
        <w:t>Norsk folkemuseum og Naturhistorisk museum</w:t>
      </w:r>
      <w:r w:rsidR="00BC3AEA">
        <w:t xml:space="preserve"> er</w:t>
      </w:r>
      <w:r>
        <w:t xml:space="preserve"> </w:t>
      </w:r>
      <w:r w:rsidR="000D4FE7">
        <w:t>valgt ut</w:t>
      </w:r>
      <w:r w:rsidR="004E4E82">
        <w:t xml:space="preserve"> fra en totalvurdering</w:t>
      </w:r>
      <w:r w:rsidR="00845C75">
        <w:t xml:space="preserve"> mht samarbeidsmuligheter </w:t>
      </w:r>
      <w:r w:rsidR="00BC3AEA">
        <w:t>innen forskning og formidling. I alternativanalysen er det som kvalitetssikrer påpeker, ikke utarbeidet en strukturert oversikt over behov og muligheter for samarbeid med andre museer.</w:t>
      </w:r>
      <w:r w:rsidR="003F4AD1">
        <w:t xml:space="preserve"> Samarbeid mellom KHM og Norsk folkemuseum</w:t>
      </w:r>
      <w:r w:rsidR="00081C78">
        <w:t xml:space="preserve"> og Naturhistorisk museum både mht</w:t>
      </w:r>
      <w:r w:rsidR="00DA659F">
        <w:t xml:space="preserve"> forskning og formidling</w:t>
      </w:r>
      <w:r w:rsidR="004D7745">
        <w:t>,</w:t>
      </w:r>
      <w:r w:rsidR="00DA659F">
        <w:t xml:space="preserve"> vil etter vår vurdering</w:t>
      </w:r>
      <w:r w:rsidR="008C1936">
        <w:t xml:space="preserve"> ikke direkte </w:t>
      </w:r>
      <w:r w:rsidR="00DA659F">
        <w:t xml:space="preserve">kunne </w:t>
      </w:r>
      <w:r w:rsidR="008C1936">
        <w:t>kvantifiseres og/eller</w:t>
      </w:r>
      <w:r w:rsidR="003F4AD1">
        <w:t xml:space="preserve"> sa</w:t>
      </w:r>
      <w:r w:rsidR="00797059">
        <w:t xml:space="preserve">mmenlignes ettersom konseptene </w:t>
      </w:r>
      <w:r w:rsidR="00DA659F">
        <w:t>er forskjellige. For eksempel</w:t>
      </w:r>
      <w:r w:rsidR="003F4AD1">
        <w:t xml:space="preserve"> vil samarbeid på formidling</w:t>
      </w:r>
      <w:r w:rsidR="00797059">
        <w:t>ssiden me</w:t>
      </w:r>
      <w:r w:rsidR="00DA659F">
        <w:t>d Norsk folkemuseum gi publikum</w:t>
      </w:r>
      <w:r w:rsidR="008C1936">
        <w:t xml:space="preserve"> </w:t>
      </w:r>
      <w:r w:rsidR="00EC227D">
        <w:t xml:space="preserve">tilgang til </w:t>
      </w:r>
      <w:r w:rsidR="00DA659F">
        <w:t xml:space="preserve">en sammenhengende </w:t>
      </w:r>
      <w:r w:rsidR="00797059">
        <w:t xml:space="preserve">kulturhistorie fra steinalder til nyere tid. Samarbeid med Naturhistorisk museum vil tilsvarende gi publikum anledning til å se kultur- og naturhistorie i </w:t>
      </w:r>
      <w:r w:rsidR="00081C78">
        <w:t xml:space="preserve">én og </w:t>
      </w:r>
      <w:r w:rsidR="00797059">
        <w:t>s</w:t>
      </w:r>
      <w:r w:rsidR="00EC227D">
        <w:t>amme kontekst</w:t>
      </w:r>
      <w:r w:rsidR="00797059">
        <w:t>.</w:t>
      </w:r>
      <w:r w:rsidR="00081C78">
        <w:t xml:space="preserve"> F</w:t>
      </w:r>
      <w:r w:rsidR="00EC227D">
        <w:t xml:space="preserve">or forskningen </w:t>
      </w:r>
      <w:r w:rsidR="00081C78">
        <w:t xml:space="preserve">vil det også </w:t>
      </w:r>
      <w:r w:rsidR="00EC227D">
        <w:t xml:space="preserve">være </w:t>
      </w:r>
      <w:r w:rsidR="008C1936">
        <w:t xml:space="preserve">ulike </w:t>
      </w:r>
      <w:r w:rsidR="00EC227D">
        <w:t xml:space="preserve">muligheter for </w:t>
      </w:r>
      <w:r w:rsidR="008C1936">
        <w:t xml:space="preserve">samarbeid i konstellasjonen KHM/Norsk folkemuseum og KHM/NHM.  Både når det gjelder formidling og forskning og </w:t>
      </w:r>
      <w:r w:rsidR="008C1936">
        <w:lastRenderedPageBreak/>
        <w:t xml:space="preserve">samarbeid med museene, har vi </w:t>
      </w:r>
      <w:r w:rsidR="00B00E50">
        <w:t xml:space="preserve">derfor </w:t>
      </w:r>
      <w:r w:rsidR="008C1936">
        <w:t xml:space="preserve">valgt å vurdere </w:t>
      </w:r>
      <w:r w:rsidR="008C1936" w:rsidRPr="005A4626">
        <w:t xml:space="preserve">mulighetene i </w:t>
      </w:r>
      <w:r w:rsidR="007F781A" w:rsidRPr="007F781A">
        <w:t>ikke- prissatte effekter i alternativanalysen.</w:t>
      </w:r>
    </w:p>
    <w:p w:rsidR="00280CFC" w:rsidRPr="005A4626" w:rsidRDefault="00280CFC" w:rsidP="004665E9"/>
    <w:p w:rsidR="00F92411" w:rsidRPr="005A4626" w:rsidRDefault="007F781A" w:rsidP="004665E9">
      <w:r w:rsidRPr="007F781A">
        <w:t>Når det gjelder organisatoriske forhold, har vi som påpekt i kap. 2.1 Konsept og alternativer i Alternativanalysen</w:t>
      </w:r>
      <w:r w:rsidR="005A4626">
        <w:t>,</w:t>
      </w:r>
      <w:r w:rsidRPr="007F781A">
        <w:t xml:space="preserve"> ikke gått nærmere inn i vurderinger om organisatoriske endringer som følge av samarbeid og samlokalisering. Vi har imidlertid diskutert muligheter for eventuell sammenslåing av KHM og Norsk folkemuseum med direktør ved </w:t>
      </w:r>
      <w:r w:rsidR="00986FFA">
        <w:t>F</w:t>
      </w:r>
      <w:r w:rsidRPr="007F781A">
        <w:t>o</w:t>
      </w:r>
      <w:r w:rsidR="00081C78">
        <w:t>lkemuseet, som igjen har diskutert problemstillingen med stiftelsens styre, som</w:t>
      </w:r>
      <w:r w:rsidRPr="007F781A">
        <w:t xml:space="preserve"> vil still</w:t>
      </w:r>
      <w:r w:rsidR="00C55816">
        <w:t>e seg positiv til dette. For KHM</w:t>
      </w:r>
      <w:r w:rsidRPr="007F781A">
        <w:t xml:space="preserve"> vil prosessen stille seg annerledes ettersom en orga</w:t>
      </w:r>
      <w:r w:rsidR="00081C78">
        <w:t>nisasjonsendring må vedtas av Ui</w:t>
      </w:r>
      <w:r w:rsidRPr="007F781A">
        <w:t xml:space="preserve">O og Kunnskapsdepartementet.   </w:t>
      </w:r>
    </w:p>
    <w:p w:rsidR="00373462" w:rsidRPr="005A4626" w:rsidRDefault="00373462" w:rsidP="004665E9"/>
    <w:p w:rsidR="00373462" w:rsidRPr="005A4626" w:rsidRDefault="007F781A" w:rsidP="004665E9">
      <w:r w:rsidRPr="007F781A">
        <w:t xml:space="preserve">Vedrørende markedsmessige forhold, vises det til vedlegg 3 som gir en oversikt over Kulturhistorisk museums markedsføringstiltak overfor ulike aktører. Samlokaliseringsalternativene vil med stor sannsynlighet gi stordriftfordeler, </w:t>
      </w:r>
      <w:r w:rsidR="00777030">
        <w:t>men</w:t>
      </w:r>
      <w:r w:rsidRPr="007F781A">
        <w:t xml:space="preserve"> disse er </w:t>
      </w:r>
      <w:r w:rsidR="00777030">
        <w:t xml:space="preserve">ikke </w:t>
      </w:r>
      <w:r w:rsidRPr="007F781A">
        <w:t xml:space="preserve">tallfestet.  </w:t>
      </w:r>
    </w:p>
    <w:p w:rsidR="00E0248D" w:rsidRPr="005A4626" w:rsidRDefault="00E0248D" w:rsidP="004665E9"/>
    <w:p w:rsidR="00E0248D" w:rsidRPr="005A4626" w:rsidRDefault="007F781A" w:rsidP="004665E9">
      <w:r w:rsidRPr="007F781A">
        <w:t xml:space="preserve">Bygningsmessig vil samlokalisering på Tøyen gi muligheter for samarbeid på utstillingssiden, og i alternativanalysen er det forutsatt at lokaler til temporære utstillinger også skal kunne benyttes av Naturhistorisk museum. For samlokalisering med Norsk folkemuseum, forutsettes det at flere av folkemuseets bygninger renoveres og tas i bruk av KHM. I dette oppsettet har vi kun regnet inn bygg som må renoveres for KHMs virksomhet i den samfunnsøkonomiske analysen.  På sikt må disse byggene uansett renoveres, men denne gevinsten er ikke tatt inn i vurderingen.   </w:t>
      </w:r>
    </w:p>
    <w:p w:rsidR="00966505" w:rsidRDefault="00966505"/>
    <w:p w:rsidR="000C53FC" w:rsidRPr="000C53FC" w:rsidRDefault="000C53FC">
      <w:pPr>
        <w:rPr>
          <w:b/>
        </w:rPr>
      </w:pPr>
      <w:r w:rsidRPr="000C53FC">
        <w:rPr>
          <w:b/>
        </w:rPr>
        <w:t>2.3 Behovet for samlokalisering av enheter innenfor Kulturhistorisk muse</w:t>
      </w:r>
      <w:r>
        <w:rPr>
          <w:b/>
        </w:rPr>
        <w:t>u</w:t>
      </w:r>
      <w:r w:rsidRPr="000C53FC">
        <w:rPr>
          <w:b/>
        </w:rPr>
        <w:t>m</w:t>
      </w:r>
    </w:p>
    <w:p w:rsidR="0096795C" w:rsidRPr="00986FFA" w:rsidRDefault="003634D3" w:rsidP="0096795C">
      <w:r>
        <w:t>Se vedlagte fremstilling fra Universitetet i Oslo, over hvilke deler</w:t>
      </w:r>
      <w:r w:rsidR="000C53FC">
        <w:t xml:space="preserve"> av museet som må </w:t>
      </w:r>
      <w:r w:rsidR="000C53FC" w:rsidRPr="00986FFA">
        <w:t>samlokaliseres og hvilke funksjoner som bør samlokali</w:t>
      </w:r>
      <w:r w:rsidR="00095AA6" w:rsidRPr="00986FFA">
        <w:t>seres (vedlegg 4)</w:t>
      </w:r>
      <w:r w:rsidR="00A86FA3" w:rsidRPr="00986FFA">
        <w:t xml:space="preserve">. </w:t>
      </w:r>
      <w:r w:rsidR="0096795C" w:rsidRPr="00986FFA">
        <w:t xml:space="preserve">Dette vil ifølge Kulturhistorisk museum ha følgende konsekvenser: </w:t>
      </w:r>
    </w:p>
    <w:p w:rsidR="0096795C" w:rsidRPr="00986FFA" w:rsidRDefault="0096795C" w:rsidP="0096795C"/>
    <w:p w:rsidR="0096795C" w:rsidRPr="00986FFA" w:rsidRDefault="007F781A" w:rsidP="0096795C">
      <w:pPr>
        <w:rPr>
          <w:b/>
        </w:rPr>
      </w:pPr>
      <w:r w:rsidRPr="007F781A">
        <w:rPr>
          <w:b/>
        </w:rPr>
        <w:t>Økonomiske konsekvenser (angitt monetært med transparent begrunnelse)</w:t>
      </w:r>
    </w:p>
    <w:p w:rsidR="0096795C" w:rsidRPr="00986FFA" w:rsidRDefault="007F781A" w:rsidP="0096795C">
      <w:r w:rsidRPr="007F781A">
        <w:t>Museet har estimert at 2/</w:t>
      </w:r>
      <w:r w:rsidR="00694184">
        <w:t>3 eksterne magasiner vil kreve tre</w:t>
      </w:r>
      <w:r w:rsidRPr="007F781A">
        <w:t xml:space="preserve"> ekstra årsverk. Dette omfatter:</w:t>
      </w:r>
    </w:p>
    <w:p w:rsidR="0096795C" w:rsidRPr="00986FFA" w:rsidRDefault="007F781A" w:rsidP="0096795C">
      <w:pPr>
        <w:numPr>
          <w:ilvl w:val="0"/>
          <w:numId w:val="10"/>
        </w:numPr>
      </w:pPr>
      <w:r w:rsidRPr="007F781A">
        <w:t xml:space="preserve">Vakthold og tilsyn med magasinet </w:t>
      </w:r>
    </w:p>
    <w:p w:rsidR="0096795C" w:rsidRPr="00986FFA" w:rsidRDefault="007F781A" w:rsidP="0096795C">
      <w:pPr>
        <w:numPr>
          <w:ilvl w:val="0"/>
          <w:numId w:val="10"/>
        </w:numPr>
      </w:pPr>
      <w:r w:rsidRPr="007F781A">
        <w:t xml:space="preserve">Magasinforvalter og konservators merarbeid med reising, pakking, sterilisering og transport av gjenstander. </w:t>
      </w:r>
    </w:p>
    <w:p w:rsidR="0096795C" w:rsidRPr="00986FFA" w:rsidRDefault="007F781A" w:rsidP="0096795C">
      <w:pPr>
        <w:numPr>
          <w:ilvl w:val="0"/>
          <w:numId w:val="10"/>
        </w:numPr>
      </w:pPr>
      <w:r w:rsidRPr="007F781A">
        <w:t xml:space="preserve">Håndtering av store gjenstander vil ofte kreve to personer </w:t>
      </w:r>
    </w:p>
    <w:p w:rsidR="00A42FCA" w:rsidRPr="00986FFA" w:rsidRDefault="007F781A" w:rsidP="0096795C">
      <w:pPr>
        <w:numPr>
          <w:ilvl w:val="0"/>
          <w:numId w:val="10"/>
        </w:numPr>
      </w:pPr>
      <w:r w:rsidRPr="007F781A">
        <w:t xml:space="preserve">Merarbeid i forbindelse med forskning og utstillingsproduksjon </w:t>
      </w:r>
    </w:p>
    <w:p w:rsidR="00A42FCA" w:rsidRPr="00986FFA" w:rsidRDefault="007F781A" w:rsidP="0096795C">
      <w:pPr>
        <w:numPr>
          <w:ilvl w:val="0"/>
          <w:numId w:val="10"/>
        </w:numPr>
      </w:pPr>
      <w:r w:rsidRPr="007F781A">
        <w:t>Ekstraarbeid i forbindelse med omvisning i magasinene</w:t>
      </w:r>
    </w:p>
    <w:p w:rsidR="0096795C" w:rsidRPr="00986FFA" w:rsidRDefault="007F781A" w:rsidP="0096795C">
      <w:pPr>
        <w:numPr>
          <w:ilvl w:val="0"/>
          <w:numId w:val="10"/>
        </w:numPr>
      </w:pPr>
      <w:r w:rsidRPr="007F781A">
        <w:t>Museets administrasjon vil likeledes få merarbeid</w:t>
      </w:r>
    </w:p>
    <w:p w:rsidR="0096795C" w:rsidRPr="00986FFA" w:rsidRDefault="0096795C" w:rsidP="0096795C"/>
    <w:p w:rsidR="0096795C" w:rsidRPr="00986FFA" w:rsidRDefault="007F781A" w:rsidP="0096795C">
      <w:r w:rsidRPr="007F781A">
        <w:t>I tillegg er det kalkulert med en årlig ekstrautgift på 200.000 kr</w:t>
      </w:r>
      <w:r w:rsidR="00986FFA">
        <w:t>oner</w:t>
      </w:r>
      <w:r w:rsidRPr="007F781A">
        <w:t xml:space="preserve"> for å dekke utgifter til transport</w:t>
      </w:r>
      <w:r w:rsidR="00986FFA">
        <w:t>,</w:t>
      </w:r>
      <w:r w:rsidRPr="007F781A">
        <w:t xml:space="preserve"> bl.a. en bil til transport av gjenstander. Transportkasser og pakkemateriale og diverse utstyr må </w:t>
      </w:r>
      <w:r w:rsidR="00986FFA">
        <w:t xml:space="preserve">også </w:t>
      </w:r>
      <w:r w:rsidRPr="007F781A">
        <w:t xml:space="preserve">dubleres. </w:t>
      </w:r>
    </w:p>
    <w:p w:rsidR="0096795C" w:rsidRPr="00986FFA" w:rsidRDefault="0096795C" w:rsidP="0096795C">
      <w:pPr>
        <w:rPr>
          <w:b/>
        </w:rPr>
      </w:pPr>
    </w:p>
    <w:p w:rsidR="0096795C" w:rsidRPr="00986FFA" w:rsidRDefault="007F781A" w:rsidP="0096795C">
      <w:pPr>
        <w:rPr>
          <w:b/>
        </w:rPr>
      </w:pPr>
      <w:r w:rsidRPr="007F781A">
        <w:rPr>
          <w:b/>
        </w:rPr>
        <w:lastRenderedPageBreak/>
        <w:t>Formidlingsmessige konsekvenser (ikke dekt av økonomiske konsekvenser)</w:t>
      </w:r>
    </w:p>
    <w:p w:rsidR="0096795C" w:rsidRPr="00986FFA" w:rsidRDefault="007F781A" w:rsidP="0096795C">
      <w:r w:rsidRPr="007F781A">
        <w:t xml:space="preserve">Lokalisering av 2/3 av magasinene eksternt har små konsekvenser for formidlingen. Når publikum ønsker å se en spesiell gjenstand i magasinet blir dette mer krevende både for museet og den besøkende. Antall personer som ønsker å se gjenstander i magasinene vil kanskje øke etter hvert som gjenstandene blir mer kjent gjennom åpne databaser med bilder og opplysninger om gjenstandene. </w:t>
      </w:r>
    </w:p>
    <w:p w:rsidR="00A42FCA" w:rsidRPr="00986FFA" w:rsidRDefault="00A42FCA" w:rsidP="0096795C"/>
    <w:p w:rsidR="0096795C" w:rsidRPr="00986FFA" w:rsidRDefault="007F781A" w:rsidP="0096795C">
      <w:pPr>
        <w:rPr>
          <w:b/>
        </w:rPr>
      </w:pPr>
      <w:r w:rsidRPr="007F781A">
        <w:rPr>
          <w:b/>
        </w:rPr>
        <w:t>Sikkerhetskonsekvenser (ikke dekt av økonomiske konsekvenser)</w:t>
      </w:r>
    </w:p>
    <w:p w:rsidR="0096795C" w:rsidRPr="00986FFA" w:rsidRDefault="007F781A" w:rsidP="0096795C">
      <w:r w:rsidRPr="007F781A">
        <w:t>Lokalisering av 2/3 av magasinene eksternt kan redusere sikkerheten for gjenstandene, ettersom pakking og transport av gjenstander medfører en risiko for skade. Gjenstander som har vært ute av magasinet må ”steriliseres” ved oppvarming eller frysing før det kan settes tilbake i magasinet. Denne prosessen med</w:t>
      </w:r>
      <w:r w:rsidR="00081C78">
        <w:t>fører en risiko for skade</w:t>
      </w:r>
      <w:r w:rsidRPr="007F781A">
        <w:t>.</w:t>
      </w:r>
    </w:p>
    <w:p w:rsidR="00A42FCA" w:rsidRPr="00986FFA" w:rsidRDefault="00A42FCA" w:rsidP="0096795C">
      <w:pPr>
        <w:rPr>
          <w:b/>
        </w:rPr>
      </w:pPr>
    </w:p>
    <w:p w:rsidR="0096795C" w:rsidRPr="00986FFA" w:rsidRDefault="007F781A" w:rsidP="0096795C">
      <w:pPr>
        <w:rPr>
          <w:b/>
        </w:rPr>
      </w:pPr>
      <w:r w:rsidRPr="007F781A">
        <w:rPr>
          <w:b/>
        </w:rPr>
        <w:t>Andre konsekvenser (ikke dekt av økonomiske konsekvenser)</w:t>
      </w:r>
    </w:p>
    <w:p w:rsidR="0096795C" w:rsidRPr="00986FFA" w:rsidRDefault="00081C78" w:rsidP="0096795C">
      <w:r>
        <w:t xml:space="preserve">Forskere som oppholder seg i </w:t>
      </w:r>
      <w:r w:rsidR="007F781A" w:rsidRPr="007F781A">
        <w:t>ekster</w:t>
      </w:r>
      <w:r>
        <w:t>nt magasin er isolert fra</w:t>
      </w:r>
      <w:r w:rsidR="007F781A" w:rsidRPr="007F781A">
        <w:t xml:space="preserve"> </w:t>
      </w:r>
      <w:r>
        <w:t xml:space="preserve">det øvrige </w:t>
      </w:r>
      <w:r w:rsidR="007F781A" w:rsidRPr="007F781A">
        <w:t>museet. De kan ikke gå i tilstøtende bibliotek for å hente opplysninger eller drøfte funn med kollegaer. Det kan også være problematisk med eksterne forskere i et ubemannet magasin. Ved korte forskningsoppdrag må de følges av en magasinforvalter og ved større forskningsoppgaver må gjenstandene flyttes til museet.</w:t>
      </w:r>
    </w:p>
    <w:p w:rsidR="000C53FC" w:rsidRDefault="000C53FC"/>
    <w:p w:rsidR="000C53FC" w:rsidRDefault="000C53FC">
      <w:pPr>
        <w:rPr>
          <w:b/>
        </w:rPr>
      </w:pPr>
      <w:r w:rsidRPr="000C53FC">
        <w:rPr>
          <w:b/>
        </w:rPr>
        <w:t xml:space="preserve">2.4 Internasjonale erfaringer (formidling, forskning og arkitektur) </w:t>
      </w:r>
    </w:p>
    <w:p w:rsidR="003708C2" w:rsidRDefault="00D86323">
      <w:pPr>
        <w:rPr>
          <w:b/>
          <w:i/>
        </w:rPr>
      </w:pPr>
      <w:r w:rsidRPr="00D86323">
        <w:rPr>
          <w:b/>
          <w:i/>
        </w:rPr>
        <w:t xml:space="preserve">Hvilke internasjonale referanseprosjekter har vært studert, og hvilke relevante erfaringer er gjort med mht eksempelvis organisering, formidling, forskning, arealdisponering, integrasjon av ny og gammel arkitektur.  </w:t>
      </w:r>
    </w:p>
    <w:p w:rsidR="0094674A" w:rsidRDefault="0094674A" w:rsidP="00D86323"/>
    <w:p w:rsidR="00D86323" w:rsidRPr="00986FFA" w:rsidRDefault="007F781A" w:rsidP="00D86323">
      <w:r w:rsidRPr="007F781A">
        <w:t>KHM (prosjektledelse/ledergruppe m.fl.) har gjennomført flere studieturer i utlandet for å se på ulike museer for å få ideer til planleggingen av nytt museum, se vedlagte list</w:t>
      </w:r>
      <w:r w:rsidR="0094674A">
        <w:t xml:space="preserve">e over besøkte museer (vedlegg 5 og 6) og befaringsrapporter. </w:t>
      </w:r>
    </w:p>
    <w:p w:rsidR="00D86323" w:rsidRPr="00986FFA" w:rsidRDefault="00D86323" w:rsidP="00D86323"/>
    <w:p w:rsidR="00D86323" w:rsidRPr="00986FFA" w:rsidRDefault="007F781A" w:rsidP="00D86323">
      <w:pPr>
        <w:rPr>
          <w:b/>
        </w:rPr>
      </w:pPr>
      <w:r w:rsidRPr="007F781A">
        <w:rPr>
          <w:b/>
        </w:rPr>
        <w:t xml:space="preserve">Organisering </w:t>
      </w:r>
    </w:p>
    <w:p w:rsidR="00D86323" w:rsidRPr="00986FFA" w:rsidRDefault="007F781A" w:rsidP="00D86323">
      <w:r w:rsidRPr="007F781A">
        <w:t xml:space="preserve">KHM har ved etableringen i 1999 funnet en form, både som egen enhet og som en enhet ved universitetet som fungerer godt. Det har derfor ikke vært fokusert særlig på hvordan ulike museer er organisert. </w:t>
      </w:r>
    </w:p>
    <w:p w:rsidR="00D86323" w:rsidRPr="00986FFA" w:rsidRDefault="00D86323" w:rsidP="00D86323"/>
    <w:p w:rsidR="00D86323" w:rsidRPr="00986FFA" w:rsidRDefault="007F781A" w:rsidP="00D86323">
      <w:pPr>
        <w:rPr>
          <w:b/>
        </w:rPr>
      </w:pPr>
      <w:r w:rsidRPr="007F781A">
        <w:rPr>
          <w:b/>
        </w:rPr>
        <w:t xml:space="preserve">Formidling </w:t>
      </w:r>
    </w:p>
    <w:p w:rsidR="00D86323" w:rsidRPr="00986FFA" w:rsidRDefault="007F781A" w:rsidP="00D86323">
      <w:r w:rsidRPr="007F781A">
        <w:t xml:space="preserve">Hovedfokus ved studiereisene har vært å se på utstillingskonsept, både generelt og </w:t>
      </w:r>
      <w:r w:rsidR="00081C78">
        <w:t xml:space="preserve">for </w:t>
      </w:r>
      <w:r w:rsidRPr="007F781A">
        <w:t>spesialiserte konsepter for bestemte grupper og virkemidler som har vært i utstillingene, samt andre virkemid</w:t>
      </w:r>
      <w:r w:rsidR="00081C78">
        <w:t>ler i formidlingen. Studier av åpne magasiner</w:t>
      </w:r>
      <w:r w:rsidRPr="007F781A">
        <w:t xml:space="preserve"> og museumsbutikker som e</w:t>
      </w:r>
      <w:r w:rsidR="00081C78">
        <w:t>n del av formidlingen er</w:t>
      </w:r>
      <w:r w:rsidRPr="007F781A">
        <w:t xml:space="preserve"> vektlagt i utformingen av nytt KHM. Konseptene Det flerkulturelle verksted, er hentet fra Tropenmuseet i Amsterdam, og Forskningslaboratoriet fra </w:t>
      </w:r>
      <w:proofErr w:type="spellStart"/>
      <w:r w:rsidRPr="007F781A">
        <w:t>Herne</w:t>
      </w:r>
      <w:proofErr w:type="spellEnd"/>
      <w:r w:rsidRPr="007F781A">
        <w:t xml:space="preserve"> i Tyskland</w:t>
      </w:r>
      <w:r w:rsidR="00081C78">
        <w:t>. Dette</w:t>
      </w:r>
      <w:r w:rsidRPr="007F781A">
        <w:t xml:space="preserve"> er eksempler </w:t>
      </w:r>
      <w:r w:rsidR="00184A11">
        <w:t>på konsepter</w:t>
      </w:r>
      <w:r w:rsidRPr="007F781A">
        <w:t xml:space="preserve"> som KHM ønsker å videreutvikle</w:t>
      </w:r>
      <w:r w:rsidR="009C5EE6">
        <w:t xml:space="preserve"> (vedlegg 6)</w:t>
      </w:r>
      <w:r w:rsidRPr="007F781A">
        <w:t xml:space="preserve">. </w:t>
      </w:r>
    </w:p>
    <w:p w:rsidR="00D86323" w:rsidRPr="00986FFA" w:rsidRDefault="00D86323" w:rsidP="00D86323">
      <w:pPr>
        <w:rPr>
          <w:szCs w:val="24"/>
        </w:rPr>
      </w:pPr>
    </w:p>
    <w:p w:rsidR="00D86323" w:rsidRPr="00986FFA" w:rsidRDefault="007F781A" w:rsidP="00D86323">
      <w:pPr>
        <w:rPr>
          <w:b/>
          <w:szCs w:val="24"/>
        </w:rPr>
      </w:pPr>
      <w:r w:rsidRPr="007F781A">
        <w:rPr>
          <w:b/>
          <w:szCs w:val="24"/>
        </w:rPr>
        <w:lastRenderedPageBreak/>
        <w:t xml:space="preserve">Forskning </w:t>
      </w:r>
    </w:p>
    <w:p w:rsidR="00D86323" w:rsidRPr="00986FFA" w:rsidRDefault="007F781A" w:rsidP="00D86323">
      <w:pPr>
        <w:rPr>
          <w:szCs w:val="24"/>
        </w:rPr>
      </w:pPr>
      <w:r w:rsidRPr="007F781A">
        <w:rPr>
          <w:szCs w:val="24"/>
        </w:rPr>
        <w:t>Forskningsaktiviteten er svært varierende ved museene som er studert; alt fra at det ikke drives egen forskning, til museer som er ansett som fremtredende forskningsinstitusjoner. Flere av museene initierer og genererer forskning uten at museet selv besitter all nødvendig vitenskapelig kompetanse. Andre får forskningsmidler som en del av egen finansiering, mens andre igjen satser på søknader fra nasjonale forskningsråd og fra EU. For KHM vil integr</w:t>
      </w:r>
      <w:r w:rsidR="00007C63">
        <w:rPr>
          <w:szCs w:val="24"/>
        </w:rPr>
        <w:t>eringen med universitetet sette</w:t>
      </w:r>
      <w:r w:rsidRPr="007F781A">
        <w:rPr>
          <w:szCs w:val="24"/>
        </w:rPr>
        <w:t xml:space="preserve"> rammer for forskn</w:t>
      </w:r>
      <w:r w:rsidR="00675D49">
        <w:rPr>
          <w:szCs w:val="24"/>
        </w:rPr>
        <w:t>ingen ved museet (jfr. p</w:t>
      </w:r>
      <w:r w:rsidR="007B4050">
        <w:rPr>
          <w:szCs w:val="24"/>
        </w:rPr>
        <w:t>rosess Faglig prioritering</w:t>
      </w:r>
      <w:r w:rsidR="00184A11">
        <w:rPr>
          <w:szCs w:val="24"/>
        </w:rPr>
        <w:t xml:space="preserve"> vedlegg i strategidokumentet). </w:t>
      </w:r>
      <w:r w:rsidRPr="007F781A">
        <w:rPr>
          <w:szCs w:val="24"/>
        </w:rPr>
        <w:t xml:space="preserve">For KHM er det viktig at det er en nær sammenheng mellom arkeologisk og antropologisk feltarbeid og datainnsamling, og forskning og bruken av det samme materialet i formidlingene, i form av for eksempel utstillinger. </w:t>
      </w:r>
    </w:p>
    <w:p w:rsidR="00D86323" w:rsidRPr="00986FFA" w:rsidRDefault="00D86323" w:rsidP="00D86323">
      <w:pPr>
        <w:rPr>
          <w:szCs w:val="24"/>
        </w:rPr>
      </w:pPr>
    </w:p>
    <w:p w:rsidR="00D86323" w:rsidRPr="00986FFA" w:rsidRDefault="007F781A" w:rsidP="00D86323">
      <w:pPr>
        <w:rPr>
          <w:b/>
          <w:szCs w:val="24"/>
        </w:rPr>
      </w:pPr>
      <w:r w:rsidRPr="007F781A">
        <w:rPr>
          <w:b/>
          <w:szCs w:val="24"/>
        </w:rPr>
        <w:t xml:space="preserve">Arealdisponering </w:t>
      </w:r>
    </w:p>
    <w:p w:rsidR="00B00E50" w:rsidRPr="00986FFA" w:rsidRDefault="007F781A" w:rsidP="00D86323">
      <w:pPr>
        <w:rPr>
          <w:szCs w:val="24"/>
        </w:rPr>
      </w:pPr>
      <w:r w:rsidRPr="007F781A">
        <w:rPr>
          <w:szCs w:val="24"/>
        </w:rPr>
        <w:t>Romprogrammet for KHM er langt på vei utarbeidet på basis av de erfaringer som er innhentet gjennom studiereiser, seminarer og konferanser og samarbeid med andre museer.  Dette gjelder både hvilken type arealer et moderne museum må ha, og størrelsen på disse.</w:t>
      </w:r>
    </w:p>
    <w:p w:rsidR="00B00E50" w:rsidRPr="00986FFA" w:rsidRDefault="00B00E50" w:rsidP="00D86323">
      <w:pPr>
        <w:rPr>
          <w:szCs w:val="24"/>
        </w:rPr>
      </w:pPr>
    </w:p>
    <w:p w:rsidR="00D86323" w:rsidRPr="00986FFA" w:rsidRDefault="007F781A" w:rsidP="00D86323">
      <w:pPr>
        <w:rPr>
          <w:b/>
          <w:szCs w:val="24"/>
        </w:rPr>
      </w:pPr>
      <w:r w:rsidRPr="007F781A">
        <w:rPr>
          <w:b/>
          <w:szCs w:val="24"/>
        </w:rPr>
        <w:t>Integrasjon av ny og gammel arkitektur</w:t>
      </w:r>
    </w:p>
    <w:p w:rsidR="00D86323" w:rsidRPr="00986FFA" w:rsidRDefault="007F781A" w:rsidP="006149EB">
      <w:pPr>
        <w:rPr>
          <w:szCs w:val="24"/>
        </w:rPr>
      </w:pPr>
      <w:r w:rsidRPr="007F781A">
        <w:rPr>
          <w:szCs w:val="24"/>
        </w:rPr>
        <w:t xml:space="preserve">De fleste av museene KHM har studert er nyere museer. Eksempler på samvirke mellom gammel og nye arkitektur som er observert i utlandet, viser dristighet til å binde sammen gammelt og nytt i spennende kontraster, men dette er ikke vurdert i forhold til f.eks utbygging og nybygg </w:t>
      </w:r>
      <w:r w:rsidR="007B4050">
        <w:rPr>
          <w:szCs w:val="24"/>
        </w:rPr>
        <w:t>i tilknytning til</w:t>
      </w:r>
      <w:r w:rsidRPr="007F781A">
        <w:rPr>
          <w:szCs w:val="24"/>
        </w:rPr>
        <w:t xml:space="preserve"> Vikingskipshuset.  </w:t>
      </w:r>
    </w:p>
    <w:p w:rsidR="000C53FC" w:rsidRPr="00986FFA" w:rsidRDefault="000C53FC">
      <w:pPr>
        <w:rPr>
          <w:b/>
          <w:szCs w:val="24"/>
        </w:rPr>
      </w:pPr>
    </w:p>
    <w:p w:rsidR="000C53FC" w:rsidRPr="00986FFA" w:rsidRDefault="007F781A">
      <w:pPr>
        <w:rPr>
          <w:b/>
          <w:szCs w:val="24"/>
        </w:rPr>
      </w:pPr>
      <w:r w:rsidRPr="007F781A">
        <w:rPr>
          <w:b/>
          <w:szCs w:val="24"/>
        </w:rPr>
        <w:t xml:space="preserve">2.5 Forutsetninger for forbedret forskning </w:t>
      </w:r>
    </w:p>
    <w:p w:rsidR="00195D6C" w:rsidRPr="00986FFA" w:rsidRDefault="007F781A">
      <w:pPr>
        <w:rPr>
          <w:b/>
          <w:i/>
          <w:szCs w:val="24"/>
        </w:rPr>
      </w:pPr>
      <w:r w:rsidRPr="007F781A">
        <w:rPr>
          <w:b/>
          <w:i/>
          <w:szCs w:val="24"/>
        </w:rPr>
        <w:t xml:space="preserve">1. Hvordan er sammenhengen mellom forskning, formidling og forvaltning i den daglige driften av museet og hvilke viktige arbeidsprosesser knytter disse funksjonene sammen? </w:t>
      </w:r>
    </w:p>
    <w:p w:rsidR="0057238E" w:rsidRDefault="007F781A">
      <w:pPr>
        <w:rPr>
          <w:szCs w:val="24"/>
        </w:rPr>
      </w:pPr>
      <w:r w:rsidRPr="007F781A">
        <w:rPr>
          <w:szCs w:val="24"/>
        </w:rPr>
        <w:t xml:space="preserve">Jamfør </w:t>
      </w:r>
      <w:r w:rsidR="0057238E" w:rsidRPr="00986FFA">
        <w:rPr>
          <w:szCs w:val="24"/>
        </w:rPr>
        <w:t>ved</w:t>
      </w:r>
      <w:r w:rsidR="008E4022" w:rsidRPr="00986FFA">
        <w:rPr>
          <w:szCs w:val="24"/>
        </w:rPr>
        <w:t>legg</w:t>
      </w:r>
      <w:r w:rsidR="00694184">
        <w:rPr>
          <w:szCs w:val="24"/>
        </w:rPr>
        <w:t xml:space="preserve"> </w:t>
      </w:r>
      <w:r w:rsidR="007B4050">
        <w:rPr>
          <w:szCs w:val="24"/>
        </w:rPr>
        <w:t xml:space="preserve">7 </w:t>
      </w:r>
      <w:r w:rsidR="00896C04" w:rsidRPr="00896C04">
        <w:rPr>
          <w:szCs w:val="24"/>
        </w:rPr>
        <w:t xml:space="preserve">Kontaktskjema </w:t>
      </w:r>
      <w:r w:rsidR="00896C04">
        <w:rPr>
          <w:szCs w:val="24"/>
        </w:rPr>
        <w:t>med</w:t>
      </w:r>
      <w:r w:rsidR="0057238E" w:rsidRPr="00986FFA">
        <w:rPr>
          <w:szCs w:val="24"/>
        </w:rPr>
        <w:t xml:space="preserve"> beskrive</w:t>
      </w:r>
      <w:r w:rsidR="008E4022" w:rsidRPr="00986FFA">
        <w:rPr>
          <w:szCs w:val="24"/>
        </w:rPr>
        <w:t>lse av</w:t>
      </w:r>
      <w:r w:rsidR="0057238E" w:rsidRPr="00986FFA">
        <w:rPr>
          <w:szCs w:val="24"/>
        </w:rPr>
        <w:t xml:space="preserve"> arbeidsprosess</w:t>
      </w:r>
      <w:r w:rsidR="00896C04">
        <w:rPr>
          <w:szCs w:val="24"/>
        </w:rPr>
        <w:t xml:space="preserve"> som viser hvilke arbeidsoppgaver som utføres av ulike grupper ved museet. </w:t>
      </w:r>
      <w:r w:rsidR="0057238E" w:rsidRPr="00986FFA">
        <w:rPr>
          <w:szCs w:val="24"/>
        </w:rPr>
        <w:t xml:space="preserve"> </w:t>
      </w:r>
    </w:p>
    <w:p w:rsidR="00184A11" w:rsidRDefault="00184A11" w:rsidP="00462AA0">
      <w:pPr>
        <w:rPr>
          <w:szCs w:val="24"/>
        </w:rPr>
      </w:pPr>
    </w:p>
    <w:p w:rsidR="00462AA0" w:rsidRPr="00462AA0" w:rsidRDefault="00462AA0" w:rsidP="00462AA0">
      <w:pPr>
        <w:rPr>
          <w:szCs w:val="24"/>
        </w:rPr>
      </w:pPr>
      <w:r w:rsidRPr="00462AA0">
        <w:rPr>
          <w:szCs w:val="24"/>
        </w:rPr>
        <w:t>Det tas utgangspunkt i den arkeologiske virksomheten ved KHM da arkeologer utgjør ca. 83 % av de vitenskapeli</w:t>
      </w:r>
      <w:r w:rsidR="00675D49">
        <w:rPr>
          <w:szCs w:val="24"/>
        </w:rPr>
        <w:t>ge stillingene ved KHM. Største</w:t>
      </w:r>
      <w:r w:rsidRPr="00462AA0">
        <w:rPr>
          <w:szCs w:val="24"/>
        </w:rPr>
        <w:t>delen av den arkeologiske forskningen ved KHM springer ut av museets forvaltningsrolle med kulturminneloven som utgangspunkt. Museet gjennomfører omkring 70 arkeologiske utgravninger årlig, med samlet budsjett på omkring 50 mill. kroner (alt eksternt f</w:t>
      </w:r>
      <w:r w:rsidR="00184A11">
        <w:rPr>
          <w:szCs w:val="24"/>
        </w:rPr>
        <w:t>inansiert). KHM mottar også på s</w:t>
      </w:r>
      <w:r w:rsidRPr="00462AA0">
        <w:rPr>
          <w:szCs w:val="24"/>
        </w:rPr>
        <w:t xml:space="preserve">tatens vegne alle </w:t>
      </w:r>
      <w:r w:rsidR="00675D49">
        <w:rPr>
          <w:szCs w:val="24"/>
        </w:rPr>
        <w:t>funn/</w:t>
      </w:r>
      <w:r w:rsidRPr="00462AA0">
        <w:rPr>
          <w:szCs w:val="24"/>
        </w:rPr>
        <w:t>gjenstander fra forhistorisk tid og middelal</w:t>
      </w:r>
      <w:r w:rsidR="00675D49">
        <w:rPr>
          <w:szCs w:val="24"/>
        </w:rPr>
        <w:t>der (før 1537) fra</w:t>
      </w:r>
      <w:r w:rsidRPr="00462AA0">
        <w:rPr>
          <w:szCs w:val="24"/>
        </w:rPr>
        <w:t xml:space="preserve"> 10 av landets fylker; dels fra private finnere, dels fra fylkeskommunene. </w:t>
      </w:r>
    </w:p>
    <w:p w:rsidR="00462AA0" w:rsidRPr="00254373" w:rsidRDefault="00462AA0" w:rsidP="00462AA0">
      <w:pPr>
        <w:rPr>
          <w:szCs w:val="24"/>
        </w:rPr>
      </w:pPr>
      <w:r w:rsidRPr="00462AA0">
        <w:rPr>
          <w:szCs w:val="24"/>
        </w:rPr>
        <w:t>Det som bringes fram av nytt kildemateriale gjennom museets fo</w:t>
      </w:r>
      <w:r w:rsidR="00184A11">
        <w:rPr>
          <w:szCs w:val="24"/>
        </w:rPr>
        <w:t>rvaltningsvirksom</w:t>
      </w:r>
      <w:r w:rsidR="00675D49">
        <w:rPr>
          <w:szCs w:val="24"/>
        </w:rPr>
        <w:t xml:space="preserve">het har garantert </w:t>
      </w:r>
      <w:r w:rsidR="00A40320">
        <w:rPr>
          <w:szCs w:val="24"/>
        </w:rPr>
        <w:t>forsknings</w:t>
      </w:r>
      <w:r w:rsidR="00675D49">
        <w:rPr>
          <w:szCs w:val="24"/>
        </w:rPr>
        <w:t xml:space="preserve">finansiering </w:t>
      </w:r>
      <w:r w:rsidR="00184A11">
        <w:rPr>
          <w:szCs w:val="24"/>
        </w:rPr>
        <w:t xml:space="preserve">frem til </w:t>
      </w:r>
      <w:r w:rsidRPr="00254373">
        <w:rPr>
          <w:szCs w:val="24"/>
        </w:rPr>
        <w:t xml:space="preserve">rapporteringsfase. </w:t>
      </w:r>
      <w:r w:rsidR="00675D49">
        <w:rPr>
          <w:szCs w:val="24"/>
        </w:rPr>
        <w:t>V</w:t>
      </w:r>
      <w:r w:rsidR="00184A11">
        <w:rPr>
          <w:szCs w:val="24"/>
        </w:rPr>
        <w:t>idere f</w:t>
      </w:r>
      <w:r w:rsidRPr="00254373">
        <w:rPr>
          <w:szCs w:val="24"/>
        </w:rPr>
        <w:t>orskning e</w:t>
      </w:r>
      <w:r w:rsidR="00675D49">
        <w:rPr>
          <w:szCs w:val="24"/>
        </w:rPr>
        <w:t xml:space="preserve">r </w:t>
      </w:r>
      <w:r w:rsidR="00184A11">
        <w:rPr>
          <w:szCs w:val="24"/>
        </w:rPr>
        <w:t>avhengig av</w:t>
      </w:r>
      <w:r>
        <w:rPr>
          <w:szCs w:val="24"/>
        </w:rPr>
        <w:t xml:space="preserve"> innhenting av eksterne midler for</w:t>
      </w:r>
      <w:r w:rsidRPr="00254373">
        <w:rPr>
          <w:szCs w:val="24"/>
        </w:rPr>
        <w:t xml:space="preserve"> </w:t>
      </w:r>
      <w:r>
        <w:rPr>
          <w:szCs w:val="24"/>
        </w:rPr>
        <w:t>oppfølging av</w:t>
      </w:r>
      <w:r w:rsidR="00675D49">
        <w:rPr>
          <w:szCs w:val="24"/>
        </w:rPr>
        <w:t xml:space="preserve"> forskningspotensial</w:t>
      </w:r>
      <w:r w:rsidRPr="00254373">
        <w:rPr>
          <w:szCs w:val="24"/>
        </w:rPr>
        <w:t xml:space="preserve"> som ligger i mange av forvaltningsundersøkelsene. Museets egne fast ansatte i vitenskapelige stilinger tar selv del i forskning knyttet til </w:t>
      </w:r>
      <w:proofErr w:type="spellStart"/>
      <w:r w:rsidRPr="00254373">
        <w:rPr>
          <w:szCs w:val="24"/>
        </w:rPr>
        <w:t>KHMs</w:t>
      </w:r>
      <w:proofErr w:type="spellEnd"/>
      <w:r w:rsidRPr="00254373">
        <w:rPr>
          <w:szCs w:val="24"/>
        </w:rPr>
        <w:t xml:space="preserve"> kildemateriale, dels ved å bruke materiale oppsamlet gjennom hele museets historie i magasiner og utstillinger, </w:t>
      </w:r>
      <w:r w:rsidRPr="00254373">
        <w:rPr>
          <w:szCs w:val="24"/>
        </w:rPr>
        <w:lastRenderedPageBreak/>
        <w:t>dels gj</w:t>
      </w:r>
      <w:r w:rsidR="00675D49">
        <w:rPr>
          <w:szCs w:val="24"/>
        </w:rPr>
        <w:t>ennom å generere egne forskningsundersøkelser,</w:t>
      </w:r>
      <w:r w:rsidRPr="00254373">
        <w:rPr>
          <w:szCs w:val="24"/>
        </w:rPr>
        <w:t xml:space="preserve"> og dels ved å delta i forskningen i etterkant av forvaltningsundersøkelser.</w:t>
      </w:r>
    </w:p>
    <w:p w:rsidR="00462AA0" w:rsidRPr="00254373" w:rsidRDefault="00462AA0" w:rsidP="00462AA0">
      <w:pPr>
        <w:rPr>
          <w:szCs w:val="24"/>
        </w:rPr>
      </w:pPr>
    </w:p>
    <w:p w:rsidR="00462AA0" w:rsidRPr="00462AA0" w:rsidRDefault="00462AA0" w:rsidP="00462AA0">
      <w:pPr>
        <w:rPr>
          <w:szCs w:val="24"/>
        </w:rPr>
      </w:pPr>
      <w:r w:rsidRPr="00462AA0">
        <w:rPr>
          <w:szCs w:val="24"/>
        </w:rPr>
        <w:t xml:space="preserve">Formidling av forvaltnings- og forskningsprosjektene gjennomføres på mange ulike måter. Ved arkeologiske utgravninger er det en omfattende formidling som foregår i felt, ved omvisninger, oppslag i lokalaviser, radio og TV. Videre har KHM egne websider som formidler nyheter og større prosjekter. Enkelte forvaltnings- og forskningsprosjekter blir ofte også gjenstand for utstillinger i Historisk museum, da gjerne ved slutten av prosjektet. </w:t>
      </w:r>
    </w:p>
    <w:p w:rsidR="00462AA0" w:rsidRPr="00462AA0" w:rsidRDefault="00462AA0" w:rsidP="00462AA0">
      <w:pPr>
        <w:rPr>
          <w:szCs w:val="24"/>
        </w:rPr>
      </w:pPr>
    </w:p>
    <w:p w:rsidR="00462AA0" w:rsidRPr="00462AA0" w:rsidRDefault="00462AA0" w:rsidP="00462AA0">
      <w:pPr>
        <w:rPr>
          <w:szCs w:val="24"/>
        </w:rPr>
      </w:pPr>
      <w:r w:rsidRPr="00462AA0">
        <w:rPr>
          <w:szCs w:val="24"/>
        </w:rPr>
        <w:t xml:space="preserve">Etnografisk gjenstandsinnsamling foregår vanligvis i forbindelse med at egne forskere i sosialantropologi, driver feltarbeid i Australia, Asia og Afrika. Dette resulterer ofte i egne utstillinger som formidler kombinasjonen </w:t>
      </w:r>
      <w:proofErr w:type="spellStart"/>
      <w:r w:rsidRPr="00462AA0">
        <w:rPr>
          <w:szCs w:val="24"/>
        </w:rPr>
        <w:t>forskning-innsamling</w:t>
      </w:r>
      <w:proofErr w:type="spellEnd"/>
      <w:r w:rsidRPr="00462AA0">
        <w:rPr>
          <w:szCs w:val="24"/>
        </w:rPr>
        <w:t xml:space="preserve">. </w:t>
      </w:r>
    </w:p>
    <w:p w:rsidR="001170E7" w:rsidRPr="00986FFA" w:rsidRDefault="001170E7">
      <w:pPr>
        <w:rPr>
          <w:b/>
          <w:i/>
          <w:szCs w:val="24"/>
        </w:rPr>
      </w:pPr>
    </w:p>
    <w:p w:rsidR="008E4022" w:rsidRPr="00986FFA" w:rsidRDefault="001170E7" w:rsidP="00254373">
      <w:pPr>
        <w:rPr>
          <w:b/>
          <w:i/>
          <w:szCs w:val="24"/>
        </w:rPr>
      </w:pPr>
      <w:r w:rsidRPr="00986FFA">
        <w:rPr>
          <w:b/>
          <w:i/>
          <w:szCs w:val="24"/>
        </w:rPr>
        <w:t xml:space="preserve">2. Hvilke kritiske suksessfaktorer finnes for å bli bedre innen forskning ved KHM per i dag og de nærmeste årene? </w:t>
      </w:r>
    </w:p>
    <w:p w:rsidR="008E4022" w:rsidRPr="00B93194" w:rsidRDefault="00FB3D50" w:rsidP="00254373">
      <w:pPr>
        <w:rPr>
          <w:szCs w:val="24"/>
        </w:rPr>
      </w:pPr>
      <w:r>
        <w:rPr>
          <w:szCs w:val="24"/>
        </w:rPr>
        <w:t xml:space="preserve">KHM mener en økning i basisbevilgninger er nødvendig for å øke forskningsaktiviteten ved museet. En </w:t>
      </w:r>
      <w:r w:rsidR="000C3D8C" w:rsidRPr="00B93194">
        <w:rPr>
          <w:szCs w:val="24"/>
        </w:rPr>
        <w:t>stram budsjettramme</w:t>
      </w:r>
      <w:r w:rsidR="007C4613" w:rsidRPr="00B93194">
        <w:rPr>
          <w:szCs w:val="24"/>
        </w:rPr>
        <w:t xml:space="preserve"> fram til 2013 </w:t>
      </w:r>
      <w:r>
        <w:rPr>
          <w:szCs w:val="24"/>
        </w:rPr>
        <w:t xml:space="preserve">vil </w:t>
      </w:r>
      <w:r w:rsidR="007C4613" w:rsidRPr="00B93194">
        <w:rPr>
          <w:szCs w:val="24"/>
        </w:rPr>
        <w:t xml:space="preserve">hindre nytilsettinger innenfor fast stab. Ifølge KHM vil også underkapasitet innenfor fagområdet som har ansvaret for oppfølging av museets ivaretakelse av forvalterrollen etter kulturminneloven (10-12 stillinger), redusere tid som kan avsettes til forskning. </w:t>
      </w:r>
    </w:p>
    <w:p w:rsidR="001170E7" w:rsidRPr="00986FFA" w:rsidRDefault="001170E7">
      <w:pPr>
        <w:rPr>
          <w:szCs w:val="24"/>
          <w:highlight w:val="yellow"/>
        </w:rPr>
      </w:pPr>
    </w:p>
    <w:p w:rsidR="00184A11" w:rsidRDefault="001170E7" w:rsidP="001666B0">
      <w:pPr>
        <w:rPr>
          <w:b/>
          <w:i/>
          <w:szCs w:val="24"/>
        </w:rPr>
      </w:pPr>
      <w:r w:rsidRPr="00986FFA">
        <w:rPr>
          <w:b/>
          <w:i/>
          <w:szCs w:val="24"/>
        </w:rPr>
        <w:t>3. Hvordan vil en eventuell samlokalisering av KHM bidra til å oppnå ambisjonene om økt samarbeid innen FoU mellom museene og fakultetene ved UiO?</w:t>
      </w:r>
    </w:p>
    <w:p w:rsidR="001666B0" w:rsidRPr="00D419BB" w:rsidRDefault="001666B0" w:rsidP="001666B0">
      <w:pPr>
        <w:rPr>
          <w:rFonts w:ascii="Times New Roman" w:hAnsi="Times New Roman"/>
        </w:rPr>
      </w:pPr>
      <w:r w:rsidRPr="001666B0">
        <w:rPr>
          <w:szCs w:val="24"/>
        </w:rPr>
        <w:t xml:space="preserve">Infrastruktur er et strategisk virkemiddel for å realisere forskningsstrategiske mål, tilsvarende vitenskapelig utstyr. Samlokalisering av KHM vil i </w:t>
      </w:r>
      <w:r w:rsidR="00A40320">
        <w:rPr>
          <w:szCs w:val="24"/>
        </w:rPr>
        <w:t xml:space="preserve">tilegg til større arealer, i </w:t>
      </w:r>
      <w:r w:rsidRPr="001666B0">
        <w:rPr>
          <w:szCs w:val="24"/>
        </w:rPr>
        <w:t>hovedsak gi museet</w:t>
      </w:r>
      <w:r w:rsidR="00A40320">
        <w:rPr>
          <w:szCs w:val="24"/>
        </w:rPr>
        <w:t xml:space="preserve"> </w:t>
      </w:r>
      <w:r w:rsidRPr="001666B0">
        <w:rPr>
          <w:szCs w:val="24"/>
        </w:rPr>
        <w:t>en bedre infrastruktur mht funksjonelle sammenhenger og en mer rasjonell bruk av arealer. En samlokalisering av magasiner, arbeidsplasser for egne forskere, gjesteforskere og studenter, nært bibliotek og arkiv vil gi forskere både ved fakultetene, ved KHM, eksterne forskere og studenter, gode arbeidsvilkår og en mer effektiv tidsbruk.</w:t>
      </w:r>
      <w:r>
        <w:rPr>
          <w:rFonts w:ascii="Times New Roman" w:hAnsi="Times New Roman"/>
        </w:rPr>
        <w:t xml:space="preserve"> </w:t>
      </w:r>
    </w:p>
    <w:p w:rsidR="008E4022" w:rsidRPr="00986FFA" w:rsidRDefault="008E4022">
      <w:pPr>
        <w:rPr>
          <w:b/>
          <w:i/>
          <w:szCs w:val="24"/>
        </w:rPr>
      </w:pPr>
    </w:p>
    <w:p w:rsidR="001170E7" w:rsidRPr="00986FFA" w:rsidRDefault="001170E7">
      <w:pPr>
        <w:rPr>
          <w:b/>
          <w:i/>
          <w:szCs w:val="24"/>
        </w:rPr>
      </w:pPr>
      <w:r w:rsidRPr="00986FFA">
        <w:rPr>
          <w:b/>
          <w:i/>
          <w:szCs w:val="24"/>
        </w:rPr>
        <w:t xml:space="preserve">4. Finnes det samlokaliseringsmessige forutsetninger for å lykkes med økt samarbeid om forskningen mellom de ulike fakultetene ved UiO? </w:t>
      </w:r>
    </w:p>
    <w:p w:rsidR="00810421" w:rsidRPr="00482945" w:rsidRDefault="000E58C3" w:rsidP="00254373">
      <w:pPr>
        <w:rPr>
          <w:szCs w:val="24"/>
        </w:rPr>
      </w:pPr>
      <w:r>
        <w:rPr>
          <w:szCs w:val="24"/>
        </w:rPr>
        <w:t>Det er ikke en forutsetning med samlokalisering av funksjoner ved Kulturhistorisk museum for å få til økt samarbeid mell</w:t>
      </w:r>
      <w:r w:rsidR="00184A11">
        <w:rPr>
          <w:szCs w:val="24"/>
        </w:rPr>
        <w:t>om KHM og fakultetene ved Ui</w:t>
      </w:r>
      <w:r>
        <w:rPr>
          <w:szCs w:val="24"/>
        </w:rPr>
        <w:t xml:space="preserve">O. </w:t>
      </w:r>
      <w:r w:rsidR="006C7DEF">
        <w:rPr>
          <w:szCs w:val="24"/>
        </w:rPr>
        <w:t>E</w:t>
      </w:r>
      <w:r w:rsidR="00A40320">
        <w:rPr>
          <w:szCs w:val="24"/>
        </w:rPr>
        <w:t>n samlo</w:t>
      </w:r>
      <w:r w:rsidR="00FE5259">
        <w:rPr>
          <w:szCs w:val="24"/>
        </w:rPr>
        <w:t xml:space="preserve">kalisering av funksjonene og </w:t>
      </w:r>
      <w:r w:rsidR="00A40320">
        <w:rPr>
          <w:szCs w:val="24"/>
        </w:rPr>
        <w:t>bedre infrastruktur,</w:t>
      </w:r>
      <w:r w:rsidR="006C7DEF">
        <w:rPr>
          <w:szCs w:val="24"/>
        </w:rPr>
        <w:t xml:space="preserve"> vil</w:t>
      </w:r>
      <w:r w:rsidR="00A40320">
        <w:rPr>
          <w:szCs w:val="24"/>
        </w:rPr>
        <w:t xml:space="preserve"> </w:t>
      </w:r>
      <w:r w:rsidR="006C7DEF">
        <w:rPr>
          <w:szCs w:val="24"/>
        </w:rPr>
        <w:t xml:space="preserve">imidlertid </w:t>
      </w:r>
      <w:r w:rsidR="00A40320">
        <w:rPr>
          <w:szCs w:val="24"/>
        </w:rPr>
        <w:t>gi forskere</w:t>
      </w:r>
      <w:r w:rsidR="006C7DEF">
        <w:rPr>
          <w:szCs w:val="24"/>
        </w:rPr>
        <w:t xml:space="preserve"> fra fakultetene, betydelig bedre arbeidsforho</w:t>
      </w:r>
      <w:r w:rsidR="00FE5259">
        <w:rPr>
          <w:szCs w:val="24"/>
        </w:rPr>
        <w:t xml:space="preserve">ld ved KHM sett i forhold til i </w:t>
      </w:r>
      <w:r w:rsidR="006C7DEF">
        <w:rPr>
          <w:szCs w:val="24"/>
        </w:rPr>
        <w:t>dag. Dette i seg selv, vil gjøre det lettere for KHM å etablere prosjekter i samarbe</w:t>
      </w:r>
      <w:r w:rsidR="00FE5259">
        <w:rPr>
          <w:szCs w:val="24"/>
        </w:rPr>
        <w:t>id med forskere fra fakultetene</w:t>
      </w:r>
      <w:r w:rsidR="0031220D">
        <w:rPr>
          <w:szCs w:val="24"/>
        </w:rPr>
        <w:t>. Flere prosjekter vil igjen - sannsynligvis også</w:t>
      </w:r>
      <w:r w:rsidR="00FE5259">
        <w:rPr>
          <w:szCs w:val="24"/>
        </w:rPr>
        <w:t xml:space="preserve"> generere mer forskning. </w:t>
      </w:r>
    </w:p>
    <w:p w:rsidR="00810421" w:rsidRPr="00986FFA" w:rsidRDefault="00810421">
      <w:pPr>
        <w:rPr>
          <w:szCs w:val="24"/>
          <w:highlight w:val="yellow"/>
        </w:rPr>
      </w:pPr>
    </w:p>
    <w:p w:rsidR="001170E7" w:rsidRPr="00986FFA" w:rsidRDefault="001170E7">
      <w:pPr>
        <w:rPr>
          <w:b/>
          <w:i/>
          <w:szCs w:val="24"/>
        </w:rPr>
      </w:pPr>
      <w:r w:rsidRPr="00986FFA">
        <w:rPr>
          <w:b/>
          <w:i/>
          <w:szCs w:val="24"/>
        </w:rPr>
        <w:lastRenderedPageBreak/>
        <w:t xml:space="preserve">5. Dersom </w:t>
      </w:r>
      <w:r w:rsidR="008F49E4" w:rsidRPr="00986FFA">
        <w:rPr>
          <w:b/>
          <w:i/>
          <w:szCs w:val="24"/>
        </w:rPr>
        <w:t>man kun</w:t>
      </w:r>
      <w:r w:rsidR="00195D6C" w:rsidRPr="00986FFA">
        <w:rPr>
          <w:b/>
          <w:i/>
          <w:szCs w:val="24"/>
        </w:rPr>
        <w:t xml:space="preserve"> ønske</w:t>
      </w:r>
      <w:r w:rsidR="008F49E4" w:rsidRPr="00986FFA">
        <w:rPr>
          <w:b/>
          <w:i/>
          <w:szCs w:val="24"/>
        </w:rPr>
        <w:t>r</w:t>
      </w:r>
      <w:r w:rsidR="00195D6C" w:rsidRPr="00986FFA">
        <w:rPr>
          <w:b/>
          <w:i/>
          <w:szCs w:val="24"/>
        </w:rPr>
        <w:t xml:space="preserve"> en delvis samlokalisering av virksomheten til KHM, hvilke funksjoner ved UiO (innen KHM eller andre enheter) er det mest hensiktsmessig at forskningen lokaliseres sammen med? </w:t>
      </w:r>
    </w:p>
    <w:p w:rsidR="00810421" w:rsidRPr="00986FFA" w:rsidRDefault="000E58C3" w:rsidP="00254373">
      <w:pPr>
        <w:rPr>
          <w:szCs w:val="24"/>
          <w:highlight w:val="yellow"/>
        </w:rPr>
      </w:pPr>
      <w:r w:rsidRPr="000E58C3">
        <w:rPr>
          <w:szCs w:val="24"/>
        </w:rPr>
        <w:t xml:space="preserve">Den største delen av </w:t>
      </w:r>
      <w:proofErr w:type="spellStart"/>
      <w:r w:rsidRPr="000E58C3">
        <w:rPr>
          <w:szCs w:val="24"/>
        </w:rPr>
        <w:t>KHMs</w:t>
      </w:r>
      <w:proofErr w:type="spellEnd"/>
      <w:r w:rsidRPr="000E58C3">
        <w:rPr>
          <w:szCs w:val="24"/>
        </w:rPr>
        <w:t xml:space="preserve"> forskning er gjenstandsbasert, </w:t>
      </w:r>
      <w:proofErr w:type="spellStart"/>
      <w:r w:rsidRPr="000E58C3">
        <w:rPr>
          <w:szCs w:val="24"/>
        </w:rPr>
        <w:t>dvs</w:t>
      </w:r>
      <w:proofErr w:type="spellEnd"/>
      <w:r w:rsidRPr="000E58C3">
        <w:rPr>
          <w:szCs w:val="24"/>
        </w:rPr>
        <w:t xml:space="preserve"> forskere er avhengig av tilgang</w:t>
      </w:r>
      <w:r w:rsidR="007F781A" w:rsidRPr="000E58C3">
        <w:rPr>
          <w:szCs w:val="24"/>
        </w:rPr>
        <w:t xml:space="preserve"> til gjenstandene. </w:t>
      </w:r>
      <w:r w:rsidRPr="000E58C3">
        <w:rPr>
          <w:szCs w:val="24"/>
        </w:rPr>
        <w:t xml:space="preserve"> Gjenstander oppbevares i </w:t>
      </w:r>
      <w:r w:rsidR="007F781A" w:rsidRPr="000E58C3">
        <w:rPr>
          <w:szCs w:val="24"/>
        </w:rPr>
        <w:t>magasinene og i utstillingene</w:t>
      </w:r>
      <w:r w:rsidRPr="000E58C3">
        <w:rPr>
          <w:szCs w:val="24"/>
        </w:rPr>
        <w:t xml:space="preserve">; dokumentasjonen tilknyttet gjenstandene er </w:t>
      </w:r>
      <w:r w:rsidR="007F781A" w:rsidRPr="000E58C3">
        <w:rPr>
          <w:szCs w:val="24"/>
        </w:rPr>
        <w:t xml:space="preserve">i </w:t>
      </w:r>
      <w:r w:rsidRPr="000E58C3">
        <w:rPr>
          <w:szCs w:val="24"/>
        </w:rPr>
        <w:t>arkiv, fotoarkiv og litteratur</w:t>
      </w:r>
      <w:r w:rsidR="007F781A" w:rsidRPr="000E58C3">
        <w:rPr>
          <w:szCs w:val="24"/>
        </w:rPr>
        <w:t xml:space="preserve"> i museets bibliotek. En del forskning foregår også i nært samarbeid med konservatorer (bl.a. konservering/undersøkelser av arkeologiske gjenstander fra utgravninger). </w:t>
      </w:r>
      <w:r w:rsidR="00EF7514">
        <w:rPr>
          <w:szCs w:val="24"/>
        </w:rPr>
        <w:t>Forskningsaktiviteten ved museet,</w:t>
      </w:r>
      <w:r w:rsidR="00EF7514" w:rsidRPr="00EF7514">
        <w:rPr>
          <w:szCs w:val="24"/>
        </w:rPr>
        <w:t xml:space="preserve"> som er en enhet på fakultetsnivå direkte underlagt styret ved Universitetet i Oslo,</w:t>
      </w:r>
      <w:r w:rsidR="00EF7514">
        <w:rPr>
          <w:szCs w:val="24"/>
        </w:rPr>
        <w:t xml:space="preserve"> kan</w:t>
      </w:r>
      <w:r w:rsidR="00286EE2">
        <w:rPr>
          <w:szCs w:val="24"/>
        </w:rPr>
        <w:t xml:space="preserve"> altså</w:t>
      </w:r>
      <w:r w:rsidR="00EF7514">
        <w:rPr>
          <w:szCs w:val="24"/>
        </w:rPr>
        <w:t xml:space="preserve"> ikke tas ut av sin </w:t>
      </w:r>
      <w:proofErr w:type="spellStart"/>
      <w:r w:rsidR="00EF7514">
        <w:rPr>
          <w:szCs w:val="24"/>
        </w:rPr>
        <w:t>museumsfaglige</w:t>
      </w:r>
      <w:proofErr w:type="spellEnd"/>
      <w:r w:rsidR="00EF7514">
        <w:rPr>
          <w:szCs w:val="24"/>
        </w:rPr>
        <w:t xml:space="preserve"> sammenheng</w:t>
      </w:r>
      <w:r w:rsidR="00286EE2">
        <w:rPr>
          <w:szCs w:val="24"/>
        </w:rPr>
        <w:t>,</w:t>
      </w:r>
      <w:r w:rsidR="00EF7514">
        <w:rPr>
          <w:szCs w:val="24"/>
        </w:rPr>
        <w:t xml:space="preserve"> og flyttes eller samlokaliseres med andre fakulteter ved Universitetet i Oslo. </w:t>
      </w:r>
      <w:r w:rsidR="00613F3A">
        <w:rPr>
          <w:szCs w:val="24"/>
        </w:rPr>
        <w:t>Det er en målsetting at også forskere fra flere fakulteter ved UiO skal bruk</w:t>
      </w:r>
      <w:r w:rsidR="00FE5259">
        <w:rPr>
          <w:szCs w:val="24"/>
        </w:rPr>
        <w:t>e museet i forskningsøyemed, og på denne</w:t>
      </w:r>
      <w:r w:rsidR="00613F3A">
        <w:rPr>
          <w:szCs w:val="24"/>
        </w:rPr>
        <w:t xml:space="preserve"> </w:t>
      </w:r>
      <w:r w:rsidR="00FE5259">
        <w:rPr>
          <w:szCs w:val="24"/>
        </w:rPr>
        <w:t>bakgrunn vil det</w:t>
      </w:r>
      <w:r w:rsidR="00613F3A">
        <w:rPr>
          <w:szCs w:val="24"/>
        </w:rPr>
        <w:t xml:space="preserve"> ikke være aktuelt å samlokalisere fakulteter ved UiO med KHM. </w:t>
      </w:r>
    </w:p>
    <w:p w:rsidR="00810421" w:rsidRPr="00986FFA" w:rsidRDefault="00810421">
      <w:pPr>
        <w:rPr>
          <w:b/>
          <w:i/>
          <w:szCs w:val="24"/>
        </w:rPr>
      </w:pPr>
    </w:p>
    <w:p w:rsidR="008F49E4" w:rsidRPr="00986FFA" w:rsidRDefault="00195D6C" w:rsidP="00254373">
      <w:pPr>
        <w:rPr>
          <w:b/>
          <w:i/>
          <w:szCs w:val="24"/>
        </w:rPr>
      </w:pPr>
      <w:r w:rsidRPr="00986FFA">
        <w:rPr>
          <w:b/>
          <w:i/>
          <w:szCs w:val="24"/>
        </w:rPr>
        <w:t>6. På hvilken måte er det lagt til rette for den ambisiøse utviklingen av FoU</w:t>
      </w:r>
      <w:r w:rsidR="000C3D8C">
        <w:rPr>
          <w:b/>
          <w:i/>
          <w:szCs w:val="24"/>
        </w:rPr>
        <w:t>-</w:t>
      </w:r>
      <w:r w:rsidRPr="00986FFA">
        <w:rPr>
          <w:b/>
          <w:i/>
          <w:szCs w:val="24"/>
        </w:rPr>
        <w:t xml:space="preserve">aktivitetene? </w:t>
      </w:r>
    </w:p>
    <w:p w:rsidR="00810421" w:rsidRPr="00FB3D50" w:rsidRDefault="00BC762F" w:rsidP="00254373">
      <w:pPr>
        <w:rPr>
          <w:szCs w:val="24"/>
        </w:rPr>
      </w:pPr>
      <w:r>
        <w:rPr>
          <w:szCs w:val="24"/>
        </w:rPr>
        <w:t>Museets forskningsstrategiske plan, som er forankret i styret ved UIO, vil til enhver tid vise målsetti</w:t>
      </w:r>
      <w:r w:rsidR="00613F3A">
        <w:rPr>
          <w:szCs w:val="24"/>
        </w:rPr>
        <w:t xml:space="preserve">nger og tiltak. Tilhørende </w:t>
      </w:r>
      <w:r>
        <w:rPr>
          <w:szCs w:val="24"/>
        </w:rPr>
        <w:t>Gjennomføringsplan for faglig prioritering, viser hvordan KHM planlegger rekruttering, kompetanse, og bruk av kapasitet, sam</w:t>
      </w:r>
      <w:r w:rsidR="00E82083">
        <w:rPr>
          <w:szCs w:val="24"/>
        </w:rPr>
        <w:t>t</w:t>
      </w:r>
      <w:r w:rsidR="00613F3A">
        <w:rPr>
          <w:szCs w:val="24"/>
        </w:rPr>
        <w:t xml:space="preserve"> finansiering av virksomheten. P</w:t>
      </w:r>
      <w:r w:rsidR="00E82083">
        <w:rPr>
          <w:szCs w:val="24"/>
        </w:rPr>
        <w:t xml:space="preserve">lanene er tidligere oversendt kvalitetssikrer. I planleggingen av nytt museum, er det lagt en forutsetning om økning i antall forskere, gjesteforskere og studenter. Disse forutsetningene er beregnet i alternativanalysen.  </w:t>
      </w:r>
    </w:p>
    <w:p w:rsidR="00810421" w:rsidRPr="00986FFA" w:rsidRDefault="00810421" w:rsidP="00810421">
      <w:pPr>
        <w:pStyle w:val="Nummerertliste"/>
        <w:ind w:left="360" w:firstLine="0"/>
        <w:rPr>
          <w:szCs w:val="24"/>
        </w:rPr>
      </w:pPr>
    </w:p>
    <w:p w:rsidR="00254373" w:rsidRPr="00E82083" w:rsidRDefault="00810421" w:rsidP="00254373">
      <w:pPr>
        <w:rPr>
          <w:b/>
          <w:i/>
          <w:szCs w:val="24"/>
        </w:rPr>
      </w:pPr>
      <w:r w:rsidRPr="00986FFA">
        <w:rPr>
          <w:b/>
          <w:i/>
          <w:szCs w:val="24"/>
        </w:rPr>
        <w:t xml:space="preserve">7. Hvor mange vitenskapellige artikler </w:t>
      </w:r>
      <w:r w:rsidR="00254373" w:rsidRPr="00986FFA">
        <w:rPr>
          <w:b/>
          <w:i/>
          <w:szCs w:val="24"/>
        </w:rPr>
        <w:t>fra KHM er publisert i internasjonale tidsskrift (med fagfellevurdering) de siste 5 årene?</w:t>
      </w:r>
      <w:r w:rsidRPr="00986FFA">
        <w:rPr>
          <w:b/>
          <w:i/>
          <w:szCs w:val="24"/>
        </w:rPr>
        <w:t xml:space="preserve">   </w:t>
      </w:r>
    </w:p>
    <w:p w:rsidR="00254373" w:rsidRPr="00986FFA" w:rsidRDefault="007F781A" w:rsidP="00254373">
      <w:pPr>
        <w:rPr>
          <w:szCs w:val="24"/>
        </w:rPr>
      </w:pPr>
      <w:r w:rsidRPr="007F781A">
        <w:rPr>
          <w:szCs w:val="24"/>
        </w:rPr>
        <w:t xml:space="preserve">Den vitenskapelige publiseringen ved universitetene og dermed også ved KHM registreres i det såkalte </w:t>
      </w:r>
      <w:proofErr w:type="spellStart"/>
      <w:r w:rsidRPr="007F781A">
        <w:rPr>
          <w:szCs w:val="24"/>
        </w:rPr>
        <w:t>FRIDA-systemet</w:t>
      </w:r>
      <w:proofErr w:type="spellEnd"/>
      <w:r w:rsidRPr="007F781A">
        <w:rPr>
          <w:szCs w:val="24"/>
        </w:rPr>
        <w:t xml:space="preserve"> (</w:t>
      </w:r>
      <w:hyperlink r:id="rId8" w:history="1">
        <w:r w:rsidRPr="007F781A">
          <w:rPr>
            <w:szCs w:val="24"/>
          </w:rPr>
          <w:t>http://www.uio.no/forskning/frida/). Alle</w:t>
        </w:r>
      </w:hyperlink>
      <w:r w:rsidRPr="007F781A">
        <w:rPr>
          <w:szCs w:val="24"/>
        </w:rPr>
        <w:t xml:space="preserve"> arbeider som registreres som vitenskapelig tellende arbeider har vært gjenstand for fagfellevurdering. De registreres som monografier (bøker), tidsskriftartikler og antologibidrag (artikler/deler av bøker). Hver av disse er igjen inndelt kategori 1 og 2, der nivå 2 er arbeider i de høyest rangerte internasjonale serier og forlag. </w:t>
      </w:r>
    </w:p>
    <w:tbl>
      <w:tblPr>
        <w:tblW w:w="10090" w:type="dxa"/>
        <w:tblInd w:w="55" w:type="dxa"/>
        <w:tblCellMar>
          <w:left w:w="70" w:type="dxa"/>
          <w:right w:w="70" w:type="dxa"/>
        </w:tblCellMar>
        <w:tblLook w:val="04A0"/>
      </w:tblPr>
      <w:tblGrid>
        <w:gridCol w:w="2988"/>
        <w:gridCol w:w="671"/>
        <w:gridCol w:w="671"/>
        <w:gridCol w:w="671"/>
        <w:gridCol w:w="1162"/>
        <w:gridCol w:w="232"/>
        <w:gridCol w:w="1394"/>
        <w:gridCol w:w="1334"/>
        <w:gridCol w:w="1694"/>
      </w:tblGrid>
      <w:tr w:rsidR="00254373" w:rsidRPr="00986FFA" w:rsidTr="00E82083">
        <w:trPr>
          <w:trHeight w:val="303"/>
        </w:trPr>
        <w:tc>
          <w:tcPr>
            <w:tcW w:w="6018" w:type="dxa"/>
            <w:gridSpan w:val="5"/>
            <w:tcBorders>
              <w:top w:val="nil"/>
              <w:left w:val="nil"/>
              <w:bottom w:val="nil"/>
              <w:right w:val="nil"/>
            </w:tcBorders>
            <w:shd w:val="clear" w:color="auto" w:fill="auto"/>
            <w:noWrap/>
            <w:vAlign w:val="bottom"/>
            <w:hideMark/>
          </w:tcPr>
          <w:p w:rsidR="00A83846" w:rsidRDefault="00A83846" w:rsidP="00254373">
            <w:pPr>
              <w:rPr>
                <w:b/>
                <w:bCs/>
                <w:color w:val="000000"/>
                <w:szCs w:val="24"/>
                <w:lang w:eastAsia="nb-NO"/>
              </w:rPr>
            </w:pPr>
          </w:p>
          <w:p w:rsidR="00254373" w:rsidRPr="00986FFA" w:rsidRDefault="00463190" w:rsidP="00254373">
            <w:pPr>
              <w:rPr>
                <w:b/>
                <w:bCs/>
                <w:color w:val="000000"/>
                <w:szCs w:val="24"/>
                <w:lang w:eastAsia="nb-NO"/>
              </w:rPr>
            </w:pPr>
            <w:r w:rsidRPr="00986FFA">
              <w:rPr>
                <w:b/>
                <w:bCs/>
                <w:color w:val="000000"/>
                <w:szCs w:val="24"/>
                <w:lang w:eastAsia="nb-NO"/>
              </w:rPr>
              <w:t>Vitenskapel</w:t>
            </w:r>
            <w:r w:rsidR="00F35B68">
              <w:rPr>
                <w:b/>
                <w:bCs/>
                <w:color w:val="000000"/>
                <w:szCs w:val="24"/>
                <w:lang w:eastAsia="nb-NO"/>
              </w:rPr>
              <w:t>ig produksjon for KHM 2004-2008</w:t>
            </w:r>
            <w:r w:rsidRPr="00986FFA">
              <w:rPr>
                <w:b/>
                <w:bCs/>
                <w:color w:val="000000"/>
                <w:szCs w:val="24"/>
                <w:lang w:eastAsia="nb-NO"/>
              </w:rPr>
              <w:t xml:space="preserve"> </w:t>
            </w:r>
          </w:p>
        </w:tc>
        <w:tc>
          <w:tcPr>
            <w:tcW w:w="203"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p>
        </w:tc>
        <w:tc>
          <w:tcPr>
            <w:tcW w:w="1220"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p>
        </w:tc>
        <w:tc>
          <w:tcPr>
            <w:tcW w:w="1167"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p>
        </w:tc>
        <w:tc>
          <w:tcPr>
            <w:tcW w:w="1482"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p>
        </w:tc>
      </w:tr>
      <w:tr w:rsidR="00254373" w:rsidRPr="00986FFA" w:rsidTr="00E82083">
        <w:trPr>
          <w:trHeight w:val="303"/>
        </w:trPr>
        <w:tc>
          <w:tcPr>
            <w:tcW w:w="2988"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p>
        </w:tc>
        <w:tc>
          <w:tcPr>
            <w:tcW w:w="671"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p>
        </w:tc>
        <w:tc>
          <w:tcPr>
            <w:tcW w:w="671"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p>
        </w:tc>
        <w:tc>
          <w:tcPr>
            <w:tcW w:w="671"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p>
        </w:tc>
        <w:tc>
          <w:tcPr>
            <w:tcW w:w="1220" w:type="dxa"/>
            <w:gridSpan w:val="2"/>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p>
        </w:tc>
        <w:tc>
          <w:tcPr>
            <w:tcW w:w="1220"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p>
        </w:tc>
        <w:tc>
          <w:tcPr>
            <w:tcW w:w="1167"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p>
        </w:tc>
        <w:tc>
          <w:tcPr>
            <w:tcW w:w="1482"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p>
        </w:tc>
      </w:tr>
      <w:tr w:rsidR="00254373" w:rsidRPr="00986FFA" w:rsidTr="00E82083">
        <w:trPr>
          <w:trHeight w:val="303"/>
        </w:trPr>
        <w:tc>
          <w:tcPr>
            <w:tcW w:w="2988"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p>
        </w:tc>
        <w:tc>
          <w:tcPr>
            <w:tcW w:w="671" w:type="dxa"/>
            <w:tcBorders>
              <w:top w:val="nil"/>
              <w:left w:val="nil"/>
              <w:bottom w:val="nil"/>
              <w:right w:val="nil"/>
            </w:tcBorders>
            <w:shd w:val="clear" w:color="auto" w:fill="auto"/>
            <w:noWrap/>
            <w:vAlign w:val="bottom"/>
            <w:hideMark/>
          </w:tcPr>
          <w:p w:rsidR="00254373" w:rsidRPr="00986FFA" w:rsidRDefault="00254373" w:rsidP="00254373">
            <w:pPr>
              <w:jc w:val="right"/>
              <w:rPr>
                <w:color w:val="000000"/>
                <w:szCs w:val="24"/>
                <w:lang w:eastAsia="nb-NO"/>
              </w:rPr>
            </w:pPr>
            <w:r w:rsidRPr="00986FFA">
              <w:rPr>
                <w:color w:val="000000"/>
                <w:szCs w:val="24"/>
                <w:lang w:eastAsia="nb-NO"/>
              </w:rPr>
              <w:t>2004</w:t>
            </w:r>
          </w:p>
        </w:tc>
        <w:tc>
          <w:tcPr>
            <w:tcW w:w="671" w:type="dxa"/>
            <w:tcBorders>
              <w:top w:val="nil"/>
              <w:left w:val="nil"/>
              <w:bottom w:val="nil"/>
              <w:right w:val="nil"/>
            </w:tcBorders>
            <w:shd w:val="clear" w:color="auto" w:fill="auto"/>
            <w:noWrap/>
            <w:vAlign w:val="bottom"/>
            <w:hideMark/>
          </w:tcPr>
          <w:p w:rsidR="00254373" w:rsidRPr="00986FFA" w:rsidRDefault="00254373" w:rsidP="00254373">
            <w:pPr>
              <w:jc w:val="right"/>
              <w:rPr>
                <w:color w:val="000000"/>
                <w:szCs w:val="24"/>
                <w:lang w:eastAsia="nb-NO"/>
              </w:rPr>
            </w:pPr>
            <w:r w:rsidRPr="00986FFA">
              <w:rPr>
                <w:color w:val="000000"/>
                <w:szCs w:val="24"/>
                <w:lang w:eastAsia="nb-NO"/>
              </w:rPr>
              <w:t>2005</w:t>
            </w:r>
          </w:p>
        </w:tc>
        <w:tc>
          <w:tcPr>
            <w:tcW w:w="671" w:type="dxa"/>
            <w:tcBorders>
              <w:top w:val="nil"/>
              <w:left w:val="nil"/>
              <w:bottom w:val="nil"/>
              <w:right w:val="nil"/>
            </w:tcBorders>
            <w:shd w:val="clear" w:color="auto" w:fill="auto"/>
            <w:noWrap/>
            <w:vAlign w:val="bottom"/>
            <w:hideMark/>
          </w:tcPr>
          <w:p w:rsidR="00254373" w:rsidRPr="00986FFA" w:rsidRDefault="00254373" w:rsidP="00254373">
            <w:pPr>
              <w:jc w:val="right"/>
              <w:rPr>
                <w:color w:val="000000"/>
                <w:szCs w:val="24"/>
                <w:lang w:eastAsia="nb-NO"/>
              </w:rPr>
            </w:pPr>
            <w:r w:rsidRPr="00986FFA">
              <w:rPr>
                <w:color w:val="000000"/>
                <w:szCs w:val="24"/>
                <w:lang w:eastAsia="nb-NO"/>
              </w:rPr>
              <w:t>2006</w:t>
            </w:r>
          </w:p>
        </w:tc>
        <w:tc>
          <w:tcPr>
            <w:tcW w:w="1220" w:type="dxa"/>
            <w:gridSpan w:val="2"/>
            <w:tcBorders>
              <w:top w:val="nil"/>
              <w:left w:val="nil"/>
              <w:bottom w:val="nil"/>
              <w:right w:val="nil"/>
            </w:tcBorders>
            <w:shd w:val="clear" w:color="auto" w:fill="auto"/>
            <w:noWrap/>
            <w:vAlign w:val="bottom"/>
            <w:hideMark/>
          </w:tcPr>
          <w:p w:rsidR="00254373" w:rsidRPr="00986FFA" w:rsidRDefault="007F781A" w:rsidP="00254373">
            <w:pPr>
              <w:jc w:val="right"/>
              <w:rPr>
                <w:color w:val="000000"/>
                <w:szCs w:val="24"/>
                <w:lang w:eastAsia="nb-NO"/>
              </w:rPr>
            </w:pPr>
            <w:r w:rsidRPr="007F781A">
              <w:rPr>
                <w:color w:val="000000"/>
                <w:szCs w:val="24"/>
                <w:lang w:eastAsia="nb-NO"/>
              </w:rPr>
              <w:t>2007</w:t>
            </w:r>
          </w:p>
        </w:tc>
        <w:tc>
          <w:tcPr>
            <w:tcW w:w="1220" w:type="dxa"/>
            <w:tcBorders>
              <w:top w:val="nil"/>
              <w:left w:val="nil"/>
              <w:bottom w:val="nil"/>
              <w:right w:val="nil"/>
            </w:tcBorders>
            <w:shd w:val="clear" w:color="auto" w:fill="auto"/>
            <w:noWrap/>
            <w:vAlign w:val="bottom"/>
            <w:hideMark/>
          </w:tcPr>
          <w:p w:rsidR="00254373" w:rsidRPr="00986FFA" w:rsidRDefault="007F781A" w:rsidP="00254373">
            <w:pPr>
              <w:jc w:val="right"/>
              <w:rPr>
                <w:color w:val="000000"/>
                <w:szCs w:val="24"/>
                <w:lang w:eastAsia="nb-NO"/>
              </w:rPr>
            </w:pPr>
            <w:r w:rsidRPr="007F781A">
              <w:rPr>
                <w:color w:val="000000"/>
                <w:szCs w:val="24"/>
                <w:lang w:eastAsia="nb-NO"/>
              </w:rPr>
              <w:t>2008</w:t>
            </w:r>
          </w:p>
        </w:tc>
        <w:tc>
          <w:tcPr>
            <w:tcW w:w="1167"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p>
        </w:tc>
        <w:tc>
          <w:tcPr>
            <w:tcW w:w="1482" w:type="dxa"/>
            <w:tcBorders>
              <w:top w:val="nil"/>
              <w:left w:val="nil"/>
              <w:bottom w:val="nil"/>
              <w:right w:val="nil"/>
            </w:tcBorders>
            <w:shd w:val="clear" w:color="auto" w:fill="auto"/>
            <w:noWrap/>
            <w:vAlign w:val="bottom"/>
            <w:hideMark/>
          </w:tcPr>
          <w:p w:rsidR="00254373" w:rsidRPr="00986FFA" w:rsidRDefault="007F781A" w:rsidP="00254373">
            <w:pPr>
              <w:rPr>
                <w:color w:val="000000"/>
                <w:szCs w:val="24"/>
                <w:lang w:eastAsia="nb-NO"/>
              </w:rPr>
            </w:pPr>
            <w:r w:rsidRPr="007F781A">
              <w:rPr>
                <w:color w:val="000000"/>
                <w:szCs w:val="24"/>
                <w:lang w:eastAsia="nb-NO"/>
              </w:rPr>
              <w:t>Sum</w:t>
            </w:r>
          </w:p>
        </w:tc>
      </w:tr>
      <w:tr w:rsidR="00254373" w:rsidRPr="00986FFA" w:rsidTr="00E82083">
        <w:trPr>
          <w:trHeight w:val="303"/>
        </w:trPr>
        <w:tc>
          <w:tcPr>
            <w:tcW w:w="2988" w:type="dxa"/>
            <w:tcBorders>
              <w:top w:val="nil"/>
              <w:left w:val="nil"/>
              <w:bottom w:val="nil"/>
              <w:right w:val="nil"/>
            </w:tcBorders>
            <w:shd w:val="clear" w:color="000000" w:fill="FFFF00"/>
            <w:noWrap/>
            <w:vAlign w:val="bottom"/>
            <w:hideMark/>
          </w:tcPr>
          <w:p w:rsidR="00254373" w:rsidRPr="00986FFA" w:rsidRDefault="00254373" w:rsidP="00254373">
            <w:pPr>
              <w:rPr>
                <w:color w:val="000000"/>
                <w:szCs w:val="24"/>
                <w:lang w:eastAsia="nb-NO"/>
              </w:rPr>
            </w:pPr>
            <w:r w:rsidRPr="00986FFA">
              <w:rPr>
                <w:color w:val="000000"/>
                <w:szCs w:val="24"/>
                <w:lang w:eastAsia="nb-NO"/>
              </w:rPr>
              <w:t>Monografier, nivå 2</w:t>
            </w:r>
          </w:p>
        </w:tc>
        <w:tc>
          <w:tcPr>
            <w:tcW w:w="671" w:type="dxa"/>
            <w:tcBorders>
              <w:top w:val="nil"/>
              <w:left w:val="nil"/>
              <w:bottom w:val="nil"/>
              <w:right w:val="nil"/>
            </w:tcBorders>
            <w:shd w:val="clear" w:color="000000" w:fill="FFFF00"/>
            <w:noWrap/>
            <w:vAlign w:val="bottom"/>
            <w:hideMark/>
          </w:tcPr>
          <w:p w:rsidR="00254373" w:rsidRPr="00986FFA" w:rsidRDefault="00254373" w:rsidP="00254373">
            <w:pPr>
              <w:rPr>
                <w:color w:val="000000"/>
                <w:szCs w:val="24"/>
                <w:lang w:eastAsia="nb-NO"/>
              </w:rPr>
            </w:pPr>
            <w:r w:rsidRPr="00986FFA">
              <w:rPr>
                <w:color w:val="000000"/>
                <w:szCs w:val="24"/>
                <w:lang w:eastAsia="nb-NO"/>
              </w:rPr>
              <w:t xml:space="preserve"> </w:t>
            </w:r>
          </w:p>
        </w:tc>
        <w:tc>
          <w:tcPr>
            <w:tcW w:w="671" w:type="dxa"/>
            <w:tcBorders>
              <w:top w:val="nil"/>
              <w:left w:val="nil"/>
              <w:bottom w:val="nil"/>
              <w:right w:val="nil"/>
            </w:tcBorders>
            <w:shd w:val="clear" w:color="000000" w:fill="FFFF00"/>
            <w:noWrap/>
            <w:vAlign w:val="bottom"/>
            <w:hideMark/>
          </w:tcPr>
          <w:p w:rsidR="00254373" w:rsidRPr="00986FFA" w:rsidRDefault="00254373" w:rsidP="00254373">
            <w:pPr>
              <w:rPr>
                <w:color w:val="000000"/>
                <w:szCs w:val="24"/>
                <w:lang w:eastAsia="nb-NO"/>
              </w:rPr>
            </w:pPr>
            <w:r w:rsidRPr="00986FFA">
              <w:rPr>
                <w:color w:val="000000"/>
                <w:szCs w:val="24"/>
                <w:lang w:eastAsia="nb-NO"/>
              </w:rPr>
              <w:t> </w:t>
            </w:r>
          </w:p>
        </w:tc>
        <w:tc>
          <w:tcPr>
            <w:tcW w:w="671" w:type="dxa"/>
            <w:tcBorders>
              <w:top w:val="nil"/>
              <w:left w:val="nil"/>
              <w:bottom w:val="nil"/>
              <w:right w:val="nil"/>
            </w:tcBorders>
            <w:shd w:val="clear" w:color="000000" w:fill="FFFF00"/>
            <w:noWrap/>
            <w:vAlign w:val="bottom"/>
            <w:hideMark/>
          </w:tcPr>
          <w:p w:rsidR="00254373" w:rsidRPr="00986FFA" w:rsidRDefault="00254373" w:rsidP="00254373">
            <w:pPr>
              <w:jc w:val="right"/>
              <w:rPr>
                <w:color w:val="000000"/>
                <w:szCs w:val="24"/>
                <w:lang w:eastAsia="nb-NO"/>
              </w:rPr>
            </w:pPr>
            <w:r w:rsidRPr="00986FFA">
              <w:rPr>
                <w:color w:val="000000"/>
                <w:szCs w:val="24"/>
                <w:lang w:eastAsia="nb-NO"/>
              </w:rPr>
              <w:t>1</w:t>
            </w:r>
          </w:p>
        </w:tc>
        <w:tc>
          <w:tcPr>
            <w:tcW w:w="1220" w:type="dxa"/>
            <w:gridSpan w:val="2"/>
            <w:tcBorders>
              <w:top w:val="nil"/>
              <w:left w:val="nil"/>
              <w:bottom w:val="nil"/>
              <w:right w:val="nil"/>
            </w:tcBorders>
            <w:shd w:val="clear" w:color="000000" w:fill="FFFF00"/>
            <w:noWrap/>
            <w:vAlign w:val="bottom"/>
            <w:hideMark/>
          </w:tcPr>
          <w:p w:rsidR="00254373" w:rsidRPr="00986FFA" w:rsidRDefault="007F781A" w:rsidP="00254373">
            <w:pPr>
              <w:rPr>
                <w:color w:val="000000"/>
                <w:szCs w:val="24"/>
                <w:lang w:eastAsia="nb-NO"/>
              </w:rPr>
            </w:pPr>
            <w:r w:rsidRPr="007F781A">
              <w:rPr>
                <w:color w:val="000000"/>
                <w:szCs w:val="24"/>
                <w:lang w:eastAsia="nb-NO"/>
              </w:rPr>
              <w:t> </w:t>
            </w:r>
          </w:p>
        </w:tc>
        <w:tc>
          <w:tcPr>
            <w:tcW w:w="1220" w:type="dxa"/>
            <w:tcBorders>
              <w:top w:val="nil"/>
              <w:left w:val="nil"/>
              <w:bottom w:val="nil"/>
              <w:right w:val="nil"/>
            </w:tcBorders>
            <w:shd w:val="clear" w:color="000000" w:fill="FFFF00"/>
            <w:noWrap/>
            <w:vAlign w:val="bottom"/>
            <w:hideMark/>
          </w:tcPr>
          <w:p w:rsidR="00254373" w:rsidRPr="00986FFA" w:rsidRDefault="007F781A" w:rsidP="00254373">
            <w:pPr>
              <w:jc w:val="right"/>
              <w:rPr>
                <w:color w:val="000000"/>
                <w:szCs w:val="24"/>
                <w:lang w:eastAsia="nb-NO"/>
              </w:rPr>
            </w:pPr>
            <w:r w:rsidRPr="007F781A">
              <w:rPr>
                <w:color w:val="000000"/>
                <w:szCs w:val="24"/>
                <w:lang w:eastAsia="nb-NO"/>
              </w:rPr>
              <w:t>1</w:t>
            </w:r>
          </w:p>
        </w:tc>
        <w:tc>
          <w:tcPr>
            <w:tcW w:w="1167" w:type="dxa"/>
            <w:tcBorders>
              <w:top w:val="nil"/>
              <w:left w:val="nil"/>
              <w:bottom w:val="nil"/>
              <w:right w:val="nil"/>
            </w:tcBorders>
            <w:shd w:val="clear" w:color="000000" w:fill="FFFF00"/>
            <w:noWrap/>
            <w:vAlign w:val="bottom"/>
            <w:hideMark/>
          </w:tcPr>
          <w:p w:rsidR="00254373" w:rsidRPr="00986FFA" w:rsidRDefault="007F781A" w:rsidP="00254373">
            <w:pPr>
              <w:rPr>
                <w:color w:val="000000"/>
                <w:szCs w:val="24"/>
                <w:lang w:eastAsia="nb-NO"/>
              </w:rPr>
            </w:pPr>
            <w:r w:rsidRPr="007F781A">
              <w:rPr>
                <w:color w:val="000000"/>
                <w:szCs w:val="24"/>
                <w:lang w:eastAsia="nb-NO"/>
              </w:rPr>
              <w:t> </w:t>
            </w:r>
          </w:p>
        </w:tc>
        <w:tc>
          <w:tcPr>
            <w:tcW w:w="1482" w:type="dxa"/>
            <w:tcBorders>
              <w:top w:val="nil"/>
              <w:left w:val="nil"/>
              <w:bottom w:val="nil"/>
              <w:right w:val="nil"/>
            </w:tcBorders>
            <w:shd w:val="clear" w:color="000000" w:fill="FFFF00"/>
            <w:noWrap/>
            <w:vAlign w:val="bottom"/>
            <w:hideMark/>
          </w:tcPr>
          <w:p w:rsidR="00254373" w:rsidRPr="00986FFA" w:rsidRDefault="007F781A" w:rsidP="00254373">
            <w:pPr>
              <w:jc w:val="right"/>
              <w:rPr>
                <w:color w:val="000000"/>
                <w:szCs w:val="24"/>
                <w:lang w:eastAsia="nb-NO"/>
              </w:rPr>
            </w:pPr>
            <w:r w:rsidRPr="007F781A">
              <w:rPr>
                <w:color w:val="000000"/>
                <w:szCs w:val="24"/>
                <w:lang w:eastAsia="nb-NO"/>
              </w:rPr>
              <w:t>2</w:t>
            </w:r>
          </w:p>
        </w:tc>
      </w:tr>
      <w:tr w:rsidR="00254373" w:rsidRPr="00986FFA" w:rsidTr="00E82083">
        <w:trPr>
          <w:trHeight w:val="303"/>
        </w:trPr>
        <w:tc>
          <w:tcPr>
            <w:tcW w:w="2988"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r w:rsidRPr="00986FFA">
              <w:rPr>
                <w:color w:val="000000"/>
                <w:szCs w:val="24"/>
                <w:lang w:eastAsia="nb-NO"/>
              </w:rPr>
              <w:t>Monografier, nivå 1</w:t>
            </w:r>
          </w:p>
        </w:tc>
        <w:tc>
          <w:tcPr>
            <w:tcW w:w="671"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r w:rsidRPr="00986FFA">
              <w:rPr>
                <w:color w:val="000000"/>
                <w:szCs w:val="24"/>
                <w:lang w:eastAsia="nb-NO"/>
              </w:rPr>
              <w:t xml:space="preserve"> </w:t>
            </w:r>
          </w:p>
        </w:tc>
        <w:tc>
          <w:tcPr>
            <w:tcW w:w="671"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p>
        </w:tc>
        <w:tc>
          <w:tcPr>
            <w:tcW w:w="671"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p>
        </w:tc>
        <w:tc>
          <w:tcPr>
            <w:tcW w:w="1220" w:type="dxa"/>
            <w:gridSpan w:val="2"/>
            <w:tcBorders>
              <w:top w:val="nil"/>
              <w:left w:val="nil"/>
              <w:bottom w:val="nil"/>
              <w:right w:val="nil"/>
            </w:tcBorders>
            <w:shd w:val="clear" w:color="auto" w:fill="auto"/>
            <w:noWrap/>
            <w:vAlign w:val="bottom"/>
            <w:hideMark/>
          </w:tcPr>
          <w:p w:rsidR="00254373" w:rsidRPr="00986FFA" w:rsidRDefault="007F781A" w:rsidP="00254373">
            <w:pPr>
              <w:jc w:val="right"/>
              <w:rPr>
                <w:color w:val="000000"/>
                <w:szCs w:val="24"/>
                <w:lang w:eastAsia="nb-NO"/>
              </w:rPr>
            </w:pPr>
            <w:r w:rsidRPr="007F781A">
              <w:rPr>
                <w:color w:val="000000"/>
                <w:szCs w:val="24"/>
                <w:lang w:eastAsia="nb-NO"/>
              </w:rPr>
              <w:t>1</w:t>
            </w:r>
          </w:p>
        </w:tc>
        <w:tc>
          <w:tcPr>
            <w:tcW w:w="1220" w:type="dxa"/>
            <w:tcBorders>
              <w:top w:val="nil"/>
              <w:left w:val="nil"/>
              <w:bottom w:val="nil"/>
              <w:right w:val="nil"/>
            </w:tcBorders>
            <w:shd w:val="clear" w:color="auto" w:fill="auto"/>
            <w:noWrap/>
            <w:vAlign w:val="bottom"/>
            <w:hideMark/>
          </w:tcPr>
          <w:p w:rsidR="00254373" w:rsidRPr="00986FFA" w:rsidRDefault="007F781A" w:rsidP="00254373">
            <w:pPr>
              <w:jc w:val="right"/>
              <w:rPr>
                <w:color w:val="000000"/>
                <w:szCs w:val="24"/>
                <w:lang w:eastAsia="nb-NO"/>
              </w:rPr>
            </w:pPr>
            <w:r w:rsidRPr="007F781A">
              <w:rPr>
                <w:color w:val="000000"/>
                <w:szCs w:val="24"/>
                <w:lang w:eastAsia="nb-NO"/>
              </w:rPr>
              <w:t>3</w:t>
            </w:r>
          </w:p>
        </w:tc>
        <w:tc>
          <w:tcPr>
            <w:tcW w:w="1167"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p>
        </w:tc>
        <w:tc>
          <w:tcPr>
            <w:tcW w:w="1482" w:type="dxa"/>
            <w:tcBorders>
              <w:top w:val="nil"/>
              <w:left w:val="nil"/>
              <w:bottom w:val="nil"/>
              <w:right w:val="nil"/>
            </w:tcBorders>
            <w:shd w:val="clear" w:color="auto" w:fill="auto"/>
            <w:noWrap/>
            <w:vAlign w:val="bottom"/>
            <w:hideMark/>
          </w:tcPr>
          <w:p w:rsidR="00254373" w:rsidRPr="00986FFA" w:rsidRDefault="007F781A" w:rsidP="00254373">
            <w:pPr>
              <w:jc w:val="right"/>
              <w:rPr>
                <w:color w:val="000000"/>
                <w:szCs w:val="24"/>
                <w:lang w:eastAsia="nb-NO"/>
              </w:rPr>
            </w:pPr>
            <w:r w:rsidRPr="007F781A">
              <w:rPr>
                <w:color w:val="000000"/>
                <w:szCs w:val="24"/>
                <w:lang w:eastAsia="nb-NO"/>
              </w:rPr>
              <w:t>4</w:t>
            </w:r>
          </w:p>
        </w:tc>
      </w:tr>
      <w:tr w:rsidR="00254373" w:rsidRPr="00986FFA" w:rsidTr="00E82083">
        <w:trPr>
          <w:trHeight w:val="303"/>
        </w:trPr>
        <w:tc>
          <w:tcPr>
            <w:tcW w:w="2988" w:type="dxa"/>
            <w:tcBorders>
              <w:top w:val="nil"/>
              <w:left w:val="nil"/>
              <w:bottom w:val="nil"/>
              <w:right w:val="nil"/>
            </w:tcBorders>
            <w:shd w:val="clear" w:color="000000" w:fill="FFFF00"/>
            <w:noWrap/>
            <w:vAlign w:val="bottom"/>
            <w:hideMark/>
          </w:tcPr>
          <w:p w:rsidR="00254373" w:rsidRPr="00986FFA" w:rsidRDefault="00254373" w:rsidP="00254373">
            <w:pPr>
              <w:rPr>
                <w:color w:val="000000"/>
                <w:szCs w:val="24"/>
                <w:lang w:eastAsia="nb-NO"/>
              </w:rPr>
            </w:pPr>
            <w:r w:rsidRPr="00986FFA">
              <w:rPr>
                <w:color w:val="000000"/>
                <w:szCs w:val="24"/>
                <w:lang w:eastAsia="nb-NO"/>
              </w:rPr>
              <w:t>Tidsskriftartikler, nivå 2</w:t>
            </w:r>
          </w:p>
        </w:tc>
        <w:tc>
          <w:tcPr>
            <w:tcW w:w="671" w:type="dxa"/>
            <w:tcBorders>
              <w:top w:val="nil"/>
              <w:left w:val="nil"/>
              <w:bottom w:val="nil"/>
              <w:right w:val="nil"/>
            </w:tcBorders>
            <w:shd w:val="clear" w:color="000000" w:fill="FFFF00"/>
            <w:noWrap/>
            <w:vAlign w:val="bottom"/>
            <w:hideMark/>
          </w:tcPr>
          <w:p w:rsidR="00254373" w:rsidRPr="00986FFA" w:rsidRDefault="00254373" w:rsidP="00254373">
            <w:pPr>
              <w:jc w:val="right"/>
              <w:rPr>
                <w:color w:val="000000"/>
                <w:szCs w:val="24"/>
                <w:lang w:eastAsia="nb-NO"/>
              </w:rPr>
            </w:pPr>
            <w:r w:rsidRPr="00986FFA">
              <w:rPr>
                <w:color w:val="000000"/>
                <w:szCs w:val="24"/>
                <w:lang w:eastAsia="nb-NO"/>
              </w:rPr>
              <w:t>1,5</w:t>
            </w:r>
          </w:p>
        </w:tc>
        <w:tc>
          <w:tcPr>
            <w:tcW w:w="671" w:type="dxa"/>
            <w:tcBorders>
              <w:top w:val="nil"/>
              <w:left w:val="nil"/>
              <w:bottom w:val="nil"/>
              <w:right w:val="nil"/>
            </w:tcBorders>
            <w:shd w:val="clear" w:color="000000" w:fill="FFFF00"/>
            <w:noWrap/>
            <w:vAlign w:val="bottom"/>
            <w:hideMark/>
          </w:tcPr>
          <w:p w:rsidR="00254373" w:rsidRPr="00986FFA" w:rsidRDefault="00254373" w:rsidP="00254373">
            <w:pPr>
              <w:jc w:val="right"/>
              <w:rPr>
                <w:color w:val="000000"/>
                <w:szCs w:val="24"/>
                <w:lang w:eastAsia="nb-NO"/>
              </w:rPr>
            </w:pPr>
            <w:r w:rsidRPr="00986FFA">
              <w:rPr>
                <w:color w:val="000000"/>
                <w:szCs w:val="24"/>
                <w:lang w:eastAsia="nb-NO"/>
              </w:rPr>
              <w:t>2</w:t>
            </w:r>
          </w:p>
        </w:tc>
        <w:tc>
          <w:tcPr>
            <w:tcW w:w="671" w:type="dxa"/>
            <w:tcBorders>
              <w:top w:val="nil"/>
              <w:left w:val="nil"/>
              <w:bottom w:val="nil"/>
              <w:right w:val="nil"/>
            </w:tcBorders>
            <w:shd w:val="clear" w:color="000000" w:fill="FFFF00"/>
            <w:noWrap/>
            <w:vAlign w:val="bottom"/>
            <w:hideMark/>
          </w:tcPr>
          <w:p w:rsidR="00254373" w:rsidRPr="00986FFA" w:rsidRDefault="00254373" w:rsidP="00254373">
            <w:pPr>
              <w:jc w:val="right"/>
              <w:rPr>
                <w:color w:val="000000"/>
                <w:szCs w:val="24"/>
                <w:lang w:eastAsia="nb-NO"/>
              </w:rPr>
            </w:pPr>
            <w:r w:rsidRPr="00986FFA">
              <w:rPr>
                <w:color w:val="000000"/>
                <w:szCs w:val="24"/>
                <w:lang w:eastAsia="nb-NO"/>
              </w:rPr>
              <w:t>3</w:t>
            </w:r>
          </w:p>
        </w:tc>
        <w:tc>
          <w:tcPr>
            <w:tcW w:w="1220" w:type="dxa"/>
            <w:gridSpan w:val="2"/>
            <w:tcBorders>
              <w:top w:val="nil"/>
              <w:left w:val="nil"/>
              <w:bottom w:val="nil"/>
              <w:right w:val="nil"/>
            </w:tcBorders>
            <w:shd w:val="clear" w:color="000000" w:fill="FFFF00"/>
            <w:noWrap/>
            <w:vAlign w:val="bottom"/>
            <w:hideMark/>
          </w:tcPr>
          <w:p w:rsidR="00254373" w:rsidRPr="00986FFA" w:rsidRDefault="007F781A" w:rsidP="00254373">
            <w:pPr>
              <w:jc w:val="right"/>
              <w:rPr>
                <w:color w:val="000000"/>
                <w:szCs w:val="24"/>
                <w:lang w:eastAsia="nb-NO"/>
              </w:rPr>
            </w:pPr>
            <w:r w:rsidRPr="007F781A">
              <w:rPr>
                <w:color w:val="000000"/>
                <w:szCs w:val="24"/>
                <w:lang w:eastAsia="nb-NO"/>
              </w:rPr>
              <w:t>2</w:t>
            </w:r>
          </w:p>
        </w:tc>
        <w:tc>
          <w:tcPr>
            <w:tcW w:w="1220" w:type="dxa"/>
            <w:tcBorders>
              <w:top w:val="nil"/>
              <w:left w:val="nil"/>
              <w:bottom w:val="nil"/>
              <w:right w:val="nil"/>
            </w:tcBorders>
            <w:shd w:val="clear" w:color="000000" w:fill="FFFF00"/>
            <w:noWrap/>
            <w:vAlign w:val="bottom"/>
            <w:hideMark/>
          </w:tcPr>
          <w:p w:rsidR="00254373" w:rsidRPr="00986FFA" w:rsidRDefault="007F781A" w:rsidP="00254373">
            <w:pPr>
              <w:jc w:val="right"/>
              <w:rPr>
                <w:color w:val="000000"/>
                <w:szCs w:val="24"/>
                <w:lang w:eastAsia="nb-NO"/>
              </w:rPr>
            </w:pPr>
            <w:r w:rsidRPr="007F781A">
              <w:rPr>
                <w:color w:val="000000"/>
                <w:szCs w:val="24"/>
                <w:lang w:eastAsia="nb-NO"/>
              </w:rPr>
              <w:t>2</w:t>
            </w:r>
          </w:p>
        </w:tc>
        <w:tc>
          <w:tcPr>
            <w:tcW w:w="1167" w:type="dxa"/>
            <w:tcBorders>
              <w:top w:val="nil"/>
              <w:left w:val="nil"/>
              <w:bottom w:val="nil"/>
              <w:right w:val="nil"/>
            </w:tcBorders>
            <w:shd w:val="clear" w:color="000000" w:fill="FFFF00"/>
            <w:noWrap/>
            <w:vAlign w:val="bottom"/>
            <w:hideMark/>
          </w:tcPr>
          <w:p w:rsidR="00254373" w:rsidRPr="00986FFA" w:rsidRDefault="007F781A" w:rsidP="00254373">
            <w:pPr>
              <w:rPr>
                <w:color w:val="000000"/>
                <w:szCs w:val="24"/>
                <w:lang w:eastAsia="nb-NO"/>
              </w:rPr>
            </w:pPr>
            <w:r w:rsidRPr="007F781A">
              <w:rPr>
                <w:color w:val="000000"/>
                <w:szCs w:val="24"/>
                <w:lang w:eastAsia="nb-NO"/>
              </w:rPr>
              <w:t> </w:t>
            </w:r>
          </w:p>
        </w:tc>
        <w:tc>
          <w:tcPr>
            <w:tcW w:w="1482" w:type="dxa"/>
            <w:tcBorders>
              <w:top w:val="nil"/>
              <w:left w:val="nil"/>
              <w:bottom w:val="nil"/>
              <w:right w:val="nil"/>
            </w:tcBorders>
            <w:shd w:val="clear" w:color="000000" w:fill="FFFF00"/>
            <w:noWrap/>
            <w:vAlign w:val="bottom"/>
            <w:hideMark/>
          </w:tcPr>
          <w:p w:rsidR="00254373" w:rsidRPr="00986FFA" w:rsidRDefault="007F781A" w:rsidP="00254373">
            <w:pPr>
              <w:jc w:val="right"/>
              <w:rPr>
                <w:color w:val="000000"/>
                <w:szCs w:val="24"/>
                <w:lang w:eastAsia="nb-NO"/>
              </w:rPr>
            </w:pPr>
            <w:r w:rsidRPr="007F781A">
              <w:rPr>
                <w:color w:val="000000"/>
                <w:szCs w:val="24"/>
                <w:lang w:eastAsia="nb-NO"/>
              </w:rPr>
              <w:t>10,5</w:t>
            </w:r>
          </w:p>
        </w:tc>
      </w:tr>
      <w:tr w:rsidR="00254373" w:rsidRPr="00986FFA" w:rsidTr="00E82083">
        <w:trPr>
          <w:trHeight w:val="303"/>
        </w:trPr>
        <w:tc>
          <w:tcPr>
            <w:tcW w:w="2988"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r w:rsidRPr="00986FFA">
              <w:rPr>
                <w:color w:val="000000"/>
                <w:szCs w:val="24"/>
                <w:lang w:eastAsia="nb-NO"/>
              </w:rPr>
              <w:t>Tidsskriftartikler, nivå 1</w:t>
            </w:r>
          </w:p>
        </w:tc>
        <w:tc>
          <w:tcPr>
            <w:tcW w:w="671" w:type="dxa"/>
            <w:tcBorders>
              <w:top w:val="nil"/>
              <w:left w:val="nil"/>
              <w:bottom w:val="nil"/>
              <w:right w:val="nil"/>
            </w:tcBorders>
            <w:shd w:val="clear" w:color="auto" w:fill="auto"/>
            <w:noWrap/>
            <w:vAlign w:val="bottom"/>
            <w:hideMark/>
          </w:tcPr>
          <w:p w:rsidR="00254373" w:rsidRPr="00986FFA" w:rsidRDefault="00254373" w:rsidP="00254373">
            <w:pPr>
              <w:jc w:val="right"/>
              <w:rPr>
                <w:color w:val="000000"/>
                <w:szCs w:val="24"/>
                <w:lang w:eastAsia="nb-NO"/>
              </w:rPr>
            </w:pPr>
            <w:r w:rsidRPr="00986FFA">
              <w:rPr>
                <w:color w:val="000000"/>
                <w:szCs w:val="24"/>
                <w:lang w:eastAsia="nb-NO"/>
              </w:rPr>
              <w:t>8</w:t>
            </w:r>
          </w:p>
        </w:tc>
        <w:tc>
          <w:tcPr>
            <w:tcW w:w="671" w:type="dxa"/>
            <w:tcBorders>
              <w:top w:val="nil"/>
              <w:left w:val="nil"/>
              <w:bottom w:val="nil"/>
              <w:right w:val="nil"/>
            </w:tcBorders>
            <w:shd w:val="clear" w:color="auto" w:fill="auto"/>
            <w:noWrap/>
            <w:vAlign w:val="bottom"/>
            <w:hideMark/>
          </w:tcPr>
          <w:p w:rsidR="00254373" w:rsidRPr="00986FFA" w:rsidRDefault="00254373" w:rsidP="00254373">
            <w:pPr>
              <w:jc w:val="right"/>
              <w:rPr>
                <w:color w:val="000000"/>
                <w:szCs w:val="24"/>
                <w:lang w:eastAsia="nb-NO"/>
              </w:rPr>
            </w:pPr>
            <w:r w:rsidRPr="00986FFA">
              <w:rPr>
                <w:color w:val="000000"/>
                <w:szCs w:val="24"/>
                <w:lang w:eastAsia="nb-NO"/>
              </w:rPr>
              <w:t>22</w:t>
            </w:r>
          </w:p>
        </w:tc>
        <w:tc>
          <w:tcPr>
            <w:tcW w:w="671" w:type="dxa"/>
            <w:tcBorders>
              <w:top w:val="nil"/>
              <w:left w:val="nil"/>
              <w:bottom w:val="nil"/>
              <w:right w:val="nil"/>
            </w:tcBorders>
            <w:shd w:val="clear" w:color="auto" w:fill="auto"/>
            <w:noWrap/>
            <w:vAlign w:val="bottom"/>
            <w:hideMark/>
          </w:tcPr>
          <w:p w:rsidR="00254373" w:rsidRPr="00986FFA" w:rsidRDefault="00254373" w:rsidP="00254373">
            <w:pPr>
              <w:jc w:val="right"/>
              <w:rPr>
                <w:color w:val="000000"/>
                <w:szCs w:val="24"/>
                <w:lang w:eastAsia="nb-NO"/>
              </w:rPr>
            </w:pPr>
            <w:r w:rsidRPr="00986FFA">
              <w:rPr>
                <w:color w:val="000000"/>
                <w:szCs w:val="24"/>
                <w:lang w:eastAsia="nb-NO"/>
              </w:rPr>
              <w:t>8</w:t>
            </w:r>
          </w:p>
        </w:tc>
        <w:tc>
          <w:tcPr>
            <w:tcW w:w="1220" w:type="dxa"/>
            <w:gridSpan w:val="2"/>
            <w:tcBorders>
              <w:top w:val="nil"/>
              <w:left w:val="nil"/>
              <w:bottom w:val="nil"/>
              <w:right w:val="nil"/>
            </w:tcBorders>
            <w:shd w:val="clear" w:color="auto" w:fill="auto"/>
            <w:noWrap/>
            <w:vAlign w:val="bottom"/>
            <w:hideMark/>
          </w:tcPr>
          <w:p w:rsidR="00254373" w:rsidRPr="00986FFA" w:rsidRDefault="007F781A" w:rsidP="00254373">
            <w:pPr>
              <w:jc w:val="right"/>
              <w:rPr>
                <w:color w:val="000000"/>
                <w:szCs w:val="24"/>
                <w:lang w:eastAsia="nb-NO"/>
              </w:rPr>
            </w:pPr>
            <w:r w:rsidRPr="007F781A">
              <w:rPr>
                <w:color w:val="000000"/>
                <w:szCs w:val="24"/>
                <w:lang w:eastAsia="nb-NO"/>
              </w:rPr>
              <w:t>9,5</w:t>
            </w:r>
          </w:p>
        </w:tc>
        <w:tc>
          <w:tcPr>
            <w:tcW w:w="1220" w:type="dxa"/>
            <w:tcBorders>
              <w:top w:val="nil"/>
              <w:left w:val="nil"/>
              <w:bottom w:val="nil"/>
              <w:right w:val="nil"/>
            </w:tcBorders>
            <w:shd w:val="clear" w:color="auto" w:fill="auto"/>
            <w:noWrap/>
            <w:vAlign w:val="bottom"/>
            <w:hideMark/>
          </w:tcPr>
          <w:p w:rsidR="00254373" w:rsidRPr="00986FFA" w:rsidRDefault="007F781A" w:rsidP="00254373">
            <w:pPr>
              <w:jc w:val="right"/>
              <w:rPr>
                <w:color w:val="000000"/>
                <w:szCs w:val="24"/>
                <w:lang w:eastAsia="nb-NO"/>
              </w:rPr>
            </w:pPr>
            <w:r w:rsidRPr="007F781A">
              <w:rPr>
                <w:color w:val="000000"/>
                <w:szCs w:val="24"/>
                <w:lang w:eastAsia="nb-NO"/>
              </w:rPr>
              <w:t>18,2</w:t>
            </w:r>
          </w:p>
        </w:tc>
        <w:tc>
          <w:tcPr>
            <w:tcW w:w="1167"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p>
        </w:tc>
        <w:tc>
          <w:tcPr>
            <w:tcW w:w="1482" w:type="dxa"/>
            <w:tcBorders>
              <w:top w:val="nil"/>
              <w:left w:val="nil"/>
              <w:bottom w:val="nil"/>
              <w:right w:val="nil"/>
            </w:tcBorders>
            <w:shd w:val="clear" w:color="auto" w:fill="auto"/>
            <w:noWrap/>
            <w:vAlign w:val="bottom"/>
            <w:hideMark/>
          </w:tcPr>
          <w:p w:rsidR="00254373" w:rsidRPr="00986FFA" w:rsidRDefault="007F781A" w:rsidP="00254373">
            <w:pPr>
              <w:ind w:left="1134"/>
              <w:jc w:val="right"/>
              <w:rPr>
                <w:color w:val="000000"/>
                <w:szCs w:val="24"/>
                <w:lang w:eastAsia="nb-NO"/>
              </w:rPr>
            </w:pPr>
            <w:r w:rsidRPr="007F781A">
              <w:rPr>
                <w:color w:val="000000"/>
                <w:szCs w:val="24"/>
                <w:lang w:eastAsia="nb-NO"/>
              </w:rPr>
              <w:t>65,7</w:t>
            </w:r>
          </w:p>
        </w:tc>
      </w:tr>
      <w:tr w:rsidR="00254373" w:rsidRPr="00986FFA" w:rsidTr="00E82083">
        <w:trPr>
          <w:trHeight w:val="303"/>
        </w:trPr>
        <w:tc>
          <w:tcPr>
            <w:tcW w:w="2988" w:type="dxa"/>
            <w:tcBorders>
              <w:top w:val="nil"/>
              <w:left w:val="nil"/>
              <w:bottom w:val="nil"/>
              <w:right w:val="nil"/>
            </w:tcBorders>
            <w:shd w:val="clear" w:color="000000" w:fill="FFFF00"/>
            <w:noWrap/>
            <w:vAlign w:val="bottom"/>
            <w:hideMark/>
          </w:tcPr>
          <w:p w:rsidR="00254373" w:rsidRPr="00986FFA" w:rsidRDefault="00254373" w:rsidP="00254373">
            <w:pPr>
              <w:rPr>
                <w:color w:val="000000"/>
                <w:szCs w:val="24"/>
                <w:lang w:eastAsia="nb-NO"/>
              </w:rPr>
            </w:pPr>
            <w:r w:rsidRPr="00986FFA">
              <w:rPr>
                <w:color w:val="000000"/>
                <w:szCs w:val="24"/>
                <w:lang w:eastAsia="nb-NO"/>
              </w:rPr>
              <w:t>Antologibidrag, nivå 2</w:t>
            </w:r>
          </w:p>
        </w:tc>
        <w:tc>
          <w:tcPr>
            <w:tcW w:w="671" w:type="dxa"/>
            <w:tcBorders>
              <w:top w:val="nil"/>
              <w:left w:val="nil"/>
              <w:bottom w:val="nil"/>
              <w:right w:val="nil"/>
            </w:tcBorders>
            <w:shd w:val="clear" w:color="000000" w:fill="FFFF00"/>
            <w:noWrap/>
            <w:vAlign w:val="bottom"/>
            <w:hideMark/>
          </w:tcPr>
          <w:p w:rsidR="00254373" w:rsidRPr="00986FFA" w:rsidRDefault="00254373" w:rsidP="00254373">
            <w:pPr>
              <w:jc w:val="right"/>
              <w:rPr>
                <w:color w:val="000000"/>
                <w:szCs w:val="24"/>
                <w:lang w:eastAsia="nb-NO"/>
              </w:rPr>
            </w:pPr>
            <w:r w:rsidRPr="00986FFA">
              <w:rPr>
                <w:color w:val="000000"/>
                <w:szCs w:val="24"/>
                <w:lang w:eastAsia="nb-NO"/>
              </w:rPr>
              <w:t>1</w:t>
            </w:r>
          </w:p>
        </w:tc>
        <w:tc>
          <w:tcPr>
            <w:tcW w:w="671" w:type="dxa"/>
            <w:tcBorders>
              <w:top w:val="nil"/>
              <w:left w:val="nil"/>
              <w:bottom w:val="nil"/>
              <w:right w:val="nil"/>
            </w:tcBorders>
            <w:shd w:val="clear" w:color="000000" w:fill="FFFF00"/>
            <w:noWrap/>
            <w:vAlign w:val="bottom"/>
            <w:hideMark/>
          </w:tcPr>
          <w:p w:rsidR="00254373" w:rsidRPr="00986FFA" w:rsidRDefault="00254373" w:rsidP="00254373">
            <w:pPr>
              <w:jc w:val="right"/>
              <w:rPr>
                <w:color w:val="000000"/>
                <w:szCs w:val="24"/>
                <w:lang w:eastAsia="nb-NO"/>
              </w:rPr>
            </w:pPr>
            <w:r w:rsidRPr="00986FFA">
              <w:rPr>
                <w:color w:val="000000"/>
                <w:szCs w:val="24"/>
                <w:lang w:eastAsia="nb-NO"/>
              </w:rPr>
              <w:t>1</w:t>
            </w:r>
          </w:p>
        </w:tc>
        <w:tc>
          <w:tcPr>
            <w:tcW w:w="671" w:type="dxa"/>
            <w:tcBorders>
              <w:top w:val="nil"/>
              <w:left w:val="nil"/>
              <w:bottom w:val="nil"/>
              <w:right w:val="nil"/>
            </w:tcBorders>
            <w:shd w:val="clear" w:color="000000" w:fill="FFFF00"/>
            <w:noWrap/>
            <w:vAlign w:val="bottom"/>
            <w:hideMark/>
          </w:tcPr>
          <w:p w:rsidR="00254373" w:rsidRPr="00986FFA" w:rsidRDefault="00254373" w:rsidP="00254373">
            <w:pPr>
              <w:jc w:val="right"/>
              <w:rPr>
                <w:color w:val="000000"/>
                <w:szCs w:val="24"/>
                <w:lang w:eastAsia="nb-NO"/>
              </w:rPr>
            </w:pPr>
            <w:r w:rsidRPr="00986FFA">
              <w:rPr>
                <w:color w:val="000000"/>
                <w:szCs w:val="24"/>
                <w:lang w:eastAsia="nb-NO"/>
              </w:rPr>
              <w:t>3</w:t>
            </w:r>
          </w:p>
        </w:tc>
        <w:tc>
          <w:tcPr>
            <w:tcW w:w="1220" w:type="dxa"/>
            <w:gridSpan w:val="2"/>
            <w:tcBorders>
              <w:top w:val="nil"/>
              <w:left w:val="nil"/>
              <w:bottom w:val="nil"/>
              <w:right w:val="nil"/>
            </w:tcBorders>
            <w:shd w:val="clear" w:color="000000" w:fill="FFFF00"/>
            <w:noWrap/>
            <w:vAlign w:val="bottom"/>
            <w:hideMark/>
          </w:tcPr>
          <w:p w:rsidR="00254373" w:rsidRPr="00986FFA" w:rsidRDefault="007F781A" w:rsidP="00254373">
            <w:pPr>
              <w:ind w:left="1134"/>
              <w:jc w:val="right"/>
              <w:rPr>
                <w:color w:val="000000"/>
                <w:szCs w:val="24"/>
                <w:lang w:eastAsia="nb-NO"/>
              </w:rPr>
            </w:pPr>
            <w:r w:rsidRPr="007F781A">
              <w:rPr>
                <w:color w:val="000000"/>
                <w:szCs w:val="24"/>
                <w:lang w:eastAsia="nb-NO"/>
              </w:rPr>
              <w:t>2</w:t>
            </w:r>
          </w:p>
        </w:tc>
        <w:tc>
          <w:tcPr>
            <w:tcW w:w="1220" w:type="dxa"/>
            <w:tcBorders>
              <w:top w:val="nil"/>
              <w:left w:val="nil"/>
              <w:bottom w:val="nil"/>
              <w:right w:val="nil"/>
            </w:tcBorders>
            <w:shd w:val="clear" w:color="000000" w:fill="FFFF00"/>
            <w:noWrap/>
            <w:vAlign w:val="bottom"/>
            <w:hideMark/>
          </w:tcPr>
          <w:p w:rsidR="00254373" w:rsidRPr="00986FFA" w:rsidRDefault="007F781A" w:rsidP="00254373">
            <w:pPr>
              <w:ind w:left="1134"/>
              <w:jc w:val="right"/>
              <w:rPr>
                <w:color w:val="000000"/>
                <w:szCs w:val="24"/>
                <w:lang w:eastAsia="nb-NO"/>
              </w:rPr>
            </w:pPr>
            <w:r w:rsidRPr="007F781A">
              <w:rPr>
                <w:color w:val="000000"/>
                <w:szCs w:val="24"/>
                <w:lang w:eastAsia="nb-NO"/>
              </w:rPr>
              <w:t>4</w:t>
            </w:r>
          </w:p>
        </w:tc>
        <w:tc>
          <w:tcPr>
            <w:tcW w:w="1167" w:type="dxa"/>
            <w:tcBorders>
              <w:top w:val="nil"/>
              <w:left w:val="nil"/>
              <w:bottom w:val="nil"/>
              <w:right w:val="nil"/>
            </w:tcBorders>
            <w:shd w:val="clear" w:color="000000" w:fill="FFFF00"/>
            <w:noWrap/>
            <w:vAlign w:val="bottom"/>
            <w:hideMark/>
          </w:tcPr>
          <w:p w:rsidR="00254373" w:rsidRPr="00986FFA" w:rsidRDefault="007F781A" w:rsidP="00254373">
            <w:pPr>
              <w:ind w:left="1134"/>
              <w:rPr>
                <w:color w:val="000000"/>
                <w:szCs w:val="24"/>
                <w:lang w:eastAsia="nb-NO"/>
              </w:rPr>
            </w:pPr>
            <w:r w:rsidRPr="007F781A">
              <w:rPr>
                <w:color w:val="000000"/>
                <w:szCs w:val="24"/>
                <w:lang w:eastAsia="nb-NO"/>
              </w:rPr>
              <w:t> </w:t>
            </w:r>
          </w:p>
        </w:tc>
        <w:tc>
          <w:tcPr>
            <w:tcW w:w="1482" w:type="dxa"/>
            <w:tcBorders>
              <w:top w:val="nil"/>
              <w:left w:val="nil"/>
              <w:bottom w:val="nil"/>
              <w:right w:val="nil"/>
            </w:tcBorders>
            <w:shd w:val="clear" w:color="000000" w:fill="FFFF00"/>
            <w:noWrap/>
            <w:vAlign w:val="bottom"/>
            <w:hideMark/>
          </w:tcPr>
          <w:p w:rsidR="00254373" w:rsidRPr="00986FFA" w:rsidRDefault="007F781A" w:rsidP="00254373">
            <w:pPr>
              <w:ind w:left="1134"/>
              <w:jc w:val="right"/>
              <w:rPr>
                <w:color w:val="000000"/>
                <w:szCs w:val="24"/>
                <w:lang w:eastAsia="nb-NO"/>
              </w:rPr>
            </w:pPr>
            <w:r w:rsidRPr="007F781A">
              <w:rPr>
                <w:color w:val="000000"/>
                <w:szCs w:val="24"/>
                <w:lang w:eastAsia="nb-NO"/>
              </w:rPr>
              <w:t>11</w:t>
            </w:r>
          </w:p>
        </w:tc>
      </w:tr>
      <w:tr w:rsidR="00254373" w:rsidRPr="00986FFA" w:rsidTr="00E82083">
        <w:trPr>
          <w:trHeight w:val="303"/>
        </w:trPr>
        <w:tc>
          <w:tcPr>
            <w:tcW w:w="2988"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r w:rsidRPr="00986FFA">
              <w:rPr>
                <w:color w:val="000000"/>
                <w:szCs w:val="24"/>
                <w:lang w:eastAsia="nb-NO"/>
              </w:rPr>
              <w:t>Antologibidrag, nivå 1</w:t>
            </w:r>
          </w:p>
        </w:tc>
        <w:tc>
          <w:tcPr>
            <w:tcW w:w="671"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r w:rsidRPr="00986FFA">
              <w:rPr>
                <w:color w:val="000000"/>
                <w:szCs w:val="24"/>
                <w:lang w:eastAsia="nb-NO"/>
              </w:rPr>
              <w:t xml:space="preserve"> </w:t>
            </w:r>
          </w:p>
        </w:tc>
        <w:tc>
          <w:tcPr>
            <w:tcW w:w="671" w:type="dxa"/>
            <w:tcBorders>
              <w:top w:val="nil"/>
              <w:left w:val="nil"/>
              <w:bottom w:val="nil"/>
              <w:right w:val="nil"/>
            </w:tcBorders>
            <w:shd w:val="clear" w:color="auto" w:fill="auto"/>
            <w:noWrap/>
            <w:vAlign w:val="bottom"/>
            <w:hideMark/>
          </w:tcPr>
          <w:p w:rsidR="00254373" w:rsidRPr="00986FFA" w:rsidRDefault="00254373" w:rsidP="00254373">
            <w:pPr>
              <w:jc w:val="right"/>
              <w:rPr>
                <w:color w:val="000000"/>
                <w:szCs w:val="24"/>
                <w:lang w:eastAsia="nb-NO"/>
              </w:rPr>
            </w:pPr>
            <w:r w:rsidRPr="00986FFA">
              <w:rPr>
                <w:color w:val="000000"/>
                <w:szCs w:val="24"/>
                <w:lang w:eastAsia="nb-NO"/>
              </w:rPr>
              <w:t>4</w:t>
            </w:r>
          </w:p>
        </w:tc>
        <w:tc>
          <w:tcPr>
            <w:tcW w:w="671" w:type="dxa"/>
            <w:tcBorders>
              <w:top w:val="nil"/>
              <w:left w:val="nil"/>
              <w:bottom w:val="nil"/>
              <w:right w:val="nil"/>
            </w:tcBorders>
            <w:shd w:val="clear" w:color="auto" w:fill="auto"/>
            <w:noWrap/>
            <w:vAlign w:val="bottom"/>
            <w:hideMark/>
          </w:tcPr>
          <w:p w:rsidR="00254373" w:rsidRPr="00986FFA" w:rsidRDefault="00254373" w:rsidP="00254373">
            <w:pPr>
              <w:jc w:val="right"/>
              <w:rPr>
                <w:color w:val="000000"/>
                <w:szCs w:val="24"/>
                <w:lang w:eastAsia="nb-NO"/>
              </w:rPr>
            </w:pPr>
            <w:r w:rsidRPr="00986FFA">
              <w:rPr>
                <w:color w:val="000000"/>
                <w:szCs w:val="24"/>
                <w:lang w:eastAsia="nb-NO"/>
              </w:rPr>
              <w:t>3</w:t>
            </w:r>
          </w:p>
        </w:tc>
        <w:tc>
          <w:tcPr>
            <w:tcW w:w="1220" w:type="dxa"/>
            <w:gridSpan w:val="2"/>
            <w:tcBorders>
              <w:top w:val="nil"/>
              <w:left w:val="nil"/>
              <w:bottom w:val="nil"/>
              <w:right w:val="nil"/>
            </w:tcBorders>
            <w:shd w:val="clear" w:color="auto" w:fill="auto"/>
            <w:noWrap/>
            <w:vAlign w:val="bottom"/>
            <w:hideMark/>
          </w:tcPr>
          <w:p w:rsidR="00254373" w:rsidRPr="00986FFA" w:rsidRDefault="007F781A" w:rsidP="00254373">
            <w:pPr>
              <w:ind w:left="1134"/>
              <w:jc w:val="right"/>
              <w:rPr>
                <w:color w:val="000000"/>
                <w:szCs w:val="24"/>
                <w:lang w:eastAsia="nb-NO"/>
              </w:rPr>
            </w:pPr>
            <w:r w:rsidRPr="007F781A">
              <w:rPr>
                <w:color w:val="000000"/>
                <w:szCs w:val="24"/>
                <w:lang w:eastAsia="nb-NO"/>
              </w:rPr>
              <w:t>3</w:t>
            </w:r>
          </w:p>
        </w:tc>
        <w:tc>
          <w:tcPr>
            <w:tcW w:w="1220" w:type="dxa"/>
            <w:tcBorders>
              <w:top w:val="nil"/>
              <w:left w:val="nil"/>
              <w:bottom w:val="nil"/>
              <w:right w:val="nil"/>
            </w:tcBorders>
            <w:shd w:val="clear" w:color="auto" w:fill="auto"/>
            <w:noWrap/>
            <w:vAlign w:val="bottom"/>
            <w:hideMark/>
          </w:tcPr>
          <w:p w:rsidR="00254373" w:rsidRPr="00986FFA" w:rsidRDefault="007F781A" w:rsidP="00254373">
            <w:pPr>
              <w:ind w:left="1134"/>
              <w:jc w:val="right"/>
              <w:rPr>
                <w:color w:val="000000"/>
                <w:szCs w:val="24"/>
                <w:lang w:eastAsia="nb-NO"/>
              </w:rPr>
            </w:pPr>
            <w:r w:rsidRPr="007F781A">
              <w:rPr>
                <w:color w:val="000000"/>
                <w:szCs w:val="24"/>
                <w:lang w:eastAsia="nb-NO"/>
              </w:rPr>
              <w:t>4</w:t>
            </w:r>
          </w:p>
        </w:tc>
        <w:tc>
          <w:tcPr>
            <w:tcW w:w="1167"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p>
        </w:tc>
        <w:tc>
          <w:tcPr>
            <w:tcW w:w="1482" w:type="dxa"/>
            <w:tcBorders>
              <w:top w:val="nil"/>
              <w:left w:val="nil"/>
              <w:bottom w:val="nil"/>
              <w:right w:val="nil"/>
            </w:tcBorders>
            <w:shd w:val="clear" w:color="auto" w:fill="auto"/>
            <w:noWrap/>
            <w:vAlign w:val="bottom"/>
            <w:hideMark/>
          </w:tcPr>
          <w:p w:rsidR="00254373" w:rsidRPr="00986FFA" w:rsidRDefault="007F781A" w:rsidP="00254373">
            <w:pPr>
              <w:jc w:val="right"/>
              <w:rPr>
                <w:color w:val="000000"/>
                <w:szCs w:val="24"/>
                <w:lang w:eastAsia="nb-NO"/>
              </w:rPr>
            </w:pPr>
            <w:r w:rsidRPr="007F781A">
              <w:rPr>
                <w:color w:val="000000"/>
                <w:szCs w:val="24"/>
                <w:lang w:eastAsia="nb-NO"/>
              </w:rPr>
              <w:t>14</w:t>
            </w:r>
          </w:p>
        </w:tc>
      </w:tr>
      <w:tr w:rsidR="00254373" w:rsidRPr="00986FFA" w:rsidTr="00E82083">
        <w:trPr>
          <w:trHeight w:val="303"/>
        </w:trPr>
        <w:tc>
          <w:tcPr>
            <w:tcW w:w="2988" w:type="dxa"/>
            <w:tcBorders>
              <w:top w:val="nil"/>
              <w:left w:val="nil"/>
              <w:bottom w:val="nil"/>
              <w:right w:val="nil"/>
            </w:tcBorders>
            <w:shd w:val="clear" w:color="000000" w:fill="FFFF00"/>
            <w:noWrap/>
            <w:vAlign w:val="bottom"/>
            <w:hideMark/>
          </w:tcPr>
          <w:p w:rsidR="00254373" w:rsidRPr="00986FFA" w:rsidRDefault="00254373" w:rsidP="00254373">
            <w:pPr>
              <w:rPr>
                <w:color w:val="000000"/>
                <w:szCs w:val="24"/>
                <w:lang w:eastAsia="nb-NO"/>
              </w:rPr>
            </w:pPr>
            <w:r w:rsidRPr="00986FFA">
              <w:rPr>
                <w:color w:val="000000"/>
                <w:szCs w:val="24"/>
                <w:lang w:eastAsia="nb-NO"/>
              </w:rPr>
              <w:t> </w:t>
            </w:r>
          </w:p>
        </w:tc>
        <w:tc>
          <w:tcPr>
            <w:tcW w:w="671" w:type="dxa"/>
            <w:tcBorders>
              <w:top w:val="nil"/>
              <w:left w:val="nil"/>
              <w:bottom w:val="nil"/>
              <w:right w:val="nil"/>
            </w:tcBorders>
            <w:shd w:val="clear" w:color="000000" w:fill="FFFF00"/>
            <w:noWrap/>
            <w:vAlign w:val="bottom"/>
            <w:hideMark/>
          </w:tcPr>
          <w:p w:rsidR="00254373" w:rsidRPr="00986FFA" w:rsidRDefault="00254373" w:rsidP="00254373">
            <w:pPr>
              <w:rPr>
                <w:color w:val="000000"/>
                <w:szCs w:val="24"/>
                <w:lang w:eastAsia="nb-NO"/>
              </w:rPr>
            </w:pPr>
            <w:r w:rsidRPr="00986FFA">
              <w:rPr>
                <w:color w:val="000000"/>
                <w:szCs w:val="24"/>
                <w:lang w:eastAsia="nb-NO"/>
              </w:rPr>
              <w:t> </w:t>
            </w:r>
          </w:p>
        </w:tc>
        <w:tc>
          <w:tcPr>
            <w:tcW w:w="671" w:type="dxa"/>
            <w:tcBorders>
              <w:top w:val="nil"/>
              <w:left w:val="nil"/>
              <w:bottom w:val="nil"/>
              <w:right w:val="nil"/>
            </w:tcBorders>
            <w:shd w:val="clear" w:color="000000" w:fill="FFFF00"/>
            <w:noWrap/>
            <w:vAlign w:val="bottom"/>
            <w:hideMark/>
          </w:tcPr>
          <w:p w:rsidR="00254373" w:rsidRPr="00986FFA" w:rsidRDefault="00254373" w:rsidP="00254373">
            <w:pPr>
              <w:rPr>
                <w:color w:val="000000"/>
                <w:szCs w:val="24"/>
                <w:lang w:eastAsia="nb-NO"/>
              </w:rPr>
            </w:pPr>
            <w:r w:rsidRPr="00986FFA">
              <w:rPr>
                <w:color w:val="000000"/>
                <w:szCs w:val="24"/>
                <w:lang w:eastAsia="nb-NO"/>
              </w:rPr>
              <w:t> </w:t>
            </w:r>
          </w:p>
        </w:tc>
        <w:tc>
          <w:tcPr>
            <w:tcW w:w="671" w:type="dxa"/>
            <w:tcBorders>
              <w:top w:val="nil"/>
              <w:left w:val="nil"/>
              <w:bottom w:val="nil"/>
              <w:right w:val="nil"/>
            </w:tcBorders>
            <w:shd w:val="clear" w:color="000000" w:fill="FFFF00"/>
            <w:noWrap/>
            <w:vAlign w:val="bottom"/>
            <w:hideMark/>
          </w:tcPr>
          <w:p w:rsidR="00254373" w:rsidRPr="00986FFA" w:rsidRDefault="007F781A" w:rsidP="00254373">
            <w:pPr>
              <w:rPr>
                <w:color w:val="000000"/>
                <w:szCs w:val="24"/>
                <w:lang w:eastAsia="nb-NO"/>
              </w:rPr>
            </w:pPr>
            <w:r w:rsidRPr="007F781A">
              <w:rPr>
                <w:color w:val="000000"/>
                <w:szCs w:val="24"/>
                <w:lang w:eastAsia="nb-NO"/>
              </w:rPr>
              <w:t> </w:t>
            </w:r>
          </w:p>
        </w:tc>
        <w:tc>
          <w:tcPr>
            <w:tcW w:w="1220" w:type="dxa"/>
            <w:gridSpan w:val="2"/>
            <w:tcBorders>
              <w:top w:val="nil"/>
              <w:left w:val="nil"/>
              <w:bottom w:val="nil"/>
              <w:right w:val="nil"/>
            </w:tcBorders>
            <w:shd w:val="clear" w:color="000000" w:fill="FFFF00"/>
            <w:noWrap/>
            <w:vAlign w:val="bottom"/>
            <w:hideMark/>
          </w:tcPr>
          <w:p w:rsidR="00254373" w:rsidRPr="00986FFA" w:rsidRDefault="007F781A" w:rsidP="00254373">
            <w:pPr>
              <w:rPr>
                <w:color w:val="000000"/>
                <w:szCs w:val="24"/>
                <w:lang w:eastAsia="nb-NO"/>
              </w:rPr>
            </w:pPr>
            <w:r w:rsidRPr="007F781A">
              <w:rPr>
                <w:color w:val="000000"/>
                <w:szCs w:val="24"/>
                <w:lang w:eastAsia="nb-NO"/>
              </w:rPr>
              <w:t> </w:t>
            </w:r>
          </w:p>
        </w:tc>
        <w:tc>
          <w:tcPr>
            <w:tcW w:w="1220" w:type="dxa"/>
            <w:tcBorders>
              <w:top w:val="nil"/>
              <w:left w:val="nil"/>
              <w:bottom w:val="nil"/>
              <w:right w:val="nil"/>
            </w:tcBorders>
            <w:shd w:val="clear" w:color="000000" w:fill="FFFF00"/>
            <w:noWrap/>
            <w:vAlign w:val="bottom"/>
            <w:hideMark/>
          </w:tcPr>
          <w:p w:rsidR="00254373" w:rsidRPr="00986FFA" w:rsidRDefault="007F781A" w:rsidP="00254373">
            <w:pPr>
              <w:rPr>
                <w:color w:val="000000"/>
                <w:szCs w:val="24"/>
                <w:lang w:eastAsia="nb-NO"/>
              </w:rPr>
            </w:pPr>
            <w:r w:rsidRPr="007F781A">
              <w:rPr>
                <w:color w:val="000000"/>
                <w:szCs w:val="24"/>
                <w:lang w:eastAsia="nb-NO"/>
              </w:rPr>
              <w:t> </w:t>
            </w:r>
          </w:p>
        </w:tc>
        <w:tc>
          <w:tcPr>
            <w:tcW w:w="1167" w:type="dxa"/>
            <w:tcBorders>
              <w:top w:val="nil"/>
              <w:left w:val="nil"/>
              <w:bottom w:val="nil"/>
              <w:right w:val="nil"/>
            </w:tcBorders>
            <w:shd w:val="clear" w:color="000000" w:fill="FFFF00"/>
            <w:noWrap/>
            <w:vAlign w:val="bottom"/>
            <w:hideMark/>
          </w:tcPr>
          <w:p w:rsidR="00254373" w:rsidRPr="00986FFA" w:rsidRDefault="007F781A" w:rsidP="00254373">
            <w:pPr>
              <w:rPr>
                <w:color w:val="000000"/>
                <w:szCs w:val="24"/>
                <w:lang w:eastAsia="nb-NO"/>
              </w:rPr>
            </w:pPr>
            <w:r w:rsidRPr="007F781A">
              <w:rPr>
                <w:color w:val="000000"/>
                <w:szCs w:val="24"/>
                <w:lang w:eastAsia="nb-NO"/>
              </w:rPr>
              <w:t> </w:t>
            </w:r>
          </w:p>
        </w:tc>
        <w:tc>
          <w:tcPr>
            <w:tcW w:w="1482" w:type="dxa"/>
            <w:tcBorders>
              <w:top w:val="nil"/>
              <w:left w:val="nil"/>
              <w:bottom w:val="nil"/>
              <w:right w:val="nil"/>
            </w:tcBorders>
            <w:shd w:val="clear" w:color="000000" w:fill="FFFF00"/>
            <w:noWrap/>
            <w:vAlign w:val="bottom"/>
            <w:hideMark/>
          </w:tcPr>
          <w:p w:rsidR="00254373" w:rsidRPr="00986FFA" w:rsidRDefault="007F781A" w:rsidP="00254373">
            <w:pPr>
              <w:rPr>
                <w:color w:val="000000"/>
                <w:szCs w:val="24"/>
                <w:lang w:eastAsia="nb-NO"/>
              </w:rPr>
            </w:pPr>
            <w:r w:rsidRPr="007F781A">
              <w:rPr>
                <w:color w:val="000000"/>
                <w:szCs w:val="24"/>
                <w:lang w:eastAsia="nb-NO"/>
              </w:rPr>
              <w:t> </w:t>
            </w:r>
          </w:p>
        </w:tc>
      </w:tr>
      <w:tr w:rsidR="00254373" w:rsidRPr="00986FFA" w:rsidTr="00E82083">
        <w:trPr>
          <w:trHeight w:val="303"/>
        </w:trPr>
        <w:tc>
          <w:tcPr>
            <w:tcW w:w="2988"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r w:rsidRPr="00986FFA">
              <w:rPr>
                <w:color w:val="000000"/>
                <w:szCs w:val="24"/>
                <w:lang w:eastAsia="nb-NO"/>
              </w:rPr>
              <w:t>Sum</w:t>
            </w:r>
          </w:p>
        </w:tc>
        <w:tc>
          <w:tcPr>
            <w:tcW w:w="671" w:type="dxa"/>
            <w:tcBorders>
              <w:top w:val="nil"/>
              <w:left w:val="nil"/>
              <w:bottom w:val="nil"/>
              <w:right w:val="nil"/>
            </w:tcBorders>
            <w:shd w:val="clear" w:color="auto" w:fill="auto"/>
            <w:noWrap/>
            <w:vAlign w:val="bottom"/>
            <w:hideMark/>
          </w:tcPr>
          <w:p w:rsidR="00254373" w:rsidRPr="00986FFA" w:rsidRDefault="00254373" w:rsidP="00254373">
            <w:pPr>
              <w:jc w:val="right"/>
              <w:rPr>
                <w:color w:val="000000"/>
                <w:szCs w:val="24"/>
                <w:lang w:eastAsia="nb-NO"/>
              </w:rPr>
            </w:pPr>
            <w:r w:rsidRPr="00986FFA">
              <w:rPr>
                <w:color w:val="000000"/>
                <w:szCs w:val="24"/>
                <w:lang w:eastAsia="nb-NO"/>
              </w:rPr>
              <w:t>10,5</w:t>
            </w:r>
          </w:p>
        </w:tc>
        <w:tc>
          <w:tcPr>
            <w:tcW w:w="671" w:type="dxa"/>
            <w:tcBorders>
              <w:top w:val="nil"/>
              <w:left w:val="nil"/>
              <w:bottom w:val="nil"/>
              <w:right w:val="nil"/>
            </w:tcBorders>
            <w:shd w:val="clear" w:color="auto" w:fill="auto"/>
            <w:noWrap/>
            <w:vAlign w:val="bottom"/>
            <w:hideMark/>
          </w:tcPr>
          <w:p w:rsidR="00254373" w:rsidRPr="00986FFA" w:rsidRDefault="00254373" w:rsidP="00254373">
            <w:pPr>
              <w:jc w:val="right"/>
              <w:rPr>
                <w:color w:val="000000"/>
                <w:szCs w:val="24"/>
                <w:lang w:eastAsia="nb-NO"/>
              </w:rPr>
            </w:pPr>
            <w:r w:rsidRPr="00986FFA">
              <w:rPr>
                <w:color w:val="000000"/>
                <w:szCs w:val="24"/>
                <w:lang w:eastAsia="nb-NO"/>
              </w:rPr>
              <w:t>29</w:t>
            </w:r>
          </w:p>
        </w:tc>
        <w:tc>
          <w:tcPr>
            <w:tcW w:w="671" w:type="dxa"/>
            <w:tcBorders>
              <w:top w:val="nil"/>
              <w:left w:val="nil"/>
              <w:bottom w:val="nil"/>
              <w:right w:val="nil"/>
            </w:tcBorders>
            <w:shd w:val="clear" w:color="auto" w:fill="auto"/>
            <w:noWrap/>
            <w:vAlign w:val="bottom"/>
            <w:hideMark/>
          </w:tcPr>
          <w:p w:rsidR="00254373" w:rsidRPr="00986FFA" w:rsidRDefault="00254373" w:rsidP="00254373">
            <w:pPr>
              <w:jc w:val="right"/>
              <w:rPr>
                <w:color w:val="000000"/>
                <w:szCs w:val="24"/>
                <w:lang w:eastAsia="nb-NO"/>
              </w:rPr>
            </w:pPr>
            <w:r w:rsidRPr="00986FFA">
              <w:rPr>
                <w:color w:val="000000"/>
                <w:szCs w:val="24"/>
                <w:lang w:eastAsia="nb-NO"/>
              </w:rPr>
              <w:t>18</w:t>
            </w:r>
          </w:p>
        </w:tc>
        <w:tc>
          <w:tcPr>
            <w:tcW w:w="1220" w:type="dxa"/>
            <w:gridSpan w:val="2"/>
            <w:tcBorders>
              <w:top w:val="nil"/>
              <w:left w:val="nil"/>
              <w:bottom w:val="nil"/>
              <w:right w:val="nil"/>
            </w:tcBorders>
            <w:shd w:val="clear" w:color="auto" w:fill="auto"/>
            <w:noWrap/>
            <w:vAlign w:val="bottom"/>
            <w:hideMark/>
          </w:tcPr>
          <w:p w:rsidR="00254373" w:rsidRPr="00986FFA" w:rsidRDefault="007F781A" w:rsidP="00254373">
            <w:pPr>
              <w:jc w:val="right"/>
              <w:rPr>
                <w:color w:val="000000"/>
                <w:szCs w:val="24"/>
                <w:lang w:eastAsia="nb-NO"/>
              </w:rPr>
            </w:pPr>
            <w:r w:rsidRPr="007F781A">
              <w:rPr>
                <w:color w:val="000000"/>
                <w:szCs w:val="24"/>
                <w:lang w:eastAsia="nb-NO"/>
              </w:rPr>
              <w:t>17,5</w:t>
            </w:r>
          </w:p>
        </w:tc>
        <w:tc>
          <w:tcPr>
            <w:tcW w:w="1220" w:type="dxa"/>
            <w:tcBorders>
              <w:top w:val="nil"/>
              <w:left w:val="nil"/>
              <w:bottom w:val="nil"/>
              <w:right w:val="nil"/>
            </w:tcBorders>
            <w:shd w:val="clear" w:color="auto" w:fill="auto"/>
            <w:noWrap/>
            <w:vAlign w:val="bottom"/>
            <w:hideMark/>
          </w:tcPr>
          <w:p w:rsidR="00254373" w:rsidRPr="00986FFA" w:rsidRDefault="007F781A" w:rsidP="00254373">
            <w:pPr>
              <w:jc w:val="right"/>
              <w:rPr>
                <w:color w:val="000000"/>
                <w:szCs w:val="24"/>
                <w:lang w:eastAsia="nb-NO"/>
              </w:rPr>
            </w:pPr>
            <w:r w:rsidRPr="007F781A">
              <w:rPr>
                <w:color w:val="000000"/>
                <w:szCs w:val="24"/>
                <w:lang w:eastAsia="nb-NO"/>
              </w:rPr>
              <w:t>32,2</w:t>
            </w:r>
          </w:p>
        </w:tc>
        <w:tc>
          <w:tcPr>
            <w:tcW w:w="1167" w:type="dxa"/>
            <w:tcBorders>
              <w:top w:val="nil"/>
              <w:left w:val="nil"/>
              <w:bottom w:val="nil"/>
              <w:right w:val="nil"/>
            </w:tcBorders>
            <w:shd w:val="clear" w:color="auto" w:fill="auto"/>
            <w:noWrap/>
            <w:vAlign w:val="bottom"/>
            <w:hideMark/>
          </w:tcPr>
          <w:p w:rsidR="00254373" w:rsidRPr="00986FFA" w:rsidRDefault="00254373" w:rsidP="00254373">
            <w:pPr>
              <w:rPr>
                <w:color w:val="000000"/>
                <w:szCs w:val="24"/>
                <w:lang w:eastAsia="nb-NO"/>
              </w:rPr>
            </w:pPr>
          </w:p>
        </w:tc>
        <w:tc>
          <w:tcPr>
            <w:tcW w:w="1482" w:type="dxa"/>
            <w:tcBorders>
              <w:top w:val="nil"/>
              <w:left w:val="nil"/>
              <w:bottom w:val="nil"/>
              <w:right w:val="nil"/>
            </w:tcBorders>
            <w:shd w:val="clear" w:color="auto" w:fill="auto"/>
            <w:noWrap/>
            <w:vAlign w:val="bottom"/>
            <w:hideMark/>
          </w:tcPr>
          <w:p w:rsidR="00254373" w:rsidRPr="00986FFA" w:rsidRDefault="007F781A" w:rsidP="00254373">
            <w:pPr>
              <w:jc w:val="right"/>
              <w:rPr>
                <w:szCs w:val="24"/>
                <w:lang w:eastAsia="nb-NO"/>
              </w:rPr>
            </w:pPr>
            <w:r w:rsidRPr="007F781A">
              <w:rPr>
                <w:color w:val="000000"/>
                <w:szCs w:val="24"/>
                <w:lang w:eastAsia="nb-NO"/>
              </w:rPr>
              <w:t>107,2</w:t>
            </w:r>
          </w:p>
        </w:tc>
      </w:tr>
    </w:tbl>
    <w:p w:rsidR="00254373" w:rsidRPr="00986FFA" w:rsidRDefault="00254373" w:rsidP="00254373">
      <w:pPr>
        <w:pStyle w:val="Nummerertliste"/>
        <w:ind w:left="720" w:hanging="360"/>
        <w:rPr>
          <w:szCs w:val="24"/>
        </w:rPr>
      </w:pPr>
    </w:p>
    <w:p w:rsidR="00254373" w:rsidRPr="00986FFA" w:rsidRDefault="007F781A" w:rsidP="00463190">
      <w:pPr>
        <w:rPr>
          <w:szCs w:val="24"/>
        </w:rPr>
      </w:pPr>
      <w:r w:rsidRPr="007F781A">
        <w:rPr>
          <w:szCs w:val="24"/>
        </w:rPr>
        <w:t>Resultatene for KHM siste 5 år (2004-2008) er framstilt i tabellen ovenfor. Samlet sett er det 107,2 vitenskapelige arbeider, eller vel 21 i gjennomsnitt per år i femårsperioden.</w:t>
      </w:r>
      <w:r w:rsidR="00777030">
        <w:rPr>
          <w:szCs w:val="24"/>
        </w:rPr>
        <w:t xml:space="preserve"> </w:t>
      </w:r>
      <w:r w:rsidRPr="007F781A">
        <w:rPr>
          <w:szCs w:val="24"/>
        </w:rPr>
        <w:t xml:space="preserve">Målet for de nærmeste årene er å stabilisere den vitenskapelige produksjonen på nivået fra 2008. </w:t>
      </w:r>
    </w:p>
    <w:p w:rsidR="000C2878" w:rsidRDefault="000C2878" w:rsidP="008F49E4">
      <w:pPr>
        <w:rPr>
          <w:szCs w:val="24"/>
        </w:rPr>
      </w:pPr>
    </w:p>
    <w:p w:rsidR="00745912" w:rsidRPr="00986FFA" w:rsidRDefault="00745912" w:rsidP="008F49E4">
      <w:pPr>
        <w:rPr>
          <w:szCs w:val="24"/>
        </w:rPr>
      </w:pPr>
    </w:p>
    <w:p w:rsidR="000C2878" w:rsidRPr="00986FFA" w:rsidRDefault="008F49E4" w:rsidP="008F49E4">
      <w:pPr>
        <w:rPr>
          <w:b/>
          <w:i/>
          <w:szCs w:val="24"/>
        </w:rPr>
      </w:pPr>
      <w:r w:rsidRPr="00986FFA">
        <w:rPr>
          <w:b/>
          <w:i/>
          <w:szCs w:val="24"/>
        </w:rPr>
        <w:t xml:space="preserve">8. </w:t>
      </w:r>
      <w:r w:rsidR="000C2878" w:rsidRPr="00986FFA">
        <w:rPr>
          <w:b/>
          <w:i/>
          <w:szCs w:val="24"/>
        </w:rPr>
        <w:t>I hvilken grad legger målet om å få tilslag på en søknad for SFF en premiss for behovene i Forstudien?</w:t>
      </w:r>
    </w:p>
    <w:p w:rsidR="000C2878" w:rsidRPr="00986FFA" w:rsidRDefault="007F781A" w:rsidP="008F49E4">
      <w:pPr>
        <w:rPr>
          <w:szCs w:val="24"/>
        </w:rPr>
      </w:pPr>
      <w:r w:rsidRPr="008F0165">
        <w:rPr>
          <w:szCs w:val="24"/>
        </w:rPr>
        <w:t xml:space="preserve">Målsetningen for KHM </w:t>
      </w:r>
      <w:r w:rsidR="00613F3A">
        <w:rPr>
          <w:szCs w:val="24"/>
        </w:rPr>
        <w:t xml:space="preserve">om </w:t>
      </w:r>
      <w:r w:rsidRPr="008F0165">
        <w:rPr>
          <w:szCs w:val="24"/>
        </w:rPr>
        <w:t>er å oppnå s</w:t>
      </w:r>
      <w:r w:rsidR="008F0165">
        <w:rPr>
          <w:szCs w:val="24"/>
        </w:rPr>
        <w:t>tatu</w:t>
      </w:r>
      <w:r w:rsidR="00613F3A">
        <w:rPr>
          <w:szCs w:val="24"/>
        </w:rPr>
        <w:t>s som SFF allerede fra 2013, er ikke en pre</w:t>
      </w:r>
      <w:r w:rsidR="00FE5259">
        <w:rPr>
          <w:szCs w:val="24"/>
        </w:rPr>
        <w:t xml:space="preserve">miss for behovene i Forstudien. Imidlertid ser vi at det </w:t>
      </w:r>
      <w:r w:rsidR="00A43211">
        <w:rPr>
          <w:szCs w:val="24"/>
        </w:rPr>
        <w:t>muligens ville</w:t>
      </w:r>
      <w:r w:rsidR="00FE5259">
        <w:rPr>
          <w:szCs w:val="24"/>
        </w:rPr>
        <w:t xml:space="preserve"> vært lettere for KHM å få </w:t>
      </w:r>
      <w:r w:rsidR="0031220D">
        <w:rPr>
          <w:szCs w:val="24"/>
        </w:rPr>
        <w:t>tilsalg</w:t>
      </w:r>
      <w:r w:rsidR="00A43211">
        <w:rPr>
          <w:szCs w:val="24"/>
        </w:rPr>
        <w:t xml:space="preserve"> dersom museet hadde hatt en bedre infrast</w:t>
      </w:r>
      <w:r w:rsidR="00F35B68">
        <w:rPr>
          <w:szCs w:val="24"/>
        </w:rPr>
        <w:t>ruktur og forskningsfasiliteter</w:t>
      </w:r>
      <w:r w:rsidR="00A43211">
        <w:rPr>
          <w:szCs w:val="24"/>
        </w:rPr>
        <w:t xml:space="preserve"> ettersom museet ville</w:t>
      </w:r>
      <w:r w:rsidR="00613F3A">
        <w:rPr>
          <w:szCs w:val="24"/>
        </w:rPr>
        <w:t xml:space="preserve"> </w:t>
      </w:r>
      <w:r w:rsidR="00A43211">
        <w:rPr>
          <w:szCs w:val="24"/>
        </w:rPr>
        <w:t xml:space="preserve">fremstå som mer attraktivt for eksterne samarbeidspartnere.  </w:t>
      </w:r>
    </w:p>
    <w:p w:rsidR="000C2878" w:rsidRPr="00986FFA" w:rsidRDefault="000C2878" w:rsidP="00B90669">
      <w:pPr>
        <w:rPr>
          <w:b/>
          <w:i/>
          <w:szCs w:val="24"/>
        </w:rPr>
      </w:pPr>
    </w:p>
    <w:p w:rsidR="000C2878" w:rsidRPr="00986FFA" w:rsidRDefault="008F49E4" w:rsidP="008F49E4">
      <w:pPr>
        <w:rPr>
          <w:b/>
          <w:i/>
          <w:szCs w:val="24"/>
        </w:rPr>
      </w:pPr>
      <w:r w:rsidRPr="00986FFA">
        <w:rPr>
          <w:b/>
          <w:i/>
          <w:szCs w:val="24"/>
        </w:rPr>
        <w:t xml:space="preserve">9. </w:t>
      </w:r>
      <w:r w:rsidR="000C2878" w:rsidRPr="00986FFA">
        <w:rPr>
          <w:b/>
          <w:i/>
          <w:szCs w:val="24"/>
        </w:rPr>
        <w:t>Kan lokaliseringsalternativene bidra til å understøtte en søknad om SFF?</w:t>
      </w:r>
    </w:p>
    <w:p w:rsidR="00BE7E43" w:rsidRPr="004D2CC6" w:rsidRDefault="00BE7E43" w:rsidP="008F49E4">
      <w:pPr>
        <w:rPr>
          <w:szCs w:val="24"/>
        </w:rPr>
      </w:pPr>
      <w:r w:rsidRPr="004D2CC6">
        <w:rPr>
          <w:szCs w:val="24"/>
        </w:rPr>
        <w:t xml:space="preserve">Lokalisering i seg selv vil ikke være av betydning for søknad om SFF. </w:t>
      </w:r>
      <w:r w:rsidR="00A8139B">
        <w:rPr>
          <w:szCs w:val="24"/>
        </w:rPr>
        <w:t xml:space="preserve">Imidlertid vil </w:t>
      </w:r>
      <w:proofErr w:type="spellStart"/>
      <w:r w:rsidR="007D1491">
        <w:rPr>
          <w:szCs w:val="24"/>
        </w:rPr>
        <w:t>bl.a</w:t>
      </w:r>
      <w:proofErr w:type="spellEnd"/>
      <w:r w:rsidR="007D1491">
        <w:rPr>
          <w:szCs w:val="24"/>
        </w:rPr>
        <w:t xml:space="preserve"> størrelse på forskningsmiljø, originalitet i tilnærming/problemstilling være av betydning for en søknad om SFF. </w:t>
      </w:r>
    </w:p>
    <w:p w:rsidR="000C2878" w:rsidRPr="00986FFA" w:rsidRDefault="000C2878" w:rsidP="00B90669">
      <w:pPr>
        <w:rPr>
          <w:b/>
          <w:i/>
          <w:szCs w:val="24"/>
        </w:rPr>
      </w:pPr>
    </w:p>
    <w:p w:rsidR="000C2878" w:rsidRPr="00986FFA" w:rsidRDefault="008F49E4" w:rsidP="008F49E4">
      <w:pPr>
        <w:rPr>
          <w:b/>
          <w:i/>
          <w:szCs w:val="24"/>
        </w:rPr>
      </w:pPr>
      <w:r w:rsidRPr="00986FFA">
        <w:rPr>
          <w:b/>
          <w:i/>
          <w:szCs w:val="24"/>
        </w:rPr>
        <w:t xml:space="preserve">10. </w:t>
      </w:r>
      <w:r w:rsidR="000C2878" w:rsidRPr="00986FFA">
        <w:rPr>
          <w:b/>
          <w:i/>
          <w:szCs w:val="24"/>
        </w:rPr>
        <w:t>De arkeologiske oppgavene gir betydelige inntekter til KHM. Hvordan sikres fleksibilitet og kapasitet til å gjennomføre utgravinger i en periode med vekt både på økt forskningsaktivitet og arbeidet med foreliggende investeringsprosjekt?</w:t>
      </w:r>
    </w:p>
    <w:p w:rsidR="000C53FC" w:rsidRPr="00986FFA" w:rsidRDefault="00EC418D">
      <w:pPr>
        <w:rPr>
          <w:b/>
          <w:szCs w:val="24"/>
        </w:rPr>
      </w:pPr>
      <w:r>
        <w:rPr>
          <w:szCs w:val="24"/>
        </w:rPr>
        <w:t>KHM vil</w:t>
      </w:r>
      <w:r w:rsidR="007F781A" w:rsidRPr="007D1491">
        <w:rPr>
          <w:szCs w:val="24"/>
        </w:rPr>
        <w:t xml:space="preserve"> så snart det et truffet et vedtak om et</w:t>
      </w:r>
      <w:r>
        <w:rPr>
          <w:szCs w:val="24"/>
        </w:rPr>
        <w:t xml:space="preserve"> eventuelt</w:t>
      </w:r>
      <w:r w:rsidR="007F781A" w:rsidRPr="007D1491">
        <w:rPr>
          <w:szCs w:val="24"/>
        </w:rPr>
        <w:t xml:space="preserve"> prosjekt, nedsettes en prosjektgruppe som skal stå for det fa</w:t>
      </w:r>
      <w:r>
        <w:rPr>
          <w:szCs w:val="24"/>
        </w:rPr>
        <w:t>glige innholdet i utstillingene. Prosjektdeltakere vil</w:t>
      </w:r>
      <w:r w:rsidR="007F781A" w:rsidRPr="007D1491">
        <w:rPr>
          <w:szCs w:val="24"/>
        </w:rPr>
        <w:t xml:space="preserve"> i begrenset grad hentes fra Fornminne-, Arkeol</w:t>
      </w:r>
      <w:r>
        <w:rPr>
          <w:szCs w:val="24"/>
        </w:rPr>
        <w:t>ogisk og Etnografisk seksjon. V</w:t>
      </w:r>
      <w:r w:rsidR="007F781A" w:rsidRPr="007D1491">
        <w:rPr>
          <w:szCs w:val="24"/>
        </w:rPr>
        <w:t xml:space="preserve">itenskapelig ansatte </w:t>
      </w:r>
      <w:r>
        <w:rPr>
          <w:szCs w:val="24"/>
        </w:rPr>
        <w:t>som</w:t>
      </w:r>
      <w:r w:rsidR="007F781A" w:rsidRPr="007D1491">
        <w:rPr>
          <w:szCs w:val="24"/>
        </w:rPr>
        <w:t xml:space="preserve"> trekkes </w:t>
      </w:r>
      <w:r w:rsidR="00613F3A">
        <w:rPr>
          <w:szCs w:val="24"/>
        </w:rPr>
        <w:t>inn i</w:t>
      </w:r>
      <w:r>
        <w:rPr>
          <w:szCs w:val="24"/>
        </w:rPr>
        <w:t xml:space="preserve"> prosjekteringen, vil ifølge KHM</w:t>
      </w:r>
      <w:r w:rsidR="007F781A" w:rsidRPr="007D1491">
        <w:rPr>
          <w:szCs w:val="24"/>
        </w:rPr>
        <w:t xml:space="preserve"> frikjøpes slik at kapasiteten på de arkeologiske forva</w:t>
      </w:r>
      <w:r>
        <w:rPr>
          <w:szCs w:val="24"/>
        </w:rPr>
        <w:t>ltningsundersøkelsene og i</w:t>
      </w:r>
      <w:r w:rsidR="007F781A" w:rsidRPr="007D1491">
        <w:rPr>
          <w:szCs w:val="24"/>
        </w:rPr>
        <w:t xml:space="preserve"> den prioriterte forskningen opprettholdes. </w:t>
      </w:r>
      <w:r>
        <w:rPr>
          <w:szCs w:val="24"/>
        </w:rPr>
        <w:br/>
      </w:r>
    </w:p>
    <w:p w:rsidR="000C53FC" w:rsidRPr="00986FFA" w:rsidRDefault="000C53FC">
      <w:pPr>
        <w:rPr>
          <w:b/>
          <w:szCs w:val="24"/>
        </w:rPr>
      </w:pPr>
      <w:r w:rsidRPr="00986FFA">
        <w:rPr>
          <w:b/>
          <w:szCs w:val="24"/>
        </w:rPr>
        <w:t xml:space="preserve">2.6 Prioritering av målgrupper i formidlingen </w:t>
      </w:r>
    </w:p>
    <w:p w:rsidR="00185697" w:rsidRPr="00986FFA" w:rsidRDefault="000C53FC">
      <w:pPr>
        <w:rPr>
          <w:b/>
          <w:i/>
          <w:szCs w:val="24"/>
        </w:rPr>
      </w:pPr>
      <w:r w:rsidRPr="00986FFA">
        <w:rPr>
          <w:b/>
          <w:i/>
          <w:szCs w:val="24"/>
        </w:rPr>
        <w:t xml:space="preserve">1. Har KHM en beskrivelse av prioriterte målgrupper for museet og er disse målgruppene innbyrdes prioritert? </w:t>
      </w:r>
    </w:p>
    <w:p w:rsidR="00185697" w:rsidRPr="00986FFA" w:rsidRDefault="00185697">
      <w:pPr>
        <w:rPr>
          <w:szCs w:val="24"/>
        </w:rPr>
      </w:pPr>
      <w:r w:rsidRPr="00986FFA">
        <w:rPr>
          <w:szCs w:val="24"/>
        </w:rPr>
        <w:t>I henhold til samfunnsmål o</w:t>
      </w:r>
      <w:r w:rsidR="00564BBD" w:rsidRPr="00986FFA">
        <w:rPr>
          <w:szCs w:val="24"/>
        </w:rPr>
        <w:t xml:space="preserve">g effektmål, </w:t>
      </w:r>
      <w:r w:rsidR="00482945">
        <w:rPr>
          <w:szCs w:val="24"/>
        </w:rPr>
        <w:t>er målgruppene satt i prioritert rekkefølge:</w:t>
      </w:r>
    </w:p>
    <w:p w:rsidR="000C53FC" w:rsidRPr="00986FFA" w:rsidRDefault="007F781A">
      <w:pPr>
        <w:rPr>
          <w:szCs w:val="24"/>
        </w:rPr>
      </w:pPr>
      <w:r w:rsidRPr="007F781A">
        <w:rPr>
          <w:szCs w:val="24"/>
        </w:rPr>
        <w:t xml:space="preserve">1. Barn og unge/skoleklasser, studenter </w:t>
      </w:r>
    </w:p>
    <w:p w:rsidR="00185697" w:rsidRPr="00986FFA" w:rsidRDefault="007F781A">
      <w:pPr>
        <w:rPr>
          <w:szCs w:val="24"/>
        </w:rPr>
      </w:pPr>
      <w:r w:rsidRPr="007F781A">
        <w:rPr>
          <w:szCs w:val="24"/>
        </w:rPr>
        <w:t>2. Familier med barn</w:t>
      </w:r>
    </w:p>
    <w:p w:rsidR="00185697" w:rsidRPr="00986FFA" w:rsidRDefault="007F781A">
      <w:pPr>
        <w:rPr>
          <w:szCs w:val="24"/>
        </w:rPr>
      </w:pPr>
      <w:r w:rsidRPr="007F781A">
        <w:rPr>
          <w:szCs w:val="24"/>
        </w:rPr>
        <w:t xml:space="preserve">3. Allmennheten generelt (turister) </w:t>
      </w:r>
    </w:p>
    <w:p w:rsidR="0055194E" w:rsidRPr="00986FFA" w:rsidRDefault="007F781A">
      <w:pPr>
        <w:rPr>
          <w:szCs w:val="24"/>
        </w:rPr>
      </w:pPr>
      <w:r w:rsidRPr="007F781A">
        <w:rPr>
          <w:szCs w:val="24"/>
        </w:rPr>
        <w:t xml:space="preserve">4. Spesielt interesserte  </w:t>
      </w:r>
    </w:p>
    <w:p w:rsidR="0055194E" w:rsidRPr="00986FFA" w:rsidRDefault="0055194E">
      <w:pPr>
        <w:rPr>
          <w:szCs w:val="24"/>
        </w:rPr>
      </w:pPr>
    </w:p>
    <w:p w:rsidR="0055194E" w:rsidRPr="00986FFA" w:rsidRDefault="007C4613">
      <w:pPr>
        <w:rPr>
          <w:b/>
          <w:i/>
          <w:szCs w:val="24"/>
        </w:rPr>
      </w:pPr>
      <w:r w:rsidRPr="007C4613">
        <w:rPr>
          <w:b/>
          <w:i/>
          <w:szCs w:val="24"/>
        </w:rPr>
        <w:t xml:space="preserve">2. Hvilken rolle ønsker KHM å spille innen det kulturbaserte reiselivet, og har denne rollen implikasjoner for lokalisering av virksomheten og for hvilke funksjoner som bør lokaliseres sammen? </w:t>
      </w:r>
    </w:p>
    <w:p w:rsidR="004044DC" w:rsidRPr="00986FFA" w:rsidRDefault="007F781A" w:rsidP="004044DC">
      <w:pPr>
        <w:pStyle w:val="Nummerertliste"/>
        <w:autoSpaceDE w:val="0"/>
        <w:autoSpaceDN w:val="0"/>
        <w:adjustRightInd w:val="0"/>
        <w:ind w:left="0" w:firstLine="0"/>
        <w:rPr>
          <w:rFonts w:cs="Arial"/>
          <w:szCs w:val="24"/>
        </w:rPr>
      </w:pPr>
      <w:r>
        <w:rPr>
          <w:rFonts w:cs="Arial"/>
          <w:szCs w:val="24"/>
        </w:rPr>
        <w:lastRenderedPageBreak/>
        <w:t xml:space="preserve">KHM ønsker å utnytte vikingskipenes store potensial innen det kulturbaserte næringsliv. Flest mulig turister skal se vikingskipene og lære mest mulig om vikingtid. Skipenes symbolverdi skal utnyttes optimalt for å markedsføre Norge og norske produkter. Mange besøkende og samarbeidspartnere skal gjøre museet internasjonalt kjent, og bidra til finansiering av forskningen. </w:t>
      </w:r>
    </w:p>
    <w:p w:rsidR="004044DC" w:rsidRPr="00986FFA" w:rsidRDefault="004044DC" w:rsidP="004044DC">
      <w:pPr>
        <w:pStyle w:val="Nummerertliste"/>
        <w:autoSpaceDE w:val="0"/>
        <w:autoSpaceDN w:val="0"/>
        <w:adjustRightInd w:val="0"/>
        <w:ind w:left="0" w:firstLine="0"/>
        <w:rPr>
          <w:rFonts w:cs="Arial"/>
          <w:szCs w:val="24"/>
        </w:rPr>
      </w:pPr>
    </w:p>
    <w:p w:rsidR="001000A3" w:rsidRDefault="007F781A" w:rsidP="004044DC">
      <w:pPr>
        <w:pStyle w:val="Nummerertliste"/>
        <w:ind w:left="0" w:firstLine="0"/>
        <w:rPr>
          <w:szCs w:val="24"/>
        </w:rPr>
      </w:pPr>
      <w:r>
        <w:rPr>
          <w:szCs w:val="24"/>
        </w:rPr>
        <w:t xml:space="preserve">For å utnytte vikingskipenes potensial i forhold til kulturnæring og forskningsambisjoner, må publikumsarealer, kafé, bibliotek, arkiv og kontorer til forskningsplasser være samlokalisert. </w:t>
      </w:r>
    </w:p>
    <w:p w:rsidR="00617E75" w:rsidRDefault="00617E75" w:rsidP="004044DC">
      <w:pPr>
        <w:pStyle w:val="Nummerertliste"/>
        <w:ind w:left="0" w:firstLine="0"/>
        <w:rPr>
          <w:szCs w:val="24"/>
        </w:rPr>
      </w:pPr>
    </w:p>
    <w:p w:rsidR="00617E75" w:rsidRPr="00986FFA" w:rsidRDefault="00617E75" w:rsidP="004044DC">
      <w:pPr>
        <w:pStyle w:val="Nummerertliste"/>
        <w:ind w:left="0" w:firstLine="0"/>
        <w:rPr>
          <w:szCs w:val="24"/>
        </w:rPr>
      </w:pPr>
      <w:r>
        <w:rPr>
          <w:szCs w:val="24"/>
        </w:rPr>
        <w:t xml:space="preserve">I forhold til turister og kulturnæring, er sentral lokalisering viktig. Dette er vurdert i alternativanalysen. </w:t>
      </w:r>
    </w:p>
    <w:p w:rsidR="00B90669" w:rsidRPr="00986FFA" w:rsidRDefault="00B90669" w:rsidP="004044DC">
      <w:pPr>
        <w:pStyle w:val="Nummerertliste"/>
        <w:ind w:left="0" w:firstLine="0"/>
        <w:rPr>
          <w:szCs w:val="24"/>
        </w:rPr>
      </w:pPr>
    </w:p>
    <w:p w:rsidR="00B90669" w:rsidRDefault="00426671" w:rsidP="00426671">
      <w:pPr>
        <w:pStyle w:val="Listeavsnitt"/>
        <w:numPr>
          <w:ilvl w:val="1"/>
          <w:numId w:val="20"/>
        </w:numPr>
        <w:rPr>
          <w:b/>
          <w:szCs w:val="24"/>
        </w:rPr>
      </w:pPr>
      <w:r>
        <w:rPr>
          <w:b/>
          <w:szCs w:val="24"/>
        </w:rPr>
        <w:t xml:space="preserve"> </w:t>
      </w:r>
      <w:r w:rsidR="007F781A" w:rsidRPr="00426671">
        <w:rPr>
          <w:b/>
          <w:szCs w:val="24"/>
        </w:rPr>
        <w:t xml:space="preserve">Prognoser for besøkstall og beregnet areal </w:t>
      </w:r>
    </w:p>
    <w:p w:rsidR="00FD3437" w:rsidRPr="007C04BE" w:rsidRDefault="00617E75" w:rsidP="007C04BE">
      <w:pPr>
        <w:pStyle w:val="Nummerertliste"/>
        <w:ind w:left="0" w:firstLine="0"/>
        <w:rPr>
          <w:szCs w:val="24"/>
        </w:rPr>
      </w:pPr>
      <w:r>
        <w:rPr>
          <w:szCs w:val="24"/>
        </w:rPr>
        <w:t>Kunnskapsdepartementet vil</w:t>
      </w:r>
      <w:r w:rsidR="007C04BE" w:rsidRPr="007C04BE">
        <w:rPr>
          <w:szCs w:val="24"/>
        </w:rPr>
        <w:t xml:space="preserve"> besvare spørsmålene som er sti</w:t>
      </w:r>
      <w:r w:rsidR="00613F3A">
        <w:rPr>
          <w:szCs w:val="24"/>
        </w:rPr>
        <w:t>lt i denne sammenheng medio</w:t>
      </w:r>
      <w:r w:rsidR="007C04BE">
        <w:rPr>
          <w:szCs w:val="24"/>
        </w:rPr>
        <w:t xml:space="preserve"> aug</w:t>
      </w:r>
      <w:r w:rsidR="007C04BE" w:rsidRPr="007C04BE">
        <w:rPr>
          <w:szCs w:val="24"/>
        </w:rPr>
        <w:t>u</w:t>
      </w:r>
      <w:r w:rsidR="007C04BE">
        <w:rPr>
          <w:szCs w:val="24"/>
        </w:rPr>
        <w:t>s</w:t>
      </w:r>
      <w:r w:rsidR="007C04BE" w:rsidRPr="007C04BE">
        <w:rPr>
          <w:szCs w:val="24"/>
        </w:rPr>
        <w:t xml:space="preserve">t. </w:t>
      </w:r>
    </w:p>
    <w:p w:rsidR="00FD3437" w:rsidRDefault="00FD3437">
      <w:pPr>
        <w:rPr>
          <w:b/>
          <w:szCs w:val="24"/>
        </w:rPr>
      </w:pPr>
    </w:p>
    <w:p w:rsidR="004044DC" w:rsidRPr="00986FFA" w:rsidRDefault="007F781A">
      <w:pPr>
        <w:rPr>
          <w:b/>
          <w:szCs w:val="24"/>
        </w:rPr>
      </w:pPr>
      <w:r w:rsidRPr="007F781A">
        <w:rPr>
          <w:b/>
          <w:szCs w:val="24"/>
        </w:rPr>
        <w:t xml:space="preserve">2.8 Flytting av vikingskipene versus </w:t>
      </w:r>
      <w:proofErr w:type="gramStart"/>
      <w:r w:rsidRPr="007F781A">
        <w:rPr>
          <w:b/>
          <w:szCs w:val="24"/>
        </w:rPr>
        <w:t>l</w:t>
      </w:r>
      <w:r w:rsidR="005E691C">
        <w:rPr>
          <w:b/>
          <w:szCs w:val="24"/>
        </w:rPr>
        <w:t>a</w:t>
      </w:r>
      <w:proofErr w:type="gramEnd"/>
      <w:r w:rsidR="007E4C38" w:rsidRPr="00986FFA">
        <w:rPr>
          <w:b/>
          <w:szCs w:val="24"/>
        </w:rPr>
        <w:t xml:space="preserve"> dem stå </w:t>
      </w:r>
    </w:p>
    <w:p w:rsidR="007E4C38" w:rsidRPr="00986FFA" w:rsidRDefault="007F781A">
      <w:pPr>
        <w:rPr>
          <w:b/>
          <w:i/>
          <w:szCs w:val="24"/>
        </w:rPr>
      </w:pPr>
      <w:r>
        <w:rPr>
          <w:b/>
          <w:i/>
          <w:szCs w:val="24"/>
        </w:rPr>
        <w:t xml:space="preserve">1. Hvilken standard kan oppnås ved et oppgradert/rehabilitert vikingskipshus og i hvilken grad vil dette tilfredsstille forhold for bevaring? </w:t>
      </w:r>
    </w:p>
    <w:p w:rsidR="00CF3259" w:rsidRPr="00986FFA" w:rsidRDefault="007F781A">
      <w:pPr>
        <w:rPr>
          <w:szCs w:val="24"/>
        </w:rPr>
      </w:pPr>
      <w:r>
        <w:rPr>
          <w:szCs w:val="24"/>
        </w:rPr>
        <w:t>Det vises her til Universitetet i Oslos vurdering av standard for vikingskipshuset av</w:t>
      </w:r>
      <w:r w:rsidR="00617E75">
        <w:rPr>
          <w:szCs w:val="24"/>
        </w:rPr>
        <w:t xml:space="preserve"> 24.06.09 </w:t>
      </w:r>
      <w:r w:rsidR="00745912">
        <w:rPr>
          <w:szCs w:val="24"/>
        </w:rPr>
        <w:t>(vedlegg 8</w:t>
      </w:r>
      <w:r>
        <w:rPr>
          <w:szCs w:val="24"/>
        </w:rPr>
        <w:t>). Bygningsme</w:t>
      </w:r>
      <w:r w:rsidR="00617E75">
        <w:rPr>
          <w:szCs w:val="24"/>
        </w:rPr>
        <w:t>ssige oppgraderinger og tilbygg</w:t>
      </w:r>
      <w:r>
        <w:rPr>
          <w:szCs w:val="24"/>
        </w:rPr>
        <w:t xml:space="preserve"> vil kunne løse problemene knyttet til inn- og utgangsproblematikk, sanitærforhold, undervisningslokaler, klima-, ventilasjons- og akustiske forhold. </w:t>
      </w:r>
    </w:p>
    <w:p w:rsidR="005B2B66" w:rsidRPr="00986FFA" w:rsidRDefault="007F781A">
      <w:pPr>
        <w:rPr>
          <w:szCs w:val="24"/>
        </w:rPr>
      </w:pPr>
      <w:r>
        <w:rPr>
          <w:szCs w:val="24"/>
        </w:rPr>
        <w:t xml:space="preserve">Når det gjelder bevaringsforhold, er det sannsynlig at utbedringer og rehabilitering av vikingskipshuset og installering av klima- og ventilasjonsanlegg vil forbedre inneklimaet vesentlig, og hindre at skipene blir påført ytterligere skader som følge av fukt- og temperatursvingninger.  </w:t>
      </w:r>
    </w:p>
    <w:p w:rsidR="00CB7CE8" w:rsidRPr="00986FFA" w:rsidRDefault="00CB7CE8">
      <w:pPr>
        <w:rPr>
          <w:szCs w:val="24"/>
        </w:rPr>
      </w:pPr>
    </w:p>
    <w:p w:rsidR="00CB7CE8" w:rsidRPr="00986FFA" w:rsidRDefault="007F781A">
      <w:pPr>
        <w:rPr>
          <w:szCs w:val="24"/>
        </w:rPr>
      </w:pPr>
      <w:r>
        <w:rPr>
          <w:szCs w:val="24"/>
        </w:rPr>
        <w:t>Problemer i forhold til sikkerh</w:t>
      </w:r>
      <w:r w:rsidR="00617E75">
        <w:rPr>
          <w:szCs w:val="24"/>
        </w:rPr>
        <w:t xml:space="preserve">et og evakuering av skipene, </w:t>
      </w:r>
      <w:r>
        <w:rPr>
          <w:szCs w:val="24"/>
        </w:rPr>
        <w:t>publikums tilgang til å se skipene ovenifra</w:t>
      </w:r>
      <w:r w:rsidR="00617E75">
        <w:rPr>
          <w:szCs w:val="24"/>
        </w:rPr>
        <w:t>, samt vikingskipssamlingen i en helhetlig</w:t>
      </w:r>
      <w:r>
        <w:rPr>
          <w:szCs w:val="24"/>
        </w:rPr>
        <w:t xml:space="preserve"> kontekst, vil imidlertid ikke bli løst ved bygningsmessige oppgraderinger og nybygg.  </w:t>
      </w:r>
    </w:p>
    <w:p w:rsidR="008268AD" w:rsidRPr="00986FFA" w:rsidRDefault="008268AD">
      <w:pPr>
        <w:rPr>
          <w:szCs w:val="24"/>
        </w:rPr>
      </w:pPr>
    </w:p>
    <w:p w:rsidR="008268AD" w:rsidRPr="00986FFA" w:rsidRDefault="007F781A">
      <w:pPr>
        <w:rPr>
          <w:b/>
          <w:i/>
          <w:szCs w:val="24"/>
        </w:rPr>
      </w:pPr>
      <w:r>
        <w:rPr>
          <w:b/>
          <w:i/>
          <w:szCs w:val="24"/>
        </w:rPr>
        <w:t xml:space="preserve">2. Siden begge scenarioer (flytting/VSH) innebærer en viss risiko for vikingskipsfunnene ønsker kvalitetssikrer om mulig å få innsikt i hva som er forbundet med risiko for alle gjenstander: flytte/la stå? </w:t>
      </w:r>
    </w:p>
    <w:p w:rsidR="00FE5666" w:rsidRPr="00986FFA" w:rsidRDefault="007F781A">
      <w:pPr>
        <w:rPr>
          <w:szCs w:val="24"/>
        </w:rPr>
      </w:pPr>
      <w:r>
        <w:rPr>
          <w:szCs w:val="24"/>
        </w:rPr>
        <w:t>Flytting</w:t>
      </w:r>
      <w:r w:rsidR="00617E75">
        <w:rPr>
          <w:szCs w:val="24"/>
        </w:rPr>
        <w:t xml:space="preserve"> av vikingskipene</w:t>
      </w:r>
      <w:r>
        <w:rPr>
          <w:szCs w:val="24"/>
        </w:rPr>
        <w:t xml:space="preserve">: I rapport </w:t>
      </w:r>
      <w:r w:rsidR="007D22E9">
        <w:rPr>
          <w:szCs w:val="24"/>
        </w:rPr>
        <w:t xml:space="preserve">Risikoanalyse - </w:t>
      </w:r>
      <w:r w:rsidRPr="007D22E9">
        <w:rPr>
          <w:szCs w:val="24"/>
        </w:rPr>
        <w:t>Flytting eller lagring av Osebergskipet og gjenstander utstilt på Bygdøy</w:t>
      </w:r>
      <w:r>
        <w:rPr>
          <w:i/>
          <w:szCs w:val="24"/>
        </w:rPr>
        <w:t xml:space="preserve"> (</w:t>
      </w:r>
      <w:proofErr w:type="spellStart"/>
      <w:r>
        <w:rPr>
          <w:szCs w:val="24"/>
        </w:rPr>
        <w:t>Scandpower</w:t>
      </w:r>
      <w:proofErr w:type="spellEnd"/>
      <w:r>
        <w:rPr>
          <w:szCs w:val="24"/>
        </w:rPr>
        <w:t xml:space="preserve"> 2006</w:t>
      </w:r>
      <w:r w:rsidR="00745912">
        <w:rPr>
          <w:szCs w:val="24"/>
        </w:rPr>
        <w:t>- vedlegg 9</w:t>
      </w:r>
      <w:r>
        <w:rPr>
          <w:szCs w:val="24"/>
        </w:rPr>
        <w:t xml:space="preserve">) konkluderes det med følgende ”Flytteprosessen er en utfordring og vil nødvendigvis medføre noen skader på Osebergskipet og gjenstandene.” Det anbefales god planlegging med risikovurderinger slik at flytting kan utføres med minimale skader. I et nytt bygg vil samlingene imidlertid få optimale forhold både med hensyn til sikkerhet og moderne formidling.   </w:t>
      </w:r>
    </w:p>
    <w:p w:rsidR="00FE5666" w:rsidRPr="00986FFA" w:rsidRDefault="00FE5666">
      <w:pPr>
        <w:rPr>
          <w:szCs w:val="24"/>
        </w:rPr>
      </w:pPr>
    </w:p>
    <w:p w:rsidR="009B328D" w:rsidRPr="00986FFA" w:rsidRDefault="0052529E">
      <w:pPr>
        <w:rPr>
          <w:szCs w:val="24"/>
        </w:rPr>
      </w:pPr>
      <w:r>
        <w:rPr>
          <w:szCs w:val="24"/>
        </w:rPr>
        <w:lastRenderedPageBreak/>
        <w:t xml:space="preserve">Ved </w:t>
      </w:r>
      <w:r w:rsidR="007F781A">
        <w:rPr>
          <w:szCs w:val="24"/>
        </w:rPr>
        <w:t>oppgradering og rehabilitering av Vikingskipshuset og byggearbeider i forbindelse med rehabiliteringen konstateres det i ovennevnte rapport følgende ”… disse bygningsmessige arbeidene kan gjennomføres ”tilnærmet risikofritt”, forutsatt god planlegging og profesjonell utførelse.”</w:t>
      </w:r>
      <w:r w:rsidR="0031220D">
        <w:rPr>
          <w:szCs w:val="24"/>
        </w:rPr>
        <w:t xml:space="preserve">. I forhold til brann og skade på gjenstander, </w:t>
      </w:r>
      <w:r w:rsidR="007D22E9">
        <w:rPr>
          <w:szCs w:val="24"/>
        </w:rPr>
        <w:t>vil imid</w:t>
      </w:r>
      <w:r>
        <w:rPr>
          <w:szCs w:val="24"/>
        </w:rPr>
        <w:t>l</w:t>
      </w:r>
      <w:r w:rsidR="007D22E9">
        <w:rPr>
          <w:szCs w:val="24"/>
        </w:rPr>
        <w:t xml:space="preserve">ertid vikingskipshuset </w:t>
      </w:r>
      <w:r>
        <w:rPr>
          <w:szCs w:val="24"/>
        </w:rPr>
        <w:t>selv ved en oppgradering,</w:t>
      </w:r>
      <w:r w:rsidR="0031220D">
        <w:rPr>
          <w:szCs w:val="24"/>
        </w:rPr>
        <w:t xml:space="preserve"> sikkerhetsmessig</w:t>
      </w:r>
      <w:r>
        <w:rPr>
          <w:szCs w:val="24"/>
        </w:rPr>
        <w:t xml:space="preserve"> </w:t>
      </w:r>
      <w:r w:rsidR="0031220D">
        <w:rPr>
          <w:szCs w:val="24"/>
        </w:rPr>
        <w:t>være</w:t>
      </w:r>
      <w:r w:rsidR="007D22E9">
        <w:rPr>
          <w:szCs w:val="24"/>
        </w:rPr>
        <w:t xml:space="preserve"> et noe dårligere alternativ enn</w:t>
      </w:r>
      <w:r w:rsidR="0031220D">
        <w:rPr>
          <w:szCs w:val="24"/>
        </w:rPr>
        <w:t xml:space="preserve"> et</w:t>
      </w:r>
      <w:r w:rsidR="007D22E9">
        <w:rPr>
          <w:szCs w:val="24"/>
        </w:rPr>
        <w:t xml:space="preserve"> nybygg. </w:t>
      </w:r>
      <w:r w:rsidR="007F781A">
        <w:rPr>
          <w:szCs w:val="24"/>
        </w:rPr>
        <w:t xml:space="preserve">   </w:t>
      </w:r>
    </w:p>
    <w:p w:rsidR="009B328D" w:rsidRPr="00986FFA" w:rsidRDefault="009B328D">
      <w:pPr>
        <w:rPr>
          <w:szCs w:val="24"/>
        </w:rPr>
      </w:pPr>
    </w:p>
    <w:p w:rsidR="0055194E" w:rsidRPr="00986FFA" w:rsidRDefault="007F781A">
      <w:pPr>
        <w:rPr>
          <w:b/>
          <w:szCs w:val="24"/>
        </w:rPr>
      </w:pPr>
      <w:r w:rsidRPr="007F781A">
        <w:rPr>
          <w:b/>
          <w:szCs w:val="24"/>
        </w:rPr>
        <w:t>2.9 Om teknologi og formidling</w:t>
      </w:r>
    </w:p>
    <w:p w:rsidR="00A32789" w:rsidRPr="00986FFA" w:rsidRDefault="007F781A">
      <w:pPr>
        <w:rPr>
          <w:b/>
          <w:i/>
          <w:szCs w:val="24"/>
        </w:rPr>
      </w:pPr>
      <w:r w:rsidRPr="007F781A">
        <w:rPr>
          <w:b/>
          <w:i/>
          <w:szCs w:val="24"/>
        </w:rPr>
        <w:t xml:space="preserve">Kvalitetssikrer ønsker en avklaring på museets planer for bruk av moderne utstillings- og formidlingsteknologi, og hvordan dette kan påvirke organisering, arealbehov og driftskostnader. Gjerne med støtte i konkrete eksempler fra lignende institusjoner i utlandet. </w:t>
      </w:r>
    </w:p>
    <w:p w:rsidR="007446D5" w:rsidRPr="00986FFA" w:rsidRDefault="007446D5">
      <w:pPr>
        <w:rPr>
          <w:b/>
          <w:i/>
          <w:szCs w:val="24"/>
        </w:rPr>
      </w:pPr>
    </w:p>
    <w:p w:rsidR="00440800" w:rsidRPr="00986FFA" w:rsidRDefault="007F781A">
      <w:pPr>
        <w:rPr>
          <w:szCs w:val="24"/>
        </w:rPr>
      </w:pPr>
      <w:r w:rsidRPr="007F781A">
        <w:rPr>
          <w:szCs w:val="24"/>
        </w:rPr>
        <w:t xml:space="preserve">Rapport om Nasjonalt digitalt universitetsmuseum (NDU), om digitalisering og tilgjengeliggjøring av universitetsmuseenes samlingsdatabaser, vil bety mye for moderne teknologiske formidlingsformer ved KHM i fremtiden. Per i dag er det utviklet et interaktivt program ved KHM ”Åpen arkeologi” hvor en kan følge med i pågående arkeologiske utgravninger. Dette programmet skal videreutvikles. KHM har utarbeidet en plan for bruk av digitale og virtuelle formidlingsformer og annen IT-teknologi </w:t>
      </w:r>
      <w:r w:rsidR="007C4613" w:rsidRPr="007D22E9">
        <w:rPr>
          <w:szCs w:val="24"/>
        </w:rPr>
        <w:t>Digital formidling – formidling ved hjelp av digitale (blandede) medier i et nytt Kulturhistorisk museum – Muligheter og kostnader</w:t>
      </w:r>
      <w:r w:rsidR="007C4613" w:rsidRPr="007C4613">
        <w:rPr>
          <w:i/>
          <w:szCs w:val="24"/>
        </w:rPr>
        <w:t xml:space="preserve"> </w:t>
      </w:r>
      <w:r w:rsidR="007C4613" w:rsidRPr="00745912">
        <w:rPr>
          <w:szCs w:val="24"/>
        </w:rPr>
        <w:t>(</w:t>
      </w:r>
      <w:r w:rsidR="00745912" w:rsidRPr="00745912">
        <w:rPr>
          <w:szCs w:val="24"/>
        </w:rPr>
        <w:t>vedlegg 10</w:t>
      </w:r>
      <w:r w:rsidR="00103402" w:rsidRPr="00745912">
        <w:rPr>
          <w:szCs w:val="24"/>
        </w:rPr>
        <w:t>)</w:t>
      </w:r>
      <w:r w:rsidR="00CD39AD" w:rsidRPr="00745912">
        <w:rPr>
          <w:szCs w:val="24"/>
        </w:rPr>
        <w:t xml:space="preserve">. </w:t>
      </w:r>
      <w:r w:rsidR="00CD39AD" w:rsidRPr="00986FFA">
        <w:rPr>
          <w:szCs w:val="24"/>
        </w:rPr>
        <w:t>Av notatet fremgår det hvilke muligh</w:t>
      </w:r>
      <w:r w:rsidRPr="007F781A">
        <w:rPr>
          <w:szCs w:val="24"/>
        </w:rPr>
        <w:t>eter og behov som foreligger, hvilken kompetanse som er nø</w:t>
      </w:r>
      <w:r w:rsidR="0052529E">
        <w:rPr>
          <w:szCs w:val="24"/>
        </w:rPr>
        <w:t>dvendig og kostnader til utstyr og</w:t>
      </w:r>
      <w:r w:rsidRPr="007F781A">
        <w:rPr>
          <w:szCs w:val="24"/>
        </w:rPr>
        <w:t xml:space="preserve"> programvare. Dette er kostnader er innarbeidet i alternativanalysen.  </w:t>
      </w:r>
    </w:p>
    <w:p w:rsidR="00A32789" w:rsidRDefault="00A32789">
      <w:pPr>
        <w:rPr>
          <w:szCs w:val="24"/>
        </w:rPr>
      </w:pPr>
    </w:p>
    <w:p w:rsidR="00745912" w:rsidRDefault="00745912">
      <w:pPr>
        <w:rPr>
          <w:szCs w:val="24"/>
        </w:rPr>
      </w:pPr>
    </w:p>
    <w:p w:rsidR="0052529E" w:rsidRDefault="0052529E">
      <w:pPr>
        <w:rPr>
          <w:szCs w:val="24"/>
        </w:rPr>
      </w:pPr>
    </w:p>
    <w:p w:rsidR="0052529E" w:rsidRPr="00986FFA" w:rsidRDefault="0052529E">
      <w:pPr>
        <w:rPr>
          <w:szCs w:val="24"/>
        </w:rPr>
      </w:pPr>
    </w:p>
    <w:p w:rsidR="00DC5C7B" w:rsidRPr="00986FFA" w:rsidRDefault="007F781A">
      <w:pPr>
        <w:rPr>
          <w:szCs w:val="24"/>
        </w:rPr>
      </w:pPr>
      <w:r w:rsidRPr="007F781A">
        <w:rPr>
          <w:szCs w:val="24"/>
        </w:rPr>
        <w:t>Med hilsen</w:t>
      </w:r>
    </w:p>
    <w:p w:rsidR="00DC5C7B" w:rsidRPr="00986FFA" w:rsidRDefault="00DC5C7B">
      <w:pPr>
        <w:rPr>
          <w:szCs w:val="24"/>
        </w:rPr>
      </w:pPr>
    </w:p>
    <w:p w:rsidR="00DC5C7B" w:rsidRPr="00986FFA" w:rsidRDefault="00DC5C7B">
      <w:pPr>
        <w:rPr>
          <w:szCs w:val="24"/>
        </w:rPr>
      </w:pPr>
      <w:bookmarkStart w:id="10" w:name="UnderskrifterHer"/>
      <w:bookmarkEnd w:id="10"/>
    </w:p>
    <w:p w:rsidR="00DC5C7B" w:rsidRPr="00986FFA" w:rsidRDefault="0052529E">
      <w:pPr>
        <w:tabs>
          <w:tab w:val="left" w:pos="5387"/>
        </w:tabs>
        <w:rPr>
          <w:szCs w:val="24"/>
        </w:rPr>
      </w:pPr>
      <w:r>
        <w:rPr>
          <w:szCs w:val="24"/>
        </w:rPr>
        <w:t>Toril Johansson</w:t>
      </w:r>
      <w:r w:rsidR="007F781A" w:rsidRPr="007F781A">
        <w:rPr>
          <w:szCs w:val="24"/>
        </w:rPr>
        <w:t xml:space="preserve"> </w:t>
      </w:r>
      <w:bookmarkStart w:id="11" w:name="ef"/>
      <w:r w:rsidR="007F781A" w:rsidRPr="007F781A">
        <w:rPr>
          <w:szCs w:val="24"/>
        </w:rPr>
        <w:t>(e.f.)</w:t>
      </w:r>
      <w:bookmarkEnd w:id="11"/>
    </w:p>
    <w:p w:rsidR="00DC5C7B" w:rsidRPr="00986FFA" w:rsidRDefault="0052529E">
      <w:pPr>
        <w:tabs>
          <w:tab w:val="left" w:pos="5387"/>
        </w:tabs>
        <w:rPr>
          <w:szCs w:val="24"/>
        </w:rPr>
      </w:pPr>
      <w:r>
        <w:rPr>
          <w:szCs w:val="24"/>
        </w:rPr>
        <w:t>ekspedisjonssjef</w:t>
      </w:r>
    </w:p>
    <w:p w:rsidR="006F4FD3" w:rsidRPr="00986FFA" w:rsidRDefault="00BE366F">
      <w:pPr>
        <w:tabs>
          <w:tab w:val="left" w:pos="5387"/>
        </w:tabs>
        <w:rPr>
          <w:szCs w:val="24"/>
        </w:rPr>
      </w:pPr>
      <w:bookmarkStart w:id="12" w:name="adr"/>
      <w:bookmarkEnd w:id="12"/>
      <w:r>
        <w:rPr>
          <w:noProof/>
          <w:szCs w:val="24"/>
          <w:lang w:eastAsia="nb-NO"/>
        </w:rPr>
        <w:pict>
          <v:shapetype id="_x0000_t202" coordsize="21600,21600" o:spt="202" path="m,l,21600r21600,l21600,xe">
            <v:stroke joinstyle="miter"/>
            <v:path gradientshapeok="t" o:connecttype="rect"/>
          </v:shapetype>
          <v:shape id="_x0000_s1026" type="#_x0000_t202" style="position:absolute;margin-left:85.05pt;margin-top:742.7pt;width:164.4pt;height:14.15pt;z-index:251657728;mso-wrap-style:tight;mso-wrap-distance-left:0;mso-wrap-distance-right:0;mso-position-horizontal-relative:page;mso-position-vertical-relative:page" stroked="f">
            <v:textbox inset="0,0,0,0">
              <w:txbxContent>
                <w:p w:rsidR="00183E62" w:rsidRPr="006F4FD3" w:rsidRDefault="00183E62" w:rsidP="006F4FD3">
                  <w:pPr>
                    <w:rPr>
                      <w:b/>
                    </w:rPr>
                  </w:pPr>
                  <w:r>
                    <w:rPr>
                      <w:b/>
                    </w:rPr>
                    <w:t>Vedlegg 10</w:t>
                  </w:r>
                </w:p>
              </w:txbxContent>
            </v:textbox>
            <w10:wrap anchorx="page" anchory="page"/>
            <w10:anchorlock/>
          </v:shape>
        </w:pict>
      </w:r>
      <w:r w:rsidR="00DC5C7B" w:rsidRPr="00986FFA">
        <w:rPr>
          <w:szCs w:val="24"/>
        </w:rPr>
        <w:tab/>
      </w:r>
      <w:r w:rsidR="006F4FD3" w:rsidRPr="00986FFA">
        <w:rPr>
          <w:szCs w:val="24"/>
        </w:rPr>
        <w:t>Bente Rønnestad</w:t>
      </w:r>
    </w:p>
    <w:p w:rsidR="006F4FD3" w:rsidRPr="00986FFA" w:rsidRDefault="006F4FD3">
      <w:pPr>
        <w:tabs>
          <w:tab w:val="left" w:pos="5387"/>
        </w:tabs>
        <w:rPr>
          <w:szCs w:val="24"/>
        </w:rPr>
      </w:pPr>
      <w:r w:rsidRPr="00986FFA">
        <w:rPr>
          <w:szCs w:val="24"/>
        </w:rPr>
        <w:tab/>
        <w:t>seniorrådgiver</w:t>
      </w:r>
    </w:p>
    <w:p w:rsidR="006F4FD3" w:rsidRPr="00986FFA" w:rsidRDefault="006F4FD3">
      <w:pPr>
        <w:tabs>
          <w:tab w:val="left" w:pos="5387"/>
        </w:tabs>
        <w:rPr>
          <w:szCs w:val="24"/>
        </w:rPr>
      </w:pPr>
    </w:p>
    <w:p w:rsidR="006F4FD3" w:rsidRPr="00986FFA" w:rsidRDefault="006F4FD3">
      <w:pPr>
        <w:tabs>
          <w:tab w:val="left" w:pos="5387"/>
        </w:tabs>
        <w:rPr>
          <w:szCs w:val="24"/>
        </w:rPr>
      </w:pPr>
    </w:p>
    <w:p w:rsidR="006F4FD3" w:rsidRPr="00986FFA" w:rsidRDefault="006F4FD3">
      <w:pPr>
        <w:tabs>
          <w:tab w:val="left" w:pos="5387"/>
        </w:tabs>
        <w:rPr>
          <w:szCs w:val="24"/>
        </w:rPr>
      </w:pPr>
      <w:r w:rsidRPr="00986FFA">
        <w:rPr>
          <w:szCs w:val="24"/>
        </w:rPr>
        <w:t>Kopi:</w:t>
      </w:r>
    </w:p>
    <w:p w:rsidR="00DC5C7B" w:rsidRPr="00986FFA" w:rsidRDefault="006F4FD3">
      <w:pPr>
        <w:tabs>
          <w:tab w:val="left" w:pos="5387"/>
        </w:tabs>
        <w:rPr>
          <w:szCs w:val="24"/>
        </w:rPr>
      </w:pPr>
      <w:r w:rsidRPr="00986FFA">
        <w:rPr>
          <w:szCs w:val="24"/>
        </w:rPr>
        <w:t xml:space="preserve">Finansdepartementet </w:t>
      </w:r>
    </w:p>
    <w:sectPr w:rsidR="00DC5C7B" w:rsidRPr="00986FFA" w:rsidSect="00210D66">
      <w:footerReference w:type="default" r:id="rId9"/>
      <w:headerReference w:type="first" r:id="rId10"/>
      <w:footerReference w:type="first" r:id="rId11"/>
      <w:type w:val="continuous"/>
      <w:pgSz w:w="11907" w:h="16840" w:code="9"/>
      <w:pgMar w:top="1418" w:right="1134" w:bottom="1701" w:left="1701" w:header="510" w:footer="314" w:gutter="0"/>
      <w:paperSrc w:first="257" w:other="258"/>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E62" w:rsidRDefault="00183E62">
      <w:r>
        <w:separator/>
      </w:r>
    </w:p>
  </w:endnote>
  <w:endnote w:type="continuationSeparator" w:id="0">
    <w:p w:rsidR="00183E62" w:rsidRDefault="00183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epCentury Old Style">
    <w:panose1 w:val="0203060306040503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520"/>
      <w:gridCol w:w="8716"/>
    </w:tblGrid>
    <w:tr w:rsidR="00183E62">
      <w:tc>
        <w:tcPr>
          <w:tcW w:w="502" w:type="dxa"/>
        </w:tcPr>
        <w:p w:rsidR="00183E62" w:rsidRDefault="00183E62">
          <w:pPr>
            <w:pStyle w:val="Bunntekst"/>
            <w:ind w:right="-70"/>
          </w:pPr>
          <w:bookmarkStart w:id="13" w:name="BM12" w:colFirst="0" w:colLast="0"/>
          <w:r>
            <w:t>Side</w:t>
          </w:r>
        </w:p>
      </w:tc>
      <w:tc>
        <w:tcPr>
          <w:tcW w:w="8716" w:type="dxa"/>
        </w:tcPr>
        <w:p w:rsidR="00183E62" w:rsidRDefault="00BE366F">
          <w:pPr>
            <w:pStyle w:val="Bunntekst"/>
            <w:ind w:left="-76"/>
          </w:pPr>
          <w:fldSimple w:instr=" PAGE ">
            <w:r w:rsidR="00210D66">
              <w:rPr>
                <w:noProof/>
              </w:rPr>
              <w:t>10</w:t>
            </w:r>
          </w:fldSimple>
        </w:p>
      </w:tc>
    </w:tr>
    <w:bookmarkEnd w:id="13"/>
  </w:tbl>
  <w:p w:rsidR="00183E62" w:rsidRDefault="00183E62">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E62" w:rsidRDefault="00183E62">
    <w:pPr>
      <w:framePr w:w="11907" w:h="503" w:hRule="exact" w:wrap="notBeside" w:vAnchor="page" w:hAnchor="page" w:x="1" w:y="14773"/>
    </w:pPr>
  </w:p>
  <w:tbl>
    <w:tblPr>
      <w:tblW w:w="9781" w:type="dxa"/>
      <w:tblInd w:w="-539" w:type="dxa"/>
      <w:tblLayout w:type="fixed"/>
      <w:tblCellMar>
        <w:left w:w="28" w:type="dxa"/>
        <w:right w:w="28" w:type="dxa"/>
      </w:tblCellMar>
      <w:tblLook w:val="0000"/>
    </w:tblPr>
    <w:tblGrid>
      <w:gridCol w:w="1533"/>
      <w:gridCol w:w="1199"/>
      <w:gridCol w:w="2173"/>
      <w:gridCol w:w="2647"/>
      <w:gridCol w:w="2229"/>
    </w:tblGrid>
    <w:tr w:rsidR="00183E62" w:rsidTr="005358D0">
      <w:tc>
        <w:tcPr>
          <w:tcW w:w="1559" w:type="dxa"/>
        </w:tcPr>
        <w:p w:rsidR="00183E62" w:rsidRDefault="00183E62">
          <w:pPr>
            <w:pStyle w:val="Bunntekst"/>
            <w:rPr>
              <w:sz w:val="16"/>
            </w:rPr>
          </w:pPr>
          <w:r>
            <w:rPr>
              <w:sz w:val="16"/>
            </w:rPr>
            <w:t xml:space="preserve">Postadresse </w:t>
          </w:r>
        </w:p>
        <w:p w:rsidR="00183E62" w:rsidRDefault="00183E62" w:rsidP="006F4FD3">
          <w:pPr>
            <w:pStyle w:val="Bunntekst"/>
            <w:rPr>
              <w:sz w:val="16"/>
            </w:rPr>
          </w:pPr>
          <w:r>
            <w:rPr>
              <w:sz w:val="16"/>
            </w:rPr>
            <w:t xml:space="preserve">Postboks 8119 Dep </w:t>
          </w:r>
          <w:r>
            <w:rPr>
              <w:sz w:val="16"/>
            </w:rPr>
            <w:br/>
            <w:t>0032 Oslo</w:t>
          </w:r>
        </w:p>
      </w:tc>
      <w:tc>
        <w:tcPr>
          <w:tcW w:w="1219" w:type="dxa"/>
        </w:tcPr>
        <w:p w:rsidR="00183E62" w:rsidRDefault="00183E62">
          <w:pPr>
            <w:pStyle w:val="Bunntekst"/>
            <w:rPr>
              <w:sz w:val="16"/>
            </w:rPr>
          </w:pPr>
          <w:r>
            <w:rPr>
              <w:sz w:val="16"/>
            </w:rPr>
            <w:t xml:space="preserve">Kontoradresse </w:t>
          </w:r>
        </w:p>
        <w:p w:rsidR="00183E62" w:rsidRDefault="00183E62">
          <w:pPr>
            <w:pStyle w:val="Bunntekst"/>
            <w:rPr>
              <w:sz w:val="16"/>
            </w:rPr>
          </w:pPr>
          <w:bookmarkStart w:id="16" w:name="kadr1"/>
          <w:bookmarkEnd w:id="16"/>
          <w:r>
            <w:rPr>
              <w:sz w:val="16"/>
            </w:rPr>
            <w:t>Akersg. 44</w:t>
          </w:r>
        </w:p>
      </w:tc>
      <w:tc>
        <w:tcPr>
          <w:tcW w:w="2211" w:type="dxa"/>
        </w:tcPr>
        <w:p w:rsidR="00183E62" w:rsidRDefault="00183E62">
          <w:pPr>
            <w:pStyle w:val="Bunntekst"/>
            <w:rPr>
              <w:sz w:val="16"/>
            </w:rPr>
          </w:pPr>
          <w:r>
            <w:rPr>
              <w:sz w:val="16"/>
            </w:rPr>
            <w:t>Telefon 22 24 90 90*</w:t>
          </w:r>
        </w:p>
        <w:p w:rsidR="00183E62" w:rsidRDefault="00BE366F">
          <w:pPr>
            <w:pStyle w:val="Bunntekst"/>
            <w:rPr>
              <w:sz w:val="16"/>
            </w:rPr>
          </w:pPr>
          <w:hyperlink r:id="rId1" w:history="1">
            <w:r w:rsidR="00183E62">
              <w:rPr>
                <w:rStyle w:val="Hyperkobling"/>
                <w:sz w:val="16"/>
              </w:rPr>
              <w:t>postmottak@kd</w:t>
            </w:r>
            <w:r w:rsidR="00183E62" w:rsidRPr="00A76139">
              <w:rPr>
                <w:rStyle w:val="Hyperkobling"/>
                <w:sz w:val="16"/>
              </w:rPr>
              <w:t>.dep.no</w:t>
            </w:r>
          </w:hyperlink>
        </w:p>
        <w:p w:rsidR="00183E62" w:rsidRPr="005A4626" w:rsidRDefault="00183E62">
          <w:pPr>
            <w:pStyle w:val="Bunntekst"/>
            <w:rPr>
              <w:sz w:val="14"/>
              <w:szCs w:val="14"/>
              <w:lang w:val="en-US"/>
            </w:rPr>
          </w:pPr>
          <w:r w:rsidRPr="005A4626">
            <w:rPr>
              <w:sz w:val="14"/>
              <w:szCs w:val="14"/>
              <w:lang w:val="en-US"/>
            </w:rPr>
            <w:t xml:space="preserve">www.kunnskapsdepartementet.no </w:t>
          </w:r>
        </w:p>
        <w:p w:rsidR="00183E62" w:rsidRPr="005A4626" w:rsidRDefault="00183E62">
          <w:pPr>
            <w:pStyle w:val="Bunntekst"/>
            <w:rPr>
              <w:sz w:val="16"/>
              <w:lang w:val="en-US"/>
            </w:rPr>
          </w:pPr>
          <w:r w:rsidRPr="005A4626">
            <w:rPr>
              <w:sz w:val="16"/>
              <w:lang w:val="en-US"/>
            </w:rPr>
            <w:t xml:space="preserve">Org no. </w:t>
          </w:r>
          <w:bookmarkStart w:id="17" w:name="orgnr"/>
          <w:bookmarkEnd w:id="17"/>
          <w:r w:rsidRPr="005A4626">
            <w:rPr>
              <w:sz w:val="16"/>
              <w:lang w:val="en-US"/>
            </w:rPr>
            <w:t>872 417 842</w:t>
          </w:r>
        </w:p>
      </w:tc>
      <w:tc>
        <w:tcPr>
          <w:tcW w:w="2693" w:type="dxa"/>
        </w:tcPr>
        <w:p w:rsidR="00183E62" w:rsidRDefault="00183E62">
          <w:pPr>
            <w:pStyle w:val="Bunntekst"/>
            <w:rPr>
              <w:sz w:val="16"/>
            </w:rPr>
          </w:pPr>
          <w:bookmarkStart w:id="18" w:name="avdsek"/>
          <w:bookmarkEnd w:id="18"/>
          <w:r>
            <w:rPr>
              <w:sz w:val="16"/>
            </w:rPr>
            <w:t xml:space="preserve">Universitets- og høyskoleavdelingen </w:t>
          </w:r>
        </w:p>
        <w:p w:rsidR="00183E62" w:rsidRDefault="00183E62">
          <w:pPr>
            <w:pStyle w:val="Bunntekst"/>
            <w:rPr>
              <w:sz w:val="16"/>
            </w:rPr>
          </w:pPr>
          <w:r>
            <w:rPr>
              <w:sz w:val="16"/>
            </w:rPr>
            <w:t xml:space="preserve">Telefon </w:t>
          </w:r>
          <w:bookmarkStart w:id="19" w:name="tlf"/>
          <w:bookmarkEnd w:id="19"/>
          <w:r>
            <w:rPr>
              <w:sz w:val="16"/>
            </w:rPr>
            <w:t>22 24 77 01</w:t>
          </w:r>
        </w:p>
        <w:p w:rsidR="00183E62" w:rsidRDefault="00183E62">
          <w:pPr>
            <w:pStyle w:val="Bunntekst"/>
            <w:rPr>
              <w:sz w:val="16"/>
            </w:rPr>
          </w:pPr>
          <w:r>
            <w:rPr>
              <w:sz w:val="16"/>
            </w:rPr>
            <w:t xml:space="preserve">Telefaks </w:t>
          </w:r>
          <w:bookmarkStart w:id="20" w:name="fax"/>
          <w:bookmarkEnd w:id="20"/>
          <w:r>
            <w:rPr>
              <w:sz w:val="16"/>
            </w:rPr>
            <w:t>22 24 27 33</w:t>
          </w:r>
        </w:p>
      </w:tc>
      <w:tc>
        <w:tcPr>
          <w:tcW w:w="2268" w:type="dxa"/>
        </w:tcPr>
        <w:p w:rsidR="00183E62" w:rsidRDefault="00183E62">
          <w:pPr>
            <w:pStyle w:val="Bunntekst"/>
            <w:rPr>
              <w:sz w:val="16"/>
            </w:rPr>
          </w:pPr>
          <w:r>
            <w:rPr>
              <w:sz w:val="16"/>
            </w:rPr>
            <w:t xml:space="preserve">Saksbehandler </w:t>
          </w:r>
        </w:p>
        <w:p w:rsidR="00183E62" w:rsidRDefault="00183E62">
          <w:pPr>
            <w:pStyle w:val="Bunntekst"/>
            <w:rPr>
              <w:sz w:val="16"/>
            </w:rPr>
          </w:pPr>
          <w:bookmarkStart w:id="21" w:name="saksbeh"/>
          <w:bookmarkEnd w:id="21"/>
          <w:r>
            <w:rPr>
              <w:sz w:val="16"/>
            </w:rPr>
            <w:t>Bente Rønnestad</w:t>
          </w:r>
        </w:p>
        <w:p w:rsidR="00183E62" w:rsidRDefault="00183E62">
          <w:pPr>
            <w:pStyle w:val="Bunntekst"/>
            <w:rPr>
              <w:sz w:val="16"/>
            </w:rPr>
          </w:pPr>
          <w:r>
            <w:rPr>
              <w:sz w:val="16"/>
            </w:rPr>
            <w:t>22247735</w:t>
          </w:r>
        </w:p>
      </w:tc>
    </w:tr>
  </w:tbl>
  <w:p w:rsidR="00183E62" w:rsidRDefault="00BE366F">
    <w:pPr>
      <w:pStyle w:val="Bunntekst"/>
      <w:rPr>
        <w:sz w:val="12"/>
      </w:rPr>
    </w:pPr>
    <w:r w:rsidRPr="00BE366F">
      <w:rPr>
        <w:sz w:val="16"/>
      </w:rPr>
      <w:pict>
        <v:line id="_x0000_s2050" style="position:absolute;z-index:251658240;mso-position-horizontal-relative:page;mso-position-vertical-relative:page" from="55.8pt,769.7pt" to="540.45pt,769.75pt" o:allowincell="f">
          <v:stroke startarrowwidth="narrow" startarrowlength="short" endarrowwidth="narrow" endarrowlength="short"/>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E62" w:rsidRDefault="00183E62">
      <w:r>
        <w:separator/>
      </w:r>
    </w:p>
  </w:footnote>
  <w:footnote w:type="continuationSeparator" w:id="0">
    <w:p w:rsidR="00183E62" w:rsidRDefault="00183E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09" w:type="dxa"/>
      <w:tblInd w:w="113" w:type="dxa"/>
      <w:tblLook w:val="0000"/>
    </w:tblPr>
    <w:tblGrid>
      <w:gridCol w:w="9209"/>
    </w:tblGrid>
    <w:tr w:rsidR="00183E62">
      <w:trPr>
        <w:trHeight w:val="1162"/>
      </w:trPr>
      <w:tc>
        <w:tcPr>
          <w:tcW w:w="9209" w:type="dxa"/>
        </w:tcPr>
        <w:p w:rsidR="00183E62" w:rsidRDefault="00183E62">
          <w:pPr>
            <w:pStyle w:val="Topptekst"/>
          </w:pPr>
          <w:bookmarkStart w:id="14" w:name="Logo" w:colFirst="0" w:colLast="0"/>
        </w:p>
      </w:tc>
    </w:tr>
    <w:bookmarkEnd w:id="14"/>
  </w:tbl>
  <w:p w:rsidR="00183E62" w:rsidRDefault="00183E62">
    <w:pPr>
      <w:framePr w:w="11907" w:h="340" w:hRule="exact" w:wrap="notBeside" w:vAnchor="page" w:hAnchor="page" w:x="1" w:y="2727"/>
    </w:pPr>
  </w:p>
  <w:tbl>
    <w:tblPr>
      <w:tblW w:w="9209" w:type="dxa"/>
      <w:tblInd w:w="113" w:type="dxa"/>
      <w:tblLook w:val="0000"/>
    </w:tblPr>
    <w:tblGrid>
      <w:gridCol w:w="9209"/>
    </w:tblGrid>
    <w:tr w:rsidR="00183E62">
      <w:trPr>
        <w:trHeight w:hRule="exact" w:val="1191"/>
      </w:trPr>
      <w:tc>
        <w:tcPr>
          <w:tcW w:w="9209" w:type="dxa"/>
        </w:tcPr>
        <w:p w:rsidR="00183E62" w:rsidRDefault="00183E62" w:rsidP="008857AA">
          <w:pPr>
            <w:pStyle w:val="DepNavn"/>
            <w:spacing w:before="480"/>
            <w:ind w:left="-1814" w:right="-1100"/>
            <w:rPr>
              <w:b w:val="0"/>
              <w:i/>
              <w:spacing w:val="15"/>
            </w:rPr>
          </w:pPr>
          <w:bookmarkStart w:id="15" w:name="Avsender" w:colFirst="0" w:colLast="0"/>
        </w:p>
      </w:tc>
    </w:tr>
  </w:tbl>
  <w:bookmarkEnd w:id="15"/>
  <w:p w:rsidR="00183E62" w:rsidRDefault="00BE366F">
    <w:pPr>
      <w:tabs>
        <w:tab w:val="left" w:pos="1134"/>
      </w:tabs>
      <w:ind w:left="-1701" w:right="-1134"/>
      <w:jc w:val="center"/>
      <w:rPr>
        <w:sz w:val="16"/>
      </w:rPr>
    </w:pPr>
    <w:r>
      <w:rPr>
        <w:noProof/>
        <w:sz w:val="16"/>
      </w:rPr>
      <w:pict>
        <v:line id="_x0000_s2049" style="position:absolute;left:0;text-align:left;z-index:251657216;mso-position-horizontal-relative:page;mso-position-vertical-relative:page" from="-.8pt,297.7pt" to="27.55pt,297.75pt" o:allowincell="f">
          <v:stroke startarrowwidth="narrow" startarrowlength="short" endarrowwidth="narrow" endarrowlength="short"/>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Overskrift1"/>
      <w:lvlText w:val="%1."/>
      <w:legacy w:legacy="1" w:legacySpace="57" w:legacyIndent="0"/>
      <w:lvlJc w:val="left"/>
      <w:pPr>
        <w:ind w:left="567" w:firstLine="0"/>
      </w:pPr>
      <w:rPr>
        <w:rFonts w:ascii="Times New Roman" w:hAnsi="Times New Roman" w:hint="default"/>
        <w:b/>
        <w:i w:val="0"/>
        <w:sz w:val="23"/>
      </w:rPr>
    </w:lvl>
    <w:lvl w:ilvl="1">
      <w:start w:val="1"/>
      <w:numFmt w:val="decimal"/>
      <w:pStyle w:val="Overskrift2"/>
      <w:lvlText w:val="%1.%2"/>
      <w:legacy w:legacy="1" w:legacySpace="57" w:legacyIndent="0"/>
      <w:lvlJc w:val="left"/>
      <w:pPr>
        <w:ind w:left="567" w:firstLine="0"/>
      </w:pPr>
      <w:rPr>
        <w:rFonts w:ascii="Times New Roman" w:hAnsi="Times New Roman" w:hint="default"/>
        <w:b/>
        <w:i w:val="0"/>
        <w:sz w:val="23"/>
      </w:rPr>
    </w:lvl>
    <w:lvl w:ilvl="2">
      <w:start w:val="1"/>
      <w:numFmt w:val="decimal"/>
      <w:pStyle w:val="Overskrift3"/>
      <w:lvlText w:val="%1.%2.%3"/>
      <w:legacy w:legacy="1" w:legacySpace="57" w:legacyIndent="0"/>
      <w:lvlJc w:val="left"/>
      <w:pPr>
        <w:ind w:left="567" w:firstLine="0"/>
      </w:pPr>
      <w:rPr>
        <w:rFonts w:ascii="Times New Roman" w:hAnsi="Times New Roman" w:hint="default"/>
        <w:b/>
        <w:i w:val="0"/>
        <w:sz w:val="23"/>
      </w:rPr>
    </w:lvl>
    <w:lvl w:ilvl="3">
      <w:start w:val="1"/>
      <w:numFmt w:val="decimal"/>
      <w:pStyle w:val="Overskrift4"/>
      <w:lvlText w:val="%1.%2.%3.%4"/>
      <w:legacy w:legacy="1" w:legacySpace="57" w:legacyIndent="0"/>
      <w:lvlJc w:val="left"/>
      <w:pPr>
        <w:ind w:left="1134" w:firstLine="0"/>
      </w:pPr>
      <w:rPr>
        <w:rFonts w:ascii="Times New Roman" w:hAnsi="Times New Roman" w:hint="default"/>
        <w:b/>
        <w:i w:val="0"/>
        <w:sz w:val="23"/>
      </w:rPr>
    </w:lvl>
    <w:lvl w:ilvl="4">
      <w:start w:val="1"/>
      <w:numFmt w:val="decimal"/>
      <w:pStyle w:val="Overskrift5"/>
      <w:lvlText w:val="%1.%2.%3.%4.%5"/>
      <w:legacy w:legacy="1" w:legacySpace="57" w:legacyIndent="0"/>
      <w:lvlJc w:val="left"/>
      <w:pPr>
        <w:ind w:left="1134" w:firstLine="0"/>
      </w:pPr>
      <w:rPr>
        <w:rFonts w:ascii="Times New Roman" w:hAnsi="Times New Roman" w:hint="default"/>
        <w:b/>
        <w:i w:val="0"/>
        <w:sz w:val="23"/>
      </w:rPr>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nsid w:val="0BCF4165"/>
    <w:multiLevelType w:val="hybridMultilevel"/>
    <w:tmpl w:val="DEAE7830"/>
    <w:lvl w:ilvl="0" w:tplc="55784F02">
      <w:start w:val="1"/>
      <w:numFmt w:val="bullet"/>
      <w:lvlText w:val=""/>
      <w:lvlJc w:val="left"/>
      <w:pPr>
        <w:ind w:left="720" w:hanging="360"/>
      </w:pPr>
      <w:rPr>
        <w:rFonts w:ascii="Symbol" w:hAnsi="Symbol" w:hint="default"/>
      </w:rPr>
    </w:lvl>
    <w:lvl w:ilvl="1" w:tplc="6ADE2206" w:tentative="1">
      <w:start w:val="1"/>
      <w:numFmt w:val="bullet"/>
      <w:lvlText w:val="o"/>
      <w:lvlJc w:val="left"/>
      <w:pPr>
        <w:ind w:left="1440" w:hanging="360"/>
      </w:pPr>
      <w:rPr>
        <w:rFonts w:ascii="Courier New" w:hAnsi="Courier New" w:cs="Courier New" w:hint="default"/>
      </w:rPr>
    </w:lvl>
    <w:lvl w:ilvl="2" w:tplc="92728F7A" w:tentative="1">
      <w:start w:val="1"/>
      <w:numFmt w:val="bullet"/>
      <w:lvlText w:val=""/>
      <w:lvlJc w:val="left"/>
      <w:pPr>
        <w:ind w:left="2160" w:hanging="360"/>
      </w:pPr>
      <w:rPr>
        <w:rFonts w:ascii="Wingdings" w:hAnsi="Wingdings" w:hint="default"/>
      </w:rPr>
    </w:lvl>
    <w:lvl w:ilvl="3" w:tplc="CF129624" w:tentative="1">
      <w:start w:val="1"/>
      <w:numFmt w:val="bullet"/>
      <w:lvlText w:val=""/>
      <w:lvlJc w:val="left"/>
      <w:pPr>
        <w:ind w:left="2880" w:hanging="360"/>
      </w:pPr>
      <w:rPr>
        <w:rFonts w:ascii="Symbol" w:hAnsi="Symbol" w:hint="default"/>
      </w:rPr>
    </w:lvl>
    <w:lvl w:ilvl="4" w:tplc="77404CA2" w:tentative="1">
      <w:start w:val="1"/>
      <w:numFmt w:val="bullet"/>
      <w:lvlText w:val="o"/>
      <w:lvlJc w:val="left"/>
      <w:pPr>
        <w:ind w:left="3600" w:hanging="360"/>
      </w:pPr>
      <w:rPr>
        <w:rFonts w:ascii="Courier New" w:hAnsi="Courier New" w:cs="Courier New" w:hint="default"/>
      </w:rPr>
    </w:lvl>
    <w:lvl w:ilvl="5" w:tplc="6512BC46" w:tentative="1">
      <w:start w:val="1"/>
      <w:numFmt w:val="bullet"/>
      <w:lvlText w:val=""/>
      <w:lvlJc w:val="left"/>
      <w:pPr>
        <w:ind w:left="4320" w:hanging="360"/>
      </w:pPr>
      <w:rPr>
        <w:rFonts w:ascii="Wingdings" w:hAnsi="Wingdings" w:hint="default"/>
      </w:rPr>
    </w:lvl>
    <w:lvl w:ilvl="6" w:tplc="3FB2DF3E" w:tentative="1">
      <w:start w:val="1"/>
      <w:numFmt w:val="bullet"/>
      <w:lvlText w:val=""/>
      <w:lvlJc w:val="left"/>
      <w:pPr>
        <w:ind w:left="5040" w:hanging="360"/>
      </w:pPr>
      <w:rPr>
        <w:rFonts w:ascii="Symbol" w:hAnsi="Symbol" w:hint="default"/>
      </w:rPr>
    </w:lvl>
    <w:lvl w:ilvl="7" w:tplc="FBB046C8" w:tentative="1">
      <w:start w:val="1"/>
      <w:numFmt w:val="bullet"/>
      <w:lvlText w:val="o"/>
      <w:lvlJc w:val="left"/>
      <w:pPr>
        <w:ind w:left="5760" w:hanging="360"/>
      </w:pPr>
      <w:rPr>
        <w:rFonts w:ascii="Courier New" w:hAnsi="Courier New" w:cs="Courier New" w:hint="default"/>
      </w:rPr>
    </w:lvl>
    <w:lvl w:ilvl="8" w:tplc="C10EC7A8" w:tentative="1">
      <w:start w:val="1"/>
      <w:numFmt w:val="bullet"/>
      <w:lvlText w:val=""/>
      <w:lvlJc w:val="left"/>
      <w:pPr>
        <w:ind w:left="6480" w:hanging="360"/>
      </w:pPr>
      <w:rPr>
        <w:rFonts w:ascii="Wingdings" w:hAnsi="Wingdings" w:hint="default"/>
      </w:rPr>
    </w:lvl>
  </w:abstractNum>
  <w:abstractNum w:abstractNumId="2">
    <w:nsid w:val="11424D6F"/>
    <w:multiLevelType w:val="hybridMultilevel"/>
    <w:tmpl w:val="B7E45E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1C32010"/>
    <w:multiLevelType w:val="hybridMultilevel"/>
    <w:tmpl w:val="C816A23C"/>
    <w:lvl w:ilvl="0" w:tplc="B2641AFE">
      <w:start w:val="9"/>
      <w:numFmt w:val="decimal"/>
      <w:lvlText w:val="%1"/>
      <w:lvlJc w:val="left"/>
      <w:pPr>
        <w:ind w:left="720" w:hanging="360"/>
      </w:pPr>
      <w:rPr>
        <w:rFonts w:hint="default"/>
      </w:rPr>
    </w:lvl>
    <w:lvl w:ilvl="1" w:tplc="D824900C" w:tentative="1">
      <w:start w:val="1"/>
      <w:numFmt w:val="lowerLetter"/>
      <w:lvlText w:val="%2."/>
      <w:lvlJc w:val="left"/>
      <w:pPr>
        <w:ind w:left="1440" w:hanging="360"/>
      </w:pPr>
    </w:lvl>
    <w:lvl w:ilvl="2" w:tplc="A19ED384" w:tentative="1">
      <w:start w:val="1"/>
      <w:numFmt w:val="lowerRoman"/>
      <w:lvlText w:val="%3."/>
      <w:lvlJc w:val="right"/>
      <w:pPr>
        <w:ind w:left="2160" w:hanging="180"/>
      </w:pPr>
    </w:lvl>
    <w:lvl w:ilvl="3" w:tplc="F112CFC2" w:tentative="1">
      <w:start w:val="1"/>
      <w:numFmt w:val="decimal"/>
      <w:lvlText w:val="%4."/>
      <w:lvlJc w:val="left"/>
      <w:pPr>
        <w:ind w:left="2880" w:hanging="360"/>
      </w:pPr>
    </w:lvl>
    <w:lvl w:ilvl="4" w:tplc="D3E2264C" w:tentative="1">
      <w:start w:val="1"/>
      <w:numFmt w:val="lowerLetter"/>
      <w:lvlText w:val="%5."/>
      <w:lvlJc w:val="left"/>
      <w:pPr>
        <w:ind w:left="3600" w:hanging="360"/>
      </w:pPr>
    </w:lvl>
    <w:lvl w:ilvl="5" w:tplc="7D16297A" w:tentative="1">
      <w:start w:val="1"/>
      <w:numFmt w:val="lowerRoman"/>
      <w:lvlText w:val="%6."/>
      <w:lvlJc w:val="right"/>
      <w:pPr>
        <w:ind w:left="4320" w:hanging="180"/>
      </w:pPr>
    </w:lvl>
    <w:lvl w:ilvl="6" w:tplc="943C3696" w:tentative="1">
      <w:start w:val="1"/>
      <w:numFmt w:val="decimal"/>
      <w:lvlText w:val="%7."/>
      <w:lvlJc w:val="left"/>
      <w:pPr>
        <w:ind w:left="5040" w:hanging="360"/>
      </w:pPr>
    </w:lvl>
    <w:lvl w:ilvl="7" w:tplc="830E400A" w:tentative="1">
      <w:start w:val="1"/>
      <w:numFmt w:val="lowerLetter"/>
      <w:lvlText w:val="%8."/>
      <w:lvlJc w:val="left"/>
      <w:pPr>
        <w:ind w:left="5760" w:hanging="360"/>
      </w:pPr>
    </w:lvl>
    <w:lvl w:ilvl="8" w:tplc="31CE0590" w:tentative="1">
      <w:start w:val="1"/>
      <w:numFmt w:val="lowerRoman"/>
      <w:lvlText w:val="%9."/>
      <w:lvlJc w:val="right"/>
      <w:pPr>
        <w:ind w:left="6480" w:hanging="180"/>
      </w:pPr>
    </w:lvl>
  </w:abstractNum>
  <w:abstractNum w:abstractNumId="4">
    <w:nsid w:val="12A91D42"/>
    <w:multiLevelType w:val="singleLevel"/>
    <w:tmpl w:val="ACB4E164"/>
    <w:lvl w:ilvl="0">
      <w:start w:val="1"/>
      <w:numFmt w:val="lowerLetter"/>
      <w:lvlText w:val="%1."/>
      <w:legacy w:legacy="1" w:legacySpace="0" w:legacyIndent="567"/>
      <w:lvlJc w:val="left"/>
      <w:pPr>
        <w:ind w:left="567" w:hanging="567"/>
      </w:pPr>
    </w:lvl>
  </w:abstractNum>
  <w:abstractNum w:abstractNumId="5">
    <w:nsid w:val="138F10EC"/>
    <w:multiLevelType w:val="singleLevel"/>
    <w:tmpl w:val="ACB4E164"/>
    <w:lvl w:ilvl="0">
      <w:start w:val="1"/>
      <w:numFmt w:val="lowerLetter"/>
      <w:lvlText w:val="%1."/>
      <w:legacy w:legacy="1" w:legacySpace="0" w:legacyIndent="567"/>
      <w:lvlJc w:val="left"/>
      <w:pPr>
        <w:ind w:left="360" w:hanging="567"/>
      </w:pPr>
    </w:lvl>
  </w:abstractNum>
  <w:abstractNum w:abstractNumId="6">
    <w:nsid w:val="144B363E"/>
    <w:multiLevelType w:val="singleLevel"/>
    <w:tmpl w:val="6CE047A4"/>
    <w:lvl w:ilvl="0">
      <w:start w:val="1"/>
      <w:numFmt w:val="lowerRoman"/>
      <w:lvlText w:val="(%1)"/>
      <w:legacy w:legacy="1" w:legacySpace="0" w:legacyIndent="567"/>
      <w:lvlJc w:val="left"/>
      <w:pPr>
        <w:ind w:left="567" w:hanging="567"/>
      </w:pPr>
    </w:lvl>
  </w:abstractNum>
  <w:abstractNum w:abstractNumId="7">
    <w:nsid w:val="15CE33D5"/>
    <w:multiLevelType w:val="hybridMultilevel"/>
    <w:tmpl w:val="188E818A"/>
    <w:lvl w:ilvl="0" w:tplc="420E5DA4">
      <w:start w:val="1"/>
      <w:numFmt w:val="decimal"/>
      <w:lvlText w:val="%1."/>
      <w:lvlJc w:val="left"/>
      <w:pPr>
        <w:ind w:left="720" w:hanging="360"/>
      </w:pPr>
      <w:rPr>
        <w:rFonts w:hint="default"/>
      </w:rPr>
    </w:lvl>
    <w:lvl w:ilvl="1" w:tplc="C08C5E4C" w:tentative="1">
      <w:start w:val="1"/>
      <w:numFmt w:val="lowerLetter"/>
      <w:lvlText w:val="%2."/>
      <w:lvlJc w:val="left"/>
      <w:pPr>
        <w:ind w:left="1440" w:hanging="360"/>
      </w:pPr>
    </w:lvl>
    <w:lvl w:ilvl="2" w:tplc="0956A38C" w:tentative="1">
      <w:start w:val="1"/>
      <w:numFmt w:val="lowerRoman"/>
      <w:lvlText w:val="%3."/>
      <w:lvlJc w:val="right"/>
      <w:pPr>
        <w:ind w:left="2160" w:hanging="180"/>
      </w:pPr>
    </w:lvl>
    <w:lvl w:ilvl="3" w:tplc="C046ADCE" w:tentative="1">
      <w:start w:val="1"/>
      <w:numFmt w:val="decimal"/>
      <w:lvlText w:val="%4."/>
      <w:lvlJc w:val="left"/>
      <w:pPr>
        <w:ind w:left="2880" w:hanging="360"/>
      </w:pPr>
    </w:lvl>
    <w:lvl w:ilvl="4" w:tplc="4FD05E76" w:tentative="1">
      <w:start w:val="1"/>
      <w:numFmt w:val="lowerLetter"/>
      <w:lvlText w:val="%5."/>
      <w:lvlJc w:val="left"/>
      <w:pPr>
        <w:ind w:left="3600" w:hanging="360"/>
      </w:pPr>
    </w:lvl>
    <w:lvl w:ilvl="5" w:tplc="5C2A165E" w:tentative="1">
      <w:start w:val="1"/>
      <w:numFmt w:val="lowerRoman"/>
      <w:lvlText w:val="%6."/>
      <w:lvlJc w:val="right"/>
      <w:pPr>
        <w:ind w:left="4320" w:hanging="180"/>
      </w:pPr>
    </w:lvl>
    <w:lvl w:ilvl="6" w:tplc="7422CC4C" w:tentative="1">
      <w:start w:val="1"/>
      <w:numFmt w:val="decimal"/>
      <w:lvlText w:val="%7."/>
      <w:lvlJc w:val="left"/>
      <w:pPr>
        <w:ind w:left="5040" w:hanging="360"/>
      </w:pPr>
    </w:lvl>
    <w:lvl w:ilvl="7" w:tplc="2190D9DC" w:tentative="1">
      <w:start w:val="1"/>
      <w:numFmt w:val="lowerLetter"/>
      <w:lvlText w:val="%8."/>
      <w:lvlJc w:val="left"/>
      <w:pPr>
        <w:ind w:left="5760" w:hanging="360"/>
      </w:pPr>
    </w:lvl>
    <w:lvl w:ilvl="8" w:tplc="72D6ED1C" w:tentative="1">
      <w:start w:val="1"/>
      <w:numFmt w:val="lowerRoman"/>
      <w:lvlText w:val="%9."/>
      <w:lvlJc w:val="right"/>
      <w:pPr>
        <w:ind w:left="6480" w:hanging="180"/>
      </w:pPr>
    </w:lvl>
  </w:abstractNum>
  <w:abstractNum w:abstractNumId="8">
    <w:nsid w:val="1A247DE6"/>
    <w:multiLevelType w:val="hybridMultilevel"/>
    <w:tmpl w:val="BB867FCE"/>
    <w:lvl w:ilvl="0" w:tplc="7FEE6FB2">
      <w:start w:val="1"/>
      <w:numFmt w:val="bullet"/>
      <w:lvlText w:val=""/>
      <w:lvlJc w:val="left"/>
      <w:pPr>
        <w:ind w:left="720" w:hanging="360"/>
      </w:pPr>
      <w:rPr>
        <w:rFonts w:ascii="Symbol" w:hAnsi="Symbol" w:hint="default"/>
      </w:rPr>
    </w:lvl>
    <w:lvl w:ilvl="1" w:tplc="59CAF12E" w:tentative="1">
      <w:start w:val="1"/>
      <w:numFmt w:val="bullet"/>
      <w:lvlText w:val="o"/>
      <w:lvlJc w:val="left"/>
      <w:pPr>
        <w:ind w:left="1440" w:hanging="360"/>
      </w:pPr>
      <w:rPr>
        <w:rFonts w:ascii="Courier New" w:hAnsi="Courier New" w:cs="Courier New" w:hint="default"/>
      </w:rPr>
    </w:lvl>
    <w:lvl w:ilvl="2" w:tplc="1FB6E598" w:tentative="1">
      <w:start w:val="1"/>
      <w:numFmt w:val="bullet"/>
      <w:lvlText w:val=""/>
      <w:lvlJc w:val="left"/>
      <w:pPr>
        <w:ind w:left="2160" w:hanging="360"/>
      </w:pPr>
      <w:rPr>
        <w:rFonts w:ascii="Wingdings" w:hAnsi="Wingdings" w:hint="default"/>
      </w:rPr>
    </w:lvl>
    <w:lvl w:ilvl="3" w:tplc="73585136" w:tentative="1">
      <w:start w:val="1"/>
      <w:numFmt w:val="bullet"/>
      <w:lvlText w:val=""/>
      <w:lvlJc w:val="left"/>
      <w:pPr>
        <w:ind w:left="2880" w:hanging="360"/>
      </w:pPr>
      <w:rPr>
        <w:rFonts w:ascii="Symbol" w:hAnsi="Symbol" w:hint="default"/>
      </w:rPr>
    </w:lvl>
    <w:lvl w:ilvl="4" w:tplc="F4C4C76E" w:tentative="1">
      <w:start w:val="1"/>
      <w:numFmt w:val="bullet"/>
      <w:lvlText w:val="o"/>
      <w:lvlJc w:val="left"/>
      <w:pPr>
        <w:ind w:left="3600" w:hanging="360"/>
      </w:pPr>
      <w:rPr>
        <w:rFonts w:ascii="Courier New" w:hAnsi="Courier New" w:cs="Courier New" w:hint="default"/>
      </w:rPr>
    </w:lvl>
    <w:lvl w:ilvl="5" w:tplc="41C20CC8" w:tentative="1">
      <w:start w:val="1"/>
      <w:numFmt w:val="bullet"/>
      <w:lvlText w:val=""/>
      <w:lvlJc w:val="left"/>
      <w:pPr>
        <w:ind w:left="4320" w:hanging="360"/>
      </w:pPr>
      <w:rPr>
        <w:rFonts w:ascii="Wingdings" w:hAnsi="Wingdings" w:hint="default"/>
      </w:rPr>
    </w:lvl>
    <w:lvl w:ilvl="6" w:tplc="A216A28E" w:tentative="1">
      <w:start w:val="1"/>
      <w:numFmt w:val="bullet"/>
      <w:lvlText w:val=""/>
      <w:lvlJc w:val="left"/>
      <w:pPr>
        <w:ind w:left="5040" w:hanging="360"/>
      </w:pPr>
      <w:rPr>
        <w:rFonts w:ascii="Symbol" w:hAnsi="Symbol" w:hint="default"/>
      </w:rPr>
    </w:lvl>
    <w:lvl w:ilvl="7" w:tplc="B42EEA9E" w:tentative="1">
      <w:start w:val="1"/>
      <w:numFmt w:val="bullet"/>
      <w:lvlText w:val="o"/>
      <w:lvlJc w:val="left"/>
      <w:pPr>
        <w:ind w:left="5760" w:hanging="360"/>
      </w:pPr>
      <w:rPr>
        <w:rFonts w:ascii="Courier New" w:hAnsi="Courier New" w:cs="Courier New" w:hint="default"/>
      </w:rPr>
    </w:lvl>
    <w:lvl w:ilvl="8" w:tplc="75A81C90" w:tentative="1">
      <w:start w:val="1"/>
      <w:numFmt w:val="bullet"/>
      <w:lvlText w:val=""/>
      <w:lvlJc w:val="left"/>
      <w:pPr>
        <w:ind w:left="6480" w:hanging="360"/>
      </w:pPr>
      <w:rPr>
        <w:rFonts w:ascii="Wingdings" w:hAnsi="Wingdings" w:hint="default"/>
      </w:rPr>
    </w:lvl>
  </w:abstractNum>
  <w:abstractNum w:abstractNumId="9">
    <w:nsid w:val="1CB17C0F"/>
    <w:multiLevelType w:val="hybridMultilevel"/>
    <w:tmpl w:val="84E6D7AA"/>
    <w:lvl w:ilvl="0" w:tplc="0414000F">
      <w:start w:val="8"/>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1CBA5118"/>
    <w:multiLevelType w:val="hybridMultilevel"/>
    <w:tmpl w:val="7F4E6306"/>
    <w:lvl w:ilvl="0" w:tplc="38580C60">
      <w:start w:val="1"/>
      <w:numFmt w:val="bullet"/>
      <w:lvlText w:val=""/>
      <w:lvlJc w:val="left"/>
      <w:pPr>
        <w:ind w:left="720" w:hanging="360"/>
      </w:pPr>
      <w:rPr>
        <w:rFonts w:ascii="Symbol" w:hAnsi="Symbol" w:hint="default"/>
      </w:rPr>
    </w:lvl>
    <w:lvl w:ilvl="1" w:tplc="FA12352A" w:tentative="1">
      <w:start w:val="1"/>
      <w:numFmt w:val="bullet"/>
      <w:lvlText w:val="o"/>
      <w:lvlJc w:val="left"/>
      <w:pPr>
        <w:ind w:left="1440" w:hanging="360"/>
      </w:pPr>
      <w:rPr>
        <w:rFonts w:ascii="Courier New" w:hAnsi="Courier New" w:cs="Courier New" w:hint="default"/>
      </w:rPr>
    </w:lvl>
    <w:lvl w:ilvl="2" w:tplc="0612546C" w:tentative="1">
      <w:start w:val="1"/>
      <w:numFmt w:val="bullet"/>
      <w:lvlText w:val=""/>
      <w:lvlJc w:val="left"/>
      <w:pPr>
        <w:ind w:left="2160" w:hanging="360"/>
      </w:pPr>
      <w:rPr>
        <w:rFonts w:ascii="Wingdings" w:hAnsi="Wingdings" w:hint="default"/>
      </w:rPr>
    </w:lvl>
    <w:lvl w:ilvl="3" w:tplc="37B68E86" w:tentative="1">
      <w:start w:val="1"/>
      <w:numFmt w:val="bullet"/>
      <w:lvlText w:val=""/>
      <w:lvlJc w:val="left"/>
      <w:pPr>
        <w:ind w:left="2880" w:hanging="360"/>
      </w:pPr>
      <w:rPr>
        <w:rFonts w:ascii="Symbol" w:hAnsi="Symbol" w:hint="default"/>
      </w:rPr>
    </w:lvl>
    <w:lvl w:ilvl="4" w:tplc="19D0AB46" w:tentative="1">
      <w:start w:val="1"/>
      <w:numFmt w:val="bullet"/>
      <w:lvlText w:val="o"/>
      <w:lvlJc w:val="left"/>
      <w:pPr>
        <w:ind w:left="3600" w:hanging="360"/>
      </w:pPr>
      <w:rPr>
        <w:rFonts w:ascii="Courier New" w:hAnsi="Courier New" w:cs="Courier New" w:hint="default"/>
      </w:rPr>
    </w:lvl>
    <w:lvl w:ilvl="5" w:tplc="35623CB2" w:tentative="1">
      <w:start w:val="1"/>
      <w:numFmt w:val="bullet"/>
      <w:lvlText w:val=""/>
      <w:lvlJc w:val="left"/>
      <w:pPr>
        <w:ind w:left="4320" w:hanging="360"/>
      </w:pPr>
      <w:rPr>
        <w:rFonts w:ascii="Wingdings" w:hAnsi="Wingdings" w:hint="default"/>
      </w:rPr>
    </w:lvl>
    <w:lvl w:ilvl="6" w:tplc="D3260AFE" w:tentative="1">
      <w:start w:val="1"/>
      <w:numFmt w:val="bullet"/>
      <w:lvlText w:val=""/>
      <w:lvlJc w:val="left"/>
      <w:pPr>
        <w:ind w:left="5040" w:hanging="360"/>
      </w:pPr>
      <w:rPr>
        <w:rFonts w:ascii="Symbol" w:hAnsi="Symbol" w:hint="default"/>
      </w:rPr>
    </w:lvl>
    <w:lvl w:ilvl="7" w:tplc="3408A752" w:tentative="1">
      <w:start w:val="1"/>
      <w:numFmt w:val="bullet"/>
      <w:lvlText w:val="o"/>
      <w:lvlJc w:val="left"/>
      <w:pPr>
        <w:ind w:left="5760" w:hanging="360"/>
      </w:pPr>
      <w:rPr>
        <w:rFonts w:ascii="Courier New" w:hAnsi="Courier New" w:cs="Courier New" w:hint="default"/>
      </w:rPr>
    </w:lvl>
    <w:lvl w:ilvl="8" w:tplc="7148356A" w:tentative="1">
      <w:start w:val="1"/>
      <w:numFmt w:val="bullet"/>
      <w:lvlText w:val=""/>
      <w:lvlJc w:val="left"/>
      <w:pPr>
        <w:ind w:left="6480" w:hanging="360"/>
      </w:pPr>
      <w:rPr>
        <w:rFonts w:ascii="Wingdings" w:hAnsi="Wingdings" w:hint="default"/>
      </w:rPr>
    </w:lvl>
  </w:abstractNum>
  <w:abstractNum w:abstractNumId="11">
    <w:nsid w:val="22530EAC"/>
    <w:multiLevelType w:val="hybridMultilevel"/>
    <w:tmpl w:val="320A0DE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2BE81E99"/>
    <w:multiLevelType w:val="singleLevel"/>
    <w:tmpl w:val="ACB4E164"/>
    <w:lvl w:ilvl="0">
      <w:start w:val="1"/>
      <w:numFmt w:val="lowerLetter"/>
      <w:lvlText w:val="%1."/>
      <w:legacy w:legacy="1" w:legacySpace="0" w:legacyIndent="567"/>
      <w:lvlJc w:val="left"/>
      <w:pPr>
        <w:ind w:left="567" w:hanging="567"/>
      </w:pPr>
    </w:lvl>
  </w:abstractNum>
  <w:abstractNum w:abstractNumId="13">
    <w:nsid w:val="351A6572"/>
    <w:multiLevelType w:val="hybridMultilevel"/>
    <w:tmpl w:val="940044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369129A6"/>
    <w:multiLevelType w:val="hybridMultilevel"/>
    <w:tmpl w:val="AA842B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41C27510"/>
    <w:multiLevelType w:val="singleLevel"/>
    <w:tmpl w:val="57001DF0"/>
    <w:lvl w:ilvl="0">
      <w:start w:val="1"/>
      <w:numFmt w:val="upperLetter"/>
      <w:lvlText w:val="%1."/>
      <w:legacy w:legacy="1" w:legacySpace="0" w:legacyIndent="567"/>
      <w:lvlJc w:val="left"/>
      <w:pPr>
        <w:ind w:left="567" w:hanging="567"/>
      </w:pPr>
    </w:lvl>
  </w:abstractNum>
  <w:abstractNum w:abstractNumId="16">
    <w:nsid w:val="43845032"/>
    <w:multiLevelType w:val="singleLevel"/>
    <w:tmpl w:val="ACB4E164"/>
    <w:lvl w:ilvl="0">
      <w:start w:val="1"/>
      <w:numFmt w:val="lowerLetter"/>
      <w:lvlText w:val="%1."/>
      <w:legacy w:legacy="1" w:legacySpace="0" w:legacyIndent="567"/>
      <w:lvlJc w:val="left"/>
      <w:pPr>
        <w:ind w:left="567" w:hanging="567"/>
      </w:pPr>
    </w:lvl>
  </w:abstractNum>
  <w:abstractNum w:abstractNumId="17">
    <w:nsid w:val="49CC6C37"/>
    <w:multiLevelType w:val="singleLevel"/>
    <w:tmpl w:val="ACB4E164"/>
    <w:lvl w:ilvl="0">
      <w:start w:val="1"/>
      <w:numFmt w:val="lowerLetter"/>
      <w:lvlText w:val="%1."/>
      <w:legacy w:legacy="1" w:legacySpace="0" w:legacyIndent="567"/>
      <w:lvlJc w:val="left"/>
      <w:pPr>
        <w:ind w:left="567" w:hanging="567"/>
      </w:pPr>
    </w:lvl>
  </w:abstractNum>
  <w:abstractNum w:abstractNumId="18">
    <w:nsid w:val="4EC230ED"/>
    <w:multiLevelType w:val="hybridMultilevel"/>
    <w:tmpl w:val="62886E3A"/>
    <w:lvl w:ilvl="0" w:tplc="79BCC838">
      <w:start w:val="9"/>
      <w:numFmt w:val="decimal"/>
      <w:lvlText w:val="%1."/>
      <w:lvlJc w:val="left"/>
      <w:pPr>
        <w:ind w:left="720" w:hanging="360"/>
      </w:pPr>
      <w:rPr>
        <w:rFonts w:hint="default"/>
      </w:rPr>
    </w:lvl>
    <w:lvl w:ilvl="1" w:tplc="B99E6BA0" w:tentative="1">
      <w:start w:val="1"/>
      <w:numFmt w:val="lowerLetter"/>
      <w:lvlText w:val="%2."/>
      <w:lvlJc w:val="left"/>
      <w:pPr>
        <w:ind w:left="1440" w:hanging="360"/>
      </w:pPr>
    </w:lvl>
    <w:lvl w:ilvl="2" w:tplc="71D445D6" w:tentative="1">
      <w:start w:val="1"/>
      <w:numFmt w:val="lowerRoman"/>
      <w:lvlText w:val="%3."/>
      <w:lvlJc w:val="right"/>
      <w:pPr>
        <w:ind w:left="2160" w:hanging="180"/>
      </w:pPr>
    </w:lvl>
    <w:lvl w:ilvl="3" w:tplc="AA5ACE42" w:tentative="1">
      <w:start w:val="1"/>
      <w:numFmt w:val="decimal"/>
      <w:lvlText w:val="%4."/>
      <w:lvlJc w:val="left"/>
      <w:pPr>
        <w:ind w:left="2880" w:hanging="360"/>
      </w:pPr>
    </w:lvl>
    <w:lvl w:ilvl="4" w:tplc="6FE64304" w:tentative="1">
      <w:start w:val="1"/>
      <w:numFmt w:val="lowerLetter"/>
      <w:lvlText w:val="%5."/>
      <w:lvlJc w:val="left"/>
      <w:pPr>
        <w:ind w:left="3600" w:hanging="360"/>
      </w:pPr>
    </w:lvl>
    <w:lvl w:ilvl="5" w:tplc="85580D78" w:tentative="1">
      <w:start w:val="1"/>
      <w:numFmt w:val="lowerRoman"/>
      <w:lvlText w:val="%6."/>
      <w:lvlJc w:val="right"/>
      <w:pPr>
        <w:ind w:left="4320" w:hanging="180"/>
      </w:pPr>
    </w:lvl>
    <w:lvl w:ilvl="6" w:tplc="3AB6DD46" w:tentative="1">
      <w:start w:val="1"/>
      <w:numFmt w:val="decimal"/>
      <w:lvlText w:val="%7."/>
      <w:lvlJc w:val="left"/>
      <w:pPr>
        <w:ind w:left="5040" w:hanging="360"/>
      </w:pPr>
    </w:lvl>
    <w:lvl w:ilvl="7" w:tplc="87CC16FA" w:tentative="1">
      <w:start w:val="1"/>
      <w:numFmt w:val="lowerLetter"/>
      <w:lvlText w:val="%8."/>
      <w:lvlJc w:val="left"/>
      <w:pPr>
        <w:ind w:left="5760" w:hanging="360"/>
      </w:pPr>
    </w:lvl>
    <w:lvl w:ilvl="8" w:tplc="EDBA9470" w:tentative="1">
      <w:start w:val="1"/>
      <w:numFmt w:val="lowerRoman"/>
      <w:lvlText w:val="%9."/>
      <w:lvlJc w:val="right"/>
      <w:pPr>
        <w:ind w:left="6480" w:hanging="180"/>
      </w:pPr>
    </w:lvl>
  </w:abstractNum>
  <w:abstractNum w:abstractNumId="19">
    <w:nsid w:val="503E2B8F"/>
    <w:multiLevelType w:val="hybridMultilevel"/>
    <w:tmpl w:val="B6706D94"/>
    <w:lvl w:ilvl="0" w:tplc="D29C69AA">
      <w:start w:val="1"/>
      <w:numFmt w:val="bullet"/>
      <w:lvlText w:val=""/>
      <w:lvlJc w:val="left"/>
      <w:pPr>
        <w:ind w:left="1440" w:hanging="360"/>
      </w:pPr>
      <w:rPr>
        <w:rFonts w:ascii="Symbol" w:hAnsi="Symbol" w:hint="default"/>
      </w:rPr>
    </w:lvl>
    <w:lvl w:ilvl="1" w:tplc="205EF7B2" w:tentative="1">
      <w:start w:val="1"/>
      <w:numFmt w:val="bullet"/>
      <w:lvlText w:val="o"/>
      <w:lvlJc w:val="left"/>
      <w:pPr>
        <w:ind w:left="2160" w:hanging="360"/>
      </w:pPr>
      <w:rPr>
        <w:rFonts w:ascii="Courier New" w:hAnsi="Courier New" w:cs="Courier New" w:hint="default"/>
      </w:rPr>
    </w:lvl>
    <w:lvl w:ilvl="2" w:tplc="2C8095D2" w:tentative="1">
      <w:start w:val="1"/>
      <w:numFmt w:val="bullet"/>
      <w:lvlText w:val=""/>
      <w:lvlJc w:val="left"/>
      <w:pPr>
        <w:ind w:left="2880" w:hanging="360"/>
      </w:pPr>
      <w:rPr>
        <w:rFonts w:ascii="Wingdings" w:hAnsi="Wingdings" w:hint="default"/>
      </w:rPr>
    </w:lvl>
    <w:lvl w:ilvl="3" w:tplc="410AA54A" w:tentative="1">
      <w:start w:val="1"/>
      <w:numFmt w:val="bullet"/>
      <w:lvlText w:val=""/>
      <w:lvlJc w:val="left"/>
      <w:pPr>
        <w:ind w:left="3600" w:hanging="360"/>
      </w:pPr>
      <w:rPr>
        <w:rFonts w:ascii="Symbol" w:hAnsi="Symbol" w:hint="default"/>
      </w:rPr>
    </w:lvl>
    <w:lvl w:ilvl="4" w:tplc="7D6AC24E" w:tentative="1">
      <w:start w:val="1"/>
      <w:numFmt w:val="bullet"/>
      <w:lvlText w:val="o"/>
      <w:lvlJc w:val="left"/>
      <w:pPr>
        <w:ind w:left="4320" w:hanging="360"/>
      </w:pPr>
      <w:rPr>
        <w:rFonts w:ascii="Courier New" w:hAnsi="Courier New" w:cs="Courier New" w:hint="default"/>
      </w:rPr>
    </w:lvl>
    <w:lvl w:ilvl="5" w:tplc="E10AF92E" w:tentative="1">
      <w:start w:val="1"/>
      <w:numFmt w:val="bullet"/>
      <w:lvlText w:val=""/>
      <w:lvlJc w:val="left"/>
      <w:pPr>
        <w:ind w:left="5040" w:hanging="360"/>
      </w:pPr>
      <w:rPr>
        <w:rFonts w:ascii="Wingdings" w:hAnsi="Wingdings" w:hint="default"/>
      </w:rPr>
    </w:lvl>
    <w:lvl w:ilvl="6" w:tplc="0AE697D4" w:tentative="1">
      <w:start w:val="1"/>
      <w:numFmt w:val="bullet"/>
      <w:lvlText w:val=""/>
      <w:lvlJc w:val="left"/>
      <w:pPr>
        <w:ind w:left="5760" w:hanging="360"/>
      </w:pPr>
      <w:rPr>
        <w:rFonts w:ascii="Symbol" w:hAnsi="Symbol" w:hint="default"/>
      </w:rPr>
    </w:lvl>
    <w:lvl w:ilvl="7" w:tplc="30E649D6" w:tentative="1">
      <w:start w:val="1"/>
      <w:numFmt w:val="bullet"/>
      <w:lvlText w:val="o"/>
      <w:lvlJc w:val="left"/>
      <w:pPr>
        <w:ind w:left="6480" w:hanging="360"/>
      </w:pPr>
      <w:rPr>
        <w:rFonts w:ascii="Courier New" w:hAnsi="Courier New" w:cs="Courier New" w:hint="default"/>
      </w:rPr>
    </w:lvl>
    <w:lvl w:ilvl="8" w:tplc="14102D2E" w:tentative="1">
      <w:start w:val="1"/>
      <w:numFmt w:val="bullet"/>
      <w:lvlText w:val=""/>
      <w:lvlJc w:val="left"/>
      <w:pPr>
        <w:ind w:left="7200" w:hanging="360"/>
      </w:pPr>
      <w:rPr>
        <w:rFonts w:ascii="Wingdings" w:hAnsi="Wingdings" w:hint="default"/>
      </w:rPr>
    </w:lvl>
  </w:abstractNum>
  <w:abstractNum w:abstractNumId="20">
    <w:nsid w:val="61F94E96"/>
    <w:multiLevelType w:val="multilevel"/>
    <w:tmpl w:val="4B04351C"/>
    <w:lvl w:ilvl="0">
      <w:start w:val="2"/>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30E673B"/>
    <w:multiLevelType w:val="singleLevel"/>
    <w:tmpl w:val="6CE047A4"/>
    <w:lvl w:ilvl="0">
      <w:start w:val="1"/>
      <w:numFmt w:val="lowerRoman"/>
      <w:lvlText w:val="(%1)"/>
      <w:legacy w:legacy="1" w:legacySpace="0" w:legacyIndent="567"/>
      <w:lvlJc w:val="left"/>
      <w:pPr>
        <w:ind w:left="567" w:hanging="567"/>
      </w:pPr>
    </w:lvl>
  </w:abstractNum>
  <w:abstractNum w:abstractNumId="22">
    <w:nsid w:val="64C10BBF"/>
    <w:multiLevelType w:val="singleLevel"/>
    <w:tmpl w:val="57001DF0"/>
    <w:lvl w:ilvl="0">
      <w:start w:val="1"/>
      <w:numFmt w:val="upperLetter"/>
      <w:lvlText w:val="%1."/>
      <w:legacy w:legacy="1" w:legacySpace="0" w:legacyIndent="567"/>
      <w:lvlJc w:val="left"/>
      <w:pPr>
        <w:ind w:left="567" w:hanging="567"/>
      </w:pPr>
    </w:lvl>
  </w:abstractNum>
  <w:abstractNum w:abstractNumId="23">
    <w:nsid w:val="7CC85072"/>
    <w:multiLevelType w:val="hybridMultilevel"/>
    <w:tmpl w:val="6B02B3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nsid w:val="7F1944BC"/>
    <w:multiLevelType w:val="hybridMultilevel"/>
    <w:tmpl w:val="B3D2FC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6"/>
  </w:num>
  <w:num w:numId="3">
    <w:abstractNumId w:val="21"/>
  </w:num>
  <w:num w:numId="4">
    <w:abstractNumId w:val="15"/>
  </w:num>
  <w:num w:numId="5">
    <w:abstractNumId w:val="22"/>
  </w:num>
  <w:num w:numId="6">
    <w:abstractNumId w:val="16"/>
  </w:num>
  <w:num w:numId="7">
    <w:abstractNumId w:val="10"/>
  </w:num>
  <w:num w:numId="8">
    <w:abstractNumId w:val="8"/>
  </w:num>
  <w:num w:numId="9">
    <w:abstractNumId w:val="19"/>
  </w:num>
  <w:num w:numId="10">
    <w:abstractNumId w:val="1"/>
  </w:num>
  <w:num w:numId="11">
    <w:abstractNumId w:val="5"/>
  </w:num>
  <w:num w:numId="12">
    <w:abstractNumId w:val="17"/>
  </w:num>
  <w:num w:numId="13">
    <w:abstractNumId w:val="12"/>
  </w:num>
  <w:num w:numId="14">
    <w:abstractNumId w:val="4"/>
  </w:num>
  <w:num w:numId="15">
    <w:abstractNumId w:val="9"/>
  </w:num>
  <w:num w:numId="16">
    <w:abstractNumId w:val="3"/>
  </w:num>
  <w:num w:numId="17">
    <w:abstractNumId w:val="18"/>
  </w:num>
  <w:num w:numId="18">
    <w:abstractNumId w:val="7"/>
  </w:num>
  <w:num w:numId="19">
    <w:abstractNumId w:val="2"/>
  </w:num>
  <w:num w:numId="20">
    <w:abstractNumId w:val="20"/>
  </w:num>
  <w:num w:numId="21">
    <w:abstractNumId w:val="23"/>
  </w:num>
  <w:num w:numId="22">
    <w:abstractNumId w:val="14"/>
  </w:num>
  <w:num w:numId="23">
    <w:abstractNumId w:val="24"/>
  </w:num>
  <w:num w:numId="24">
    <w:abstractNumId w:val="13"/>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567"/>
  <w:hyphenationZone w:val="425"/>
  <w:drawingGridHorizontalSpacing w:val="120"/>
  <w:drawingGridVerticalSpacing w:val="127"/>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cVars>
    <w:docVar w:name="adresse1" w:val="Postboks 118 Smestad"/>
    <w:docVar w:name="AntallMottakere" w:val="1"/>
    <w:docVar w:name="BrevFler" w:val="NEI"/>
    <w:docVar w:name="DB_Database" w:val="132.150.3.215.ufdP"/>
    <w:docVar w:name="DLKopi" w:val="Finansdepartementet "/>
    <w:docVar w:name="dlviewfile" w:val="yes"/>
    <w:docVar w:name="kopi" w:val="1"/>
    <w:docVar w:name="LOGON_USER" w:val="BKR"/>
    <w:docVar w:name="mal" w:val="brevmal.dot"/>
    <w:docVar w:name="malsprog" w:val="no"/>
    <w:docVar w:name="navn" w:val="Metier AS"/>
    <w:docVar w:name="noarkflags" w:val="yes"/>
    <w:docVar w:name="postnr" w:val="0309 OSLO"/>
    <w:docVar w:name="vedlegg" w:val="1"/>
  </w:docVars>
  <w:rsids>
    <w:rsidRoot w:val="00425396"/>
    <w:rsid w:val="0000715C"/>
    <w:rsid w:val="00007C63"/>
    <w:rsid w:val="000269E2"/>
    <w:rsid w:val="00033ECF"/>
    <w:rsid w:val="00052EA2"/>
    <w:rsid w:val="000614BF"/>
    <w:rsid w:val="00065452"/>
    <w:rsid w:val="00081C78"/>
    <w:rsid w:val="00091258"/>
    <w:rsid w:val="00095AA6"/>
    <w:rsid w:val="000A6C0A"/>
    <w:rsid w:val="000C1BA4"/>
    <w:rsid w:val="000C2878"/>
    <w:rsid w:val="000C3D8C"/>
    <w:rsid w:val="000C53FC"/>
    <w:rsid w:val="000C7B9F"/>
    <w:rsid w:val="000D4FE7"/>
    <w:rsid w:val="000D697B"/>
    <w:rsid w:val="000E58C3"/>
    <w:rsid w:val="001000A3"/>
    <w:rsid w:val="001029EC"/>
    <w:rsid w:val="00103402"/>
    <w:rsid w:val="001043FE"/>
    <w:rsid w:val="00112ADE"/>
    <w:rsid w:val="001170E7"/>
    <w:rsid w:val="00144C7B"/>
    <w:rsid w:val="00145629"/>
    <w:rsid w:val="001666B0"/>
    <w:rsid w:val="00175A06"/>
    <w:rsid w:val="001830F8"/>
    <w:rsid w:val="00183E62"/>
    <w:rsid w:val="00184A11"/>
    <w:rsid w:val="00185697"/>
    <w:rsid w:val="00195D6C"/>
    <w:rsid w:val="001A2CD3"/>
    <w:rsid w:val="001A3BA2"/>
    <w:rsid w:val="001B0A98"/>
    <w:rsid w:val="001B74AF"/>
    <w:rsid w:val="0020047D"/>
    <w:rsid w:val="00210D66"/>
    <w:rsid w:val="00220A72"/>
    <w:rsid w:val="00254373"/>
    <w:rsid w:val="00280CFC"/>
    <w:rsid w:val="0028568D"/>
    <w:rsid w:val="00286EE2"/>
    <w:rsid w:val="002A7207"/>
    <w:rsid w:val="002B01C5"/>
    <w:rsid w:val="002C0BD4"/>
    <w:rsid w:val="002C4A69"/>
    <w:rsid w:val="002D3198"/>
    <w:rsid w:val="0031220D"/>
    <w:rsid w:val="00345B6A"/>
    <w:rsid w:val="00352F68"/>
    <w:rsid w:val="003634D3"/>
    <w:rsid w:val="003708C2"/>
    <w:rsid w:val="00373462"/>
    <w:rsid w:val="00387B5C"/>
    <w:rsid w:val="003A0863"/>
    <w:rsid w:val="003C231E"/>
    <w:rsid w:val="003C6A8B"/>
    <w:rsid w:val="003D5FA4"/>
    <w:rsid w:val="003E7305"/>
    <w:rsid w:val="003F0BFB"/>
    <w:rsid w:val="003F4AD1"/>
    <w:rsid w:val="004044DC"/>
    <w:rsid w:val="00407050"/>
    <w:rsid w:val="00425396"/>
    <w:rsid w:val="00426671"/>
    <w:rsid w:val="004331B2"/>
    <w:rsid w:val="00440800"/>
    <w:rsid w:val="00445B6A"/>
    <w:rsid w:val="00462AA0"/>
    <w:rsid w:val="00463190"/>
    <w:rsid w:val="0046519E"/>
    <w:rsid w:val="004665E9"/>
    <w:rsid w:val="00472532"/>
    <w:rsid w:val="00482945"/>
    <w:rsid w:val="004D2CC6"/>
    <w:rsid w:val="004D7745"/>
    <w:rsid w:val="004E2D26"/>
    <w:rsid w:val="004E4E82"/>
    <w:rsid w:val="00503953"/>
    <w:rsid w:val="0052529E"/>
    <w:rsid w:val="00527CD3"/>
    <w:rsid w:val="005358D0"/>
    <w:rsid w:val="0055194E"/>
    <w:rsid w:val="00564BBD"/>
    <w:rsid w:val="0057238E"/>
    <w:rsid w:val="005A4626"/>
    <w:rsid w:val="005B2B66"/>
    <w:rsid w:val="005C0531"/>
    <w:rsid w:val="005D737D"/>
    <w:rsid w:val="005E691C"/>
    <w:rsid w:val="005E6FD9"/>
    <w:rsid w:val="005F789E"/>
    <w:rsid w:val="00613F3A"/>
    <w:rsid w:val="006149EB"/>
    <w:rsid w:val="00616E17"/>
    <w:rsid w:val="00617E75"/>
    <w:rsid w:val="00623CFA"/>
    <w:rsid w:val="00634654"/>
    <w:rsid w:val="00644160"/>
    <w:rsid w:val="00670640"/>
    <w:rsid w:val="00675D49"/>
    <w:rsid w:val="00694184"/>
    <w:rsid w:val="006C307E"/>
    <w:rsid w:val="006C7DEF"/>
    <w:rsid w:val="006E656F"/>
    <w:rsid w:val="006F4FD3"/>
    <w:rsid w:val="006F6A50"/>
    <w:rsid w:val="00710BA1"/>
    <w:rsid w:val="0073073F"/>
    <w:rsid w:val="00744191"/>
    <w:rsid w:val="007446D5"/>
    <w:rsid w:val="00745912"/>
    <w:rsid w:val="00745F33"/>
    <w:rsid w:val="00747DB6"/>
    <w:rsid w:val="0077033C"/>
    <w:rsid w:val="00777030"/>
    <w:rsid w:val="00782A3A"/>
    <w:rsid w:val="00797059"/>
    <w:rsid w:val="007A3D0B"/>
    <w:rsid w:val="007B23CE"/>
    <w:rsid w:val="007B25FC"/>
    <w:rsid w:val="007B4050"/>
    <w:rsid w:val="007C04BE"/>
    <w:rsid w:val="007C4613"/>
    <w:rsid w:val="007C6599"/>
    <w:rsid w:val="007D1491"/>
    <w:rsid w:val="007D22E9"/>
    <w:rsid w:val="007E4C38"/>
    <w:rsid w:val="007F781A"/>
    <w:rsid w:val="00810421"/>
    <w:rsid w:val="008268AD"/>
    <w:rsid w:val="00835D41"/>
    <w:rsid w:val="00845C75"/>
    <w:rsid w:val="00857C15"/>
    <w:rsid w:val="008753DD"/>
    <w:rsid w:val="00880A95"/>
    <w:rsid w:val="008857AA"/>
    <w:rsid w:val="00893795"/>
    <w:rsid w:val="00896C04"/>
    <w:rsid w:val="008C1936"/>
    <w:rsid w:val="008C211C"/>
    <w:rsid w:val="008C36D3"/>
    <w:rsid w:val="008D5084"/>
    <w:rsid w:val="008D68EE"/>
    <w:rsid w:val="008E4022"/>
    <w:rsid w:val="008F0165"/>
    <w:rsid w:val="008F49E4"/>
    <w:rsid w:val="00902DE2"/>
    <w:rsid w:val="00925E5D"/>
    <w:rsid w:val="0094674A"/>
    <w:rsid w:val="00966505"/>
    <w:rsid w:val="0096795C"/>
    <w:rsid w:val="00986FFA"/>
    <w:rsid w:val="009B328D"/>
    <w:rsid w:val="009C5EE6"/>
    <w:rsid w:val="009D601C"/>
    <w:rsid w:val="009D72DE"/>
    <w:rsid w:val="009F0869"/>
    <w:rsid w:val="00A104FC"/>
    <w:rsid w:val="00A32789"/>
    <w:rsid w:val="00A32F81"/>
    <w:rsid w:val="00A40320"/>
    <w:rsid w:val="00A42FCA"/>
    <w:rsid w:val="00A43211"/>
    <w:rsid w:val="00A53A51"/>
    <w:rsid w:val="00A8139B"/>
    <w:rsid w:val="00A83846"/>
    <w:rsid w:val="00A86FA3"/>
    <w:rsid w:val="00AB5AE6"/>
    <w:rsid w:val="00AB6C7A"/>
    <w:rsid w:val="00AE0A80"/>
    <w:rsid w:val="00B00E50"/>
    <w:rsid w:val="00B0765A"/>
    <w:rsid w:val="00B10BBD"/>
    <w:rsid w:val="00B1738E"/>
    <w:rsid w:val="00B21E69"/>
    <w:rsid w:val="00B23A14"/>
    <w:rsid w:val="00B306E7"/>
    <w:rsid w:val="00B40C0D"/>
    <w:rsid w:val="00B765AE"/>
    <w:rsid w:val="00B90669"/>
    <w:rsid w:val="00B93194"/>
    <w:rsid w:val="00BA0023"/>
    <w:rsid w:val="00BA7163"/>
    <w:rsid w:val="00BB3BAD"/>
    <w:rsid w:val="00BC1E03"/>
    <w:rsid w:val="00BC3AEA"/>
    <w:rsid w:val="00BC762F"/>
    <w:rsid w:val="00BD0E0B"/>
    <w:rsid w:val="00BD6EFA"/>
    <w:rsid w:val="00BE366F"/>
    <w:rsid w:val="00BE7E43"/>
    <w:rsid w:val="00BF2078"/>
    <w:rsid w:val="00C55816"/>
    <w:rsid w:val="00C724D2"/>
    <w:rsid w:val="00C72AB3"/>
    <w:rsid w:val="00C76548"/>
    <w:rsid w:val="00C8584B"/>
    <w:rsid w:val="00CA5923"/>
    <w:rsid w:val="00CB191C"/>
    <w:rsid w:val="00CB7CE8"/>
    <w:rsid w:val="00CC0868"/>
    <w:rsid w:val="00CD39AD"/>
    <w:rsid w:val="00CE2CA3"/>
    <w:rsid w:val="00CF3259"/>
    <w:rsid w:val="00CF6736"/>
    <w:rsid w:val="00D0137B"/>
    <w:rsid w:val="00D13920"/>
    <w:rsid w:val="00D17068"/>
    <w:rsid w:val="00D201D1"/>
    <w:rsid w:val="00D428E6"/>
    <w:rsid w:val="00D82542"/>
    <w:rsid w:val="00D86323"/>
    <w:rsid w:val="00DA659F"/>
    <w:rsid w:val="00DB243D"/>
    <w:rsid w:val="00DB2B37"/>
    <w:rsid w:val="00DC5C7B"/>
    <w:rsid w:val="00E0109C"/>
    <w:rsid w:val="00E0248D"/>
    <w:rsid w:val="00E10683"/>
    <w:rsid w:val="00E405C2"/>
    <w:rsid w:val="00E412DA"/>
    <w:rsid w:val="00E57D54"/>
    <w:rsid w:val="00E82083"/>
    <w:rsid w:val="00E8284A"/>
    <w:rsid w:val="00E84C66"/>
    <w:rsid w:val="00E97241"/>
    <w:rsid w:val="00EC15A5"/>
    <w:rsid w:val="00EC227D"/>
    <w:rsid w:val="00EC418D"/>
    <w:rsid w:val="00ED0B55"/>
    <w:rsid w:val="00EF73D5"/>
    <w:rsid w:val="00EF7514"/>
    <w:rsid w:val="00F017FE"/>
    <w:rsid w:val="00F35B68"/>
    <w:rsid w:val="00F62144"/>
    <w:rsid w:val="00F76AFC"/>
    <w:rsid w:val="00F770F8"/>
    <w:rsid w:val="00F92411"/>
    <w:rsid w:val="00FB3D50"/>
    <w:rsid w:val="00FC1BA5"/>
    <w:rsid w:val="00FD3437"/>
    <w:rsid w:val="00FD5F42"/>
    <w:rsid w:val="00FE5259"/>
    <w:rsid w:val="00FE5666"/>
    <w:rsid w:val="00FF6279"/>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81A"/>
    <w:rPr>
      <w:rFonts w:ascii="DepCentury Old Style" w:hAnsi="DepCentury Old Style"/>
      <w:sz w:val="24"/>
      <w:lang w:eastAsia="en-US"/>
    </w:rPr>
  </w:style>
  <w:style w:type="paragraph" w:styleId="Overskrift1">
    <w:name w:val="heading 1"/>
    <w:next w:val="Normal"/>
    <w:qFormat/>
    <w:rsid w:val="007F781A"/>
    <w:pPr>
      <w:keepNext/>
      <w:keepLines/>
      <w:numPr>
        <w:numId w:val="1"/>
      </w:numPr>
      <w:spacing w:before="240" w:after="120"/>
      <w:ind w:hanging="567"/>
      <w:outlineLvl w:val="0"/>
    </w:pPr>
    <w:rPr>
      <w:rFonts w:ascii="DepCentury Old Style" w:hAnsi="DepCentury Old Style"/>
      <w:b/>
      <w:caps/>
      <w:kern w:val="28"/>
      <w:sz w:val="24"/>
      <w:lang w:eastAsia="en-US"/>
    </w:rPr>
  </w:style>
  <w:style w:type="paragraph" w:styleId="Overskrift2">
    <w:name w:val="heading 2"/>
    <w:basedOn w:val="Overskrift1"/>
    <w:next w:val="Normal"/>
    <w:qFormat/>
    <w:rsid w:val="007F781A"/>
    <w:pPr>
      <w:numPr>
        <w:ilvl w:val="1"/>
      </w:numPr>
      <w:ind w:hanging="567"/>
      <w:outlineLvl w:val="1"/>
    </w:pPr>
    <w:rPr>
      <w:caps w:val="0"/>
    </w:rPr>
  </w:style>
  <w:style w:type="paragraph" w:styleId="Overskrift3">
    <w:name w:val="heading 3"/>
    <w:basedOn w:val="Overskrift2"/>
    <w:next w:val="Normal"/>
    <w:qFormat/>
    <w:rsid w:val="007F781A"/>
    <w:pPr>
      <w:numPr>
        <w:ilvl w:val="2"/>
      </w:numPr>
      <w:ind w:hanging="567"/>
      <w:outlineLvl w:val="2"/>
    </w:pPr>
    <w:rPr>
      <w:b w:val="0"/>
    </w:rPr>
  </w:style>
  <w:style w:type="paragraph" w:styleId="Overskrift4">
    <w:name w:val="heading 4"/>
    <w:basedOn w:val="Overskrift3"/>
    <w:next w:val="Normal"/>
    <w:qFormat/>
    <w:rsid w:val="007F781A"/>
    <w:pPr>
      <w:numPr>
        <w:ilvl w:val="3"/>
      </w:numPr>
      <w:ind w:hanging="1134"/>
      <w:outlineLvl w:val="3"/>
    </w:pPr>
  </w:style>
  <w:style w:type="paragraph" w:styleId="Overskrift5">
    <w:name w:val="heading 5"/>
    <w:basedOn w:val="Overskrift3"/>
    <w:next w:val="Normal"/>
    <w:qFormat/>
    <w:rsid w:val="007F781A"/>
    <w:pPr>
      <w:numPr>
        <w:ilvl w:val="4"/>
      </w:numPr>
      <w:ind w:hanging="1134"/>
      <w:outlineLvl w:val="4"/>
    </w:pPr>
  </w:style>
  <w:style w:type="paragraph" w:styleId="Overskrift6">
    <w:name w:val="heading 6"/>
    <w:basedOn w:val="Overskrift3"/>
    <w:next w:val="Normal"/>
    <w:qFormat/>
    <w:rsid w:val="007F781A"/>
    <w:pPr>
      <w:numPr>
        <w:ilvl w:val="5"/>
      </w:numPr>
      <w:outlineLvl w:val="5"/>
    </w:pPr>
  </w:style>
  <w:style w:type="paragraph" w:styleId="Overskrift7">
    <w:name w:val="heading 7"/>
    <w:basedOn w:val="Overskrift6"/>
    <w:next w:val="Normal"/>
    <w:qFormat/>
    <w:rsid w:val="007F781A"/>
    <w:pPr>
      <w:numPr>
        <w:ilvl w:val="6"/>
      </w:numPr>
      <w:outlineLvl w:val="6"/>
    </w:pPr>
  </w:style>
  <w:style w:type="paragraph" w:styleId="Overskrift8">
    <w:name w:val="heading 8"/>
    <w:basedOn w:val="Overskrift6"/>
    <w:next w:val="Normal"/>
    <w:qFormat/>
    <w:rsid w:val="007F781A"/>
    <w:pPr>
      <w:numPr>
        <w:ilvl w:val="7"/>
      </w:numPr>
      <w:outlineLvl w:val="7"/>
    </w:pPr>
  </w:style>
  <w:style w:type="paragraph" w:styleId="Overskrift9">
    <w:name w:val="heading 9"/>
    <w:basedOn w:val="Overskrift6"/>
    <w:next w:val="Normal"/>
    <w:qFormat/>
    <w:rsid w:val="007F781A"/>
    <w:pPr>
      <w:numPr>
        <w:ilvl w:val="8"/>
      </w:numPr>
      <w:tabs>
        <w:tab w:val="num" w:pos="360"/>
      </w:tabs>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next w:val="Normal"/>
    <w:qFormat/>
    <w:rsid w:val="007F781A"/>
    <w:pPr>
      <w:spacing w:after="120"/>
      <w:jc w:val="center"/>
    </w:pPr>
    <w:rPr>
      <w:rFonts w:ascii="DepCentury Old Style" w:hAnsi="DepCentury Old Style"/>
      <w:b/>
      <w:caps/>
      <w:kern w:val="28"/>
      <w:sz w:val="24"/>
      <w:lang w:eastAsia="en-US"/>
    </w:rPr>
  </w:style>
  <w:style w:type="paragraph" w:styleId="INNH1">
    <w:name w:val="toc 1"/>
    <w:basedOn w:val="Normal"/>
    <w:next w:val="Normal"/>
    <w:semiHidden/>
    <w:rsid w:val="007F781A"/>
    <w:pPr>
      <w:tabs>
        <w:tab w:val="right" w:leader="dot" w:pos="9071"/>
      </w:tabs>
    </w:pPr>
  </w:style>
  <w:style w:type="paragraph" w:customStyle="1" w:styleId="Innrykk1">
    <w:name w:val="Innrykk_1"/>
    <w:basedOn w:val="Normal"/>
    <w:rsid w:val="007F781A"/>
    <w:pPr>
      <w:ind w:left="567"/>
    </w:pPr>
  </w:style>
  <w:style w:type="paragraph" w:customStyle="1" w:styleId="Innrykk2">
    <w:name w:val="Innrykk_2"/>
    <w:basedOn w:val="Normal"/>
    <w:rsid w:val="007F781A"/>
    <w:pPr>
      <w:ind w:left="1134"/>
    </w:pPr>
  </w:style>
  <w:style w:type="paragraph" w:styleId="Nummerertliste">
    <w:name w:val="List Number"/>
    <w:basedOn w:val="Normal"/>
    <w:rsid w:val="007F781A"/>
    <w:pPr>
      <w:ind w:left="567" w:hanging="567"/>
    </w:pPr>
  </w:style>
  <w:style w:type="paragraph" w:customStyle="1" w:styleId="Nummerliste2">
    <w:name w:val="Nummerliste_2"/>
    <w:basedOn w:val="Nummerertliste"/>
    <w:rsid w:val="007F781A"/>
  </w:style>
  <w:style w:type="paragraph" w:customStyle="1" w:styleId="Brevoverskrift">
    <w:name w:val="Brevoverskrift"/>
    <w:basedOn w:val="Normal"/>
    <w:next w:val="Normal"/>
    <w:rsid w:val="007F781A"/>
    <w:pPr>
      <w:spacing w:after="300"/>
    </w:pPr>
    <w:rPr>
      <w:b/>
    </w:rPr>
  </w:style>
  <w:style w:type="paragraph" w:customStyle="1" w:styleId="Nummerliste3">
    <w:name w:val="Nummerliste_3"/>
    <w:basedOn w:val="Nummerliste2"/>
    <w:rsid w:val="007F781A"/>
  </w:style>
  <w:style w:type="paragraph" w:customStyle="1" w:styleId="Nummerlisteluft">
    <w:name w:val="Nummerliste_luft"/>
    <w:basedOn w:val="Nummerertliste"/>
    <w:rsid w:val="007F781A"/>
    <w:pPr>
      <w:spacing w:after="240"/>
    </w:pPr>
  </w:style>
  <w:style w:type="paragraph" w:customStyle="1" w:styleId="Nummerliste2luft">
    <w:name w:val="Nummerliste_2_luft"/>
    <w:basedOn w:val="Nummerliste2"/>
    <w:rsid w:val="007F781A"/>
    <w:pPr>
      <w:spacing w:after="240"/>
    </w:pPr>
  </w:style>
  <w:style w:type="paragraph" w:customStyle="1" w:styleId="Nummerliste3luft">
    <w:name w:val="Nummerliste_3_luft"/>
    <w:basedOn w:val="Nummerliste3"/>
    <w:rsid w:val="007F781A"/>
    <w:pPr>
      <w:spacing w:after="240"/>
    </w:pPr>
  </w:style>
  <w:style w:type="paragraph" w:styleId="INNH2">
    <w:name w:val="toc 2"/>
    <w:basedOn w:val="Normal"/>
    <w:next w:val="Normal"/>
    <w:semiHidden/>
    <w:rsid w:val="007F781A"/>
    <w:pPr>
      <w:tabs>
        <w:tab w:val="right" w:leader="dot" w:pos="9071"/>
      </w:tabs>
      <w:ind w:left="567"/>
    </w:pPr>
  </w:style>
  <w:style w:type="paragraph" w:styleId="INNH3">
    <w:name w:val="toc 3"/>
    <w:basedOn w:val="Normal"/>
    <w:next w:val="Normal"/>
    <w:semiHidden/>
    <w:rsid w:val="007F781A"/>
    <w:pPr>
      <w:tabs>
        <w:tab w:val="right" w:leader="dot" w:pos="9071"/>
      </w:tabs>
      <w:ind w:left="567"/>
    </w:pPr>
  </w:style>
  <w:style w:type="paragraph" w:styleId="INNH4">
    <w:name w:val="toc 4"/>
    <w:basedOn w:val="Normal"/>
    <w:next w:val="Normal"/>
    <w:semiHidden/>
    <w:rsid w:val="007F781A"/>
    <w:pPr>
      <w:tabs>
        <w:tab w:val="right" w:leader="dot" w:pos="9071"/>
      </w:tabs>
      <w:ind w:left="1134"/>
    </w:pPr>
  </w:style>
  <w:style w:type="paragraph" w:styleId="INNH5">
    <w:name w:val="toc 5"/>
    <w:basedOn w:val="Normal"/>
    <w:next w:val="Normal"/>
    <w:semiHidden/>
    <w:rsid w:val="007F781A"/>
    <w:pPr>
      <w:tabs>
        <w:tab w:val="right" w:leader="dot" w:pos="9071"/>
      </w:tabs>
      <w:ind w:left="1134"/>
    </w:pPr>
  </w:style>
  <w:style w:type="paragraph" w:styleId="INNH6">
    <w:name w:val="toc 6"/>
    <w:basedOn w:val="Normal"/>
    <w:next w:val="Normal"/>
    <w:semiHidden/>
    <w:rsid w:val="007F781A"/>
    <w:pPr>
      <w:tabs>
        <w:tab w:val="right" w:leader="dot" w:pos="9071"/>
      </w:tabs>
      <w:ind w:left="1000"/>
    </w:pPr>
  </w:style>
  <w:style w:type="paragraph" w:styleId="INNH7">
    <w:name w:val="toc 7"/>
    <w:basedOn w:val="Normal"/>
    <w:next w:val="Normal"/>
    <w:semiHidden/>
    <w:rsid w:val="007F781A"/>
    <w:pPr>
      <w:tabs>
        <w:tab w:val="right" w:leader="dot" w:pos="9071"/>
      </w:tabs>
      <w:ind w:left="1200"/>
    </w:pPr>
  </w:style>
  <w:style w:type="paragraph" w:styleId="INNH8">
    <w:name w:val="toc 8"/>
    <w:basedOn w:val="Normal"/>
    <w:next w:val="Normal"/>
    <w:semiHidden/>
    <w:rsid w:val="007F781A"/>
    <w:pPr>
      <w:tabs>
        <w:tab w:val="right" w:leader="dot" w:pos="9071"/>
      </w:tabs>
      <w:ind w:left="1400"/>
    </w:pPr>
  </w:style>
  <w:style w:type="paragraph" w:styleId="INNH9">
    <w:name w:val="toc 9"/>
    <w:basedOn w:val="Normal"/>
    <w:next w:val="Normal"/>
    <w:semiHidden/>
    <w:rsid w:val="007F781A"/>
    <w:pPr>
      <w:tabs>
        <w:tab w:val="right" w:leader="dot" w:pos="9071"/>
      </w:tabs>
      <w:ind w:left="1600"/>
    </w:pPr>
  </w:style>
  <w:style w:type="paragraph" w:styleId="Bunntekst">
    <w:name w:val="footer"/>
    <w:rsid w:val="007F781A"/>
    <w:rPr>
      <w:rFonts w:ascii="DepCentury Old Style" w:hAnsi="DepCentury Old Style"/>
      <w:lang w:eastAsia="en-US"/>
    </w:rPr>
  </w:style>
  <w:style w:type="paragraph" w:styleId="Bildetekst">
    <w:name w:val="caption"/>
    <w:basedOn w:val="Normal"/>
    <w:next w:val="Normal"/>
    <w:qFormat/>
    <w:rsid w:val="007F781A"/>
    <w:pPr>
      <w:spacing w:before="120" w:after="120"/>
    </w:pPr>
    <w:rPr>
      <w:b/>
    </w:rPr>
  </w:style>
  <w:style w:type="paragraph" w:customStyle="1" w:styleId="Nummerfortlpende">
    <w:name w:val="Nummer fortløpende"/>
    <w:basedOn w:val="Normal"/>
    <w:next w:val="Normal"/>
    <w:rsid w:val="007F781A"/>
    <w:pPr>
      <w:ind w:left="567" w:hanging="567"/>
    </w:pPr>
  </w:style>
  <w:style w:type="paragraph" w:styleId="Topptekst">
    <w:name w:val="header"/>
    <w:basedOn w:val="Normal"/>
    <w:rsid w:val="007F781A"/>
    <w:pPr>
      <w:tabs>
        <w:tab w:val="right" w:pos="9072"/>
      </w:tabs>
      <w:ind w:left="-1701" w:right="-1134"/>
      <w:jc w:val="center"/>
    </w:pPr>
    <w:rPr>
      <w:i/>
      <w:spacing w:val="15"/>
      <w:sz w:val="20"/>
    </w:rPr>
  </w:style>
  <w:style w:type="paragraph" w:customStyle="1" w:styleId="Brevtittel">
    <w:name w:val="Brevtittel"/>
    <w:basedOn w:val="Normal"/>
    <w:next w:val="Normal"/>
    <w:rsid w:val="007F781A"/>
    <w:rPr>
      <w:b/>
      <w:caps/>
    </w:rPr>
  </w:style>
  <w:style w:type="paragraph" w:customStyle="1" w:styleId="Vedlegg">
    <w:name w:val="Vedlegg"/>
    <w:next w:val="Normal"/>
    <w:rsid w:val="007F781A"/>
    <w:pPr>
      <w:spacing w:after="120"/>
      <w:ind w:left="1701" w:hanging="1701"/>
      <w:jc w:val="both"/>
    </w:pPr>
    <w:rPr>
      <w:rFonts w:ascii="DepCentury Old Style" w:hAnsi="DepCentury Old Style"/>
      <w:sz w:val="24"/>
      <w:lang w:eastAsia="en-US"/>
    </w:rPr>
  </w:style>
  <w:style w:type="paragraph" w:styleId="Figurliste">
    <w:name w:val="table of figures"/>
    <w:basedOn w:val="Normal"/>
    <w:next w:val="Normal"/>
    <w:semiHidden/>
    <w:rsid w:val="007F781A"/>
    <w:pPr>
      <w:tabs>
        <w:tab w:val="right" w:leader="dot" w:pos="9071"/>
      </w:tabs>
      <w:ind w:left="567" w:hanging="567"/>
    </w:pPr>
  </w:style>
  <w:style w:type="paragraph" w:styleId="Makrotekst">
    <w:name w:val="macro"/>
    <w:semiHidden/>
    <w:rsid w:val="007F781A"/>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DepNavn">
    <w:name w:val="DepNavn"/>
    <w:basedOn w:val="Topptekst"/>
    <w:rsid w:val="007F781A"/>
    <w:pPr>
      <w:tabs>
        <w:tab w:val="clear" w:pos="9072"/>
      </w:tabs>
      <w:spacing w:line="240" w:lineRule="exact"/>
      <w:ind w:left="0" w:right="0"/>
    </w:pPr>
    <w:rPr>
      <w:b/>
      <w:i w:val="0"/>
      <w:spacing w:val="0"/>
    </w:rPr>
  </w:style>
  <w:style w:type="character" w:styleId="Hyperkobling">
    <w:name w:val="Hyperlink"/>
    <w:basedOn w:val="Standardskriftforavsnitt"/>
    <w:uiPriority w:val="99"/>
    <w:rsid w:val="00445B6A"/>
    <w:rPr>
      <w:color w:val="0000FF"/>
      <w:u w:val="single"/>
    </w:rPr>
  </w:style>
  <w:style w:type="paragraph" w:styleId="Undertittel">
    <w:name w:val="Subtitle"/>
    <w:basedOn w:val="Normal"/>
    <w:qFormat/>
    <w:rsid w:val="007F781A"/>
    <w:pPr>
      <w:spacing w:after="60"/>
      <w:jc w:val="center"/>
    </w:pPr>
  </w:style>
  <w:style w:type="paragraph" w:customStyle="1" w:styleId="underskrift">
    <w:name w:val="underskrift"/>
    <w:next w:val="Normal"/>
    <w:rsid w:val="007F781A"/>
    <w:pPr>
      <w:spacing w:line="300" w:lineRule="exact"/>
      <w:ind w:left="5387"/>
    </w:pPr>
    <w:rPr>
      <w:rFonts w:ascii="DepCentury Old Style" w:hAnsi="DepCentury Old Style"/>
      <w:noProof/>
      <w:sz w:val="24"/>
      <w:lang w:val="en-US" w:eastAsia="en-US"/>
    </w:rPr>
  </w:style>
  <w:style w:type="paragraph" w:customStyle="1" w:styleId="liste1">
    <w:name w:val="liste 1"/>
    <w:basedOn w:val="Liste"/>
    <w:rsid w:val="007F781A"/>
  </w:style>
  <w:style w:type="paragraph" w:styleId="Liste">
    <w:name w:val="List"/>
    <w:basedOn w:val="Normal"/>
    <w:rsid w:val="007F781A"/>
    <w:pPr>
      <w:ind w:left="283" w:hanging="283"/>
    </w:pPr>
  </w:style>
  <w:style w:type="paragraph" w:customStyle="1" w:styleId="NummerNiv1">
    <w:name w:val="NummerNivå 1"/>
    <w:basedOn w:val="Nummerlisteluft"/>
    <w:rsid w:val="007F781A"/>
    <w:pPr>
      <w:spacing w:after="120"/>
    </w:pPr>
  </w:style>
  <w:style w:type="paragraph" w:styleId="Brdtekst">
    <w:name w:val="Body Text"/>
    <w:basedOn w:val="Normal"/>
    <w:link w:val="BrdtekstTegn"/>
    <w:rsid w:val="00D86323"/>
    <w:pPr>
      <w:spacing w:after="120"/>
    </w:pPr>
    <w:rPr>
      <w:rFonts w:ascii="Arial" w:hAnsi="Arial"/>
      <w:sz w:val="22"/>
    </w:rPr>
  </w:style>
  <w:style w:type="character" w:customStyle="1" w:styleId="BrdtekstTegn">
    <w:name w:val="Brødtekst Tegn"/>
    <w:basedOn w:val="Standardskriftforavsnitt"/>
    <w:link w:val="Brdtekst"/>
    <w:rsid w:val="00D86323"/>
    <w:rPr>
      <w:rFonts w:ascii="Arial" w:hAnsi="Arial"/>
      <w:sz w:val="22"/>
      <w:lang w:eastAsia="en-US"/>
    </w:rPr>
  </w:style>
  <w:style w:type="paragraph" w:styleId="Ingenmellomrom">
    <w:name w:val="No Spacing"/>
    <w:uiPriority w:val="1"/>
    <w:qFormat/>
    <w:rsid w:val="0096795C"/>
    <w:rPr>
      <w:rFonts w:ascii="Calibri" w:eastAsia="Calibri" w:hAnsi="Calibri"/>
      <w:sz w:val="22"/>
      <w:szCs w:val="22"/>
      <w:lang w:eastAsia="en-US"/>
    </w:rPr>
  </w:style>
  <w:style w:type="paragraph" w:styleId="Bobletekst">
    <w:name w:val="Balloon Text"/>
    <w:basedOn w:val="Normal"/>
    <w:link w:val="BobletekstTegn"/>
    <w:rsid w:val="005A4626"/>
    <w:rPr>
      <w:rFonts w:ascii="Tahoma" w:hAnsi="Tahoma" w:cs="Tahoma"/>
      <w:sz w:val="16"/>
      <w:szCs w:val="16"/>
    </w:rPr>
  </w:style>
  <w:style w:type="character" w:customStyle="1" w:styleId="BobletekstTegn">
    <w:name w:val="Bobletekst Tegn"/>
    <w:basedOn w:val="Standardskriftforavsnitt"/>
    <w:link w:val="Bobletekst"/>
    <w:rsid w:val="005A4626"/>
    <w:rPr>
      <w:rFonts w:ascii="Tahoma" w:hAnsi="Tahoma" w:cs="Tahoma"/>
      <w:sz w:val="16"/>
      <w:szCs w:val="16"/>
      <w:lang w:eastAsia="en-US"/>
    </w:rPr>
  </w:style>
  <w:style w:type="character" w:styleId="Merknadsreferanse">
    <w:name w:val="annotation reference"/>
    <w:basedOn w:val="Standardskriftforavsnitt"/>
    <w:rsid w:val="00986FFA"/>
    <w:rPr>
      <w:sz w:val="16"/>
      <w:szCs w:val="16"/>
    </w:rPr>
  </w:style>
  <w:style w:type="paragraph" w:styleId="Merknadstekst">
    <w:name w:val="annotation text"/>
    <w:basedOn w:val="Normal"/>
    <w:link w:val="MerknadstekstTegn"/>
    <w:rsid w:val="00986FFA"/>
    <w:rPr>
      <w:sz w:val="20"/>
    </w:rPr>
  </w:style>
  <w:style w:type="character" w:customStyle="1" w:styleId="MerknadstekstTegn">
    <w:name w:val="Merknadstekst Tegn"/>
    <w:basedOn w:val="Standardskriftforavsnitt"/>
    <w:link w:val="Merknadstekst"/>
    <w:rsid w:val="00986FFA"/>
    <w:rPr>
      <w:rFonts w:ascii="DepCentury Old Style" w:hAnsi="DepCentury Old Style"/>
      <w:lang w:eastAsia="en-US"/>
    </w:rPr>
  </w:style>
  <w:style w:type="paragraph" w:styleId="Kommentaremne">
    <w:name w:val="annotation subject"/>
    <w:basedOn w:val="Merknadstekst"/>
    <w:next w:val="Merknadstekst"/>
    <w:link w:val="KommentaremneTegn"/>
    <w:rsid w:val="00986FFA"/>
    <w:rPr>
      <w:b/>
      <w:bCs/>
    </w:rPr>
  </w:style>
  <w:style w:type="character" w:customStyle="1" w:styleId="KommentaremneTegn">
    <w:name w:val="Kommentaremne Tegn"/>
    <w:basedOn w:val="MerknadstekstTegn"/>
    <w:link w:val="Kommentaremne"/>
    <w:rsid w:val="00986FFA"/>
    <w:rPr>
      <w:b/>
      <w:bCs/>
    </w:rPr>
  </w:style>
  <w:style w:type="paragraph" w:styleId="Listeavsnitt">
    <w:name w:val="List Paragraph"/>
    <w:basedOn w:val="Normal"/>
    <w:uiPriority w:val="34"/>
    <w:qFormat/>
    <w:rsid w:val="004266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io.no/forskning/frida/).%20Al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postmottak@ufd.dep.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brevma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A045A-F347-407A-93C3-5810BBD0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brevmal.dot</Template>
  <TotalTime>0</TotalTime>
  <Pages>10</Pages>
  <Words>3408</Words>
  <Characters>21219</Characters>
  <Application>Microsoft Office Word</Application>
  <DocSecurity>4</DocSecurity>
  <Lines>517</Lines>
  <Paragraphs>193</Paragraphs>
  <ScaleCrop>false</ScaleCrop>
  <HeadingPairs>
    <vt:vector size="2" baseType="variant">
      <vt:variant>
        <vt:lpstr>Tittel</vt:lpstr>
      </vt:variant>
      <vt:variant>
        <vt:i4>1</vt:i4>
      </vt:variant>
    </vt:vector>
  </HeadingPairs>
  <TitlesOfParts>
    <vt:vector size="1" baseType="lpstr">
      <vt:lpstr>Deres ref	</vt:lpstr>
    </vt:vector>
  </TitlesOfParts>
  <Company>UFD</Company>
  <LinksUpToDate>false</LinksUpToDate>
  <CharactersWithSpaces>24434</CharactersWithSpaces>
  <SharedDoc>false</SharedDoc>
  <HLinks>
    <vt:vector size="12" baseType="variant">
      <vt:variant>
        <vt:i4>5832706</vt:i4>
      </vt:variant>
      <vt:variant>
        <vt:i4>0</vt:i4>
      </vt:variant>
      <vt:variant>
        <vt:i4>0</vt:i4>
      </vt:variant>
      <vt:variant>
        <vt:i4>5</vt:i4>
      </vt:variant>
      <vt:variant>
        <vt:lpwstr>http://www.uio.no/forskning/frida/). Alle</vt:lpwstr>
      </vt:variant>
      <vt:variant>
        <vt:lpwstr/>
      </vt:variant>
      <vt:variant>
        <vt:i4>3473482</vt:i4>
      </vt:variant>
      <vt:variant>
        <vt:i4>3</vt:i4>
      </vt:variant>
      <vt:variant>
        <vt:i4>0</vt:i4>
      </vt:variant>
      <vt:variant>
        <vt:i4>5</vt:i4>
      </vt:variant>
      <vt:variant>
        <vt:lpwstr>mailto:postmottak@ufd.dep.no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Deres ref	</dc:title>
  <dc:subject/>
  <dc:creator>KD10959</dc:creator>
  <cp:keywords/>
  <dc:description/>
  <cp:lastModifiedBy>KD10959</cp:lastModifiedBy>
  <cp:revision>2</cp:revision>
  <cp:lastPrinted>2009-07-03T09:02:00Z</cp:lastPrinted>
  <dcterms:created xsi:type="dcterms:W3CDTF">2009-10-26T11:15:00Z</dcterms:created>
  <dcterms:modified xsi:type="dcterms:W3CDTF">2009-10-26T11:15:00Z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nsept">
    <vt:lpwstr>0</vt:lpwstr>
  </property>
  <property fmtid="{D5CDD505-2E9C-101B-9397-08002B2CF9AE}" pid="3" name="språk">
    <vt:lpwstr>no</vt:lpwstr>
  </property>
</Properties>
</file>